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C17A3C" w14:textId="77777777" w:rsidR="005A408A" w:rsidRPr="00880A09" w:rsidRDefault="005A408A" w:rsidP="005A408A">
      <w:pPr>
        <w:pStyle w:val="Title"/>
        <w:rPr>
          <w:rFonts w:ascii="Times New Roman" w:hAnsi="Times New Roman" w:cs="Times New Roman"/>
          <w:b/>
          <w:bCs/>
        </w:rPr>
      </w:pPr>
      <w:r w:rsidRPr="00880A09">
        <w:rPr>
          <w:rFonts w:cs="Arial"/>
          <w:noProof/>
          <w:sz w:val="24"/>
          <w:szCs w:val="24"/>
          <w:lang w:eastAsia="en-IN"/>
        </w:rPr>
        <w:drawing>
          <wp:inline distT="0" distB="0" distL="0" distR="0" wp14:anchorId="13B7F9E4" wp14:editId="13FA564E">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5836" cy="1291786"/>
                    </a:xfrm>
                    <a:prstGeom prst="rect">
                      <a:avLst/>
                    </a:prstGeom>
                    <a:noFill/>
                    <a:ln>
                      <a:noFill/>
                    </a:ln>
                  </pic:spPr>
                </pic:pic>
              </a:graphicData>
            </a:graphic>
          </wp:inline>
        </w:drawing>
      </w:r>
    </w:p>
    <w:p w14:paraId="0C7B0752" w14:textId="77777777" w:rsidR="005A408A" w:rsidRPr="00880A09" w:rsidRDefault="005A408A" w:rsidP="005A408A">
      <w:pPr>
        <w:pStyle w:val="Title"/>
        <w:rPr>
          <w:rFonts w:ascii="Times New Roman" w:hAnsi="Times New Roman" w:cs="Times New Roman"/>
          <w:b/>
          <w:bCs/>
        </w:rPr>
      </w:pPr>
    </w:p>
    <w:p w14:paraId="66D49F1E" w14:textId="77777777" w:rsidR="005A408A" w:rsidRPr="00880A09" w:rsidRDefault="005A408A" w:rsidP="005A408A">
      <w:pPr>
        <w:pStyle w:val="Title"/>
        <w:jc w:val="center"/>
        <w:rPr>
          <w:rFonts w:ascii="Times New Roman" w:hAnsi="Times New Roman" w:cs="Times New Roman"/>
          <w:b/>
          <w:bCs/>
        </w:rPr>
      </w:pPr>
      <w:r w:rsidRPr="00880A09">
        <w:rPr>
          <w:rFonts w:ascii="Times New Roman" w:hAnsi="Times New Roman" w:cs="Times New Roman"/>
          <w:b/>
          <w:bCs/>
        </w:rPr>
        <w:t>Financial Management for the Hotel Industry</w:t>
      </w:r>
      <w:bookmarkStart w:id="0" w:name="_Hlk148113227"/>
    </w:p>
    <w:p w14:paraId="5BEDE6EA" w14:textId="08B52AE8" w:rsidR="005A408A" w:rsidRPr="00880A09" w:rsidRDefault="005A408A" w:rsidP="009E621D">
      <w:pPr>
        <w:pStyle w:val="Title"/>
        <w:spacing w:after="0"/>
        <w:jc w:val="center"/>
        <w:rPr>
          <w:rFonts w:ascii="Times New Roman" w:hAnsi="Times New Roman" w:cs="Times New Roman"/>
          <w:b/>
          <w:bCs/>
          <w14:ligatures w14:val="standardContextual"/>
        </w:rPr>
      </w:pPr>
      <w:r w:rsidRPr="00880A09">
        <w:rPr>
          <w:rFonts w:ascii="Times New Roman" w:hAnsi="Times New Roman" w:cs="Times New Roman"/>
          <w:b/>
          <w:bCs/>
        </w:rPr>
        <w:t>BMIH5007</w:t>
      </w:r>
      <w:bookmarkEnd w:id="0"/>
    </w:p>
    <w:p w14:paraId="50C092C5" w14:textId="77777777" w:rsidR="005A408A" w:rsidRPr="00880A09" w:rsidRDefault="005A408A" w:rsidP="005A408A">
      <w:pPr>
        <w:jc w:val="center"/>
        <w:rPr>
          <w:rFonts w:eastAsiaTheme="minorEastAsia"/>
          <w:color w:val="5A5A5A" w:themeColor="text1" w:themeTint="A5"/>
          <w:spacing w:val="15"/>
          <w:kern w:val="2"/>
          <w:sz w:val="40"/>
          <w:szCs w:val="40"/>
          <w14:ligatures w14:val="standardContextual"/>
        </w:rPr>
      </w:pPr>
    </w:p>
    <w:p w14:paraId="53195C88" w14:textId="4C1F9B9E" w:rsidR="005A408A" w:rsidRPr="00880A09" w:rsidRDefault="009E621D" w:rsidP="009E621D">
      <w:pPr>
        <w:jc w:val="center"/>
        <w:rPr>
          <w:rFonts w:ascii="Times New Roman" w:hAnsi="Times New Roman" w:cs="Times New Roman"/>
          <w:szCs w:val="24"/>
        </w:rPr>
      </w:pPr>
      <w:r w:rsidRPr="00880A09">
        <w:rPr>
          <w:rFonts w:eastAsiaTheme="minorEastAsia"/>
          <w:color w:val="5A5A5A" w:themeColor="text1" w:themeTint="A5"/>
          <w:spacing w:val="15"/>
          <w:kern w:val="2"/>
          <w:sz w:val="40"/>
          <w:szCs w:val="40"/>
          <w14:ligatures w14:val="standardContextual"/>
        </w:rPr>
        <w:t>Case Study: The City Hotel</w:t>
      </w:r>
    </w:p>
    <w:p w14:paraId="0EFF9F88" w14:textId="77777777" w:rsidR="005A408A" w:rsidRPr="00880A09" w:rsidRDefault="005A408A" w:rsidP="005A408A">
      <w:pPr>
        <w:rPr>
          <w:rFonts w:ascii="Times New Roman" w:hAnsi="Times New Roman" w:cs="Times New Roman"/>
          <w:szCs w:val="24"/>
        </w:rPr>
      </w:pPr>
    </w:p>
    <w:p w14:paraId="7F97DAE0" w14:textId="77777777" w:rsidR="005A408A" w:rsidRPr="00880A09" w:rsidRDefault="005A408A" w:rsidP="005A408A">
      <w:pPr>
        <w:rPr>
          <w:rFonts w:ascii="Times New Roman" w:hAnsi="Times New Roman" w:cs="Times New Roman"/>
          <w:szCs w:val="24"/>
        </w:rPr>
      </w:pPr>
    </w:p>
    <w:p w14:paraId="7FB4C599" w14:textId="77777777" w:rsidR="005A408A" w:rsidRPr="00880A09" w:rsidRDefault="005A408A" w:rsidP="005A408A">
      <w:pPr>
        <w:pStyle w:val="Title"/>
        <w:spacing w:after="0"/>
        <w:jc w:val="both"/>
        <w:rPr>
          <w:rFonts w:ascii="Times New Roman" w:hAnsi="Times New Roman" w:cs="Times New Roman"/>
          <w:b/>
          <w:bCs/>
          <w:sz w:val="32"/>
          <w:szCs w:val="32"/>
        </w:rPr>
      </w:pPr>
      <w:r w:rsidRPr="00880A09">
        <w:rPr>
          <w:rFonts w:ascii="Times New Roman" w:hAnsi="Times New Roman" w:cs="Times New Roman"/>
          <w:b/>
          <w:bCs/>
          <w:sz w:val="32"/>
          <w:szCs w:val="32"/>
        </w:rPr>
        <w:t>Student name: Mihaita Ionut Manda</w:t>
      </w:r>
    </w:p>
    <w:p w14:paraId="550D7318" w14:textId="77777777" w:rsidR="005A408A" w:rsidRPr="00880A09" w:rsidRDefault="005A408A" w:rsidP="005A408A"/>
    <w:p w14:paraId="00054AF2" w14:textId="77777777" w:rsidR="005A408A" w:rsidRPr="00880A09" w:rsidRDefault="005A408A" w:rsidP="005A408A">
      <w:pPr>
        <w:pStyle w:val="Title"/>
        <w:spacing w:after="0"/>
        <w:jc w:val="both"/>
        <w:rPr>
          <w:rFonts w:ascii="Times New Roman" w:hAnsi="Times New Roman" w:cs="Times New Roman"/>
          <w:b/>
          <w:bCs/>
          <w:sz w:val="32"/>
          <w:szCs w:val="32"/>
        </w:rPr>
      </w:pPr>
      <w:r w:rsidRPr="00880A09">
        <w:rPr>
          <w:rFonts w:ascii="Times New Roman" w:hAnsi="Times New Roman" w:cs="Times New Roman"/>
          <w:b/>
          <w:bCs/>
          <w:sz w:val="32"/>
          <w:szCs w:val="32"/>
        </w:rPr>
        <w:t>Student ID number: 2232074</w:t>
      </w:r>
    </w:p>
    <w:p w14:paraId="6618D69E" w14:textId="77777777" w:rsidR="005A408A" w:rsidRPr="00880A09" w:rsidRDefault="005A408A" w:rsidP="005A408A">
      <w:pPr>
        <w:pStyle w:val="Title"/>
        <w:spacing w:after="0"/>
        <w:jc w:val="both"/>
        <w:rPr>
          <w:rFonts w:ascii="Times New Roman" w:hAnsi="Times New Roman" w:cs="Times New Roman"/>
          <w:b/>
          <w:bCs/>
          <w:sz w:val="32"/>
          <w:szCs w:val="32"/>
        </w:rPr>
      </w:pPr>
    </w:p>
    <w:p w14:paraId="61EE47C9" w14:textId="39AB4E42" w:rsidR="005A408A" w:rsidRPr="00880A09" w:rsidRDefault="005A408A" w:rsidP="005A408A">
      <w:pPr>
        <w:pStyle w:val="Title"/>
        <w:spacing w:after="0"/>
        <w:jc w:val="both"/>
        <w:rPr>
          <w:rFonts w:ascii="Times New Roman" w:hAnsi="Times New Roman" w:cs="Times New Roman"/>
          <w:b/>
          <w:bCs/>
          <w:sz w:val="32"/>
          <w:szCs w:val="32"/>
        </w:rPr>
      </w:pPr>
      <w:r w:rsidRPr="00880A09">
        <w:rPr>
          <w:rFonts w:ascii="Times New Roman" w:hAnsi="Times New Roman" w:cs="Times New Roman"/>
          <w:b/>
          <w:bCs/>
          <w:sz w:val="32"/>
          <w:szCs w:val="32"/>
        </w:rPr>
        <w:t>Lecturer: Tristan Hawkins</w:t>
      </w:r>
      <w:r w:rsidR="00385B7E">
        <w:rPr>
          <w:rFonts w:ascii="Times New Roman" w:hAnsi="Times New Roman" w:cs="Times New Roman"/>
          <w:b/>
          <w:bCs/>
          <w:sz w:val="32"/>
          <w:szCs w:val="32"/>
        </w:rPr>
        <w:t xml:space="preserve"> &amp; </w:t>
      </w:r>
      <w:r w:rsidR="00385B7E" w:rsidRPr="00385B7E">
        <w:rPr>
          <w:rFonts w:ascii="Times New Roman" w:hAnsi="Times New Roman" w:cs="Times New Roman"/>
          <w:b/>
          <w:bCs/>
          <w:sz w:val="32"/>
          <w:szCs w:val="32"/>
        </w:rPr>
        <w:t>Kathryn Roberts</w:t>
      </w:r>
    </w:p>
    <w:p w14:paraId="0D44D04D" w14:textId="77777777" w:rsidR="005A408A" w:rsidRPr="00880A09" w:rsidRDefault="005A408A" w:rsidP="005A408A">
      <w:pPr>
        <w:pStyle w:val="Title"/>
        <w:spacing w:after="0"/>
        <w:jc w:val="both"/>
        <w:rPr>
          <w:rFonts w:ascii="Times New Roman" w:hAnsi="Times New Roman" w:cs="Times New Roman"/>
          <w:b/>
          <w:bCs/>
          <w:sz w:val="32"/>
          <w:szCs w:val="32"/>
        </w:rPr>
      </w:pPr>
    </w:p>
    <w:p w14:paraId="23F7CB21" w14:textId="0DE9B4EB" w:rsidR="005A408A" w:rsidRPr="00880A09" w:rsidRDefault="005A408A" w:rsidP="005A408A">
      <w:pPr>
        <w:pStyle w:val="Title"/>
        <w:spacing w:after="0"/>
        <w:jc w:val="both"/>
        <w:rPr>
          <w:rFonts w:ascii="Times New Roman" w:hAnsi="Times New Roman" w:cs="Times New Roman"/>
          <w:b/>
          <w:bCs/>
          <w:sz w:val="32"/>
          <w:szCs w:val="32"/>
        </w:rPr>
      </w:pPr>
      <w:r w:rsidRPr="00880A09">
        <w:rPr>
          <w:rFonts w:ascii="Times New Roman" w:hAnsi="Times New Roman" w:cs="Times New Roman"/>
          <w:b/>
          <w:bCs/>
          <w:sz w:val="32"/>
          <w:szCs w:val="32"/>
        </w:rPr>
        <w:t>Word Count: 2</w:t>
      </w:r>
      <w:r w:rsidR="00385B7E">
        <w:rPr>
          <w:rFonts w:ascii="Times New Roman" w:hAnsi="Times New Roman" w:cs="Times New Roman"/>
          <w:b/>
          <w:bCs/>
          <w:sz w:val="32"/>
          <w:szCs w:val="32"/>
        </w:rPr>
        <w:t>183</w:t>
      </w:r>
    </w:p>
    <w:p w14:paraId="74386A75" w14:textId="77777777" w:rsidR="005A408A" w:rsidRPr="00880A09" w:rsidRDefault="005A408A" w:rsidP="005A408A"/>
    <w:p w14:paraId="242022C3" w14:textId="2F3713AB" w:rsidR="009E621D" w:rsidRPr="00880A09" w:rsidRDefault="00EB33D3" w:rsidP="009E621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2B5C2D4D" w14:textId="77777777" w:rsidR="009E621D" w:rsidRPr="00880A09" w:rsidRDefault="009E621D" w:rsidP="009E621D">
      <w:pPr>
        <w:spacing w:line="360" w:lineRule="auto"/>
        <w:jc w:val="both"/>
        <w:rPr>
          <w:rFonts w:ascii="Times New Roman" w:hAnsi="Times New Roman" w:cs="Times New Roman"/>
          <w:b/>
          <w:sz w:val="24"/>
          <w:szCs w:val="24"/>
        </w:rPr>
      </w:pPr>
    </w:p>
    <w:p w14:paraId="41A1DC64" w14:textId="7FE2657B" w:rsidR="009E621D" w:rsidRPr="00880A09" w:rsidRDefault="009E621D" w:rsidP="009E621D">
      <w:pPr>
        <w:spacing w:line="360" w:lineRule="auto"/>
        <w:jc w:val="both"/>
        <w:rPr>
          <w:rFonts w:ascii="Times New Roman" w:hAnsi="Times New Roman" w:cs="Times New Roman"/>
          <w:b/>
          <w:sz w:val="24"/>
          <w:szCs w:val="24"/>
        </w:rPr>
      </w:pPr>
      <w:r w:rsidRPr="00880A09">
        <w:rPr>
          <w:rFonts w:ascii="Times New Roman" w:hAnsi="Times New Roman" w:cs="Times New Roman"/>
          <w:b/>
          <w:sz w:val="24"/>
          <w:szCs w:val="24"/>
        </w:rPr>
        <w:t xml:space="preserve">Declaration </w:t>
      </w:r>
    </w:p>
    <w:p w14:paraId="7990AF95" w14:textId="2D7EADC6" w:rsidR="009E621D" w:rsidRPr="00880A09" w:rsidRDefault="009E621D" w:rsidP="009E621D">
      <w:pPr>
        <w:spacing w:line="360" w:lineRule="auto"/>
        <w:jc w:val="both"/>
      </w:pPr>
      <w:r w:rsidRPr="00880A09">
        <w:rPr>
          <w:rFonts w:ascii="Times New Roman" w:hAnsi="Times New Roman" w:cs="Times New Roman"/>
          <w:sz w:val="24"/>
          <w:szCs w:val="24"/>
        </w:rPr>
        <w:t xml:space="preserve">I assure you that this </w:t>
      </w:r>
      <w:r w:rsidR="00D86C58" w:rsidRPr="00880A09">
        <w:rPr>
          <w:rFonts w:ascii="Times New Roman" w:hAnsi="Times New Roman" w:cs="Times New Roman"/>
          <w:sz w:val="24"/>
          <w:szCs w:val="24"/>
        </w:rPr>
        <w:t>report</w:t>
      </w:r>
      <w:r w:rsidRPr="00880A09">
        <w:rPr>
          <w:rFonts w:ascii="Times New Roman" w:hAnsi="Times New Roman" w:cs="Times New Roman"/>
          <w:sz w:val="24"/>
          <w:szCs w:val="24"/>
        </w:rPr>
        <w:t xml:space="preserve"> is the result of my individual work only. As for this work, none of the AI tools were used in writing. All the research was done from academic sources mainly Google Scholar, reports and trustable sources to ensure that the research carries the highest standards of research.</w:t>
      </w:r>
    </w:p>
    <w:sdt>
      <w:sdtPr>
        <w:rPr>
          <w:rFonts w:asciiTheme="minorHAnsi" w:eastAsiaTheme="minorHAnsi" w:hAnsiTheme="minorHAnsi" w:cstheme="minorBidi"/>
          <w:b w:val="0"/>
          <w:bCs w:val="0"/>
          <w:color w:val="auto"/>
          <w:sz w:val="22"/>
          <w:szCs w:val="22"/>
          <w:lang w:val="en-GB" w:eastAsia="en-US"/>
        </w:rPr>
        <w:id w:val="917908029"/>
        <w:docPartObj>
          <w:docPartGallery w:val="Table of Contents"/>
          <w:docPartUnique/>
        </w:docPartObj>
      </w:sdtPr>
      <w:sdtEndPr>
        <w:rPr>
          <w:rFonts w:ascii="Times New Roman" w:hAnsi="Times New Roman" w:cs="Times New Roman"/>
          <w:noProof/>
          <w:sz w:val="24"/>
          <w:szCs w:val="24"/>
        </w:rPr>
      </w:sdtEndPr>
      <w:sdtContent>
        <w:p w14:paraId="5E4BC6E5" w14:textId="77777777" w:rsidR="009E621D" w:rsidRPr="00880A09" w:rsidRDefault="009E621D" w:rsidP="009E621D">
          <w:pPr>
            <w:pStyle w:val="TOCHeading"/>
            <w:rPr>
              <w:lang w:val="en-GB"/>
            </w:rPr>
          </w:pPr>
          <w:r w:rsidRPr="00880A09">
            <w:rPr>
              <w:lang w:val="en-GB"/>
            </w:rPr>
            <w:t>Table of Contents</w:t>
          </w:r>
        </w:p>
        <w:p w14:paraId="389202C1" w14:textId="313B5257" w:rsidR="009E621D" w:rsidRPr="00880A09" w:rsidRDefault="009E621D">
          <w:pPr>
            <w:pStyle w:val="TOC1"/>
            <w:tabs>
              <w:tab w:val="right" w:leader="dot" w:pos="9016"/>
            </w:tabs>
            <w:rPr>
              <w:rFonts w:eastAsiaTheme="minorEastAsia"/>
              <w:noProof/>
              <w:kern w:val="2"/>
              <w:sz w:val="24"/>
              <w:szCs w:val="24"/>
              <w:lang w:eastAsia="en-GB"/>
              <w14:ligatures w14:val="standardContextual"/>
            </w:rPr>
          </w:pPr>
          <w:r w:rsidRPr="00880A09">
            <w:rPr>
              <w:rFonts w:ascii="Times New Roman" w:hAnsi="Times New Roman" w:cs="Times New Roman"/>
              <w:sz w:val="24"/>
              <w:szCs w:val="24"/>
            </w:rPr>
            <w:fldChar w:fldCharType="begin"/>
          </w:r>
          <w:r w:rsidRPr="00880A09">
            <w:rPr>
              <w:rFonts w:ascii="Times New Roman" w:hAnsi="Times New Roman" w:cs="Times New Roman"/>
              <w:sz w:val="24"/>
              <w:szCs w:val="24"/>
            </w:rPr>
            <w:instrText xml:space="preserve"> TOC \o "1-3" \h \z \u </w:instrText>
          </w:r>
          <w:r w:rsidRPr="00880A09">
            <w:rPr>
              <w:rFonts w:ascii="Times New Roman" w:hAnsi="Times New Roman" w:cs="Times New Roman"/>
              <w:sz w:val="24"/>
              <w:szCs w:val="24"/>
            </w:rPr>
            <w:fldChar w:fldCharType="separate"/>
          </w:r>
          <w:hyperlink w:anchor="_Toc181189772" w:history="1">
            <w:r w:rsidRPr="00880A09">
              <w:rPr>
                <w:rStyle w:val="Hyperlink"/>
                <w:noProof/>
              </w:rPr>
              <w:t>Introduction</w:t>
            </w:r>
            <w:r w:rsidRPr="00880A09">
              <w:rPr>
                <w:noProof/>
                <w:webHidden/>
              </w:rPr>
              <w:tab/>
            </w:r>
            <w:r w:rsidRPr="00880A09">
              <w:rPr>
                <w:noProof/>
                <w:webHidden/>
              </w:rPr>
              <w:fldChar w:fldCharType="begin"/>
            </w:r>
            <w:r w:rsidRPr="00880A09">
              <w:rPr>
                <w:noProof/>
                <w:webHidden/>
              </w:rPr>
              <w:instrText xml:space="preserve"> PAGEREF _Toc181189772 \h </w:instrText>
            </w:r>
            <w:r w:rsidRPr="00880A09">
              <w:rPr>
                <w:noProof/>
                <w:webHidden/>
              </w:rPr>
            </w:r>
            <w:r w:rsidRPr="00880A09">
              <w:rPr>
                <w:noProof/>
                <w:webHidden/>
              </w:rPr>
              <w:fldChar w:fldCharType="separate"/>
            </w:r>
            <w:r w:rsidR="002E19E5">
              <w:rPr>
                <w:noProof/>
                <w:webHidden/>
              </w:rPr>
              <w:t>3</w:t>
            </w:r>
            <w:r w:rsidRPr="00880A09">
              <w:rPr>
                <w:noProof/>
                <w:webHidden/>
              </w:rPr>
              <w:fldChar w:fldCharType="end"/>
            </w:r>
          </w:hyperlink>
        </w:p>
        <w:p w14:paraId="54807DA1" w14:textId="6AF32FFE" w:rsidR="009E621D" w:rsidRPr="00880A09" w:rsidRDefault="009E621D">
          <w:pPr>
            <w:pStyle w:val="TOC1"/>
            <w:tabs>
              <w:tab w:val="right" w:leader="dot" w:pos="9016"/>
            </w:tabs>
            <w:rPr>
              <w:rFonts w:eastAsiaTheme="minorEastAsia"/>
              <w:noProof/>
              <w:kern w:val="2"/>
              <w:sz w:val="24"/>
              <w:szCs w:val="24"/>
              <w:lang w:eastAsia="en-GB"/>
              <w14:ligatures w14:val="standardContextual"/>
            </w:rPr>
          </w:pPr>
          <w:hyperlink w:anchor="_Toc181189773" w:history="1">
            <w:r w:rsidRPr="00880A09">
              <w:rPr>
                <w:rStyle w:val="Hyperlink"/>
                <w:noProof/>
              </w:rPr>
              <w:t>Financial Analysis</w:t>
            </w:r>
            <w:r w:rsidRPr="00880A09">
              <w:rPr>
                <w:noProof/>
                <w:webHidden/>
              </w:rPr>
              <w:tab/>
            </w:r>
            <w:r w:rsidRPr="00880A09">
              <w:rPr>
                <w:noProof/>
                <w:webHidden/>
              </w:rPr>
              <w:fldChar w:fldCharType="begin"/>
            </w:r>
            <w:r w:rsidRPr="00880A09">
              <w:rPr>
                <w:noProof/>
                <w:webHidden/>
              </w:rPr>
              <w:instrText xml:space="preserve"> PAGEREF _Toc181189773 \h </w:instrText>
            </w:r>
            <w:r w:rsidRPr="00880A09">
              <w:rPr>
                <w:noProof/>
                <w:webHidden/>
              </w:rPr>
            </w:r>
            <w:r w:rsidRPr="00880A09">
              <w:rPr>
                <w:noProof/>
                <w:webHidden/>
              </w:rPr>
              <w:fldChar w:fldCharType="separate"/>
            </w:r>
            <w:r w:rsidR="002E19E5">
              <w:rPr>
                <w:noProof/>
                <w:webHidden/>
              </w:rPr>
              <w:t>3</w:t>
            </w:r>
            <w:r w:rsidRPr="00880A09">
              <w:rPr>
                <w:noProof/>
                <w:webHidden/>
              </w:rPr>
              <w:fldChar w:fldCharType="end"/>
            </w:r>
          </w:hyperlink>
        </w:p>
        <w:p w14:paraId="60606952" w14:textId="2017260A" w:rsidR="009E621D" w:rsidRPr="00880A09" w:rsidRDefault="009E621D">
          <w:pPr>
            <w:pStyle w:val="TOC1"/>
            <w:tabs>
              <w:tab w:val="right" w:leader="dot" w:pos="9016"/>
            </w:tabs>
            <w:rPr>
              <w:rFonts w:eastAsiaTheme="minorEastAsia"/>
              <w:noProof/>
              <w:kern w:val="2"/>
              <w:sz w:val="24"/>
              <w:szCs w:val="24"/>
              <w:lang w:eastAsia="en-GB"/>
              <w14:ligatures w14:val="standardContextual"/>
            </w:rPr>
          </w:pPr>
          <w:hyperlink w:anchor="_Toc181189774" w:history="1">
            <w:r w:rsidRPr="00880A09">
              <w:rPr>
                <w:rStyle w:val="Hyperlink"/>
                <w:noProof/>
              </w:rPr>
              <w:t>Key Reasons for the Decline</w:t>
            </w:r>
            <w:r w:rsidRPr="00880A09">
              <w:rPr>
                <w:noProof/>
                <w:webHidden/>
              </w:rPr>
              <w:tab/>
            </w:r>
            <w:r w:rsidRPr="00880A09">
              <w:rPr>
                <w:noProof/>
                <w:webHidden/>
              </w:rPr>
              <w:fldChar w:fldCharType="begin"/>
            </w:r>
            <w:r w:rsidRPr="00880A09">
              <w:rPr>
                <w:noProof/>
                <w:webHidden/>
              </w:rPr>
              <w:instrText xml:space="preserve"> PAGEREF _Toc181189774 \h </w:instrText>
            </w:r>
            <w:r w:rsidRPr="00880A09">
              <w:rPr>
                <w:noProof/>
                <w:webHidden/>
              </w:rPr>
            </w:r>
            <w:r w:rsidRPr="00880A09">
              <w:rPr>
                <w:noProof/>
                <w:webHidden/>
              </w:rPr>
              <w:fldChar w:fldCharType="separate"/>
            </w:r>
            <w:r w:rsidR="002E19E5">
              <w:rPr>
                <w:noProof/>
                <w:webHidden/>
              </w:rPr>
              <w:t>5</w:t>
            </w:r>
            <w:r w:rsidRPr="00880A09">
              <w:rPr>
                <w:noProof/>
                <w:webHidden/>
              </w:rPr>
              <w:fldChar w:fldCharType="end"/>
            </w:r>
          </w:hyperlink>
        </w:p>
        <w:p w14:paraId="6DB554D7" w14:textId="2FACEDD6" w:rsidR="009E621D" w:rsidRPr="00880A09" w:rsidRDefault="009E621D">
          <w:pPr>
            <w:pStyle w:val="TOC1"/>
            <w:tabs>
              <w:tab w:val="right" w:leader="dot" w:pos="9016"/>
            </w:tabs>
            <w:rPr>
              <w:rFonts w:eastAsiaTheme="minorEastAsia"/>
              <w:noProof/>
              <w:kern w:val="2"/>
              <w:sz w:val="24"/>
              <w:szCs w:val="24"/>
              <w:lang w:eastAsia="en-GB"/>
              <w14:ligatures w14:val="standardContextual"/>
            </w:rPr>
          </w:pPr>
          <w:hyperlink w:anchor="_Toc181189775" w:history="1">
            <w:r w:rsidRPr="00880A09">
              <w:rPr>
                <w:rStyle w:val="Hyperlink"/>
                <w:noProof/>
              </w:rPr>
              <w:t>Proposed Turnaround Strategy</w:t>
            </w:r>
            <w:r w:rsidRPr="00880A09">
              <w:rPr>
                <w:noProof/>
                <w:webHidden/>
              </w:rPr>
              <w:tab/>
            </w:r>
            <w:r w:rsidRPr="00880A09">
              <w:rPr>
                <w:noProof/>
                <w:webHidden/>
              </w:rPr>
              <w:fldChar w:fldCharType="begin"/>
            </w:r>
            <w:r w:rsidRPr="00880A09">
              <w:rPr>
                <w:noProof/>
                <w:webHidden/>
              </w:rPr>
              <w:instrText xml:space="preserve"> PAGEREF _Toc181189775 \h </w:instrText>
            </w:r>
            <w:r w:rsidRPr="00880A09">
              <w:rPr>
                <w:noProof/>
                <w:webHidden/>
              </w:rPr>
            </w:r>
            <w:r w:rsidRPr="00880A09">
              <w:rPr>
                <w:noProof/>
                <w:webHidden/>
              </w:rPr>
              <w:fldChar w:fldCharType="separate"/>
            </w:r>
            <w:r w:rsidR="002E19E5">
              <w:rPr>
                <w:noProof/>
                <w:webHidden/>
              </w:rPr>
              <w:t>7</w:t>
            </w:r>
            <w:r w:rsidRPr="00880A09">
              <w:rPr>
                <w:noProof/>
                <w:webHidden/>
              </w:rPr>
              <w:fldChar w:fldCharType="end"/>
            </w:r>
          </w:hyperlink>
        </w:p>
        <w:p w14:paraId="6084A514" w14:textId="0D782EF5" w:rsidR="009E621D" w:rsidRPr="00880A09" w:rsidRDefault="009E621D">
          <w:pPr>
            <w:pStyle w:val="TOC1"/>
            <w:tabs>
              <w:tab w:val="right" w:leader="dot" w:pos="9016"/>
            </w:tabs>
            <w:rPr>
              <w:rFonts w:eastAsiaTheme="minorEastAsia"/>
              <w:noProof/>
              <w:kern w:val="2"/>
              <w:sz w:val="24"/>
              <w:szCs w:val="24"/>
              <w:lang w:eastAsia="en-GB"/>
              <w14:ligatures w14:val="standardContextual"/>
            </w:rPr>
          </w:pPr>
          <w:hyperlink w:anchor="_Toc181189776" w:history="1">
            <w:r w:rsidRPr="00880A09">
              <w:rPr>
                <w:rStyle w:val="Hyperlink"/>
                <w:noProof/>
              </w:rPr>
              <w:t>Evaluation of Alternatives</w:t>
            </w:r>
            <w:r w:rsidRPr="00880A09">
              <w:rPr>
                <w:noProof/>
                <w:webHidden/>
              </w:rPr>
              <w:tab/>
            </w:r>
            <w:r w:rsidRPr="00880A09">
              <w:rPr>
                <w:noProof/>
                <w:webHidden/>
              </w:rPr>
              <w:fldChar w:fldCharType="begin"/>
            </w:r>
            <w:r w:rsidRPr="00880A09">
              <w:rPr>
                <w:noProof/>
                <w:webHidden/>
              </w:rPr>
              <w:instrText xml:space="preserve"> PAGEREF _Toc181189776 \h </w:instrText>
            </w:r>
            <w:r w:rsidRPr="00880A09">
              <w:rPr>
                <w:noProof/>
                <w:webHidden/>
              </w:rPr>
            </w:r>
            <w:r w:rsidRPr="00880A09">
              <w:rPr>
                <w:noProof/>
                <w:webHidden/>
              </w:rPr>
              <w:fldChar w:fldCharType="separate"/>
            </w:r>
            <w:r w:rsidR="002E19E5">
              <w:rPr>
                <w:noProof/>
                <w:webHidden/>
              </w:rPr>
              <w:t>8</w:t>
            </w:r>
            <w:r w:rsidRPr="00880A09">
              <w:rPr>
                <w:noProof/>
                <w:webHidden/>
              </w:rPr>
              <w:fldChar w:fldCharType="end"/>
            </w:r>
          </w:hyperlink>
        </w:p>
        <w:p w14:paraId="5BBDDC89" w14:textId="71ECF72C" w:rsidR="009E621D" w:rsidRPr="00880A09" w:rsidRDefault="009E621D">
          <w:pPr>
            <w:pStyle w:val="TOC1"/>
            <w:tabs>
              <w:tab w:val="right" w:leader="dot" w:pos="9016"/>
            </w:tabs>
            <w:rPr>
              <w:rFonts w:eastAsiaTheme="minorEastAsia"/>
              <w:noProof/>
              <w:kern w:val="2"/>
              <w:sz w:val="24"/>
              <w:szCs w:val="24"/>
              <w:lang w:eastAsia="en-GB"/>
              <w14:ligatures w14:val="standardContextual"/>
            </w:rPr>
          </w:pPr>
          <w:hyperlink w:anchor="_Toc181189777" w:history="1">
            <w:r w:rsidRPr="00880A09">
              <w:rPr>
                <w:rStyle w:val="Hyperlink"/>
                <w:noProof/>
              </w:rPr>
              <w:t>Recommendations</w:t>
            </w:r>
            <w:r w:rsidRPr="00880A09">
              <w:rPr>
                <w:noProof/>
                <w:webHidden/>
              </w:rPr>
              <w:tab/>
            </w:r>
            <w:r w:rsidRPr="00880A09">
              <w:rPr>
                <w:noProof/>
                <w:webHidden/>
              </w:rPr>
              <w:fldChar w:fldCharType="begin"/>
            </w:r>
            <w:r w:rsidRPr="00880A09">
              <w:rPr>
                <w:noProof/>
                <w:webHidden/>
              </w:rPr>
              <w:instrText xml:space="preserve"> PAGEREF _Toc181189777 \h </w:instrText>
            </w:r>
            <w:r w:rsidRPr="00880A09">
              <w:rPr>
                <w:noProof/>
                <w:webHidden/>
              </w:rPr>
            </w:r>
            <w:r w:rsidRPr="00880A09">
              <w:rPr>
                <w:noProof/>
                <w:webHidden/>
              </w:rPr>
              <w:fldChar w:fldCharType="separate"/>
            </w:r>
            <w:r w:rsidR="002E19E5">
              <w:rPr>
                <w:noProof/>
                <w:webHidden/>
              </w:rPr>
              <w:t>9</w:t>
            </w:r>
            <w:r w:rsidRPr="00880A09">
              <w:rPr>
                <w:noProof/>
                <w:webHidden/>
              </w:rPr>
              <w:fldChar w:fldCharType="end"/>
            </w:r>
          </w:hyperlink>
        </w:p>
        <w:p w14:paraId="1DC25FAB" w14:textId="047F3467" w:rsidR="009E621D" w:rsidRPr="00880A09" w:rsidRDefault="009E621D">
          <w:pPr>
            <w:pStyle w:val="TOC1"/>
            <w:tabs>
              <w:tab w:val="right" w:leader="dot" w:pos="9016"/>
            </w:tabs>
            <w:rPr>
              <w:rFonts w:eastAsiaTheme="minorEastAsia"/>
              <w:noProof/>
              <w:kern w:val="2"/>
              <w:sz w:val="24"/>
              <w:szCs w:val="24"/>
              <w:lang w:eastAsia="en-GB"/>
              <w14:ligatures w14:val="standardContextual"/>
            </w:rPr>
          </w:pPr>
          <w:hyperlink w:anchor="_Toc181189778" w:history="1">
            <w:r w:rsidRPr="00880A09">
              <w:rPr>
                <w:rStyle w:val="Hyperlink"/>
                <w:noProof/>
              </w:rPr>
              <w:t>Conclusion</w:t>
            </w:r>
            <w:r w:rsidRPr="00880A09">
              <w:rPr>
                <w:noProof/>
                <w:webHidden/>
              </w:rPr>
              <w:tab/>
            </w:r>
            <w:r w:rsidRPr="00880A09">
              <w:rPr>
                <w:noProof/>
                <w:webHidden/>
              </w:rPr>
              <w:fldChar w:fldCharType="begin"/>
            </w:r>
            <w:r w:rsidRPr="00880A09">
              <w:rPr>
                <w:noProof/>
                <w:webHidden/>
              </w:rPr>
              <w:instrText xml:space="preserve"> PAGEREF _Toc181189778 \h </w:instrText>
            </w:r>
            <w:r w:rsidRPr="00880A09">
              <w:rPr>
                <w:noProof/>
                <w:webHidden/>
              </w:rPr>
            </w:r>
            <w:r w:rsidRPr="00880A09">
              <w:rPr>
                <w:noProof/>
                <w:webHidden/>
              </w:rPr>
              <w:fldChar w:fldCharType="separate"/>
            </w:r>
            <w:r w:rsidR="002E19E5">
              <w:rPr>
                <w:noProof/>
                <w:webHidden/>
              </w:rPr>
              <w:t>10</w:t>
            </w:r>
            <w:r w:rsidRPr="00880A09">
              <w:rPr>
                <w:noProof/>
                <w:webHidden/>
              </w:rPr>
              <w:fldChar w:fldCharType="end"/>
            </w:r>
          </w:hyperlink>
        </w:p>
        <w:p w14:paraId="44DCEC2D" w14:textId="5F60E93B" w:rsidR="009E621D" w:rsidRPr="00880A09" w:rsidRDefault="009E621D">
          <w:pPr>
            <w:pStyle w:val="TOC1"/>
            <w:tabs>
              <w:tab w:val="right" w:leader="dot" w:pos="9016"/>
            </w:tabs>
            <w:rPr>
              <w:rFonts w:eastAsiaTheme="minorEastAsia"/>
              <w:noProof/>
              <w:kern w:val="2"/>
              <w:sz w:val="24"/>
              <w:szCs w:val="24"/>
              <w:lang w:eastAsia="en-GB"/>
              <w14:ligatures w14:val="standardContextual"/>
            </w:rPr>
          </w:pPr>
          <w:hyperlink w:anchor="_Toc181189779" w:history="1">
            <w:r w:rsidRPr="00880A09">
              <w:rPr>
                <w:rStyle w:val="Hyperlink"/>
                <w:noProof/>
              </w:rPr>
              <w:t>Reference</w:t>
            </w:r>
            <w:r w:rsidRPr="00880A09">
              <w:rPr>
                <w:noProof/>
                <w:webHidden/>
              </w:rPr>
              <w:tab/>
            </w:r>
            <w:r w:rsidRPr="00880A09">
              <w:rPr>
                <w:noProof/>
                <w:webHidden/>
              </w:rPr>
              <w:fldChar w:fldCharType="begin"/>
            </w:r>
            <w:r w:rsidRPr="00880A09">
              <w:rPr>
                <w:noProof/>
                <w:webHidden/>
              </w:rPr>
              <w:instrText xml:space="preserve"> PAGEREF _Toc181189779 \h </w:instrText>
            </w:r>
            <w:r w:rsidRPr="00880A09">
              <w:rPr>
                <w:noProof/>
                <w:webHidden/>
              </w:rPr>
            </w:r>
            <w:r w:rsidRPr="00880A09">
              <w:rPr>
                <w:noProof/>
                <w:webHidden/>
              </w:rPr>
              <w:fldChar w:fldCharType="separate"/>
            </w:r>
            <w:r w:rsidR="002E19E5">
              <w:rPr>
                <w:noProof/>
                <w:webHidden/>
              </w:rPr>
              <w:t>11</w:t>
            </w:r>
            <w:r w:rsidRPr="00880A09">
              <w:rPr>
                <w:noProof/>
                <w:webHidden/>
              </w:rPr>
              <w:fldChar w:fldCharType="end"/>
            </w:r>
          </w:hyperlink>
        </w:p>
        <w:p w14:paraId="07DF14C8" w14:textId="6A5D5801"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b/>
              <w:bCs/>
              <w:noProof/>
              <w:sz w:val="24"/>
              <w:szCs w:val="24"/>
            </w:rPr>
            <w:fldChar w:fldCharType="end"/>
          </w:r>
        </w:p>
      </w:sdtContent>
    </w:sdt>
    <w:p w14:paraId="142CDE61" w14:textId="77777777" w:rsidR="009E621D" w:rsidRPr="00880A09" w:rsidRDefault="009E621D" w:rsidP="009E621D">
      <w:pPr>
        <w:rPr>
          <w:rFonts w:asciiTheme="majorHAnsi" w:eastAsiaTheme="majorEastAsia" w:hAnsiTheme="majorHAnsi" w:cstheme="majorBidi"/>
          <w:b/>
          <w:bCs/>
          <w:color w:val="0F4761" w:themeColor="accent1" w:themeShade="BF"/>
          <w:sz w:val="28"/>
          <w:szCs w:val="28"/>
        </w:rPr>
      </w:pPr>
      <w:r w:rsidRPr="00880A09">
        <w:br w:type="page"/>
      </w:r>
    </w:p>
    <w:p w14:paraId="185BD8AD" w14:textId="77777777" w:rsidR="009E621D" w:rsidRPr="00880A09" w:rsidRDefault="009E621D" w:rsidP="009E621D">
      <w:pPr>
        <w:pStyle w:val="Heading1"/>
      </w:pPr>
      <w:bookmarkStart w:id="1" w:name="_Toc181189772"/>
      <w:r w:rsidRPr="00880A09">
        <w:lastRenderedPageBreak/>
        <w:t>Introduction</w:t>
      </w:r>
      <w:bookmarkEnd w:id="1"/>
    </w:p>
    <w:p w14:paraId="1694297C" w14:textId="3AE36114" w:rsidR="009E621D" w:rsidRPr="00880A09" w:rsidRDefault="009E621D" w:rsidP="009E621D">
      <w:pPr>
        <w:spacing w:line="360" w:lineRule="auto"/>
        <w:jc w:val="both"/>
        <w:rPr>
          <w:rFonts w:ascii="Times New Roman" w:hAnsi="Times New Roman" w:cs="Times New Roman"/>
          <w:sz w:val="24"/>
          <w:szCs w:val="24"/>
        </w:rPr>
      </w:pPr>
      <w:r w:rsidRPr="00385B7E">
        <w:rPr>
          <w:rFonts w:ascii="Times New Roman" w:hAnsi="Times New Roman" w:cs="Times New Roman"/>
          <w:sz w:val="24"/>
          <w:szCs w:val="24"/>
        </w:rPr>
        <w:t>Over the three preceding the current year, the City Hotel’s and Customer Satisfaction have reduced sharply.</w:t>
      </w:r>
      <w:r w:rsidRPr="00880A09">
        <w:rPr>
          <w:rFonts w:ascii="Times New Roman" w:hAnsi="Times New Roman" w:cs="Times New Roman"/>
          <w:sz w:val="24"/>
          <w:szCs w:val="24"/>
        </w:rPr>
        <w:t xml:space="preserve"> As this report reveals, hotel has a number of problems related to its financial management, primarily in the sphere of cost and revenues</w:t>
      </w:r>
      <w:r w:rsidRPr="00385B7E">
        <w:rPr>
          <w:rFonts w:ascii="Times New Roman" w:hAnsi="Times New Roman" w:cs="Times New Roman"/>
          <w:sz w:val="24"/>
          <w:szCs w:val="24"/>
        </w:rPr>
        <w:t xml:space="preserve">. </w:t>
      </w:r>
      <w:r w:rsidR="00BF79A9" w:rsidRPr="00385B7E">
        <w:rPr>
          <w:rFonts w:ascii="Times New Roman" w:hAnsi="Times New Roman" w:cs="Times New Roman"/>
          <w:sz w:val="24"/>
          <w:szCs w:val="24"/>
        </w:rPr>
        <w:t xml:space="preserve">The retrenchment strategy used to rebuild and strengthen the current financial position of the City Hotel entails cost reductions and revenue increases. These activities include programme that </w:t>
      </w:r>
      <w:r w:rsidR="002E19E5" w:rsidRPr="00385B7E">
        <w:rPr>
          <w:rFonts w:ascii="Times New Roman" w:hAnsi="Times New Roman" w:cs="Times New Roman"/>
          <w:sz w:val="24"/>
          <w:szCs w:val="24"/>
        </w:rPr>
        <w:t>centres</w:t>
      </w:r>
      <w:r w:rsidR="00BF79A9" w:rsidRPr="00385B7E">
        <w:rPr>
          <w:rFonts w:ascii="Times New Roman" w:hAnsi="Times New Roman" w:cs="Times New Roman"/>
          <w:sz w:val="24"/>
          <w:szCs w:val="24"/>
        </w:rPr>
        <w:t xml:space="preserve"> on such strategies as competitive pricing strategy and optimal utilise of resources that are normally left idle through appropriate advertisements over the internet. </w:t>
      </w:r>
      <w:r w:rsidRPr="00880A09">
        <w:rPr>
          <w:rFonts w:ascii="Times New Roman" w:hAnsi="Times New Roman" w:cs="Times New Roman"/>
          <w:sz w:val="24"/>
          <w:szCs w:val="24"/>
        </w:rPr>
        <w:t>In case of inefficiency of these approaches, there are other ones, like asset sales and rebranding, available. It is to improve the hotel’s financial performance and achieve its sustainable future sustainability.</w:t>
      </w:r>
    </w:p>
    <w:p w14:paraId="4D083C35" w14:textId="77777777" w:rsidR="009E621D" w:rsidRPr="00880A09" w:rsidRDefault="009E621D" w:rsidP="009E621D">
      <w:pPr>
        <w:pStyle w:val="Heading1"/>
      </w:pPr>
      <w:bookmarkStart w:id="2" w:name="_Toc181189773"/>
      <w:r w:rsidRPr="00880A09">
        <w:t>Financial Analysis</w:t>
      </w:r>
      <w:bookmarkEnd w:id="2"/>
    </w:p>
    <w:p w14:paraId="4FFAA601" w14:textId="28C5F211" w:rsidR="009E621D" w:rsidRPr="00880A09" w:rsidRDefault="006B7C1B"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T</w:t>
      </w:r>
      <w:r w:rsidR="009E621D" w:rsidRPr="00880A09">
        <w:rPr>
          <w:rFonts w:ascii="Times New Roman" w:hAnsi="Times New Roman" w:cs="Times New Roman"/>
          <w:sz w:val="24"/>
          <w:szCs w:val="24"/>
        </w:rPr>
        <w:t>he City Hotel performance has worsened throughout the past three years through decrease of revenue, increase of expenses, loss of liquidity and solvency. This evaluation focuses on five key areas: Revenues, expenditures, profitability, liquidity and solvency are among the most popular financial ratios.</w:t>
      </w:r>
    </w:p>
    <w:p w14:paraId="5DBF4BA7" w14:textId="77777777"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1. Revenue Trends</w:t>
      </w:r>
    </w:p>
    <w:p w14:paraId="0EC636F6" w14:textId="6B4CB4F3"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 xml:space="preserve">As it will be seen from the forthcoming analyses, from 2021 through 2023, The City Hotel recorded decreased revenues. The actual overall income received by the hotel was £5,248,290 as of the year ending December 2021 and a small addition of £5,307,480 as of December 2022. Nonetheless, for the fiscal year ending December 31, 2023, the revenue was at £2,325,440, this was a decline of about 56%. This sharp </w:t>
      </w:r>
      <w:r w:rsidRPr="00385B7E">
        <w:rPr>
          <w:rFonts w:ascii="Times New Roman" w:hAnsi="Times New Roman" w:cs="Times New Roman"/>
          <w:sz w:val="24"/>
          <w:szCs w:val="24"/>
        </w:rPr>
        <w:t xml:space="preserve">decline </w:t>
      </w:r>
      <w:r w:rsidR="00593A50" w:rsidRPr="00385B7E">
        <w:rPr>
          <w:rFonts w:ascii="Times New Roman" w:hAnsi="Times New Roman" w:cs="Times New Roman"/>
          <w:sz w:val="24"/>
          <w:szCs w:val="24"/>
        </w:rPr>
        <w:t>could be</w:t>
      </w:r>
      <w:r w:rsidRPr="00385B7E">
        <w:rPr>
          <w:rFonts w:ascii="Times New Roman" w:hAnsi="Times New Roman" w:cs="Times New Roman"/>
          <w:sz w:val="24"/>
          <w:szCs w:val="24"/>
        </w:rPr>
        <w:t xml:space="preserve"> attributed</w:t>
      </w:r>
      <w:r w:rsidRPr="00880A09">
        <w:rPr>
          <w:rFonts w:ascii="Times New Roman" w:hAnsi="Times New Roman" w:cs="Times New Roman"/>
          <w:sz w:val="24"/>
          <w:szCs w:val="24"/>
        </w:rPr>
        <w:t xml:space="preserve"> by external reasons such as; post pandemic market constraints, changes in customers’ behaviour, and reduced travelling for business and tourisms. Inability to respond to these changes especially via proper marketing or proper pricing models has greatly affected the hotel’s top line.</w:t>
      </w:r>
    </w:p>
    <w:p w14:paraId="6537476B" w14:textId="77777777"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2. Expense Trends</w:t>
      </w:r>
    </w:p>
    <w:p w14:paraId="14BBBBBA"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Important findings of the study included the fact that operating costs continued to rise at the City Hotel even as revenues declined, a clear sign of inefficiency.</w:t>
      </w:r>
    </w:p>
    <w:p w14:paraId="3F5220E5" w14:textId="7DBE5DEF" w:rsidR="00593A50" w:rsidRPr="00880A09" w:rsidRDefault="009E621D" w:rsidP="009E621D">
      <w:pPr>
        <w:numPr>
          <w:ilvl w:val="0"/>
          <w:numId w:val="6"/>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Cost of Goods Sold (COGS):</w:t>
      </w:r>
      <w:r w:rsidRPr="00880A09">
        <w:rPr>
          <w:rFonts w:ascii="Times New Roman" w:hAnsi="Times New Roman" w:cs="Times New Roman"/>
          <w:sz w:val="24"/>
          <w:szCs w:val="24"/>
        </w:rPr>
        <w:t xml:space="preserve"> </w:t>
      </w:r>
      <w:r w:rsidR="00BF79A9" w:rsidRPr="00385B7E">
        <w:rPr>
          <w:rFonts w:ascii="Times New Roman" w:hAnsi="Times New Roman" w:cs="Times New Roman"/>
          <w:sz w:val="24"/>
          <w:szCs w:val="24"/>
        </w:rPr>
        <w:t xml:space="preserve">Despite the fact that the COGS reduced by £411,600 in 2021 to £176,250 in 2023, a depreciated of about £57%, this was not enough to cover </w:t>
      </w:r>
      <w:r w:rsidR="00BF79A9" w:rsidRPr="00385B7E">
        <w:rPr>
          <w:rFonts w:ascii="Times New Roman" w:hAnsi="Times New Roman" w:cs="Times New Roman"/>
          <w:sz w:val="24"/>
          <w:szCs w:val="24"/>
        </w:rPr>
        <w:lastRenderedPageBreak/>
        <w:t>the sharply declined revenue from £5,248,290 in 2021 to £2,325,440 in 2023, a depreciated of about £56%. Greater cost of goods sold cuts mean that while the cuts to the COGS were proportional to the capacity of sales decline to impact on the profitability, greater and more progressive approaches to cost control were needed.</w:t>
      </w:r>
    </w:p>
    <w:p w14:paraId="62A8A853" w14:textId="4CC4B66D" w:rsidR="009E621D" w:rsidRPr="00880A09" w:rsidRDefault="009E621D" w:rsidP="009E621D">
      <w:pPr>
        <w:numPr>
          <w:ilvl w:val="0"/>
          <w:numId w:val="6"/>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Employee Costs:</w:t>
      </w:r>
      <w:r w:rsidRPr="00880A09">
        <w:rPr>
          <w:rFonts w:ascii="Times New Roman" w:hAnsi="Times New Roman" w:cs="Times New Roman"/>
          <w:sz w:val="24"/>
          <w:szCs w:val="24"/>
        </w:rPr>
        <w:t xml:space="preserve"> Employee costs, a major component of overall expenses, decreased from £1,724,760 in 2021 to £1,233,160 in 2023. While this represents a 28.5% reduction, it is still disproportionate to the 56% drop in revenue, indicating poor workforce management and an inability to effectively cut labour costs.</w:t>
      </w:r>
    </w:p>
    <w:p w14:paraId="7B4E6612" w14:textId="77777777" w:rsidR="009E621D" w:rsidRPr="00880A09" w:rsidRDefault="009E621D" w:rsidP="009E621D">
      <w:pPr>
        <w:numPr>
          <w:ilvl w:val="0"/>
          <w:numId w:val="6"/>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External Expenses:</w:t>
      </w:r>
      <w:r w:rsidRPr="00880A09">
        <w:rPr>
          <w:rFonts w:ascii="Times New Roman" w:hAnsi="Times New Roman" w:cs="Times New Roman"/>
          <w:sz w:val="24"/>
          <w:szCs w:val="24"/>
        </w:rPr>
        <w:t xml:space="preserve"> These expenses, which include maintenance, utilities, and other operating costs, decreased from £1,894,720 in 2021 to £1,071,030 in 2023. Though there was a reduction, these costs remain too high in relation to the hotel’s diminished revenue.</w:t>
      </w:r>
    </w:p>
    <w:p w14:paraId="09AEB7C1" w14:textId="77777777"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3. Profitability Trends</w:t>
      </w:r>
    </w:p>
    <w:p w14:paraId="0ECC1A4B"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The City Hotel’s profitability has steadily worsened over the past three years:</w:t>
      </w:r>
    </w:p>
    <w:p w14:paraId="4719650B" w14:textId="77777777" w:rsidR="009E621D" w:rsidRPr="00880A09" w:rsidRDefault="009E621D" w:rsidP="009E621D">
      <w:pPr>
        <w:numPr>
          <w:ilvl w:val="0"/>
          <w:numId w:val="7"/>
        </w:num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In 2021, the hotel recorded an operating income of £664,160, which remained relatively stable at £674,730 in 2022. Nonetheless by the end of the year 2023, the operating loss of the hotel was recorded as £1,218,850. This massive swing in the profitability is speaks volumes about hotels capacity or lack of it to change its cost structure as revenues decline.</w:t>
      </w:r>
    </w:p>
    <w:p w14:paraId="58B4DE98" w14:textId="6B39C049" w:rsidR="00593A50" w:rsidRPr="00880A09" w:rsidRDefault="009E621D" w:rsidP="009E621D">
      <w:pPr>
        <w:numPr>
          <w:ilvl w:val="0"/>
          <w:numId w:val="7"/>
        </w:num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Operating Margin:</w:t>
      </w:r>
      <w:r w:rsidRPr="00880A09">
        <w:rPr>
          <w:rFonts w:ascii="Times New Roman" w:hAnsi="Times New Roman" w:cs="Times New Roman"/>
          <w:sz w:val="24"/>
          <w:szCs w:val="24"/>
        </w:rPr>
        <w:t xml:space="preserve"> The operating margin of the hotel in 2021 was at 12.6% which was all wiped out by 2023 leading to a very large operating loss. This key shift reveals two important messages, one of which is that despite incurring high fixed costs the bulk of which are for employees and external products and services, its overall revenue plummeted</w:t>
      </w:r>
      <w:r w:rsidR="00593A50" w:rsidRPr="00880A09">
        <w:rPr>
          <w:rFonts w:ascii="Times New Roman" w:hAnsi="Times New Roman" w:cs="Times New Roman"/>
          <w:sz w:val="24"/>
          <w:szCs w:val="24"/>
        </w:rPr>
        <w:t>.</w:t>
      </w:r>
    </w:p>
    <w:p w14:paraId="063377BE" w14:textId="2DCC4AF5" w:rsidR="009E621D" w:rsidRPr="00880A09" w:rsidRDefault="009E621D" w:rsidP="00593A50">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4. Liquidity Trends</w:t>
      </w:r>
    </w:p>
    <w:p w14:paraId="7F85677F"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The hotel’s liquidity has also deteriorated over the past three years:</w:t>
      </w:r>
    </w:p>
    <w:p w14:paraId="3BE06B2C" w14:textId="77777777" w:rsidR="009E621D" w:rsidRPr="00880A09" w:rsidRDefault="009E621D" w:rsidP="009E621D">
      <w:pPr>
        <w:numPr>
          <w:ilvl w:val="0"/>
          <w:numId w:val="8"/>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Cash and Cash Equivalents:</w:t>
      </w:r>
      <w:r w:rsidRPr="00880A09">
        <w:rPr>
          <w:rFonts w:ascii="Times New Roman" w:hAnsi="Times New Roman" w:cs="Times New Roman"/>
          <w:sz w:val="24"/>
          <w:szCs w:val="24"/>
        </w:rPr>
        <w:t xml:space="preserve"> There was also the problem of reduced cash reserves of the hotel from £740,590 in 2021 to £295,510 in 2023.</w:t>
      </w:r>
    </w:p>
    <w:p w14:paraId="2B7C5086" w14:textId="77777777" w:rsidR="009E621D" w:rsidRPr="00880A09" w:rsidRDefault="009E621D" w:rsidP="009E621D">
      <w:pPr>
        <w:numPr>
          <w:ilvl w:val="0"/>
          <w:numId w:val="8"/>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lastRenderedPageBreak/>
        <w:t>Current Ratio:</w:t>
      </w:r>
      <w:r w:rsidRPr="00880A09">
        <w:rPr>
          <w:rFonts w:ascii="Times New Roman" w:hAnsi="Times New Roman" w:cs="Times New Roman"/>
          <w:sz w:val="24"/>
          <w:szCs w:val="24"/>
        </w:rPr>
        <w:t xml:space="preserve"> Comparing the current ratio with that of 2021 (being current of £1,891,970 against current liabilities of £1,957,360), it has reduced in 2023 to 0.64 (being current of £1,285,880 against current liabilities of £2,014,600. This shows that the hotel is incipiently insolvent and may experience short-term cash flow problems in the future.</w:t>
      </w:r>
    </w:p>
    <w:p w14:paraId="5B2A00D7" w14:textId="77777777"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5. Solvency Trends</w:t>
      </w:r>
    </w:p>
    <w:p w14:paraId="756F21FA"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The City Hotel’s solvency position has also weakened, with long-term debt increasing over the period:</w:t>
      </w:r>
    </w:p>
    <w:p w14:paraId="437766E9" w14:textId="77777777" w:rsidR="009E621D" w:rsidRPr="00880A09" w:rsidRDefault="009E621D" w:rsidP="009E621D">
      <w:pPr>
        <w:numPr>
          <w:ilvl w:val="0"/>
          <w:numId w:val="9"/>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Long-Term Borrowings:</w:t>
      </w:r>
      <w:r w:rsidRPr="00880A09">
        <w:rPr>
          <w:rFonts w:ascii="Times New Roman" w:hAnsi="Times New Roman" w:cs="Times New Roman"/>
          <w:sz w:val="24"/>
          <w:szCs w:val="24"/>
        </w:rPr>
        <w:t xml:space="preserve"> Consolidated long-term loans rose from £8,113,710 in 2021 to £8,290,570 in 2023. This persistent and increased borrowing coupled with the reduction in core operating profit reminds that the hotel is deeply in too dependent on borrowings which increase credit risk (</w:t>
      </w:r>
      <w:proofErr w:type="spellStart"/>
      <w:r w:rsidRPr="00880A09">
        <w:rPr>
          <w:rFonts w:ascii="Times New Roman" w:hAnsi="Times New Roman" w:cs="Times New Roman"/>
          <w:sz w:val="24"/>
          <w:szCs w:val="24"/>
        </w:rPr>
        <w:t>Syapikah</w:t>
      </w:r>
      <w:proofErr w:type="spellEnd"/>
      <w:r w:rsidRPr="00880A09">
        <w:rPr>
          <w:rFonts w:ascii="Times New Roman" w:hAnsi="Times New Roman" w:cs="Times New Roman"/>
          <w:sz w:val="24"/>
          <w:szCs w:val="24"/>
        </w:rPr>
        <w:t>, 2018, p. 177).</w:t>
      </w:r>
    </w:p>
    <w:p w14:paraId="56B3D27C" w14:textId="472DC9D3" w:rsidR="009E621D" w:rsidRPr="00880A09" w:rsidRDefault="009E621D" w:rsidP="009E621D">
      <w:pPr>
        <w:numPr>
          <w:ilvl w:val="0"/>
          <w:numId w:val="9"/>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Debt-to-Equity Ratio:</w:t>
      </w:r>
      <w:r w:rsidRPr="00880A09">
        <w:rPr>
          <w:rFonts w:ascii="Times New Roman" w:hAnsi="Times New Roman" w:cs="Times New Roman"/>
          <w:sz w:val="24"/>
          <w:szCs w:val="24"/>
        </w:rPr>
        <w:t xml:space="preserve"> The credit risk increased, characteri</w:t>
      </w:r>
      <w:r w:rsidR="002E19E5">
        <w:rPr>
          <w:rFonts w:ascii="Times New Roman" w:hAnsi="Times New Roman" w:cs="Times New Roman"/>
          <w:sz w:val="24"/>
          <w:szCs w:val="24"/>
        </w:rPr>
        <w:t>s</w:t>
      </w:r>
      <w:r w:rsidRPr="00880A09">
        <w:rPr>
          <w:rFonts w:ascii="Times New Roman" w:hAnsi="Times New Roman" w:cs="Times New Roman"/>
          <w:sz w:val="24"/>
          <w:szCs w:val="24"/>
        </w:rPr>
        <w:t xml:space="preserve">ed by </w:t>
      </w:r>
      <w:proofErr w:type="gramStart"/>
      <w:r w:rsidRPr="00880A09">
        <w:rPr>
          <w:rFonts w:ascii="Times New Roman" w:hAnsi="Times New Roman" w:cs="Times New Roman"/>
          <w:sz w:val="24"/>
          <w:szCs w:val="24"/>
        </w:rPr>
        <w:t>debt to equity</w:t>
      </w:r>
      <w:proofErr w:type="gramEnd"/>
      <w:r w:rsidRPr="00880A09">
        <w:rPr>
          <w:rFonts w:ascii="Times New Roman" w:hAnsi="Times New Roman" w:cs="Times New Roman"/>
          <w:sz w:val="24"/>
          <w:szCs w:val="24"/>
        </w:rPr>
        <w:t xml:space="preserve"> ratio at 4.74 in 2021 and increased to 10.67 in 2023. This marked rise demonstrates that the hotel has been relying on debt than equity and at the same time the equity base is declining. This fact put an issue with the hotel’s ability to service its debt in the long run on a positive note (Johnson et al., 2019, p. 2).</w:t>
      </w:r>
    </w:p>
    <w:p w14:paraId="4B9EB0B8"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Current financial analysis shows worsening of The City Hotel’s financial status in revenue, total costs, gross profit/loss, current assets, and non-current assets and liabilities during the last three years. The hotel needs highlighted include flexing a rigid cost structure, controlling costs of cash flows and seeking diversified sources of incomes for the hotel to regain financial stability.</w:t>
      </w:r>
    </w:p>
    <w:p w14:paraId="21EE5C3C" w14:textId="77777777" w:rsidR="009E621D" w:rsidRPr="00880A09" w:rsidRDefault="009E621D" w:rsidP="009E621D">
      <w:pPr>
        <w:pStyle w:val="Heading1"/>
      </w:pPr>
      <w:bookmarkStart w:id="3" w:name="_Toc181189774"/>
      <w:r w:rsidRPr="00880A09">
        <w:t>Key Reasons for the Decline</w:t>
      </w:r>
      <w:bookmarkEnd w:id="3"/>
    </w:p>
    <w:p w14:paraId="50553805"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Possible reasons cover internal factors of the City Hotel coupled with external economic constraints that have triggered the observed decrease in profit making capabilities.</w:t>
      </w:r>
    </w:p>
    <w:p w14:paraId="705309EE" w14:textId="77777777"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1. Post-Pandemic Impact</w:t>
      </w:r>
    </w:p>
    <w:p w14:paraId="3CB0E1CD" w14:textId="50AE18CE"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 xml:space="preserve">The hospitality sector was disrupted significantly by the COVID-19 pandemic: recovery is gradual. The shift in demand patterns which has emerged due to COVID 19 measures like reduced commercial travel and increasing importance of security and flexibility have shrunk </w:t>
      </w:r>
      <w:r w:rsidRPr="00880A09">
        <w:rPr>
          <w:rFonts w:ascii="Times New Roman" w:hAnsi="Times New Roman" w:cs="Times New Roman"/>
          <w:sz w:val="24"/>
          <w:szCs w:val="24"/>
        </w:rPr>
        <w:lastRenderedPageBreak/>
        <w:t>the hotel turnover</w:t>
      </w:r>
      <w:r w:rsidR="00EB720E" w:rsidRPr="00880A09">
        <w:rPr>
          <w:rFonts w:ascii="Times New Roman" w:hAnsi="Times New Roman" w:cs="Times New Roman"/>
          <w:sz w:val="24"/>
          <w:szCs w:val="24"/>
        </w:rPr>
        <w:t xml:space="preserve"> </w:t>
      </w:r>
      <w:r w:rsidR="00EB720E" w:rsidRPr="00385B7E">
        <w:rPr>
          <w:rFonts w:ascii="Times New Roman" w:hAnsi="Times New Roman" w:cs="Times New Roman"/>
          <w:sz w:val="24"/>
          <w:szCs w:val="24"/>
        </w:rPr>
        <w:t xml:space="preserve">(Abbas et al 2021, p. </w:t>
      </w:r>
      <w:r w:rsidR="00360649" w:rsidRPr="00385B7E">
        <w:rPr>
          <w:rFonts w:ascii="Times New Roman" w:hAnsi="Times New Roman" w:cs="Times New Roman"/>
          <w:sz w:val="24"/>
          <w:szCs w:val="24"/>
        </w:rPr>
        <w:t>7)</w:t>
      </w:r>
      <w:r w:rsidRPr="00385B7E">
        <w:rPr>
          <w:rFonts w:ascii="Times New Roman" w:hAnsi="Times New Roman" w:cs="Times New Roman"/>
          <w:sz w:val="24"/>
          <w:szCs w:val="24"/>
        </w:rPr>
        <w:t>.</w:t>
      </w:r>
      <w:r w:rsidRPr="00880A09">
        <w:rPr>
          <w:rFonts w:ascii="Times New Roman" w:hAnsi="Times New Roman" w:cs="Times New Roman"/>
          <w:sz w:val="24"/>
          <w:szCs w:val="24"/>
        </w:rPr>
        <w:t xml:space="preserve"> The opposite might be the case where The City Hotel probably could not manage the changes and did not apply safety measures or option of flexible reservations that would attract more consumers.</w:t>
      </w:r>
    </w:p>
    <w:p w14:paraId="68D35681" w14:textId="77777777"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2. Inflation and Rising Costs</w:t>
      </w:r>
    </w:p>
    <w:p w14:paraId="0EAA7553" w14:textId="7DCCA218"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 xml:space="preserve">The global inflation has affected the costs of operations; including foods, utilities, and supplies. As the price structure of City Hotel reflects, the company has not managed to decrease its cost structure in the same proportion to the fall in its revenues. </w:t>
      </w:r>
      <w:r w:rsidR="00BF79A9" w:rsidRPr="00385B7E">
        <w:rPr>
          <w:rFonts w:ascii="Times New Roman" w:hAnsi="Times New Roman" w:cs="Times New Roman"/>
          <w:sz w:val="24"/>
          <w:szCs w:val="24"/>
        </w:rPr>
        <w:t xml:space="preserve">Among all the main costs, one of the major and still increasing costs was employee costs when revenue shrank dramatically. From £1,724,760 in 2021 to £1,233,160 in 2023, the costs for employees reduced to 28.5 per cent. However, this reduction was not equivalent to the £5,248,290 revenue in 2021, which plunged to £2,325,440 in 2023, a 56% dip. This issue points to the rigid cost control since the increasing, labour costs claimed a greater portion of declining revenues deepening operational loses of the hotel (Basu, 2023, p. 238). Workforce restructuring or efficiency measures are then vital for redressing this imbalance in order to improve the financial health. </w:t>
      </w:r>
    </w:p>
    <w:p w14:paraId="3C639831" w14:textId="77777777"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3. Rigid Cost Structure</w:t>
      </w:r>
    </w:p>
    <w:p w14:paraId="53D25BA1"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The cost behaviour of the hotel also appears to be somewhat fixed particularly in the labour cost. This value has proven that employee cost inefficiency was uncontrolled as revenue fell by over 50% while the costs only declined by about 28%. In exactly the same manner, external expenses failed to decline as needed with the rest of the activity, escalating the gap between income and costs.</w:t>
      </w:r>
    </w:p>
    <w:p w14:paraId="4812026F" w14:textId="77777777"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4. Increased Debt Burden</w:t>
      </w:r>
    </w:p>
    <w:p w14:paraId="75F43915" w14:textId="0EE3D0D0"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 xml:space="preserve">The City Hotel has had longer term borrowings and a lease debt to fill the operational gaps and this exposes the hotel to more financial risks. Satisfying this debt has remained as a cost to the hotel profitability especially in the current higher interest rate regime (Legrand </w:t>
      </w:r>
      <w:r w:rsidR="00593A50" w:rsidRPr="00880A09">
        <w:rPr>
          <w:rFonts w:ascii="Times New Roman" w:hAnsi="Times New Roman" w:cs="Times New Roman"/>
          <w:sz w:val="24"/>
          <w:szCs w:val="24"/>
        </w:rPr>
        <w:t>et al</w:t>
      </w:r>
      <w:r w:rsidRPr="00880A09">
        <w:rPr>
          <w:rFonts w:ascii="Times New Roman" w:hAnsi="Times New Roman" w:cs="Times New Roman"/>
          <w:sz w:val="24"/>
          <w:szCs w:val="24"/>
        </w:rPr>
        <w:t xml:space="preserve"> 2022, p. 211). Debt uses limit hotel financial flexibility and hence its usage was on the rise.</w:t>
      </w:r>
    </w:p>
    <w:p w14:paraId="353ED5E3" w14:textId="77777777"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5. Ineffective Revenue Management</w:t>
      </w:r>
    </w:p>
    <w:p w14:paraId="46A037A9" w14:textId="4038BD76"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 xml:space="preserve">Other problems related to corporate failures of dynamic pricing strategies and failure to diversification of revenue base added to the eroding of profitability. </w:t>
      </w:r>
      <w:r w:rsidRPr="00385B7E">
        <w:rPr>
          <w:rFonts w:ascii="Times New Roman" w:hAnsi="Times New Roman" w:cs="Times New Roman"/>
          <w:sz w:val="24"/>
          <w:szCs w:val="24"/>
        </w:rPr>
        <w:t>The hotel failed to notice that they can penetrate to other market segments, or catch up to new trends in travel that should be helpful in filling up hotels once the world emerges victorious over COVID19</w:t>
      </w:r>
      <w:r w:rsidR="00360649" w:rsidRPr="00385B7E">
        <w:rPr>
          <w:rFonts w:ascii="Times New Roman" w:hAnsi="Times New Roman" w:cs="Times New Roman"/>
          <w:sz w:val="24"/>
          <w:szCs w:val="24"/>
        </w:rPr>
        <w:t xml:space="preserve"> (GBCC, </w:t>
      </w:r>
      <w:r w:rsidR="00360649" w:rsidRPr="00385B7E">
        <w:rPr>
          <w:rFonts w:ascii="Times New Roman" w:hAnsi="Times New Roman" w:cs="Times New Roman"/>
          <w:sz w:val="24"/>
          <w:szCs w:val="24"/>
        </w:rPr>
        <w:lastRenderedPageBreak/>
        <w:t>2023)</w:t>
      </w:r>
      <w:r w:rsidRPr="00385B7E">
        <w:rPr>
          <w:rFonts w:ascii="Times New Roman" w:hAnsi="Times New Roman" w:cs="Times New Roman"/>
          <w:sz w:val="24"/>
          <w:szCs w:val="24"/>
        </w:rPr>
        <w:t>. H</w:t>
      </w:r>
      <w:r w:rsidRPr="00880A09">
        <w:rPr>
          <w:rFonts w:ascii="Times New Roman" w:hAnsi="Times New Roman" w:cs="Times New Roman"/>
          <w:sz w:val="24"/>
          <w:szCs w:val="24"/>
        </w:rPr>
        <w:t>ence the presence of external pressures such as inflation rate and changing consumer behaviour post Covid-19 pandemic, lack of adequate control over costs, locus of control and absence of diversification of revenues streams has resulted to reduced profitability of The City Hotel. Therefore to eliminate such trends hotel should come up with the following strategies; cost control and revenue generation activities.</w:t>
      </w:r>
    </w:p>
    <w:p w14:paraId="0B843234" w14:textId="77777777" w:rsidR="009E621D" w:rsidRPr="00880A09" w:rsidRDefault="009E621D" w:rsidP="009E621D">
      <w:pPr>
        <w:pStyle w:val="Heading1"/>
      </w:pPr>
      <w:bookmarkStart w:id="4" w:name="_Toc181189775"/>
      <w:r w:rsidRPr="00880A09">
        <w:t>Proposed Turnaround Strategy</w:t>
      </w:r>
      <w:bookmarkEnd w:id="4"/>
    </w:p>
    <w:p w14:paraId="6986A644"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The application of a thorough turnaround strategy is needed to remediate the company’s financial and image related issues and that is why the following processes: cost control, revenue increase, and operations improvement play a critical role for The City Hotel.</w:t>
      </w:r>
    </w:p>
    <w:p w14:paraId="6DA57370" w14:textId="77777777"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1. Cost Reduction Measures</w:t>
      </w:r>
    </w:p>
    <w:p w14:paraId="7F4A8FBD" w14:textId="3B9FFA3F" w:rsidR="009E621D" w:rsidRPr="00880A09" w:rsidRDefault="009E621D" w:rsidP="009E621D">
      <w:pPr>
        <w:numPr>
          <w:ilvl w:val="0"/>
          <w:numId w:val="3"/>
        </w:numPr>
        <w:spacing w:line="360" w:lineRule="auto"/>
        <w:jc w:val="both"/>
        <w:rPr>
          <w:rFonts w:ascii="Times New Roman" w:hAnsi="Times New Roman" w:cs="Times New Roman"/>
          <w:sz w:val="24"/>
          <w:szCs w:val="24"/>
        </w:rPr>
      </w:pPr>
      <w:r w:rsidRPr="00385B7E">
        <w:rPr>
          <w:rFonts w:ascii="Times New Roman" w:hAnsi="Times New Roman" w:cs="Times New Roman"/>
          <w:b/>
          <w:bCs/>
          <w:sz w:val="24"/>
          <w:szCs w:val="24"/>
        </w:rPr>
        <w:t>Workforce Optimi</w:t>
      </w:r>
      <w:r w:rsidR="00593A50" w:rsidRPr="00385B7E">
        <w:rPr>
          <w:rFonts w:ascii="Times New Roman" w:hAnsi="Times New Roman" w:cs="Times New Roman"/>
          <w:b/>
          <w:bCs/>
          <w:sz w:val="24"/>
          <w:szCs w:val="24"/>
        </w:rPr>
        <w:t>s</w:t>
      </w:r>
      <w:r w:rsidRPr="00385B7E">
        <w:rPr>
          <w:rFonts w:ascii="Times New Roman" w:hAnsi="Times New Roman" w:cs="Times New Roman"/>
          <w:b/>
          <w:bCs/>
          <w:sz w:val="24"/>
          <w:szCs w:val="24"/>
        </w:rPr>
        <w:t>ation:</w:t>
      </w:r>
      <w:r w:rsidRPr="00880A09">
        <w:rPr>
          <w:rFonts w:ascii="Times New Roman" w:hAnsi="Times New Roman" w:cs="Times New Roman"/>
          <w:sz w:val="24"/>
          <w:szCs w:val="24"/>
        </w:rPr>
        <w:t xml:space="preserve">  Let staff members reduce their hours </w:t>
      </w:r>
      <w:proofErr w:type="gramStart"/>
      <w:r w:rsidRPr="00880A09">
        <w:rPr>
          <w:rFonts w:ascii="Times New Roman" w:hAnsi="Times New Roman" w:cs="Times New Roman"/>
          <w:sz w:val="24"/>
          <w:szCs w:val="24"/>
        </w:rPr>
        <w:t>in order to</w:t>
      </w:r>
      <w:proofErr w:type="gramEnd"/>
      <w:r w:rsidRPr="00880A09">
        <w:rPr>
          <w:rFonts w:ascii="Times New Roman" w:hAnsi="Times New Roman" w:cs="Times New Roman"/>
          <w:sz w:val="24"/>
          <w:szCs w:val="24"/>
        </w:rPr>
        <w:t xml:space="preserve"> minimi</w:t>
      </w:r>
      <w:r w:rsidR="002E19E5">
        <w:rPr>
          <w:rFonts w:ascii="Times New Roman" w:hAnsi="Times New Roman" w:cs="Times New Roman"/>
          <w:sz w:val="24"/>
          <w:szCs w:val="24"/>
        </w:rPr>
        <w:t>s</w:t>
      </w:r>
      <w:r w:rsidRPr="00880A09">
        <w:rPr>
          <w:rFonts w:ascii="Times New Roman" w:hAnsi="Times New Roman" w:cs="Times New Roman"/>
          <w:sz w:val="24"/>
          <w:szCs w:val="24"/>
        </w:rPr>
        <w:t>e fixed expenses in regard to the number of employees. Forcing expenses (i.e., expenses unrelated to a company’s core business) can be reduced through outsourcing services such as housekeeping or maintenance services (</w:t>
      </w:r>
      <w:proofErr w:type="spellStart"/>
      <w:r w:rsidRPr="00880A09">
        <w:rPr>
          <w:rFonts w:ascii="Times New Roman" w:hAnsi="Times New Roman" w:cs="Times New Roman"/>
          <w:sz w:val="24"/>
          <w:szCs w:val="24"/>
        </w:rPr>
        <w:t>Belanche</w:t>
      </w:r>
      <w:proofErr w:type="spellEnd"/>
      <w:r w:rsidRPr="00880A09">
        <w:rPr>
          <w:rFonts w:ascii="Times New Roman" w:hAnsi="Times New Roman" w:cs="Times New Roman"/>
          <w:sz w:val="24"/>
          <w:szCs w:val="24"/>
        </w:rPr>
        <w:t xml:space="preserve"> et al., 2021, p. 479).</w:t>
      </w:r>
    </w:p>
    <w:p w14:paraId="6A792FD5" w14:textId="77777777" w:rsidR="009E621D" w:rsidRPr="00880A09" w:rsidRDefault="009E621D" w:rsidP="009E621D">
      <w:pPr>
        <w:numPr>
          <w:ilvl w:val="0"/>
          <w:numId w:val="3"/>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Negotiation of Fixed Costs:</w:t>
      </w:r>
      <w:r w:rsidRPr="00880A09">
        <w:rPr>
          <w:rFonts w:ascii="Times New Roman" w:hAnsi="Times New Roman" w:cs="Times New Roman"/>
          <w:sz w:val="24"/>
          <w:szCs w:val="24"/>
        </w:rPr>
        <w:t xml:space="preserve"> Lower the volume of business means less revenue and, as a result, it is high time to negotiate the favourable Conditions with the suppliers, service providers and landlords. This can also aid in avoiding many outside costs As mentioned above they might have many outside expenses.</w:t>
      </w:r>
    </w:p>
    <w:p w14:paraId="7F97CC3F" w14:textId="743B3310" w:rsidR="00BF79A9" w:rsidRPr="00BF79A9" w:rsidRDefault="009E621D" w:rsidP="009E621D">
      <w:pPr>
        <w:numPr>
          <w:ilvl w:val="0"/>
          <w:numId w:val="3"/>
        </w:numPr>
        <w:spacing w:line="360" w:lineRule="auto"/>
        <w:jc w:val="both"/>
        <w:rPr>
          <w:rFonts w:ascii="Times New Roman" w:hAnsi="Times New Roman" w:cs="Times New Roman"/>
          <w:b/>
          <w:bCs/>
          <w:sz w:val="24"/>
          <w:szCs w:val="24"/>
        </w:rPr>
      </w:pPr>
      <w:r w:rsidRPr="00BF79A9">
        <w:rPr>
          <w:rFonts w:ascii="Times New Roman" w:hAnsi="Times New Roman" w:cs="Times New Roman"/>
          <w:b/>
          <w:bCs/>
          <w:sz w:val="24"/>
          <w:szCs w:val="24"/>
        </w:rPr>
        <w:t>Energy Efficiency:</w:t>
      </w:r>
      <w:r w:rsidR="00593A50" w:rsidRPr="00BF79A9">
        <w:rPr>
          <w:rFonts w:ascii="Times New Roman" w:hAnsi="Times New Roman" w:cs="Times New Roman"/>
          <w:b/>
          <w:bCs/>
          <w:sz w:val="24"/>
          <w:szCs w:val="24"/>
        </w:rPr>
        <w:t xml:space="preserve"> </w:t>
      </w:r>
      <w:r w:rsidR="00BF79A9" w:rsidRPr="00385B7E">
        <w:rPr>
          <w:rFonts w:ascii="Times New Roman" w:hAnsi="Times New Roman" w:cs="Times New Roman"/>
          <w:sz w:val="24"/>
          <w:szCs w:val="24"/>
        </w:rPr>
        <w:t>The optimi</w:t>
      </w:r>
      <w:r w:rsidR="002E19E5" w:rsidRPr="00385B7E">
        <w:rPr>
          <w:rFonts w:ascii="Times New Roman" w:hAnsi="Times New Roman" w:cs="Times New Roman"/>
          <w:sz w:val="24"/>
          <w:szCs w:val="24"/>
        </w:rPr>
        <w:t>s</w:t>
      </w:r>
      <w:r w:rsidR="00BF79A9" w:rsidRPr="00385B7E">
        <w:rPr>
          <w:rFonts w:ascii="Times New Roman" w:hAnsi="Times New Roman" w:cs="Times New Roman"/>
          <w:sz w:val="24"/>
          <w:szCs w:val="24"/>
        </w:rPr>
        <w:t>ation of the utility costs can also be achieved by integrating energy saving considerations like smart lighting, HVAC control and energy management applications (Legrand et al., 2022, p. 133). Besides the financial benefits, these programs fit under sustainable measures, which are more relevant in the current society. Investing on energy efficiency as a way of implementing the hotel’s CSR strategy has benefits since consumers are preference green products from firms that are conscious about environment. Except for the increase of the operational efficiency, the implementation of these measures also adds to the hotel’s brand personality as pro-social, innovative organi</w:t>
      </w:r>
      <w:r w:rsidR="002E19E5" w:rsidRPr="00385B7E">
        <w:rPr>
          <w:rFonts w:ascii="Times New Roman" w:hAnsi="Times New Roman" w:cs="Times New Roman"/>
          <w:sz w:val="24"/>
          <w:szCs w:val="24"/>
        </w:rPr>
        <w:t>s</w:t>
      </w:r>
      <w:r w:rsidR="00BF79A9" w:rsidRPr="00385B7E">
        <w:rPr>
          <w:rFonts w:ascii="Times New Roman" w:hAnsi="Times New Roman" w:cs="Times New Roman"/>
          <w:sz w:val="24"/>
          <w:szCs w:val="24"/>
        </w:rPr>
        <w:t xml:space="preserve">ation ready to meet the needs of the distinctive market segment of environmentally conscious travellers. </w:t>
      </w:r>
    </w:p>
    <w:p w14:paraId="43A8D469" w14:textId="7D8395DA" w:rsidR="009E621D" w:rsidRPr="00BF79A9" w:rsidRDefault="009E621D" w:rsidP="00BF79A9">
      <w:pPr>
        <w:spacing w:line="360" w:lineRule="auto"/>
        <w:jc w:val="both"/>
        <w:rPr>
          <w:rFonts w:ascii="Times New Roman" w:hAnsi="Times New Roman" w:cs="Times New Roman"/>
          <w:b/>
          <w:bCs/>
          <w:sz w:val="24"/>
          <w:szCs w:val="24"/>
        </w:rPr>
      </w:pPr>
      <w:r w:rsidRPr="00BF79A9">
        <w:rPr>
          <w:rFonts w:ascii="Times New Roman" w:hAnsi="Times New Roman" w:cs="Times New Roman"/>
          <w:b/>
          <w:bCs/>
          <w:sz w:val="24"/>
          <w:szCs w:val="24"/>
        </w:rPr>
        <w:t>2. Revenue Enhancement Strategies</w:t>
      </w:r>
    </w:p>
    <w:p w14:paraId="3EE98F32" w14:textId="77777777" w:rsidR="009E621D" w:rsidRPr="00880A09" w:rsidRDefault="009E621D" w:rsidP="009E621D">
      <w:pPr>
        <w:numPr>
          <w:ilvl w:val="0"/>
          <w:numId w:val="4"/>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lastRenderedPageBreak/>
        <w:t>Dynamic Pricing:</w:t>
      </w:r>
      <w:r w:rsidRPr="00880A09">
        <w:rPr>
          <w:rFonts w:ascii="Times New Roman" w:hAnsi="Times New Roman" w:cs="Times New Roman"/>
          <w:sz w:val="24"/>
          <w:szCs w:val="24"/>
        </w:rPr>
        <w:t xml:space="preserve"> Set traffic responsive the prices of the rooms so that during arrays high traffic period the rate is raised to ensure that high revenue is generated and during low traffic periods, the rates are lowered to ensure most of the space is sold. </w:t>
      </w:r>
    </w:p>
    <w:p w14:paraId="21273CD8" w14:textId="13002F21" w:rsidR="009E621D" w:rsidRPr="00880A09" w:rsidRDefault="009E621D" w:rsidP="009E621D">
      <w:pPr>
        <w:numPr>
          <w:ilvl w:val="0"/>
          <w:numId w:val="4"/>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Target New Customer Segments:</w:t>
      </w:r>
      <w:r w:rsidRPr="00880A09">
        <w:rPr>
          <w:rFonts w:ascii="Times New Roman" w:hAnsi="Times New Roman" w:cs="Times New Roman"/>
          <w:sz w:val="24"/>
          <w:szCs w:val="24"/>
        </w:rPr>
        <w:t xml:space="preserve"> To reach such travellers, more attention should be paid to new target markets like digital nomads, people who work remotely or tourists continuously seeking </w:t>
      </w:r>
      <w:r w:rsidRPr="00385B7E">
        <w:rPr>
          <w:rFonts w:ascii="Times New Roman" w:hAnsi="Times New Roman" w:cs="Times New Roman"/>
          <w:sz w:val="24"/>
          <w:szCs w:val="24"/>
        </w:rPr>
        <w:t>leisure (</w:t>
      </w:r>
      <w:proofErr w:type="spellStart"/>
      <w:r w:rsidR="00360649" w:rsidRPr="00385B7E">
        <w:rPr>
          <w:rFonts w:ascii="Times New Roman" w:hAnsi="Times New Roman" w:cs="Times New Roman"/>
          <w:sz w:val="24"/>
          <w:szCs w:val="24"/>
        </w:rPr>
        <w:t>Ascarza</w:t>
      </w:r>
      <w:proofErr w:type="spellEnd"/>
      <w:r w:rsidR="00360649" w:rsidRPr="00385B7E">
        <w:rPr>
          <w:rFonts w:ascii="Times New Roman" w:hAnsi="Times New Roman" w:cs="Times New Roman"/>
          <w:sz w:val="24"/>
          <w:szCs w:val="24"/>
        </w:rPr>
        <w:t xml:space="preserve"> et al, 2018</w:t>
      </w:r>
      <w:r w:rsidRPr="00385B7E">
        <w:rPr>
          <w:rFonts w:ascii="Times New Roman" w:hAnsi="Times New Roman" w:cs="Times New Roman"/>
          <w:sz w:val="24"/>
          <w:szCs w:val="24"/>
        </w:rPr>
        <w:t xml:space="preserve">, p. </w:t>
      </w:r>
      <w:r w:rsidR="00360649" w:rsidRPr="00385B7E">
        <w:rPr>
          <w:rFonts w:ascii="Times New Roman" w:hAnsi="Times New Roman" w:cs="Times New Roman"/>
          <w:sz w:val="24"/>
          <w:szCs w:val="24"/>
        </w:rPr>
        <w:t>74</w:t>
      </w:r>
      <w:r w:rsidRPr="00385B7E">
        <w:rPr>
          <w:rFonts w:ascii="Times New Roman" w:hAnsi="Times New Roman" w:cs="Times New Roman"/>
          <w:sz w:val="24"/>
          <w:szCs w:val="24"/>
        </w:rPr>
        <w:t>).</w:t>
      </w:r>
      <w:r w:rsidRPr="00880A09">
        <w:rPr>
          <w:rFonts w:ascii="Times New Roman" w:hAnsi="Times New Roman" w:cs="Times New Roman"/>
          <w:sz w:val="24"/>
          <w:szCs w:val="24"/>
        </w:rPr>
        <w:t xml:space="preserve"> This means occupancy can also be expanded through marketing affiliation with travel sites, OTA’s, and event managing companies.</w:t>
      </w:r>
    </w:p>
    <w:p w14:paraId="7955EF79" w14:textId="77777777" w:rsidR="009E621D" w:rsidRPr="00880A09" w:rsidRDefault="009E621D" w:rsidP="009E621D">
      <w:pPr>
        <w:numPr>
          <w:ilvl w:val="0"/>
          <w:numId w:val="4"/>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Event and Conference Focus:</w:t>
      </w:r>
      <w:r w:rsidRPr="00880A09">
        <w:rPr>
          <w:rFonts w:ascii="Times New Roman" w:hAnsi="Times New Roman" w:cs="Times New Roman"/>
          <w:sz w:val="24"/>
          <w:szCs w:val="24"/>
        </w:rPr>
        <w:t xml:space="preserve"> Promote hotel’s event space more aggressively because this area commands higher incidental revenue from wedding, business events and conferences.</w:t>
      </w:r>
    </w:p>
    <w:p w14:paraId="70D10052" w14:textId="369DAF74" w:rsidR="009E621D" w:rsidRPr="00880A09" w:rsidRDefault="009E621D" w:rsidP="009E621D">
      <w:pPr>
        <w:spacing w:line="360" w:lineRule="auto"/>
        <w:jc w:val="both"/>
        <w:rPr>
          <w:rFonts w:ascii="Times New Roman" w:hAnsi="Times New Roman" w:cs="Times New Roman"/>
          <w:b/>
          <w:bCs/>
          <w:sz w:val="24"/>
          <w:szCs w:val="24"/>
        </w:rPr>
      </w:pPr>
      <w:r w:rsidRPr="00880A09">
        <w:rPr>
          <w:rFonts w:ascii="Times New Roman" w:hAnsi="Times New Roman" w:cs="Times New Roman"/>
          <w:b/>
          <w:bCs/>
          <w:sz w:val="24"/>
          <w:szCs w:val="24"/>
        </w:rPr>
        <w:t>3. Digital and Operational Optimi</w:t>
      </w:r>
      <w:r w:rsidR="002E19E5">
        <w:rPr>
          <w:rFonts w:ascii="Times New Roman" w:hAnsi="Times New Roman" w:cs="Times New Roman"/>
          <w:b/>
          <w:bCs/>
          <w:sz w:val="24"/>
          <w:szCs w:val="24"/>
        </w:rPr>
        <w:t>s</w:t>
      </w:r>
      <w:r w:rsidRPr="00880A09">
        <w:rPr>
          <w:rFonts w:ascii="Times New Roman" w:hAnsi="Times New Roman" w:cs="Times New Roman"/>
          <w:b/>
          <w:bCs/>
          <w:sz w:val="24"/>
          <w:szCs w:val="24"/>
        </w:rPr>
        <w:t>ation</w:t>
      </w:r>
    </w:p>
    <w:p w14:paraId="1D06444D" w14:textId="188E473C" w:rsidR="009E621D" w:rsidRPr="00880A09" w:rsidRDefault="009E621D" w:rsidP="009E621D">
      <w:pPr>
        <w:numPr>
          <w:ilvl w:val="0"/>
          <w:numId w:val="5"/>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Online Presence:</w:t>
      </w:r>
      <w:r w:rsidRPr="00880A09">
        <w:rPr>
          <w:rFonts w:ascii="Times New Roman" w:hAnsi="Times New Roman" w:cs="Times New Roman"/>
          <w:sz w:val="24"/>
          <w:szCs w:val="24"/>
        </w:rPr>
        <w:t xml:space="preserve"> Optimi</w:t>
      </w:r>
      <w:r w:rsidR="002E19E5">
        <w:rPr>
          <w:rFonts w:ascii="Times New Roman" w:hAnsi="Times New Roman" w:cs="Times New Roman"/>
          <w:sz w:val="24"/>
          <w:szCs w:val="24"/>
        </w:rPr>
        <w:t>s</w:t>
      </w:r>
      <w:r w:rsidRPr="00880A09">
        <w:rPr>
          <w:rFonts w:ascii="Times New Roman" w:hAnsi="Times New Roman" w:cs="Times New Roman"/>
          <w:sz w:val="24"/>
          <w:szCs w:val="24"/>
        </w:rPr>
        <w:t xml:space="preserve">e hotel’s </w:t>
      </w:r>
      <w:r w:rsidR="002E19E5" w:rsidRPr="00880A09">
        <w:rPr>
          <w:rFonts w:ascii="Times New Roman" w:hAnsi="Times New Roman" w:cs="Times New Roman"/>
          <w:sz w:val="24"/>
          <w:szCs w:val="24"/>
        </w:rPr>
        <w:t>webpage</w:t>
      </w:r>
      <w:r w:rsidRPr="00880A09">
        <w:rPr>
          <w:rFonts w:ascii="Times New Roman" w:hAnsi="Times New Roman" w:cs="Times New Roman"/>
          <w:sz w:val="24"/>
          <w:szCs w:val="24"/>
        </w:rPr>
        <w:t xml:space="preserve"> and broaden its internet visibility by way of SEO practices, social networks, cooperation with several OTAs. Telesales, online booking options, user-friendly website, and easy to access, more visitors will tune in.</w:t>
      </w:r>
    </w:p>
    <w:p w14:paraId="1476F0DA" w14:textId="77777777" w:rsidR="009E621D" w:rsidRPr="00880A09" w:rsidRDefault="009E621D" w:rsidP="009E621D">
      <w:pPr>
        <w:numPr>
          <w:ilvl w:val="0"/>
          <w:numId w:val="5"/>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Customer Experience:</w:t>
      </w:r>
      <w:r w:rsidRPr="00880A09">
        <w:rPr>
          <w:rFonts w:ascii="Times New Roman" w:hAnsi="Times New Roman" w:cs="Times New Roman"/>
          <w:sz w:val="24"/>
          <w:szCs w:val="24"/>
        </w:rPr>
        <w:t xml:space="preserve"> Encourage guest’s loyalty by establishing different loyalty programs and collecting their feedback in order to enhance catering services (</w:t>
      </w:r>
      <w:proofErr w:type="spellStart"/>
      <w:r w:rsidRPr="00880A09">
        <w:rPr>
          <w:rFonts w:ascii="Times New Roman" w:hAnsi="Times New Roman" w:cs="Times New Roman"/>
          <w:sz w:val="24"/>
          <w:szCs w:val="24"/>
        </w:rPr>
        <w:t>Nastasoiu</w:t>
      </w:r>
      <w:proofErr w:type="spellEnd"/>
      <w:r w:rsidRPr="00880A09">
        <w:rPr>
          <w:rFonts w:ascii="Times New Roman" w:hAnsi="Times New Roman" w:cs="Times New Roman"/>
          <w:sz w:val="24"/>
          <w:szCs w:val="24"/>
        </w:rPr>
        <w:t xml:space="preserve"> and </w:t>
      </w:r>
      <w:proofErr w:type="spellStart"/>
      <w:r w:rsidRPr="00880A09">
        <w:rPr>
          <w:rFonts w:ascii="Times New Roman" w:hAnsi="Times New Roman" w:cs="Times New Roman"/>
          <w:sz w:val="24"/>
          <w:szCs w:val="24"/>
        </w:rPr>
        <w:t>Vandenbosch</w:t>
      </w:r>
      <w:proofErr w:type="spellEnd"/>
      <w:r w:rsidRPr="00880A09">
        <w:rPr>
          <w:rFonts w:ascii="Times New Roman" w:hAnsi="Times New Roman" w:cs="Times New Roman"/>
          <w:sz w:val="24"/>
          <w:szCs w:val="24"/>
        </w:rPr>
        <w:t>, 2019, p. 211).</w:t>
      </w:r>
    </w:p>
    <w:p w14:paraId="32029B7C" w14:textId="77777777" w:rsidR="009E621D" w:rsidRPr="00BF79A9" w:rsidRDefault="009E621D" w:rsidP="00BF79A9">
      <w:pPr>
        <w:spacing w:line="360" w:lineRule="auto"/>
        <w:jc w:val="both"/>
        <w:rPr>
          <w:rFonts w:ascii="Times New Roman" w:hAnsi="Times New Roman" w:cs="Times New Roman"/>
          <w:sz w:val="24"/>
          <w:szCs w:val="24"/>
        </w:rPr>
      </w:pPr>
      <w:r w:rsidRPr="00BF79A9">
        <w:rPr>
          <w:rFonts w:ascii="Times New Roman" w:hAnsi="Times New Roman" w:cs="Times New Roman"/>
          <w:sz w:val="24"/>
          <w:szCs w:val="24"/>
        </w:rPr>
        <w:t>If these strategies are not enough, possibilities for other resolutions may emerged, like selling non-strategic properties, repositioning or being acquired by other, bigger hotel chain. The above choices may help to banish uncertainty or even present the owner with profitable exit plan.</w:t>
      </w:r>
    </w:p>
    <w:p w14:paraId="5811D5D7" w14:textId="728EEBA8" w:rsidR="00BF79A9" w:rsidRPr="00385B7E" w:rsidRDefault="00BF79A9" w:rsidP="00BF79A9">
      <w:pPr>
        <w:spacing w:line="360" w:lineRule="auto"/>
        <w:jc w:val="both"/>
        <w:rPr>
          <w:rFonts w:ascii="Times New Roman" w:hAnsi="Times New Roman" w:cs="Times New Roman"/>
          <w:sz w:val="24"/>
          <w:szCs w:val="24"/>
        </w:rPr>
      </w:pPr>
      <w:bookmarkStart w:id="5" w:name="_Toc181189776"/>
      <w:r w:rsidRPr="00385B7E">
        <w:rPr>
          <w:rFonts w:ascii="Times New Roman" w:hAnsi="Times New Roman" w:cs="Times New Roman"/>
          <w:sz w:val="24"/>
          <w:szCs w:val="24"/>
        </w:rPr>
        <w:t xml:space="preserve">In the UK hospitality sector, investment strategies that are apparent to create increased balance sheet stability and improved operating performance include selling and divesting non-strategic assets, repositioning, and acquisitions. For instance, the owner of the Premier Inn hotel chain Whitbread PLC has resorted to sale and leaseback of some of its hotel building premises to rebalance capital back into the business with a view of future expansion ventures (Anderson, 2024). </w:t>
      </w:r>
    </w:p>
    <w:p w14:paraId="65604AB5" w14:textId="5529FFF2" w:rsidR="00BF79A9" w:rsidRPr="00BF79A9" w:rsidRDefault="00BF79A9" w:rsidP="00BF79A9">
      <w:pPr>
        <w:spacing w:line="360" w:lineRule="auto"/>
        <w:jc w:val="both"/>
        <w:rPr>
          <w:rFonts w:ascii="Times New Roman" w:hAnsi="Times New Roman" w:cs="Times New Roman"/>
          <w:sz w:val="24"/>
          <w:szCs w:val="24"/>
        </w:rPr>
      </w:pPr>
      <w:r w:rsidRPr="00385B7E">
        <w:rPr>
          <w:rFonts w:ascii="Times New Roman" w:hAnsi="Times New Roman" w:cs="Times New Roman"/>
          <w:sz w:val="24"/>
          <w:szCs w:val="24"/>
        </w:rPr>
        <w:t xml:space="preserve">Likewise, Greene King has readjusted its positioning strategy over the years through the shutdown of unprofitable outlets and enhancements of its energy efficiency standards. Of these, </w:t>
      </w:r>
      <w:r w:rsidRPr="00385B7E">
        <w:rPr>
          <w:rFonts w:ascii="Times New Roman" w:hAnsi="Times New Roman" w:cs="Times New Roman"/>
          <w:sz w:val="24"/>
          <w:szCs w:val="24"/>
        </w:rPr>
        <w:lastRenderedPageBreak/>
        <w:t>some can deliver capital in the short term, reduce costs and target new customers (Foodservice Equipment Journal, 2023). However, they could imply compromising on the extent of control such assets or large capital outlay in repositioning initiatives. Hence the need to analyse the situation in order to ascertain the best way forward in terms of financial replenishment.</w:t>
      </w:r>
    </w:p>
    <w:p w14:paraId="2913B80B" w14:textId="3A1EE449" w:rsidR="009E621D" w:rsidRPr="00880A09" w:rsidRDefault="009E621D" w:rsidP="00BF79A9">
      <w:pPr>
        <w:pStyle w:val="Heading1"/>
      </w:pPr>
      <w:r w:rsidRPr="00880A09">
        <w:t>Evaluation of Alternatives</w:t>
      </w:r>
      <w:bookmarkEnd w:id="5"/>
    </w:p>
    <w:p w14:paraId="74884939"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If the turnaround strategy does not yield the desired results, the following alternatives could be considered:</w:t>
      </w:r>
    </w:p>
    <w:p w14:paraId="2B6DF7A2" w14:textId="77777777" w:rsidR="009E621D" w:rsidRPr="00880A09" w:rsidRDefault="009E621D" w:rsidP="009E621D">
      <w:pPr>
        <w:numPr>
          <w:ilvl w:val="0"/>
          <w:numId w:val="1"/>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Sale of Non-Core Assets:</w:t>
      </w:r>
      <w:r w:rsidRPr="00880A09">
        <w:rPr>
          <w:rFonts w:ascii="Times New Roman" w:hAnsi="Times New Roman" w:cs="Times New Roman"/>
          <w:sz w:val="24"/>
          <w:szCs w:val="24"/>
        </w:rPr>
        <w:t xml:space="preserve"> The hotel could either divest itself of unused assets (for example, event facilities) or properties to raise much- needed cash to pay off debts.</w:t>
      </w:r>
    </w:p>
    <w:p w14:paraId="34C1D94B" w14:textId="77777777" w:rsidR="009E621D" w:rsidRPr="00880A09" w:rsidRDefault="009E621D" w:rsidP="009E621D">
      <w:pPr>
        <w:numPr>
          <w:ilvl w:val="0"/>
          <w:numId w:val="1"/>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Rebranding or Merger:</w:t>
      </w:r>
      <w:r w:rsidRPr="00880A09">
        <w:rPr>
          <w:rFonts w:ascii="Times New Roman" w:hAnsi="Times New Roman" w:cs="Times New Roman"/>
          <w:sz w:val="24"/>
          <w:szCs w:val="24"/>
        </w:rPr>
        <w:t xml:space="preserve"> Sometimes changing under a different brand or affiliate with a large chain company might solve this issue and improve the company’s brand image and internal functioning (Lawrence et al., 2021, p. 2426).</w:t>
      </w:r>
    </w:p>
    <w:p w14:paraId="0BB9EB1D" w14:textId="77777777" w:rsidR="009E621D" w:rsidRPr="00880A09" w:rsidRDefault="009E621D" w:rsidP="009E621D">
      <w:pPr>
        <w:numPr>
          <w:ilvl w:val="0"/>
          <w:numId w:val="1"/>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Liquidation:</w:t>
      </w:r>
      <w:r w:rsidRPr="00880A09">
        <w:rPr>
          <w:rFonts w:ascii="Times New Roman" w:hAnsi="Times New Roman" w:cs="Times New Roman"/>
          <w:sz w:val="24"/>
          <w:szCs w:val="24"/>
        </w:rPr>
        <w:t xml:space="preserve"> The owner may have no option than to sell off almost all the properties of the hotel and repay the creditors to leave the business in case the business becomes unprofitable.</w:t>
      </w:r>
    </w:p>
    <w:p w14:paraId="767D7B58" w14:textId="77777777" w:rsidR="009E621D" w:rsidRPr="00880A09" w:rsidRDefault="009E621D" w:rsidP="009E621D">
      <w:pPr>
        <w:pStyle w:val="Heading1"/>
      </w:pPr>
      <w:bookmarkStart w:id="6" w:name="_Toc181189777"/>
      <w:r w:rsidRPr="00880A09">
        <w:t>Recommendations</w:t>
      </w:r>
      <w:bookmarkEnd w:id="6"/>
    </w:p>
    <w:p w14:paraId="46F1C792" w14:textId="77777777" w:rsidR="009E621D" w:rsidRPr="00880A09" w:rsidRDefault="009E621D" w:rsidP="009E621D">
      <w:pPr>
        <w:numPr>
          <w:ilvl w:val="0"/>
          <w:numId w:val="2"/>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Cost Restructuring:</w:t>
      </w:r>
      <w:r w:rsidRPr="00880A09">
        <w:rPr>
          <w:rFonts w:ascii="Times New Roman" w:hAnsi="Times New Roman" w:cs="Times New Roman"/>
          <w:sz w:val="24"/>
          <w:szCs w:val="24"/>
        </w:rPr>
        <w:t xml:space="preserve"> A more strategic approach to cost control based on the implementation of existing programs for flexible working time should be developed together with the analysis of the feasibility of revising fixed costs.</w:t>
      </w:r>
    </w:p>
    <w:p w14:paraId="4481F565" w14:textId="77777777" w:rsidR="009E621D" w:rsidRPr="00880A09" w:rsidRDefault="009E621D" w:rsidP="009E621D">
      <w:pPr>
        <w:numPr>
          <w:ilvl w:val="0"/>
          <w:numId w:val="2"/>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Revenue Diversification:</w:t>
      </w:r>
      <w:r w:rsidRPr="00880A09">
        <w:rPr>
          <w:rFonts w:ascii="Times New Roman" w:hAnsi="Times New Roman" w:cs="Times New Roman"/>
          <w:sz w:val="24"/>
          <w:szCs w:val="24"/>
        </w:rPr>
        <w:t xml:space="preserve"> Focus on prospective revenue generation solutions such as price volatility and internet advertising to raise occupancy and income.</w:t>
      </w:r>
    </w:p>
    <w:p w14:paraId="48AFF6DD" w14:textId="77777777" w:rsidR="009E621D" w:rsidRPr="00880A09" w:rsidRDefault="009E621D" w:rsidP="009E621D">
      <w:pPr>
        <w:numPr>
          <w:ilvl w:val="0"/>
          <w:numId w:val="2"/>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Long-term Partnerships:</w:t>
      </w:r>
      <w:r w:rsidRPr="00880A09">
        <w:rPr>
          <w:rFonts w:ascii="Times New Roman" w:hAnsi="Times New Roman" w:cs="Times New Roman"/>
          <w:sz w:val="24"/>
          <w:szCs w:val="24"/>
        </w:rPr>
        <w:t xml:space="preserve"> Partner with online travel agencies, event management companies, and publicity and travel companies to increase numerous revenue streams.</w:t>
      </w:r>
    </w:p>
    <w:p w14:paraId="219E4797" w14:textId="77777777" w:rsidR="009E621D" w:rsidRPr="00880A09" w:rsidRDefault="009E621D" w:rsidP="009E621D">
      <w:pPr>
        <w:numPr>
          <w:ilvl w:val="0"/>
          <w:numId w:val="2"/>
        </w:numPr>
        <w:spacing w:line="360" w:lineRule="auto"/>
        <w:jc w:val="both"/>
        <w:rPr>
          <w:rFonts w:ascii="Times New Roman" w:hAnsi="Times New Roman" w:cs="Times New Roman"/>
          <w:sz w:val="24"/>
          <w:szCs w:val="24"/>
        </w:rPr>
      </w:pPr>
      <w:r w:rsidRPr="00880A09">
        <w:rPr>
          <w:rFonts w:ascii="Times New Roman" w:hAnsi="Times New Roman" w:cs="Times New Roman"/>
          <w:b/>
          <w:bCs/>
          <w:sz w:val="24"/>
          <w:szCs w:val="24"/>
        </w:rPr>
        <w:t>Regular Financial Monitoring:</w:t>
      </w:r>
      <w:r w:rsidRPr="00880A09">
        <w:rPr>
          <w:rFonts w:ascii="Times New Roman" w:hAnsi="Times New Roman" w:cs="Times New Roman"/>
          <w:sz w:val="24"/>
          <w:szCs w:val="24"/>
        </w:rPr>
        <w:t xml:space="preserve"> Continued monitoring and evaluation, by conducting monthly check on financial position of the business in terms of occupancy level, RevPAR and the liquidity ratios.</w:t>
      </w:r>
    </w:p>
    <w:p w14:paraId="502D3463" w14:textId="77777777" w:rsidR="009E621D" w:rsidRPr="00880A09" w:rsidRDefault="009E621D" w:rsidP="009E621D">
      <w:pPr>
        <w:pStyle w:val="Heading1"/>
      </w:pPr>
      <w:bookmarkStart w:id="7" w:name="_Toc181189778"/>
      <w:r w:rsidRPr="00880A09">
        <w:lastRenderedPageBreak/>
        <w:t>Conclusion</w:t>
      </w:r>
      <w:bookmarkEnd w:id="7"/>
    </w:p>
    <w:p w14:paraId="713F8D35" w14:textId="4E0B99A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In the case of the City Hotel, external market forces and internal factors that are associated with inadequate control of expenditure and revenues cause the organi</w:t>
      </w:r>
      <w:r w:rsidR="002E19E5">
        <w:rPr>
          <w:rFonts w:ascii="Times New Roman" w:hAnsi="Times New Roman" w:cs="Times New Roman"/>
          <w:sz w:val="24"/>
          <w:szCs w:val="24"/>
        </w:rPr>
        <w:t>s</w:t>
      </w:r>
      <w:r w:rsidRPr="00880A09">
        <w:rPr>
          <w:rFonts w:ascii="Times New Roman" w:hAnsi="Times New Roman" w:cs="Times New Roman"/>
          <w:sz w:val="24"/>
          <w:szCs w:val="24"/>
        </w:rPr>
        <w:t>ation’s financial deterioration. Reali</w:t>
      </w:r>
      <w:r w:rsidR="002E19E5">
        <w:rPr>
          <w:rFonts w:ascii="Times New Roman" w:hAnsi="Times New Roman" w:cs="Times New Roman"/>
          <w:sz w:val="24"/>
          <w:szCs w:val="24"/>
        </w:rPr>
        <w:t>s</w:t>
      </w:r>
      <w:r w:rsidRPr="00880A09">
        <w:rPr>
          <w:rFonts w:ascii="Times New Roman" w:hAnsi="Times New Roman" w:cs="Times New Roman"/>
          <w:sz w:val="24"/>
          <w:szCs w:val="24"/>
        </w:rPr>
        <w:t>ing the ideas below, the hotel can return to a profitable status and ensure its stable development in the future: The key directions of the targeted turnaround strategy include cost reduction, revenue generation management, and efficiency increase. In case those measures do not yield the desired results, other options including the sale of assets or rebranding could be taken so that the owner gets the best possible financial result.</w:t>
      </w:r>
    </w:p>
    <w:p w14:paraId="2E1922E4" w14:textId="77777777" w:rsidR="009E621D" w:rsidRPr="00880A09" w:rsidRDefault="009E621D" w:rsidP="009E621D">
      <w:pPr>
        <w:spacing w:line="360" w:lineRule="auto"/>
        <w:jc w:val="both"/>
        <w:rPr>
          <w:rFonts w:ascii="Times New Roman" w:hAnsi="Times New Roman" w:cs="Times New Roman"/>
          <w:sz w:val="24"/>
          <w:szCs w:val="24"/>
        </w:rPr>
      </w:pPr>
    </w:p>
    <w:p w14:paraId="155C4964" w14:textId="77777777" w:rsidR="009E621D" w:rsidRPr="00880A09" w:rsidRDefault="009E621D" w:rsidP="009E621D">
      <w:pPr>
        <w:rPr>
          <w:rFonts w:ascii="Times New Roman" w:hAnsi="Times New Roman" w:cs="Times New Roman"/>
          <w:sz w:val="24"/>
          <w:szCs w:val="24"/>
        </w:rPr>
      </w:pPr>
      <w:r w:rsidRPr="00880A09">
        <w:rPr>
          <w:rFonts w:ascii="Times New Roman" w:hAnsi="Times New Roman" w:cs="Times New Roman"/>
          <w:sz w:val="24"/>
          <w:szCs w:val="24"/>
        </w:rPr>
        <w:br w:type="page"/>
      </w:r>
    </w:p>
    <w:p w14:paraId="10783C86" w14:textId="77777777" w:rsidR="009E621D" w:rsidRPr="00880A09" w:rsidRDefault="009E621D" w:rsidP="009E621D">
      <w:pPr>
        <w:pStyle w:val="Heading1"/>
      </w:pPr>
      <w:bookmarkStart w:id="8" w:name="_Toc181189779"/>
      <w:r w:rsidRPr="00880A09">
        <w:lastRenderedPageBreak/>
        <w:t>Reference</w:t>
      </w:r>
      <w:bookmarkEnd w:id="8"/>
      <w:r w:rsidRPr="00880A09">
        <w:t xml:space="preserve"> </w:t>
      </w:r>
    </w:p>
    <w:p w14:paraId="5C3A36A5" w14:textId="65A10CA6" w:rsidR="00BF79A9" w:rsidRPr="00385B7E" w:rsidRDefault="00BF79A9" w:rsidP="00BF79A9">
      <w:pPr>
        <w:spacing w:line="360" w:lineRule="auto"/>
        <w:jc w:val="both"/>
        <w:rPr>
          <w:rFonts w:ascii="Times New Roman" w:hAnsi="Times New Roman" w:cs="Times New Roman"/>
          <w:sz w:val="24"/>
          <w:szCs w:val="24"/>
          <w:lang w:val="en-IN"/>
        </w:rPr>
      </w:pPr>
      <w:r w:rsidRPr="00385B7E">
        <w:rPr>
          <w:rFonts w:ascii="Times New Roman" w:hAnsi="Times New Roman" w:cs="Times New Roman"/>
          <w:sz w:val="24"/>
          <w:szCs w:val="24"/>
          <w:lang w:val="en-IN"/>
        </w:rPr>
        <w:t>Anderson, J. (2024). </w:t>
      </w:r>
      <w:r w:rsidRPr="00385B7E">
        <w:rPr>
          <w:rFonts w:ascii="Times New Roman" w:hAnsi="Times New Roman" w:cs="Times New Roman"/>
          <w:i/>
          <w:iCs/>
          <w:sz w:val="24"/>
          <w:szCs w:val="24"/>
          <w:lang w:val="en-IN"/>
        </w:rPr>
        <w:t>Whitbread completes the sale and leaseback of two operational hotels - Whitbread PLC</w:t>
      </w:r>
      <w:r w:rsidRPr="00385B7E">
        <w:rPr>
          <w:rFonts w:ascii="Times New Roman" w:hAnsi="Times New Roman" w:cs="Times New Roman"/>
          <w:sz w:val="24"/>
          <w:szCs w:val="24"/>
          <w:lang w:val="en-IN"/>
        </w:rPr>
        <w:t xml:space="preserve">. [online] Whitbread PLC. Available at: </w:t>
      </w:r>
      <w:hyperlink r:id="rId8" w:history="1">
        <w:r w:rsidR="00385B7E" w:rsidRPr="004D35E5">
          <w:rPr>
            <w:rStyle w:val="Hyperlink"/>
            <w:rFonts w:ascii="Times New Roman" w:hAnsi="Times New Roman" w:cs="Times New Roman"/>
            <w:sz w:val="24"/>
            <w:szCs w:val="24"/>
            <w:lang w:val="en-IN"/>
          </w:rPr>
          <w:t>https://www.whitbread.co.uk/whitbread-completes-the-sale-and-leaseback-of-two-operational-hotels/</w:t>
        </w:r>
      </w:hyperlink>
      <w:r w:rsidR="00385B7E">
        <w:rPr>
          <w:rFonts w:ascii="Times New Roman" w:hAnsi="Times New Roman" w:cs="Times New Roman"/>
          <w:sz w:val="24"/>
          <w:szCs w:val="24"/>
          <w:lang w:val="en-IN"/>
        </w:rPr>
        <w:t xml:space="preserve"> </w:t>
      </w:r>
      <w:r w:rsidRPr="00385B7E">
        <w:rPr>
          <w:rFonts w:ascii="Times New Roman" w:hAnsi="Times New Roman" w:cs="Times New Roman"/>
          <w:sz w:val="24"/>
          <w:szCs w:val="24"/>
          <w:lang w:val="en-IN"/>
        </w:rPr>
        <w:t>[Accessed 11 Nov. 2024].</w:t>
      </w:r>
    </w:p>
    <w:p w14:paraId="311F1966" w14:textId="0085CDB1" w:rsidR="00360649" w:rsidRPr="00BF79A9" w:rsidRDefault="00BF79A9" w:rsidP="00BF79A9">
      <w:pPr>
        <w:spacing w:line="360" w:lineRule="auto"/>
        <w:jc w:val="both"/>
        <w:rPr>
          <w:rFonts w:ascii="Times New Roman" w:hAnsi="Times New Roman" w:cs="Times New Roman"/>
          <w:sz w:val="24"/>
          <w:szCs w:val="24"/>
          <w:lang w:val="en-IN"/>
        </w:rPr>
      </w:pPr>
      <w:r w:rsidRPr="00385B7E">
        <w:rPr>
          <w:rFonts w:ascii="Times New Roman" w:hAnsi="Times New Roman" w:cs="Times New Roman"/>
          <w:sz w:val="24"/>
          <w:szCs w:val="24"/>
          <w:lang w:val="en-IN"/>
        </w:rPr>
        <w:t>‌</w:t>
      </w:r>
      <w:proofErr w:type="spellStart"/>
      <w:r w:rsidR="00360649" w:rsidRPr="00385B7E">
        <w:rPr>
          <w:rFonts w:ascii="Times New Roman" w:hAnsi="Times New Roman" w:cs="Times New Roman"/>
          <w:sz w:val="24"/>
          <w:szCs w:val="24"/>
        </w:rPr>
        <w:t>Ascarza</w:t>
      </w:r>
      <w:proofErr w:type="spellEnd"/>
      <w:r w:rsidR="00360649" w:rsidRPr="00385B7E">
        <w:rPr>
          <w:rFonts w:ascii="Times New Roman" w:hAnsi="Times New Roman" w:cs="Times New Roman"/>
          <w:sz w:val="24"/>
          <w:szCs w:val="24"/>
        </w:rPr>
        <w:t xml:space="preserve">, E., </w:t>
      </w:r>
      <w:proofErr w:type="spellStart"/>
      <w:r w:rsidR="00360649" w:rsidRPr="00385B7E">
        <w:rPr>
          <w:rFonts w:ascii="Times New Roman" w:hAnsi="Times New Roman" w:cs="Times New Roman"/>
          <w:sz w:val="24"/>
          <w:szCs w:val="24"/>
        </w:rPr>
        <w:t>Neslin</w:t>
      </w:r>
      <w:proofErr w:type="spellEnd"/>
      <w:r w:rsidR="00360649" w:rsidRPr="00385B7E">
        <w:rPr>
          <w:rFonts w:ascii="Times New Roman" w:hAnsi="Times New Roman" w:cs="Times New Roman"/>
          <w:sz w:val="24"/>
          <w:szCs w:val="24"/>
        </w:rPr>
        <w:t>, S.A., Netzer, O., Anderson, Z., Fader, P.S., Gupta, S., Hardie, B.G., Lemmens, A., Libai, B., Neal, D. and Provost, F., 2018. In pursuit of enhanced customer retention management: Review, key issues, and future directions. </w:t>
      </w:r>
      <w:r w:rsidR="00360649" w:rsidRPr="00385B7E">
        <w:rPr>
          <w:rFonts w:ascii="Times New Roman" w:hAnsi="Times New Roman" w:cs="Times New Roman"/>
          <w:i/>
          <w:iCs/>
          <w:sz w:val="24"/>
          <w:szCs w:val="24"/>
        </w:rPr>
        <w:t>Customer Needs and Solutions</w:t>
      </w:r>
      <w:r w:rsidR="00360649" w:rsidRPr="00385B7E">
        <w:rPr>
          <w:rFonts w:ascii="Times New Roman" w:hAnsi="Times New Roman" w:cs="Times New Roman"/>
          <w:sz w:val="24"/>
          <w:szCs w:val="24"/>
        </w:rPr>
        <w:t>, </w:t>
      </w:r>
      <w:r w:rsidR="00360649" w:rsidRPr="00385B7E">
        <w:rPr>
          <w:rFonts w:ascii="Times New Roman" w:hAnsi="Times New Roman" w:cs="Times New Roman"/>
          <w:i/>
          <w:iCs/>
          <w:sz w:val="24"/>
          <w:szCs w:val="24"/>
        </w:rPr>
        <w:t>5</w:t>
      </w:r>
      <w:r w:rsidR="00360649" w:rsidRPr="00385B7E">
        <w:rPr>
          <w:rFonts w:ascii="Times New Roman" w:hAnsi="Times New Roman" w:cs="Times New Roman"/>
          <w:sz w:val="24"/>
          <w:szCs w:val="24"/>
        </w:rPr>
        <w:t xml:space="preserve">, pp.65-81. Available at: </w:t>
      </w:r>
      <w:hyperlink r:id="rId9" w:history="1">
        <w:r w:rsidR="00360649" w:rsidRPr="00385B7E">
          <w:rPr>
            <w:rStyle w:val="Hyperlink"/>
            <w:rFonts w:ascii="Times New Roman" w:hAnsi="Times New Roman" w:cs="Times New Roman"/>
            <w:sz w:val="24"/>
            <w:szCs w:val="24"/>
          </w:rPr>
          <w:t>https://link.springer.com/article/10.1007/s40547-017-0080-0</w:t>
        </w:r>
      </w:hyperlink>
    </w:p>
    <w:p w14:paraId="5D1DA2DA" w14:textId="54799517" w:rsidR="00EB720E" w:rsidRPr="00880A09" w:rsidRDefault="00EB720E" w:rsidP="009E621D">
      <w:pPr>
        <w:spacing w:line="360" w:lineRule="auto"/>
        <w:jc w:val="both"/>
        <w:rPr>
          <w:rFonts w:ascii="Times New Roman" w:hAnsi="Times New Roman" w:cs="Times New Roman"/>
          <w:sz w:val="24"/>
          <w:szCs w:val="24"/>
        </w:rPr>
      </w:pPr>
      <w:r w:rsidRPr="00385B7E">
        <w:rPr>
          <w:rFonts w:ascii="Times New Roman" w:hAnsi="Times New Roman" w:cs="Times New Roman"/>
          <w:sz w:val="24"/>
          <w:szCs w:val="24"/>
        </w:rPr>
        <w:t xml:space="preserve">Abbas, J., Mubeen, R., </w:t>
      </w:r>
      <w:proofErr w:type="spellStart"/>
      <w:r w:rsidRPr="00385B7E">
        <w:rPr>
          <w:rFonts w:ascii="Times New Roman" w:hAnsi="Times New Roman" w:cs="Times New Roman"/>
          <w:sz w:val="24"/>
          <w:szCs w:val="24"/>
        </w:rPr>
        <w:t>Iorember</w:t>
      </w:r>
      <w:proofErr w:type="spellEnd"/>
      <w:r w:rsidRPr="00385B7E">
        <w:rPr>
          <w:rFonts w:ascii="Times New Roman" w:hAnsi="Times New Roman" w:cs="Times New Roman"/>
          <w:sz w:val="24"/>
          <w:szCs w:val="24"/>
        </w:rPr>
        <w:t xml:space="preserve">, P.T., Raza, S. and </w:t>
      </w:r>
      <w:proofErr w:type="spellStart"/>
      <w:r w:rsidRPr="00385B7E">
        <w:rPr>
          <w:rFonts w:ascii="Times New Roman" w:hAnsi="Times New Roman" w:cs="Times New Roman"/>
          <w:sz w:val="24"/>
          <w:szCs w:val="24"/>
        </w:rPr>
        <w:t>Mamirkulova</w:t>
      </w:r>
      <w:proofErr w:type="spellEnd"/>
      <w:r w:rsidRPr="00385B7E">
        <w:rPr>
          <w:rFonts w:ascii="Times New Roman" w:hAnsi="Times New Roman" w:cs="Times New Roman"/>
          <w:sz w:val="24"/>
          <w:szCs w:val="24"/>
        </w:rPr>
        <w:t>, G., 2021. Exploring the impact of COVID-19 on tourism: transformational potential and implications for a sustainable recovery of the travel and leisure industry. </w:t>
      </w:r>
      <w:r w:rsidRPr="00385B7E">
        <w:rPr>
          <w:rFonts w:ascii="Times New Roman" w:hAnsi="Times New Roman" w:cs="Times New Roman"/>
          <w:i/>
          <w:iCs/>
          <w:sz w:val="24"/>
          <w:szCs w:val="24"/>
        </w:rPr>
        <w:t xml:space="preserve">Current Research in </w:t>
      </w:r>
      <w:proofErr w:type="spellStart"/>
      <w:r w:rsidRPr="00385B7E">
        <w:rPr>
          <w:rFonts w:ascii="Times New Roman" w:hAnsi="Times New Roman" w:cs="Times New Roman"/>
          <w:i/>
          <w:iCs/>
          <w:sz w:val="24"/>
          <w:szCs w:val="24"/>
        </w:rPr>
        <w:t>Behavioral</w:t>
      </w:r>
      <w:proofErr w:type="spellEnd"/>
      <w:r w:rsidRPr="00385B7E">
        <w:rPr>
          <w:rFonts w:ascii="Times New Roman" w:hAnsi="Times New Roman" w:cs="Times New Roman"/>
          <w:i/>
          <w:iCs/>
          <w:sz w:val="24"/>
          <w:szCs w:val="24"/>
        </w:rPr>
        <w:t xml:space="preserve"> Sciences</w:t>
      </w:r>
      <w:r w:rsidRPr="00385B7E">
        <w:rPr>
          <w:rFonts w:ascii="Times New Roman" w:hAnsi="Times New Roman" w:cs="Times New Roman"/>
          <w:sz w:val="24"/>
          <w:szCs w:val="24"/>
        </w:rPr>
        <w:t>, </w:t>
      </w:r>
      <w:r w:rsidRPr="00385B7E">
        <w:rPr>
          <w:rFonts w:ascii="Times New Roman" w:hAnsi="Times New Roman" w:cs="Times New Roman"/>
          <w:i/>
          <w:iCs/>
          <w:sz w:val="24"/>
          <w:szCs w:val="24"/>
        </w:rPr>
        <w:t>2</w:t>
      </w:r>
      <w:r w:rsidRPr="00385B7E">
        <w:rPr>
          <w:rFonts w:ascii="Times New Roman" w:hAnsi="Times New Roman" w:cs="Times New Roman"/>
          <w:sz w:val="24"/>
          <w:szCs w:val="24"/>
        </w:rPr>
        <w:t xml:space="preserve">, p.100033. Available at: </w:t>
      </w:r>
      <w:hyperlink r:id="rId10" w:tgtFrame="_blank" w:tooltip="Persistent link using digital object identifier" w:history="1">
        <w:r w:rsidRPr="00385B7E">
          <w:rPr>
            <w:rStyle w:val="Hyperlink"/>
            <w:rFonts w:ascii="Times New Roman" w:hAnsi="Times New Roman" w:cs="Times New Roman"/>
            <w:sz w:val="24"/>
            <w:szCs w:val="24"/>
          </w:rPr>
          <w:t>https://doi.org/10.1016/j.crbeha.2021.100033</w:t>
        </w:r>
      </w:hyperlink>
    </w:p>
    <w:p w14:paraId="4D38B35B"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Basu, R. (2023) ‘</w:t>
      </w:r>
      <w:r w:rsidRPr="00880A09">
        <w:rPr>
          <w:rFonts w:ascii="Times New Roman" w:hAnsi="Times New Roman" w:cs="Times New Roman"/>
          <w:i/>
          <w:iCs/>
          <w:sz w:val="24"/>
          <w:szCs w:val="24"/>
        </w:rPr>
        <w:t>Managing Global Supply Chains: Contemporary Global Challenges in Supply Chain Management</w:t>
      </w:r>
      <w:r w:rsidRPr="00880A09">
        <w:rPr>
          <w:rFonts w:ascii="Times New Roman" w:hAnsi="Times New Roman" w:cs="Times New Roman"/>
          <w:sz w:val="24"/>
          <w:szCs w:val="24"/>
        </w:rPr>
        <w:t xml:space="preserve">.’ Routledge. Available at: </w:t>
      </w:r>
      <w:hyperlink r:id="rId11" w:history="1">
        <w:r w:rsidRPr="00880A09">
          <w:rPr>
            <w:rStyle w:val="Hyperlink"/>
            <w:rFonts w:ascii="Times New Roman" w:hAnsi="Times New Roman" w:cs="Times New Roman"/>
            <w:sz w:val="24"/>
            <w:szCs w:val="24"/>
          </w:rPr>
          <w:t>https://www.taylorfrancis.com/books/mono/10.4324/9781003341352/managing-global-supply-chains-ron-basu</w:t>
        </w:r>
      </w:hyperlink>
    </w:p>
    <w:p w14:paraId="13457883" w14:textId="77777777" w:rsidR="009E621D" w:rsidRPr="00880A09" w:rsidRDefault="009E621D" w:rsidP="009E621D">
      <w:pPr>
        <w:spacing w:line="360" w:lineRule="auto"/>
        <w:jc w:val="both"/>
        <w:rPr>
          <w:rStyle w:val="Hyperlink"/>
          <w:rFonts w:ascii="Times New Roman" w:hAnsi="Times New Roman" w:cs="Times New Roman"/>
          <w:sz w:val="24"/>
          <w:szCs w:val="24"/>
        </w:rPr>
      </w:pPr>
      <w:proofErr w:type="spellStart"/>
      <w:r w:rsidRPr="00880A09">
        <w:rPr>
          <w:rFonts w:ascii="Times New Roman" w:hAnsi="Times New Roman" w:cs="Times New Roman"/>
          <w:sz w:val="24"/>
          <w:szCs w:val="24"/>
        </w:rPr>
        <w:t>Belanche</w:t>
      </w:r>
      <w:proofErr w:type="spellEnd"/>
      <w:r w:rsidRPr="00880A09">
        <w:rPr>
          <w:rFonts w:ascii="Times New Roman" w:hAnsi="Times New Roman" w:cs="Times New Roman"/>
          <w:sz w:val="24"/>
          <w:szCs w:val="24"/>
        </w:rPr>
        <w:t xml:space="preserve">, D., Casaló, L.V. and Flavián, C. (2021) ‘Frontline robots in tourism and hospitality: service enhancement or cost </w:t>
      </w:r>
      <w:proofErr w:type="gramStart"/>
      <w:r w:rsidRPr="00880A09">
        <w:rPr>
          <w:rFonts w:ascii="Times New Roman" w:hAnsi="Times New Roman" w:cs="Times New Roman"/>
          <w:sz w:val="24"/>
          <w:szCs w:val="24"/>
        </w:rPr>
        <w:t>reduction?.</w:t>
      </w:r>
      <w:proofErr w:type="gramEnd"/>
      <w:r w:rsidRPr="00880A09">
        <w:rPr>
          <w:rFonts w:ascii="Times New Roman" w:hAnsi="Times New Roman" w:cs="Times New Roman"/>
          <w:sz w:val="24"/>
          <w:szCs w:val="24"/>
        </w:rPr>
        <w:t>’ </w:t>
      </w:r>
      <w:r w:rsidRPr="00880A09">
        <w:rPr>
          <w:rFonts w:ascii="Times New Roman" w:hAnsi="Times New Roman" w:cs="Times New Roman"/>
          <w:i/>
          <w:iCs/>
          <w:sz w:val="24"/>
          <w:szCs w:val="24"/>
        </w:rPr>
        <w:t>Electronic Markets</w:t>
      </w:r>
      <w:r w:rsidRPr="00880A09">
        <w:rPr>
          <w:rFonts w:ascii="Times New Roman" w:hAnsi="Times New Roman" w:cs="Times New Roman"/>
          <w:sz w:val="24"/>
          <w:szCs w:val="24"/>
        </w:rPr>
        <w:t>, </w:t>
      </w:r>
      <w:r w:rsidRPr="00880A09">
        <w:rPr>
          <w:rFonts w:ascii="Times New Roman" w:hAnsi="Times New Roman" w:cs="Times New Roman"/>
          <w:i/>
          <w:iCs/>
          <w:sz w:val="24"/>
          <w:szCs w:val="24"/>
        </w:rPr>
        <w:t>31</w:t>
      </w:r>
      <w:r w:rsidRPr="00880A09">
        <w:rPr>
          <w:rFonts w:ascii="Times New Roman" w:hAnsi="Times New Roman" w:cs="Times New Roman"/>
          <w:sz w:val="24"/>
          <w:szCs w:val="24"/>
        </w:rPr>
        <w:t>(3), pp.477-492. Available at:</w:t>
      </w:r>
      <w:r w:rsidRPr="00880A09">
        <w:t xml:space="preserve"> </w:t>
      </w:r>
      <w:hyperlink r:id="rId12" w:history="1">
        <w:r w:rsidRPr="00880A09">
          <w:rPr>
            <w:rStyle w:val="Hyperlink"/>
            <w:rFonts w:ascii="Times New Roman" w:hAnsi="Times New Roman" w:cs="Times New Roman"/>
            <w:sz w:val="24"/>
            <w:szCs w:val="24"/>
          </w:rPr>
          <w:t>https://link.springer.com/article/10.1007/s12525-020-00432-5</w:t>
        </w:r>
      </w:hyperlink>
    </w:p>
    <w:p w14:paraId="73B5FFE9" w14:textId="49582BDB" w:rsidR="00BF79A9" w:rsidRPr="00BF79A9" w:rsidRDefault="00BF79A9" w:rsidP="00BF79A9">
      <w:pPr>
        <w:spacing w:line="360" w:lineRule="auto"/>
        <w:jc w:val="both"/>
        <w:rPr>
          <w:rFonts w:ascii="Times New Roman" w:hAnsi="Times New Roman" w:cs="Times New Roman"/>
          <w:sz w:val="24"/>
          <w:szCs w:val="24"/>
          <w:lang w:val="en-IN"/>
        </w:rPr>
      </w:pPr>
      <w:r w:rsidRPr="00BF79A9">
        <w:rPr>
          <w:rFonts w:ascii="Times New Roman" w:hAnsi="Times New Roman" w:cs="Times New Roman"/>
          <w:sz w:val="24"/>
          <w:szCs w:val="24"/>
          <w:lang w:val="en-IN"/>
        </w:rPr>
        <w:t>Foodservice Equipment Journal. (2023). </w:t>
      </w:r>
      <w:r w:rsidRPr="00BF79A9">
        <w:rPr>
          <w:rFonts w:ascii="Times New Roman" w:hAnsi="Times New Roman" w:cs="Times New Roman"/>
          <w:i/>
          <w:iCs/>
          <w:sz w:val="24"/>
          <w:szCs w:val="24"/>
          <w:lang w:val="en-IN"/>
        </w:rPr>
        <w:t>Greene King pumps £5m into boosting energy efficiency in pubs</w:t>
      </w:r>
      <w:r w:rsidRPr="00BF79A9">
        <w:rPr>
          <w:rFonts w:ascii="Times New Roman" w:hAnsi="Times New Roman" w:cs="Times New Roman"/>
          <w:sz w:val="24"/>
          <w:szCs w:val="24"/>
          <w:lang w:val="en-IN"/>
        </w:rPr>
        <w:t xml:space="preserve">. [online] Available at: </w:t>
      </w:r>
      <w:hyperlink r:id="rId13" w:history="1">
        <w:r w:rsidR="00385B7E" w:rsidRPr="004D35E5">
          <w:rPr>
            <w:rStyle w:val="Hyperlink"/>
            <w:rFonts w:ascii="Times New Roman" w:hAnsi="Times New Roman" w:cs="Times New Roman"/>
            <w:sz w:val="24"/>
            <w:szCs w:val="24"/>
            <w:lang w:val="en-IN"/>
          </w:rPr>
          <w:t>https://www.foodserviceequipmentjournal.com/greene-king-pumps-5m-into-boosting-energy-efficiency-in-pubs/</w:t>
        </w:r>
      </w:hyperlink>
      <w:r w:rsidR="00385B7E">
        <w:rPr>
          <w:rFonts w:ascii="Times New Roman" w:hAnsi="Times New Roman" w:cs="Times New Roman"/>
          <w:sz w:val="24"/>
          <w:szCs w:val="24"/>
          <w:lang w:val="en-IN"/>
        </w:rPr>
        <w:t xml:space="preserve"> </w:t>
      </w:r>
      <w:r w:rsidRPr="00BF79A9">
        <w:rPr>
          <w:rFonts w:ascii="Times New Roman" w:hAnsi="Times New Roman" w:cs="Times New Roman"/>
          <w:sz w:val="24"/>
          <w:szCs w:val="24"/>
          <w:lang w:val="en-IN"/>
        </w:rPr>
        <w:t xml:space="preserve"> [Accessed 11 Nov. 2024].</w:t>
      </w:r>
    </w:p>
    <w:p w14:paraId="144FAFA9" w14:textId="349ED260" w:rsidR="00360649" w:rsidRPr="00BF79A9" w:rsidRDefault="00BF79A9" w:rsidP="00360649">
      <w:pPr>
        <w:spacing w:line="360" w:lineRule="auto"/>
        <w:jc w:val="both"/>
        <w:rPr>
          <w:rFonts w:ascii="Times New Roman" w:hAnsi="Times New Roman" w:cs="Times New Roman"/>
          <w:sz w:val="24"/>
          <w:szCs w:val="24"/>
          <w:lang w:val="en-IN"/>
        </w:rPr>
      </w:pPr>
      <w:r w:rsidRPr="00BF79A9">
        <w:rPr>
          <w:rFonts w:ascii="Times New Roman" w:hAnsi="Times New Roman" w:cs="Times New Roman"/>
          <w:sz w:val="24"/>
          <w:szCs w:val="24"/>
          <w:lang w:val="en-IN"/>
        </w:rPr>
        <w:t>‌</w:t>
      </w:r>
      <w:r w:rsidR="00360649" w:rsidRPr="00880A09">
        <w:rPr>
          <w:rFonts w:ascii="Times New Roman" w:hAnsi="Times New Roman" w:cs="Times New Roman"/>
          <w:sz w:val="24"/>
          <w:szCs w:val="24"/>
        </w:rPr>
        <w:t>GBCC (2023). </w:t>
      </w:r>
      <w:r w:rsidR="00360649" w:rsidRPr="00880A09">
        <w:rPr>
          <w:rFonts w:ascii="Times New Roman" w:hAnsi="Times New Roman" w:cs="Times New Roman"/>
          <w:i/>
          <w:iCs/>
          <w:sz w:val="24"/>
          <w:szCs w:val="24"/>
        </w:rPr>
        <w:t>City hotel exceeding pre-pandemic performance</w:t>
      </w:r>
      <w:r w:rsidR="00360649" w:rsidRPr="00880A09">
        <w:rPr>
          <w:rFonts w:ascii="Times New Roman" w:hAnsi="Times New Roman" w:cs="Times New Roman"/>
          <w:sz w:val="24"/>
          <w:szCs w:val="24"/>
        </w:rPr>
        <w:t xml:space="preserve">. [online] Greaterbirminghamchambers.com. Available at: </w:t>
      </w:r>
      <w:hyperlink r:id="rId14" w:history="1">
        <w:r w:rsidR="00385B7E" w:rsidRPr="004D35E5">
          <w:rPr>
            <w:rStyle w:val="Hyperlink"/>
            <w:rFonts w:ascii="Times New Roman" w:hAnsi="Times New Roman" w:cs="Times New Roman"/>
            <w:sz w:val="24"/>
            <w:szCs w:val="24"/>
          </w:rPr>
          <w:t>https://www.greaterbirminghamchambers.com/resource/city-hotel-exceeding-pre-pandemic-performance.html</w:t>
        </w:r>
      </w:hyperlink>
      <w:r w:rsidR="00385B7E">
        <w:rPr>
          <w:rFonts w:ascii="Times New Roman" w:hAnsi="Times New Roman" w:cs="Times New Roman"/>
          <w:sz w:val="24"/>
          <w:szCs w:val="24"/>
        </w:rPr>
        <w:t xml:space="preserve"> </w:t>
      </w:r>
      <w:r w:rsidR="00360649" w:rsidRPr="00880A09">
        <w:rPr>
          <w:rFonts w:ascii="Times New Roman" w:hAnsi="Times New Roman" w:cs="Times New Roman"/>
          <w:sz w:val="24"/>
          <w:szCs w:val="24"/>
        </w:rPr>
        <w:t>[Accessed 11 Nov. 2024].</w:t>
      </w:r>
    </w:p>
    <w:p w14:paraId="0ED6E05A"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lastRenderedPageBreak/>
        <w:t>Johnson, M.F., Johnson, M.S. and Tessmer, A.C. (2019) ‘Hotel asset and equity risk before, during, and after the global financial crisis.’ </w:t>
      </w:r>
      <w:r w:rsidRPr="00880A09">
        <w:rPr>
          <w:rFonts w:ascii="Times New Roman" w:hAnsi="Times New Roman" w:cs="Times New Roman"/>
          <w:i/>
          <w:iCs/>
          <w:sz w:val="24"/>
          <w:szCs w:val="24"/>
        </w:rPr>
        <w:t>Journal of Hospitality Financial Management</w:t>
      </w:r>
      <w:r w:rsidRPr="00880A09">
        <w:rPr>
          <w:rFonts w:ascii="Times New Roman" w:hAnsi="Times New Roman" w:cs="Times New Roman"/>
          <w:sz w:val="24"/>
          <w:szCs w:val="24"/>
        </w:rPr>
        <w:t>, </w:t>
      </w:r>
      <w:r w:rsidRPr="00880A09">
        <w:rPr>
          <w:rFonts w:ascii="Times New Roman" w:hAnsi="Times New Roman" w:cs="Times New Roman"/>
          <w:i/>
          <w:iCs/>
          <w:sz w:val="24"/>
          <w:szCs w:val="24"/>
        </w:rPr>
        <w:t>27</w:t>
      </w:r>
      <w:r w:rsidRPr="00880A09">
        <w:rPr>
          <w:rFonts w:ascii="Times New Roman" w:hAnsi="Times New Roman" w:cs="Times New Roman"/>
          <w:sz w:val="24"/>
          <w:szCs w:val="24"/>
        </w:rPr>
        <w:t xml:space="preserve">(2), p.2. Available at: </w:t>
      </w:r>
      <w:hyperlink r:id="rId15" w:history="1">
        <w:r w:rsidRPr="00880A09">
          <w:rPr>
            <w:rStyle w:val="Hyperlink"/>
            <w:rFonts w:ascii="Times New Roman" w:hAnsi="Times New Roman" w:cs="Times New Roman"/>
            <w:sz w:val="24"/>
            <w:szCs w:val="24"/>
          </w:rPr>
          <w:t>https://scholarworks.umass.edu/items/e9db5408-ffc6-4cdd-8630-41d132094b53</w:t>
        </w:r>
      </w:hyperlink>
    </w:p>
    <w:p w14:paraId="64698741"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Lawrence, B., Zhang, J.J., Hsu, L. and Zheng, S. (2021) ‘Return on investments in hotel franchising: understanding moderating effects of franchisee dependence.’ </w:t>
      </w:r>
      <w:r w:rsidRPr="00880A09">
        <w:rPr>
          <w:rFonts w:ascii="Times New Roman" w:hAnsi="Times New Roman" w:cs="Times New Roman"/>
          <w:i/>
          <w:iCs/>
          <w:sz w:val="24"/>
          <w:szCs w:val="24"/>
        </w:rPr>
        <w:t>Production and Operations Management</w:t>
      </w:r>
      <w:r w:rsidRPr="00880A09">
        <w:rPr>
          <w:rFonts w:ascii="Times New Roman" w:hAnsi="Times New Roman" w:cs="Times New Roman"/>
          <w:sz w:val="24"/>
          <w:szCs w:val="24"/>
        </w:rPr>
        <w:t>, </w:t>
      </w:r>
      <w:r w:rsidRPr="00880A09">
        <w:rPr>
          <w:rFonts w:ascii="Times New Roman" w:hAnsi="Times New Roman" w:cs="Times New Roman"/>
          <w:i/>
          <w:iCs/>
          <w:sz w:val="24"/>
          <w:szCs w:val="24"/>
        </w:rPr>
        <w:t>30</w:t>
      </w:r>
      <w:r w:rsidRPr="00880A09">
        <w:rPr>
          <w:rFonts w:ascii="Times New Roman" w:hAnsi="Times New Roman" w:cs="Times New Roman"/>
          <w:sz w:val="24"/>
          <w:szCs w:val="24"/>
        </w:rPr>
        <w:t xml:space="preserve">(8), pp.2420-2440. Available at: </w:t>
      </w:r>
      <w:hyperlink r:id="rId16" w:history="1">
        <w:r w:rsidRPr="00880A09">
          <w:rPr>
            <w:rStyle w:val="Hyperlink"/>
            <w:rFonts w:ascii="Times New Roman" w:hAnsi="Times New Roman" w:cs="Times New Roman"/>
            <w:sz w:val="24"/>
            <w:szCs w:val="24"/>
          </w:rPr>
          <w:t>https://journals.sagepub.com/doi/abs/10.1111/poms.13383</w:t>
        </w:r>
      </w:hyperlink>
    </w:p>
    <w:p w14:paraId="3F76A90C" w14:textId="77777777" w:rsidR="009E621D" w:rsidRPr="00880A09" w:rsidRDefault="009E621D" w:rsidP="009E621D">
      <w:pPr>
        <w:spacing w:line="360" w:lineRule="auto"/>
        <w:jc w:val="both"/>
        <w:rPr>
          <w:rFonts w:ascii="Times New Roman" w:hAnsi="Times New Roman" w:cs="Times New Roman"/>
          <w:sz w:val="24"/>
          <w:szCs w:val="24"/>
        </w:rPr>
      </w:pPr>
      <w:r w:rsidRPr="00880A09">
        <w:rPr>
          <w:rFonts w:ascii="Times New Roman" w:hAnsi="Times New Roman" w:cs="Times New Roman"/>
          <w:sz w:val="24"/>
          <w:szCs w:val="24"/>
        </w:rPr>
        <w:t xml:space="preserve">Legrand, W., Chen, J.S. and </w:t>
      </w:r>
      <w:proofErr w:type="spellStart"/>
      <w:r w:rsidRPr="00880A09">
        <w:rPr>
          <w:rFonts w:ascii="Times New Roman" w:hAnsi="Times New Roman" w:cs="Times New Roman"/>
          <w:sz w:val="24"/>
          <w:szCs w:val="24"/>
        </w:rPr>
        <w:t>Laeis</w:t>
      </w:r>
      <w:proofErr w:type="spellEnd"/>
      <w:r w:rsidRPr="00880A09">
        <w:rPr>
          <w:rFonts w:ascii="Times New Roman" w:hAnsi="Times New Roman" w:cs="Times New Roman"/>
          <w:sz w:val="24"/>
          <w:szCs w:val="24"/>
        </w:rPr>
        <w:t>, G.C. (2022) ‘</w:t>
      </w:r>
      <w:r w:rsidRPr="00880A09">
        <w:rPr>
          <w:rFonts w:ascii="Times New Roman" w:hAnsi="Times New Roman" w:cs="Times New Roman"/>
          <w:i/>
          <w:iCs/>
          <w:sz w:val="24"/>
          <w:szCs w:val="24"/>
        </w:rPr>
        <w:t>Sustainability in the hospitality industry: Principles of sustainable operations</w:t>
      </w:r>
      <w:r w:rsidRPr="00880A09">
        <w:rPr>
          <w:rFonts w:ascii="Times New Roman" w:hAnsi="Times New Roman" w:cs="Times New Roman"/>
          <w:sz w:val="24"/>
          <w:szCs w:val="24"/>
        </w:rPr>
        <w:t xml:space="preserve">.’ Routledge. Available at: </w:t>
      </w:r>
      <w:hyperlink r:id="rId17" w:tgtFrame="_blank" w:history="1">
        <w:r w:rsidRPr="00880A09">
          <w:rPr>
            <w:rStyle w:val="Hyperlink"/>
            <w:rFonts w:ascii="Times New Roman" w:hAnsi="Times New Roman" w:cs="Times New Roman"/>
            <w:sz w:val="24"/>
            <w:szCs w:val="24"/>
          </w:rPr>
          <w:t>https://doi.org/10.4324/9781003081128</w:t>
        </w:r>
      </w:hyperlink>
    </w:p>
    <w:p w14:paraId="4640026F" w14:textId="77777777" w:rsidR="009E621D" w:rsidRPr="00880A09" w:rsidRDefault="009E621D" w:rsidP="009E621D">
      <w:pPr>
        <w:spacing w:line="360" w:lineRule="auto"/>
        <w:jc w:val="both"/>
        <w:rPr>
          <w:rFonts w:ascii="Times New Roman" w:hAnsi="Times New Roman" w:cs="Times New Roman"/>
          <w:sz w:val="24"/>
          <w:szCs w:val="24"/>
        </w:rPr>
      </w:pPr>
      <w:proofErr w:type="spellStart"/>
      <w:r w:rsidRPr="00880A09">
        <w:rPr>
          <w:rFonts w:ascii="Times New Roman" w:hAnsi="Times New Roman" w:cs="Times New Roman"/>
          <w:sz w:val="24"/>
          <w:szCs w:val="24"/>
        </w:rPr>
        <w:t>Nastasoiu</w:t>
      </w:r>
      <w:proofErr w:type="spellEnd"/>
      <w:r w:rsidRPr="00880A09">
        <w:rPr>
          <w:rFonts w:ascii="Times New Roman" w:hAnsi="Times New Roman" w:cs="Times New Roman"/>
          <w:sz w:val="24"/>
          <w:szCs w:val="24"/>
        </w:rPr>
        <w:t xml:space="preserve">, A. and </w:t>
      </w:r>
      <w:proofErr w:type="spellStart"/>
      <w:r w:rsidRPr="00880A09">
        <w:rPr>
          <w:rFonts w:ascii="Times New Roman" w:hAnsi="Times New Roman" w:cs="Times New Roman"/>
          <w:sz w:val="24"/>
          <w:szCs w:val="24"/>
        </w:rPr>
        <w:t>Vandenbosch</w:t>
      </w:r>
      <w:proofErr w:type="spellEnd"/>
      <w:r w:rsidRPr="00880A09">
        <w:rPr>
          <w:rFonts w:ascii="Times New Roman" w:hAnsi="Times New Roman" w:cs="Times New Roman"/>
          <w:sz w:val="24"/>
          <w:szCs w:val="24"/>
        </w:rPr>
        <w:t>, M. (2019) ‘Competing with loyalty: How to design successful customer loyalty reward programs.’ </w:t>
      </w:r>
      <w:r w:rsidRPr="00880A09">
        <w:rPr>
          <w:rFonts w:ascii="Times New Roman" w:hAnsi="Times New Roman" w:cs="Times New Roman"/>
          <w:i/>
          <w:iCs/>
          <w:sz w:val="24"/>
          <w:szCs w:val="24"/>
        </w:rPr>
        <w:t>Business Horizons</w:t>
      </w:r>
      <w:r w:rsidRPr="00880A09">
        <w:rPr>
          <w:rFonts w:ascii="Times New Roman" w:hAnsi="Times New Roman" w:cs="Times New Roman"/>
          <w:sz w:val="24"/>
          <w:szCs w:val="24"/>
        </w:rPr>
        <w:t>, </w:t>
      </w:r>
      <w:r w:rsidRPr="00880A09">
        <w:rPr>
          <w:rFonts w:ascii="Times New Roman" w:hAnsi="Times New Roman" w:cs="Times New Roman"/>
          <w:i/>
          <w:iCs/>
          <w:sz w:val="24"/>
          <w:szCs w:val="24"/>
        </w:rPr>
        <w:t>62</w:t>
      </w:r>
      <w:r w:rsidRPr="00880A09">
        <w:rPr>
          <w:rFonts w:ascii="Times New Roman" w:hAnsi="Times New Roman" w:cs="Times New Roman"/>
          <w:sz w:val="24"/>
          <w:szCs w:val="24"/>
        </w:rPr>
        <w:t xml:space="preserve">(2), pp.207-214. Available at: </w:t>
      </w:r>
      <w:hyperlink r:id="rId18" w:history="1">
        <w:r w:rsidRPr="00880A09">
          <w:rPr>
            <w:rStyle w:val="Hyperlink"/>
            <w:rFonts w:ascii="Times New Roman" w:hAnsi="Times New Roman" w:cs="Times New Roman"/>
            <w:sz w:val="24"/>
            <w:szCs w:val="24"/>
          </w:rPr>
          <w:t>https://www.sciencedirect.com/science/article/abs/pii/S0007681318301873</w:t>
        </w:r>
      </w:hyperlink>
    </w:p>
    <w:p w14:paraId="20AA2455" w14:textId="77777777" w:rsidR="009E621D" w:rsidRPr="00880A09" w:rsidRDefault="009E621D" w:rsidP="009E621D">
      <w:pPr>
        <w:spacing w:line="360" w:lineRule="auto"/>
        <w:jc w:val="both"/>
        <w:rPr>
          <w:rFonts w:ascii="Times New Roman" w:hAnsi="Times New Roman" w:cs="Times New Roman"/>
          <w:sz w:val="24"/>
          <w:szCs w:val="24"/>
        </w:rPr>
      </w:pPr>
      <w:proofErr w:type="spellStart"/>
      <w:r w:rsidRPr="00880A09">
        <w:rPr>
          <w:rFonts w:ascii="Times New Roman" w:hAnsi="Times New Roman" w:cs="Times New Roman"/>
          <w:sz w:val="24"/>
          <w:szCs w:val="24"/>
        </w:rPr>
        <w:t>Syapikah</w:t>
      </w:r>
      <w:proofErr w:type="spellEnd"/>
      <w:r w:rsidRPr="00880A09">
        <w:rPr>
          <w:rFonts w:ascii="Times New Roman" w:hAnsi="Times New Roman" w:cs="Times New Roman"/>
          <w:sz w:val="24"/>
          <w:szCs w:val="24"/>
        </w:rPr>
        <w:t>, E. (2018) ‘Liquidity Risk and Its Determinants: A Study on Hotel Industry in United Kingdom.’ </w:t>
      </w:r>
      <w:r w:rsidRPr="00880A09">
        <w:rPr>
          <w:rFonts w:ascii="Times New Roman" w:hAnsi="Times New Roman" w:cs="Times New Roman"/>
          <w:i/>
          <w:iCs/>
          <w:sz w:val="24"/>
          <w:szCs w:val="24"/>
        </w:rPr>
        <w:t>Available at SSRN 3181646</w:t>
      </w:r>
      <w:r w:rsidRPr="00880A09">
        <w:rPr>
          <w:rFonts w:ascii="Times New Roman" w:hAnsi="Times New Roman" w:cs="Times New Roman"/>
          <w:sz w:val="24"/>
          <w:szCs w:val="24"/>
        </w:rPr>
        <w:t xml:space="preserve">. Available at: </w:t>
      </w:r>
      <w:hyperlink r:id="rId19" w:history="1">
        <w:r w:rsidRPr="00880A09">
          <w:rPr>
            <w:rStyle w:val="Hyperlink"/>
            <w:rFonts w:ascii="Times New Roman" w:hAnsi="Times New Roman" w:cs="Times New Roman"/>
            <w:sz w:val="24"/>
            <w:szCs w:val="24"/>
          </w:rPr>
          <w:t>https://papers.ssrn.com/sol3/papers.cfm?abstract_id=3181646</w:t>
        </w:r>
      </w:hyperlink>
    </w:p>
    <w:p w14:paraId="3A4099B6" w14:textId="77777777" w:rsidR="009E621D" w:rsidRPr="00880A09" w:rsidRDefault="009E621D" w:rsidP="009E621D">
      <w:pPr>
        <w:spacing w:line="360" w:lineRule="auto"/>
        <w:jc w:val="both"/>
        <w:rPr>
          <w:rFonts w:ascii="Times New Roman" w:hAnsi="Times New Roman" w:cs="Times New Roman"/>
          <w:sz w:val="24"/>
          <w:szCs w:val="24"/>
        </w:rPr>
      </w:pPr>
    </w:p>
    <w:p w14:paraId="3358F08F" w14:textId="77777777" w:rsidR="005A408A" w:rsidRPr="00880A09" w:rsidRDefault="005A408A" w:rsidP="005A408A"/>
    <w:p w14:paraId="30BDE12B" w14:textId="2BC287A7" w:rsidR="00A309D2" w:rsidRPr="00880A09" w:rsidRDefault="00A309D2">
      <w:pPr>
        <w:rPr>
          <w:rFonts w:ascii="Times New Roman" w:hAnsi="Times New Roman" w:cs="Times New Roman"/>
          <w:b/>
          <w:bCs/>
          <w:sz w:val="24"/>
          <w:szCs w:val="24"/>
        </w:rPr>
      </w:pPr>
    </w:p>
    <w:sectPr w:rsidR="00A309D2" w:rsidRPr="00880A0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DCA48E" w14:textId="77777777" w:rsidR="00A93FE5" w:rsidRDefault="00A93FE5" w:rsidP="004737E3">
      <w:pPr>
        <w:spacing w:after="0" w:line="240" w:lineRule="auto"/>
      </w:pPr>
      <w:r>
        <w:separator/>
      </w:r>
    </w:p>
  </w:endnote>
  <w:endnote w:type="continuationSeparator" w:id="0">
    <w:p w14:paraId="59130442" w14:textId="77777777" w:rsidR="00A93FE5" w:rsidRDefault="00A93FE5" w:rsidP="00473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831553"/>
      <w:docPartObj>
        <w:docPartGallery w:val="Page Numbers (Bottom of Page)"/>
        <w:docPartUnique/>
      </w:docPartObj>
    </w:sdtPr>
    <w:sdtContent>
      <w:sdt>
        <w:sdtPr>
          <w:id w:val="-1769616900"/>
          <w:docPartObj>
            <w:docPartGallery w:val="Page Numbers (Top of Page)"/>
            <w:docPartUnique/>
          </w:docPartObj>
        </w:sdtPr>
        <w:sdtContent>
          <w:p w14:paraId="25608B0F" w14:textId="144ABC89" w:rsidR="00385B7E" w:rsidRDefault="00385B7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5D660FA" w14:textId="77777777" w:rsidR="006B7C1B" w:rsidRDefault="006B7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455927" w14:textId="77777777" w:rsidR="00A93FE5" w:rsidRDefault="00A93FE5" w:rsidP="004737E3">
      <w:pPr>
        <w:spacing w:after="0" w:line="240" w:lineRule="auto"/>
      </w:pPr>
      <w:r>
        <w:separator/>
      </w:r>
    </w:p>
  </w:footnote>
  <w:footnote w:type="continuationSeparator" w:id="0">
    <w:p w14:paraId="7E7E7036" w14:textId="77777777" w:rsidR="00A93FE5" w:rsidRDefault="00A93FE5" w:rsidP="004737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E1E58"/>
    <w:multiLevelType w:val="multilevel"/>
    <w:tmpl w:val="76CA9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3136D"/>
    <w:multiLevelType w:val="multilevel"/>
    <w:tmpl w:val="E7EA8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3B387C"/>
    <w:multiLevelType w:val="multilevel"/>
    <w:tmpl w:val="6068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EB7E30"/>
    <w:multiLevelType w:val="multilevel"/>
    <w:tmpl w:val="83D62D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B124DD"/>
    <w:multiLevelType w:val="multilevel"/>
    <w:tmpl w:val="DCA8D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2F0358"/>
    <w:multiLevelType w:val="multilevel"/>
    <w:tmpl w:val="D688C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C97FC4"/>
    <w:multiLevelType w:val="multilevel"/>
    <w:tmpl w:val="B2AA8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9F4BB5"/>
    <w:multiLevelType w:val="multilevel"/>
    <w:tmpl w:val="5CFE0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BC1EE5"/>
    <w:multiLevelType w:val="multilevel"/>
    <w:tmpl w:val="D9344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8721357">
    <w:abstractNumId w:val="2"/>
  </w:num>
  <w:num w:numId="2" w16cid:durableId="175660395">
    <w:abstractNumId w:val="3"/>
  </w:num>
  <w:num w:numId="3" w16cid:durableId="1199313218">
    <w:abstractNumId w:val="7"/>
  </w:num>
  <w:num w:numId="4" w16cid:durableId="776291099">
    <w:abstractNumId w:val="8"/>
  </w:num>
  <w:num w:numId="5" w16cid:durableId="2048138546">
    <w:abstractNumId w:val="1"/>
  </w:num>
  <w:num w:numId="6" w16cid:durableId="348871659">
    <w:abstractNumId w:val="5"/>
  </w:num>
  <w:num w:numId="7" w16cid:durableId="254019944">
    <w:abstractNumId w:val="0"/>
  </w:num>
  <w:num w:numId="8" w16cid:durableId="944114656">
    <w:abstractNumId w:val="6"/>
  </w:num>
  <w:num w:numId="9" w16cid:durableId="4537946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E5B"/>
    <w:rsid w:val="000E0B84"/>
    <w:rsid w:val="00127D23"/>
    <w:rsid w:val="00142B99"/>
    <w:rsid w:val="001D6CD3"/>
    <w:rsid w:val="002A48F4"/>
    <w:rsid w:val="002E19E5"/>
    <w:rsid w:val="00360649"/>
    <w:rsid w:val="00385B7E"/>
    <w:rsid w:val="004737E3"/>
    <w:rsid w:val="00563D16"/>
    <w:rsid w:val="00593A50"/>
    <w:rsid w:val="005A408A"/>
    <w:rsid w:val="00681B73"/>
    <w:rsid w:val="006B2600"/>
    <w:rsid w:val="006B7C1B"/>
    <w:rsid w:val="00721E5B"/>
    <w:rsid w:val="00791837"/>
    <w:rsid w:val="007B03CE"/>
    <w:rsid w:val="007B6200"/>
    <w:rsid w:val="00802C0A"/>
    <w:rsid w:val="00850F8B"/>
    <w:rsid w:val="00880A09"/>
    <w:rsid w:val="00887AB4"/>
    <w:rsid w:val="008B75A6"/>
    <w:rsid w:val="008E4818"/>
    <w:rsid w:val="00910B13"/>
    <w:rsid w:val="00996DC1"/>
    <w:rsid w:val="009E621D"/>
    <w:rsid w:val="00A24D46"/>
    <w:rsid w:val="00A309D2"/>
    <w:rsid w:val="00A70540"/>
    <w:rsid w:val="00A93FE5"/>
    <w:rsid w:val="00AE690A"/>
    <w:rsid w:val="00B148B5"/>
    <w:rsid w:val="00BF79A9"/>
    <w:rsid w:val="00D05F6D"/>
    <w:rsid w:val="00D1239D"/>
    <w:rsid w:val="00D676EE"/>
    <w:rsid w:val="00D86C58"/>
    <w:rsid w:val="00DC39D2"/>
    <w:rsid w:val="00EB33D3"/>
    <w:rsid w:val="00EB720E"/>
    <w:rsid w:val="00F823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ACDD5E"/>
  <w15:docId w15:val="{6EAA0382-337A-49E9-A0A6-57A114BE9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08A"/>
    <w:pPr>
      <w:spacing w:after="200" w:line="276" w:lineRule="auto"/>
    </w:pPr>
    <w:rPr>
      <w:kern w:val="0"/>
      <w14:ligatures w14:val="none"/>
    </w:rPr>
  </w:style>
  <w:style w:type="paragraph" w:styleId="Heading1">
    <w:name w:val="heading 1"/>
    <w:basedOn w:val="Normal"/>
    <w:next w:val="Normal"/>
    <w:link w:val="Heading1Char"/>
    <w:uiPriority w:val="9"/>
    <w:qFormat/>
    <w:rsid w:val="00721E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1E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1E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1E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1E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1E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1E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1E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1E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E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1E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1E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1E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1E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1E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1E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1E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1E5B"/>
    <w:rPr>
      <w:rFonts w:eastAsiaTheme="majorEastAsia" w:cstheme="majorBidi"/>
      <w:color w:val="272727" w:themeColor="text1" w:themeTint="D8"/>
    </w:rPr>
  </w:style>
  <w:style w:type="paragraph" w:styleId="Title">
    <w:name w:val="Title"/>
    <w:basedOn w:val="Normal"/>
    <w:next w:val="Normal"/>
    <w:link w:val="TitleChar"/>
    <w:uiPriority w:val="10"/>
    <w:qFormat/>
    <w:rsid w:val="00721E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1E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1E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1E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1E5B"/>
    <w:pPr>
      <w:spacing w:before="160"/>
      <w:jc w:val="center"/>
    </w:pPr>
    <w:rPr>
      <w:i/>
      <w:iCs/>
      <w:color w:val="404040" w:themeColor="text1" w:themeTint="BF"/>
    </w:rPr>
  </w:style>
  <w:style w:type="character" w:customStyle="1" w:styleId="QuoteChar">
    <w:name w:val="Quote Char"/>
    <w:basedOn w:val="DefaultParagraphFont"/>
    <w:link w:val="Quote"/>
    <w:uiPriority w:val="29"/>
    <w:rsid w:val="00721E5B"/>
    <w:rPr>
      <w:i/>
      <w:iCs/>
      <w:color w:val="404040" w:themeColor="text1" w:themeTint="BF"/>
    </w:rPr>
  </w:style>
  <w:style w:type="paragraph" w:styleId="ListParagraph">
    <w:name w:val="List Paragraph"/>
    <w:basedOn w:val="Normal"/>
    <w:uiPriority w:val="34"/>
    <w:qFormat/>
    <w:rsid w:val="00721E5B"/>
    <w:pPr>
      <w:ind w:left="720"/>
      <w:contextualSpacing/>
    </w:pPr>
  </w:style>
  <w:style w:type="character" w:styleId="IntenseEmphasis">
    <w:name w:val="Intense Emphasis"/>
    <w:basedOn w:val="DefaultParagraphFont"/>
    <w:uiPriority w:val="21"/>
    <w:qFormat/>
    <w:rsid w:val="00721E5B"/>
    <w:rPr>
      <w:i/>
      <w:iCs/>
      <w:color w:val="0F4761" w:themeColor="accent1" w:themeShade="BF"/>
    </w:rPr>
  </w:style>
  <w:style w:type="paragraph" w:styleId="IntenseQuote">
    <w:name w:val="Intense Quote"/>
    <w:basedOn w:val="Normal"/>
    <w:next w:val="Normal"/>
    <w:link w:val="IntenseQuoteChar"/>
    <w:uiPriority w:val="30"/>
    <w:qFormat/>
    <w:rsid w:val="00721E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1E5B"/>
    <w:rPr>
      <w:i/>
      <w:iCs/>
      <w:color w:val="0F4761" w:themeColor="accent1" w:themeShade="BF"/>
    </w:rPr>
  </w:style>
  <w:style w:type="character" w:styleId="IntenseReference">
    <w:name w:val="Intense Reference"/>
    <w:basedOn w:val="DefaultParagraphFont"/>
    <w:uiPriority w:val="32"/>
    <w:qFormat/>
    <w:rsid w:val="00721E5B"/>
    <w:rPr>
      <w:b/>
      <w:bCs/>
      <w:smallCaps/>
      <w:color w:val="0F4761" w:themeColor="accent1" w:themeShade="BF"/>
      <w:spacing w:val="5"/>
    </w:rPr>
  </w:style>
  <w:style w:type="character" w:styleId="Hyperlink">
    <w:name w:val="Hyperlink"/>
    <w:basedOn w:val="DefaultParagraphFont"/>
    <w:uiPriority w:val="99"/>
    <w:unhideWhenUsed/>
    <w:rsid w:val="009E621D"/>
    <w:rPr>
      <w:color w:val="467886" w:themeColor="hyperlink"/>
      <w:u w:val="single"/>
    </w:rPr>
  </w:style>
  <w:style w:type="paragraph" w:styleId="TOCHeading">
    <w:name w:val="TOC Heading"/>
    <w:basedOn w:val="Heading1"/>
    <w:next w:val="Normal"/>
    <w:uiPriority w:val="39"/>
    <w:semiHidden/>
    <w:unhideWhenUsed/>
    <w:qFormat/>
    <w:rsid w:val="009E621D"/>
    <w:pPr>
      <w:spacing w:before="480" w:after="0"/>
      <w:outlineLvl w:val="9"/>
    </w:pPr>
    <w:rPr>
      <w:b/>
      <w:bCs/>
      <w:sz w:val="28"/>
      <w:szCs w:val="28"/>
      <w:lang w:val="en-US" w:eastAsia="ja-JP"/>
    </w:rPr>
  </w:style>
  <w:style w:type="paragraph" w:styleId="TOC1">
    <w:name w:val="toc 1"/>
    <w:basedOn w:val="Normal"/>
    <w:next w:val="Normal"/>
    <w:autoRedefine/>
    <w:uiPriority w:val="39"/>
    <w:unhideWhenUsed/>
    <w:rsid w:val="009E621D"/>
    <w:pPr>
      <w:spacing w:after="100"/>
    </w:pPr>
  </w:style>
  <w:style w:type="paragraph" w:styleId="Header">
    <w:name w:val="header"/>
    <w:basedOn w:val="Normal"/>
    <w:link w:val="HeaderChar"/>
    <w:uiPriority w:val="99"/>
    <w:unhideWhenUsed/>
    <w:rsid w:val="00473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7E3"/>
    <w:rPr>
      <w:kern w:val="0"/>
      <w14:ligatures w14:val="none"/>
    </w:rPr>
  </w:style>
  <w:style w:type="paragraph" w:styleId="Footer">
    <w:name w:val="footer"/>
    <w:basedOn w:val="Normal"/>
    <w:link w:val="FooterChar"/>
    <w:uiPriority w:val="99"/>
    <w:unhideWhenUsed/>
    <w:rsid w:val="00473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7E3"/>
    <w:rPr>
      <w:kern w:val="0"/>
      <w14:ligatures w14:val="none"/>
    </w:rPr>
  </w:style>
  <w:style w:type="character" w:styleId="CommentReference">
    <w:name w:val="annotation reference"/>
    <w:basedOn w:val="DefaultParagraphFont"/>
    <w:uiPriority w:val="99"/>
    <w:semiHidden/>
    <w:unhideWhenUsed/>
    <w:rsid w:val="00127D23"/>
    <w:rPr>
      <w:sz w:val="16"/>
      <w:szCs w:val="16"/>
    </w:rPr>
  </w:style>
  <w:style w:type="paragraph" w:styleId="CommentText">
    <w:name w:val="annotation text"/>
    <w:basedOn w:val="Normal"/>
    <w:link w:val="CommentTextChar"/>
    <w:uiPriority w:val="99"/>
    <w:unhideWhenUsed/>
    <w:rsid w:val="00127D23"/>
    <w:pPr>
      <w:spacing w:line="240" w:lineRule="auto"/>
    </w:pPr>
    <w:rPr>
      <w:sz w:val="20"/>
      <w:szCs w:val="20"/>
    </w:rPr>
  </w:style>
  <w:style w:type="character" w:customStyle="1" w:styleId="CommentTextChar">
    <w:name w:val="Comment Text Char"/>
    <w:basedOn w:val="DefaultParagraphFont"/>
    <w:link w:val="CommentText"/>
    <w:uiPriority w:val="99"/>
    <w:rsid w:val="00127D23"/>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27D23"/>
    <w:rPr>
      <w:b/>
      <w:bCs/>
    </w:rPr>
  </w:style>
  <w:style w:type="character" w:customStyle="1" w:styleId="CommentSubjectChar">
    <w:name w:val="Comment Subject Char"/>
    <w:basedOn w:val="CommentTextChar"/>
    <w:link w:val="CommentSubject"/>
    <w:uiPriority w:val="99"/>
    <w:semiHidden/>
    <w:rsid w:val="00127D23"/>
    <w:rPr>
      <w:b/>
      <w:bCs/>
      <w:kern w:val="0"/>
      <w:sz w:val="20"/>
      <w:szCs w:val="20"/>
      <w14:ligatures w14:val="none"/>
    </w:rPr>
  </w:style>
  <w:style w:type="character" w:styleId="FollowedHyperlink">
    <w:name w:val="FollowedHyperlink"/>
    <w:basedOn w:val="DefaultParagraphFont"/>
    <w:uiPriority w:val="99"/>
    <w:semiHidden/>
    <w:unhideWhenUsed/>
    <w:rsid w:val="00127D23"/>
    <w:rPr>
      <w:color w:val="96607D" w:themeColor="followedHyperlink"/>
      <w:u w:val="single"/>
    </w:rPr>
  </w:style>
  <w:style w:type="paragraph" w:styleId="BalloonText">
    <w:name w:val="Balloon Text"/>
    <w:basedOn w:val="Normal"/>
    <w:link w:val="BalloonTextChar"/>
    <w:uiPriority w:val="99"/>
    <w:semiHidden/>
    <w:unhideWhenUsed/>
    <w:rsid w:val="006B7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7C1B"/>
    <w:rPr>
      <w:rFonts w:ascii="Tahoma" w:hAnsi="Tahoma" w:cs="Tahoma"/>
      <w:kern w:val="0"/>
      <w:sz w:val="16"/>
      <w:szCs w:val="16"/>
      <w14:ligatures w14:val="none"/>
    </w:rPr>
  </w:style>
  <w:style w:type="paragraph" w:styleId="NormalWeb">
    <w:name w:val="Normal (Web)"/>
    <w:basedOn w:val="Normal"/>
    <w:uiPriority w:val="99"/>
    <w:semiHidden/>
    <w:unhideWhenUsed/>
    <w:rsid w:val="00593A50"/>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385B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165109">
      <w:bodyDiv w:val="1"/>
      <w:marLeft w:val="0"/>
      <w:marRight w:val="0"/>
      <w:marTop w:val="0"/>
      <w:marBottom w:val="0"/>
      <w:divBdr>
        <w:top w:val="none" w:sz="0" w:space="0" w:color="auto"/>
        <w:left w:val="none" w:sz="0" w:space="0" w:color="auto"/>
        <w:bottom w:val="none" w:sz="0" w:space="0" w:color="auto"/>
        <w:right w:val="none" w:sz="0" w:space="0" w:color="auto"/>
      </w:divBdr>
      <w:divsChild>
        <w:div w:id="2076388372">
          <w:marLeft w:val="0"/>
          <w:marRight w:val="0"/>
          <w:marTop w:val="0"/>
          <w:marBottom w:val="0"/>
          <w:divBdr>
            <w:top w:val="none" w:sz="0" w:space="0" w:color="auto"/>
            <w:left w:val="none" w:sz="0" w:space="0" w:color="auto"/>
            <w:bottom w:val="none" w:sz="0" w:space="0" w:color="auto"/>
            <w:right w:val="none" w:sz="0" w:space="0" w:color="auto"/>
          </w:divBdr>
        </w:div>
        <w:div w:id="213271283">
          <w:marLeft w:val="0"/>
          <w:marRight w:val="0"/>
          <w:marTop w:val="0"/>
          <w:marBottom w:val="0"/>
          <w:divBdr>
            <w:top w:val="none" w:sz="0" w:space="0" w:color="auto"/>
            <w:left w:val="none" w:sz="0" w:space="0" w:color="auto"/>
            <w:bottom w:val="none" w:sz="0" w:space="0" w:color="auto"/>
            <w:right w:val="none" w:sz="0" w:space="0" w:color="auto"/>
          </w:divBdr>
        </w:div>
      </w:divsChild>
    </w:div>
    <w:div w:id="78410281">
      <w:bodyDiv w:val="1"/>
      <w:marLeft w:val="0"/>
      <w:marRight w:val="0"/>
      <w:marTop w:val="0"/>
      <w:marBottom w:val="0"/>
      <w:divBdr>
        <w:top w:val="none" w:sz="0" w:space="0" w:color="auto"/>
        <w:left w:val="none" w:sz="0" w:space="0" w:color="auto"/>
        <w:bottom w:val="none" w:sz="0" w:space="0" w:color="auto"/>
        <w:right w:val="none" w:sz="0" w:space="0" w:color="auto"/>
      </w:divBdr>
    </w:div>
    <w:div w:id="109670649">
      <w:bodyDiv w:val="1"/>
      <w:marLeft w:val="0"/>
      <w:marRight w:val="0"/>
      <w:marTop w:val="0"/>
      <w:marBottom w:val="0"/>
      <w:divBdr>
        <w:top w:val="none" w:sz="0" w:space="0" w:color="auto"/>
        <w:left w:val="none" w:sz="0" w:space="0" w:color="auto"/>
        <w:bottom w:val="none" w:sz="0" w:space="0" w:color="auto"/>
        <w:right w:val="none" w:sz="0" w:space="0" w:color="auto"/>
      </w:divBdr>
      <w:divsChild>
        <w:div w:id="934556737">
          <w:marLeft w:val="0"/>
          <w:marRight w:val="0"/>
          <w:marTop w:val="0"/>
          <w:marBottom w:val="0"/>
          <w:divBdr>
            <w:top w:val="none" w:sz="0" w:space="0" w:color="auto"/>
            <w:left w:val="none" w:sz="0" w:space="0" w:color="auto"/>
            <w:bottom w:val="none" w:sz="0" w:space="0" w:color="auto"/>
            <w:right w:val="none" w:sz="0" w:space="0" w:color="auto"/>
          </w:divBdr>
        </w:div>
        <w:div w:id="765882740">
          <w:marLeft w:val="0"/>
          <w:marRight w:val="0"/>
          <w:marTop w:val="0"/>
          <w:marBottom w:val="0"/>
          <w:divBdr>
            <w:top w:val="none" w:sz="0" w:space="0" w:color="auto"/>
            <w:left w:val="none" w:sz="0" w:space="0" w:color="auto"/>
            <w:bottom w:val="none" w:sz="0" w:space="0" w:color="auto"/>
            <w:right w:val="none" w:sz="0" w:space="0" w:color="auto"/>
          </w:divBdr>
        </w:div>
      </w:divsChild>
    </w:div>
    <w:div w:id="266734457">
      <w:bodyDiv w:val="1"/>
      <w:marLeft w:val="0"/>
      <w:marRight w:val="0"/>
      <w:marTop w:val="0"/>
      <w:marBottom w:val="0"/>
      <w:divBdr>
        <w:top w:val="none" w:sz="0" w:space="0" w:color="auto"/>
        <w:left w:val="none" w:sz="0" w:space="0" w:color="auto"/>
        <w:bottom w:val="none" w:sz="0" w:space="0" w:color="auto"/>
        <w:right w:val="none" w:sz="0" w:space="0" w:color="auto"/>
      </w:divBdr>
    </w:div>
    <w:div w:id="308246637">
      <w:bodyDiv w:val="1"/>
      <w:marLeft w:val="0"/>
      <w:marRight w:val="0"/>
      <w:marTop w:val="0"/>
      <w:marBottom w:val="0"/>
      <w:divBdr>
        <w:top w:val="none" w:sz="0" w:space="0" w:color="auto"/>
        <w:left w:val="none" w:sz="0" w:space="0" w:color="auto"/>
        <w:bottom w:val="none" w:sz="0" w:space="0" w:color="auto"/>
        <w:right w:val="none" w:sz="0" w:space="0" w:color="auto"/>
      </w:divBdr>
    </w:div>
    <w:div w:id="379743387">
      <w:bodyDiv w:val="1"/>
      <w:marLeft w:val="0"/>
      <w:marRight w:val="0"/>
      <w:marTop w:val="0"/>
      <w:marBottom w:val="0"/>
      <w:divBdr>
        <w:top w:val="none" w:sz="0" w:space="0" w:color="auto"/>
        <w:left w:val="none" w:sz="0" w:space="0" w:color="auto"/>
        <w:bottom w:val="none" w:sz="0" w:space="0" w:color="auto"/>
        <w:right w:val="none" w:sz="0" w:space="0" w:color="auto"/>
      </w:divBdr>
    </w:div>
    <w:div w:id="685205493">
      <w:bodyDiv w:val="1"/>
      <w:marLeft w:val="0"/>
      <w:marRight w:val="0"/>
      <w:marTop w:val="0"/>
      <w:marBottom w:val="0"/>
      <w:divBdr>
        <w:top w:val="none" w:sz="0" w:space="0" w:color="auto"/>
        <w:left w:val="none" w:sz="0" w:space="0" w:color="auto"/>
        <w:bottom w:val="none" w:sz="0" w:space="0" w:color="auto"/>
        <w:right w:val="none" w:sz="0" w:space="0" w:color="auto"/>
      </w:divBdr>
    </w:div>
    <w:div w:id="1164858807">
      <w:bodyDiv w:val="1"/>
      <w:marLeft w:val="0"/>
      <w:marRight w:val="0"/>
      <w:marTop w:val="0"/>
      <w:marBottom w:val="0"/>
      <w:divBdr>
        <w:top w:val="none" w:sz="0" w:space="0" w:color="auto"/>
        <w:left w:val="none" w:sz="0" w:space="0" w:color="auto"/>
        <w:bottom w:val="none" w:sz="0" w:space="0" w:color="auto"/>
        <w:right w:val="none" w:sz="0" w:space="0" w:color="auto"/>
      </w:divBdr>
    </w:div>
    <w:div w:id="1385711805">
      <w:bodyDiv w:val="1"/>
      <w:marLeft w:val="0"/>
      <w:marRight w:val="0"/>
      <w:marTop w:val="0"/>
      <w:marBottom w:val="0"/>
      <w:divBdr>
        <w:top w:val="none" w:sz="0" w:space="0" w:color="auto"/>
        <w:left w:val="none" w:sz="0" w:space="0" w:color="auto"/>
        <w:bottom w:val="none" w:sz="0" w:space="0" w:color="auto"/>
        <w:right w:val="none" w:sz="0" w:space="0" w:color="auto"/>
      </w:divBdr>
    </w:div>
    <w:div w:id="1629892519">
      <w:bodyDiv w:val="1"/>
      <w:marLeft w:val="0"/>
      <w:marRight w:val="0"/>
      <w:marTop w:val="0"/>
      <w:marBottom w:val="0"/>
      <w:divBdr>
        <w:top w:val="none" w:sz="0" w:space="0" w:color="auto"/>
        <w:left w:val="none" w:sz="0" w:space="0" w:color="auto"/>
        <w:bottom w:val="none" w:sz="0" w:space="0" w:color="auto"/>
        <w:right w:val="none" w:sz="0" w:space="0" w:color="auto"/>
      </w:divBdr>
    </w:div>
    <w:div w:id="1710255706">
      <w:bodyDiv w:val="1"/>
      <w:marLeft w:val="0"/>
      <w:marRight w:val="0"/>
      <w:marTop w:val="0"/>
      <w:marBottom w:val="0"/>
      <w:divBdr>
        <w:top w:val="none" w:sz="0" w:space="0" w:color="auto"/>
        <w:left w:val="none" w:sz="0" w:space="0" w:color="auto"/>
        <w:bottom w:val="none" w:sz="0" w:space="0" w:color="auto"/>
        <w:right w:val="none" w:sz="0" w:space="0" w:color="auto"/>
      </w:divBdr>
    </w:div>
    <w:div w:id="2086368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o.uk/whitbread-completes-the-sale-and-leaseback-of-two-operational-hotels/" TargetMode="External"/><Relationship Id="rId13" Type="http://schemas.openxmlformats.org/officeDocument/2006/relationships/hyperlink" Target="https://www.foodserviceequipmentjournal.com/greene-king-pumps-5m-into-boosting-energy-efficiency-in-pubs/" TargetMode="External"/><Relationship Id="rId18" Type="http://schemas.openxmlformats.org/officeDocument/2006/relationships/hyperlink" Target="https://www.sciencedirect.com/science/article/abs/pii/S000768131830187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link.springer.com/article/10.1007/s12525-020-00432-5" TargetMode="External"/><Relationship Id="rId17" Type="http://schemas.openxmlformats.org/officeDocument/2006/relationships/hyperlink" Target="https://doi.org/10.4324/9781003081128" TargetMode="External"/><Relationship Id="rId2" Type="http://schemas.openxmlformats.org/officeDocument/2006/relationships/styles" Target="styles.xml"/><Relationship Id="rId16" Type="http://schemas.openxmlformats.org/officeDocument/2006/relationships/hyperlink" Target="https://journals.sagepub.com/doi/abs/10.1111/poms.13383"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ylorfrancis.com/books/mono/10.4324/9781003341352/managing-global-supply-chains-ron-basu" TargetMode="External"/><Relationship Id="rId5" Type="http://schemas.openxmlformats.org/officeDocument/2006/relationships/footnotes" Target="footnotes.xml"/><Relationship Id="rId15" Type="http://schemas.openxmlformats.org/officeDocument/2006/relationships/hyperlink" Target="https://scholarworks.umass.edu/items/e9db5408-ffc6-4cdd-8630-41d132094b53" TargetMode="External"/><Relationship Id="rId10" Type="http://schemas.openxmlformats.org/officeDocument/2006/relationships/hyperlink" Target="https://doi.org/10.1016/j.crbeha.2021.100033" TargetMode="External"/><Relationship Id="rId19" Type="http://schemas.openxmlformats.org/officeDocument/2006/relationships/hyperlink" Target="https://papers.ssrn.com/sol3/papers.cfm?abstract_id=3181646" TargetMode="External"/><Relationship Id="rId4" Type="http://schemas.openxmlformats.org/officeDocument/2006/relationships/webSettings" Target="webSettings.xml"/><Relationship Id="rId9" Type="http://schemas.openxmlformats.org/officeDocument/2006/relationships/hyperlink" Target="https://link.springer.com/article/10.1007/s40547-017-0080-0" TargetMode="External"/><Relationship Id="rId14" Type="http://schemas.openxmlformats.org/officeDocument/2006/relationships/hyperlink" Target="https://www.greaterbirminghamchambers.com/resource/city-hotel-exceeding-pre-pandemic-performance.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3169</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Author;2232074@student.uwtsd.ac.uk</dc:creator>
  <cp:lastModifiedBy>Mihaita Ionut Manda (2232074)</cp:lastModifiedBy>
  <cp:revision>4</cp:revision>
  <dcterms:created xsi:type="dcterms:W3CDTF">2024-11-11T10:37:00Z</dcterms:created>
  <dcterms:modified xsi:type="dcterms:W3CDTF">2024-11-14T09:44:00Z</dcterms:modified>
</cp:coreProperties>
</file>