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076ADD1" wp14:paraId="06778658" wp14:textId="1F877BF0">
      <w:pPr>
        <w:spacing w:before="0" w:beforeAutospacing="off" w:after="160" w:afterAutospacing="off"/>
        <w:jc w:val="center"/>
      </w:pPr>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Student Name: Shah Mashuk Miah</w:t>
      </w:r>
    </w:p>
    <w:p xmlns:wp14="http://schemas.microsoft.com/office/word/2010/wordml" w:rsidP="0076ADD1" wp14:paraId="3577C92F" wp14:textId="39C03326">
      <w:pPr>
        <w:jc w:val="center"/>
      </w:pPr>
    </w:p>
    <w:p xmlns:wp14="http://schemas.microsoft.com/office/word/2010/wordml" w:rsidP="0076ADD1" wp14:paraId="7CFFD562" wp14:textId="155E9033">
      <w:pPr>
        <w:spacing w:before="0" w:beforeAutospacing="off" w:after="160" w:afterAutospacing="off"/>
        <w:jc w:val="center"/>
      </w:pPr>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Student ID: 1911285</w:t>
      </w:r>
    </w:p>
    <w:p xmlns:wp14="http://schemas.microsoft.com/office/word/2010/wordml" w:rsidP="0076ADD1" wp14:paraId="4D360CB6" wp14:textId="1333264B">
      <w:pPr>
        <w:jc w:val="center"/>
      </w:pPr>
    </w:p>
    <w:p xmlns:wp14="http://schemas.microsoft.com/office/word/2010/wordml" w:rsidP="0076ADD1" wp14:paraId="44ABE32A" wp14:textId="5387074C">
      <w:pPr>
        <w:pStyle w:val="Normal"/>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bookmarkStart w:name="_Int_PbZRIJHD" w:id="973807208"/>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Programme</w:t>
      </w:r>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 International Hotel management (BA)</w:t>
      </w:r>
      <w:bookmarkEnd w:id="973807208"/>
    </w:p>
    <w:p xmlns:wp14="http://schemas.microsoft.com/office/word/2010/wordml" w:rsidP="0076ADD1" wp14:paraId="4EE1712E" wp14:textId="424D5DBE">
      <w:pPr>
        <w:jc w:val="center"/>
      </w:pPr>
    </w:p>
    <w:p xmlns:wp14="http://schemas.microsoft.com/office/word/2010/wordml" w:rsidP="0076ADD1" wp14:paraId="7EC0022A" wp14:textId="684CB96A">
      <w:pPr>
        <w:pStyle w:val="Normal"/>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bookmarkStart w:name="_Int_eUuZdJrI" w:id="1809056580"/>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Module: International Meetings Management for the Hotel Industry</w:t>
      </w:r>
      <w:bookmarkEnd w:id="1809056580"/>
    </w:p>
    <w:p xmlns:wp14="http://schemas.microsoft.com/office/word/2010/wordml" w:rsidP="0076ADD1" wp14:paraId="1E6872F9" wp14:textId="5F760B52">
      <w:pPr>
        <w:jc w:val="center"/>
      </w:pPr>
    </w:p>
    <w:p xmlns:wp14="http://schemas.microsoft.com/office/word/2010/wordml" w:rsidP="0076ADD1" wp14:paraId="48B11F4E" wp14:textId="7FDA3335">
      <w:pPr>
        <w:spacing w:before="0" w:beforeAutospacing="off" w:after="160" w:afterAutospacing="off"/>
        <w:jc w:val="center"/>
      </w:pPr>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Module Code: BMIH6007</w:t>
      </w:r>
    </w:p>
    <w:p xmlns:wp14="http://schemas.microsoft.com/office/word/2010/wordml" w:rsidP="0076ADD1" wp14:paraId="6599D1E4" wp14:textId="77AF2ADB">
      <w:pPr>
        <w:jc w:val="center"/>
      </w:pPr>
    </w:p>
    <w:p xmlns:wp14="http://schemas.microsoft.com/office/word/2010/wordml" w:rsidP="0076ADD1" wp14:paraId="6116D653" wp14:textId="575D559F">
      <w:pPr>
        <w:pStyle w:val="Normal"/>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bookmarkStart w:name="_Int_alQc5LSD" w:id="1341574111"/>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Lecturer: Kathryn Flynn</w:t>
      </w:r>
      <w:bookmarkEnd w:id="1341574111"/>
    </w:p>
    <w:p xmlns:wp14="http://schemas.microsoft.com/office/word/2010/wordml" w:rsidP="0076ADD1" wp14:paraId="662F7139" wp14:textId="525DF695">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p>
    <w:p xmlns:wp14="http://schemas.microsoft.com/office/word/2010/wordml" w:rsidP="0076ADD1" wp14:paraId="77A8D3FD" wp14:textId="687F2BAE">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0076ADD1" w:rsidR="3DFB2565">
        <w:rPr>
          <w:rFonts w:ascii="Arial" w:hAnsi="Arial" w:eastAsia="Arial" w:cs="Arial"/>
          <w:b w:val="1"/>
          <w:bCs w:val="1"/>
          <w:i w:val="0"/>
          <w:iCs w:val="0"/>
          <w:strike w:val="0"/>
          <w:dstrike w:val="0"/>
          <w:noProof w:val="0"/>
          <w:color w:val="000000" w:themeColor="text1" w:themeTint="FF" w:themeShade="FF"/>
          <w:sz w:val="32"/>
          <w:szCs w:val="32"/>
          <w:u w:val="none"/>
          <w:lang w:val="en-US"/>
        </w:rPr>
        <w:t>Assignment Title: Event Strategic</w:t>
      </w:r>
      <w:r w:rsidRPr="0076ADD1" w:rsidR="76A7DED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Planning and Delivery Considerations for an International Meetings</w:t>
      </w:r>
    </w:p>
    <w:p xmlns:wp14="http://schemas.microsoft.com/office/word/2010/wordml" w:rsidP="0076ADD1" wp14:paraId="4A7BFC86" wp14:textId="336E145D">
      <w:pPr>
        <w:jc w:val="center"/>
      </w:pPr>
    </w:p>
    <w:p xmlns:wp14="http://schemas.microsoft.com/office/word/2010/wordml" w:rsidP="0076ADD1" wp14:paraId="66A8DC35" wp14:textId="1D071FDF">
      <w:pPr>
        <w:spacing w:before="0" w:beforeAutospacing="off" w:after="16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p14:paraId="246E902D" wp14:textId="7A32A81C"/>
    <w:p xmlns:wp14="http://schemas.microsoft.com/office/word/2010/wordml" wp14:paraId="63F72F2C" wp14:textId="2B21368E"/>
    <w:p xmlns:wp14="http://schemas.microsoft.com/office/word/2010/wordml" wp14:paraId="347B522B" wp14:textId="0C3DB065"/>
    <w:p xmlns:wp14="http://schemas.microsoft.com/office/word/2010/wordml" wp14:paraId="635E0F16" wp14:textId="67D684C1"/>
    <w:p xmlns:wp14="http://schemas.microsoft.com/office/word/2010/wordml" wp14:paraId="480B2BC9" wp14:textId="689307D6"/>
    <w:p xmlns:wp14="http://schemas.microsoft.com/office/word/2010/wordml" wp14:paraId="41102575" wp14:textId="48381134"/>
    <w:p xmlns:wp14="http://schemas.microsoft.com/office/word/2010/wordml" wp14:paraId="3FB289FC" wp14:textId="5CBBEDD3"/>
    <w:p xmlns:wp14="http://schemas.microsoft.com/office/word/2010/wordml" wp14:paraId="29169AA4" wp14:textId="02915020"/>
    <w:p xmlns:wp14="http://schemas.microsoft.com/office/word/2010/wordml" w:rsidP="0076ADD1" wp14:paraId="15D00624" wp14:textId="43ED9296">
      <w:pPr>
        <w:pStyle w:val="Normal"/>
        <w:rPr>
          <w:rFonts w:ascii="Arial" w:hAnsi="Arial" w:eastAsia="Arial" w:cs="Arial"/>
          <w:b w:val="0"/>
          <w:bCs w:val="0"/>
          <w:i w:val="0"/>
          <w:iCs w:val="0"/>
          <w:strike w:val="0"/>
          <w:dstrike w:val="0"/>
          <w:noProof w:val="0"/>
          <w:color w:val="000000" w:themeColor="text1" w:themeTint="FF" w:themeShade="FF"/>
          <w:sz w:val="28"/>
          <w:szCs w:val="28"/>
          <w:u w:val="none"/>
          <w:lang w:val="en-US"/>
        </w:rPr>
      </w:pPr>
      <w:r w:rsidRPr="0076ADD1" w:rsidR="01C74277">
        <w:rPr>
          <w:rFonts w:ascii="Arial" w:hAnsi="Arial" w:eastAsia="Arial" w:cs="Arial"/>
          <w:b w:val="1"/>
          <w:bCs w:val="1"/>
          <w:i w:val="0"/>
          <w:iCs w:val="0"/>
          <w:strike w:val="0"/>
          <w:dstrike w:val="0"/>
          <w:noProof w:val="0"/>
          <w:sz w:val="28"/>
          <w:szCs w:val="28"/>
          <w:lang w:val="en-US"/>
        </w:rPr>
        <w:t>Contents</w:t>
      </w:r>
      <w:r>
        <w:tab/>
      </w:r>
    </w:p>
    <w:p xmlns:wp14="http://schemas.microsoft.com/office/word/2010/wordml" w:rsidP="0076ADD1" wp14:paraId="3F0F29FB" wp14:textId="744C774D">
      <w:pPr>
        <w:pStyle w:val="Normal"/>
        <w:rPr>
          <w:noProof w:val="0"/>
          <w:lang w:val="en-US"/>
        </w:rPr>
      </w:pPr>
      <w:r w:rsidRPr="0076ADD1" w:rsidR="5588E96A">
        <w:rPr>
          <w:rStyle w:val="Heading2Char"/>
          <w:noProof w:val="0"/>
          <w:lang w:val="en-US"/>
        </w:rPr>
        <w:t xml:space="preserve">Introduction  </w:t>
      </w:r>
      <w:r w:rsidRPr="0076ADD1" w:rsidR="5588E96A">
        <w:rPr>
          <w:noProof w:val="0"/>
          <w:lang w:val="en-US"/>
        </w:rPr>
        <w:t xml:space="preserve">        </w:t>
      </w:r>
      <w:r w:rsidRPr="0076ADD1" w:rsidR="0A86B1A3">
        <w:rPr>
          <w:noProof w:val="0"/>
          <w:lang w:val="en-US"/>
        </w:rPr>
        <w:t xml:space="preserve"> </w:t>
      </w:r>
      <w:r w:rsidRPr="0076ADD1" w:rsidR="24E2E08F">
        <w:rPr>
          <w:noProof w:val="0"/>
          <w:lang w:val="en-US"/>
        </w:rPr>
        <w:t>5</w:t>
      </w:r>
    </w:p>
    <w:p xmlns:wp14="http://schemas.microsoft.com/office/word/2010/wordml" w:rsidP="0076ADD1" wp14:paraId="1AF59554" wp14:textId="2FF1E9EC">
      <w:pPr>
        <w:spacing w:before="0" w:beforeAutospacing="off" w:after="100" w:afterAutospacing="off"/>
        <w:rPr>
          <w:rFonts w:ascii="Arial" w:hAnsi="Arial" w:eastAsia="Arial" w:cs="Arial"/>
          <w:sz w:val="24"/>
          <w:szCs w:val="24"/>
        </w:rPr>
      </w:pPr>
      <w:hyperlink w:anchor="heading=h.1fob9te" r:id="R407018ec75a047e3">
        <w:r w:rsidRPr="0076ADD1" w:rsidR="01C74277">
          <w:rPr>
            <w:rStyle w:val="Hyperlink"/>
            <w:rFonts w:ascii="Arial" w:hAnsi="Arial" w:eastAsia="Arial" w:cs="Arial"/>
            <w:b w:val="0"/>
            <w:bCs w:val="0"/>
            <w:i w:val="0"/>
            <w:iCs w:val="0"/>
            <w:strike w:val="0"/>
            <w:dstrike w:val="0"/>
            <w:noProof w:val="0"/>
            <w:sz w:val="24"/>
            <w:szCs w:val="24"/>
            <w:lang w:val="en-US"/>
          </w:rPr>
          <w:t>The Event Cycle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5</w:t>
        </w:r>
      </w:hyperlink>
    </w:p>
    <w:p xmlns:wp14="http://schemas.microsoft.com/office/word/2010/wordml" w:rsidP="0076ADD1" wp14:paraId="0ED7995F" wp14:textId="1100BE09">
      <w:pPr>
        <w:pStyle w:val="Normal"/>
        <w:bidi w:val="0"/>
        <w:rPr>
          <w:noProof w:val="0"/>
          <w:lang w:val="en-US"/>
        </w:rPr>
      </w:pPr>
      <w:bookmarkStart w:name="_Int_WxIiE0bJ" w:id="934794810"/>
      <w:r w:rsidRPr="0076ADD1" w:rsidR="01C74277">
        <w:rPr>
          <w:rStyle w:val="Heading3Char"/>
          <w:noProof w:val="0"/>
          <w:lang w:val="en-US"/>
        </w:rPr>
        <w:t>Event Concep</w:t>
      </w:r>
      <w:r w:rsidRPr="0076ADD1" w:rsidR="11759732">
        <w:rPr>
          <w:rStyle w:val="Heading3Char"/>
          <w:noProof w:val="0"/>
          <w:lang w:val="en-US"/>
        </w:rPr>
        <w:t xml:space="preserve">t </w:t>
      </w:r>
      <w:r w:rsidRPr="0076ADD1" w:rsidR="11759732">
        <w:rPr>
          <w:noProof w:val="0"/>
          <w:lang w:val="en-US"/>
        </w:rPr>
        <w:t xml:space="preserve">             5</w:t>
      </w:r>
      <w:bookmarkEnd w:id="934794810"/>
    </w:p>
    <w:p xmlns:wp14="http://schemas.microsoft.com/office/word/2010/wordml" w:rsidP="0076ADD1" wp14:paraId="49A2A62C" wp14:textId="2C872B7A">
      <w:pPr>
        <w:spacing w:before="0" w:beforeAutospacing="off" w:after="100" w:afterAutospacing="off"/>
        <w:ind w:left="240" w:right="0"/>
        <w:rPr>
          <w:rFonts w:ascii="Arial" w:hAnsi="Arial" w:eastAsia="Arial" w:cs="Arial"/>
          <w:sz w:val="24"/>
          <w:szCs w:val="24"/>
        </w:rPr>
      </w:pPr>
      <w:hyperlink w:anchor="heading=h.tyjcwt" r:id="Rc6b2f79625f044f8">
        <w:r w:rsidRPr="0076ADD1" w:rsidR="01C74277">
          <w:rPr>
            <w:rStyle w:val="Hyperlink"/>
            <w:rFonts w:ascii="Arial" w:hAnsi="Arial" w:eastAsia="Arial" w:cs="Arial"/>
            <w:b w:val="0"/>
            <w:bCs w:val="0"/>
            <w:i w:val="0"/>
            <w:iCs w:val="0"/>
            <w:strike w:val="0"/>
            <w:dstrike w:val="0"/>
            <w:noProof w:val="0"/>
            <w:sz w:val="24"/>
            <w:szCs w:val="24"/>
            <w:lang w:val="en-US"/>
          </w:rPr>
          <w:t>Itinerary and Cultural Showcases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0076ADD1" wp14:paraId="795B4BE3" wp14:textId="2263792E">
      <w:pPr>
        <w:spacing w:before="0" w:beforeAutospacing="off" w:after="100" w:afterAutospacing="off"/>
        <w:ind w:left="240" w:right="0"/>
        <w:rPr>
          <w:rFonts w:ascii="Arial" w:hAnsi="Arial" w:eastAsia="Arial" w:cs="Arial"/>
          <w:sz w:val="24"/>
          <w:szCs w:val="24"/>
        </w:rPr>
      </w:pPr>
      <w:hyperlink w:anchor="heading=h.3dy6vkm" r:id="R595c1d5d541a4a1c">
        <w:r w:rsidRPr="0076ADD1" w:rsidR="01C74277">
          <w:rPr>
            <w:rStyle w:val="Hyperlink"/>
            <w:rFonts w:ascii="Arial" w:hAnsi="Arial" w:eastAsia="Arial" w:cs="Arial"/>
            <w:b w:val="0"/>
            <w:bCs w:val="0"/>
            <w:i w:val="0"/>
            <w:iCs w:val="0"/>
            <w:strike w:val="0"/>
            <w:dstrike w:val="0"/>
            <w:noProof w:val="0"/>
            <w:sz w:val="24"/>
            <w:szCs w:val="24"/>
            <w:lang w:val="en-US"/>
          </w:rPr>
          <w:t>Atmosphere and Aesthetic Design</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0076ADD1" wp14:paraId="2FA94234" wp14:textId="14B51EC2">
      <w:pPr>
        <w:spacing w:before="0" w:beforeAutospacing="off" w:after="100" w:afterAutospacing="off"/>
        <w:ind w:left="240" w:right="0"/>
        <w:rPr>
          <w:rFonts w:ascii="Arial" w:hAnsi="Arial" w:eastAsia="Arial" w:cs="Arial"/>
          <w:sz w:val="24"/>
          <w:szCs w:val="24"/>
        </w:rPr>
      </w:pPr>
      <w:hyperlink w:anchor="heading=h.1t3h5sf" r:id="Red26826c9cc34447">
        <w:r w:rsidRPr="0076ADD1" w:rsidR="01C74277">
          <w:rPr>
            <w:rStyle w:val="Hyperlink"/>
            <w:rFonts w:ascii="Arial" w:hAnsi="Arial" w:eastAsia="Arial" w:cs="Arial"/>
            <w:b w:val="0"/>
            <w:bCs w:val="0"/>
            <w:i w:val="0"/>
            <w:iCs w:val="0"/>
            <w:strike w:val="0"/>
            <w:dstrike w:val="0"/>
            <w:noProof w:val="0"/>
            <w:sz w:val="24"/>
            <w:szCs w:val="24"/>
            <w:lang w:val="en-US"/>
          </w:rPr>
          <w:t>EMBOK Model Application</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0076ADD1" wp14:paraId="54E096B7" wp14:textId="4F7C246E">
      <w:pPr>
        <w:spacing w:before="0" w:beforeAutospacing="off" w:after="100" w:afterAutospacing="off"/>
        <w:rPr>
          <w:rFonts w:ascii="Arial" w:hAnsi="Arial" w:eastAsia="Arial" w:cs="Arial"/>
          <w:sz w:val="24"/>
          <w:szCs w:val="24"/>
        </w:rPr>
      </w:pPr>
      <w:hyperlink w:anchor="heading=h.2s8eyo1" r:id="Rd71a146a96c24dfc">
        <w:r w:rsidRPr="0076ADD1" w:rsidR="01C74277">
          <w:rPr>
            <w:rStyle w:val="Hyperlink"/>
            <w:rFonts w:ascii="Arial" w:hAnsi="Arial" w:eastAsia="Arial" w:cs="Arial"/>
            <w:b w:val="0"/>
            <w:bCs w:val="0"/>
            <w:i w:val="0"/>
            <w:iCs w:val="0"/>
            <w:strike w:val="0"/>
            <w:dstrike w:val="0"/>
            <w:noProof w:val="0"/>
            <w:sz w:val="24"/>
            <w:szCs w:val="24"/>
            <w:lang w:val="en-US"/>
          </w:rPr>
          <w:t>Aims and Objectives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0076ADD1" wp14:paraId="543EACDA" wp14:textId="553AADD2">
      <w:pPr>
        <w:spacing w:before="0" w:beforeAutospacing="off" w:after="100" w:afterAutospacing="off"/>
        <w:ind w:left="240" w:right="0"/>
        <w:rPr>
          <w:rFonts w:ascii="Arial" w:hAnsi="Arial" w:eastAsia="Arial" w:cs="Arial"/>
          <w:sz w:val="24"/>
          <w:szCs w:val="24"/>
        </w:rPr>
      </w:pPr>
      <w:hyperlink w:anchor="heading=h.17dp8vu" r:id="Ra18580c6ba154296">
        <w:r w:rsidRPr="0076ADD1" w:rsidR="01C74277">
          <w:rPr>
            <w:rStyle w:val="Hyperlink"/>
            <w:rFonts w:ascii="Arial" w:hAnsi="Arial" w:eastAsia="Arial" w:cs="Arial"/>
            <w:b w:val="0"/>
            <w:bCs w:val="0"/>
            <w:i w:val="0"/>
            <w:iCs w:val="0"/>
            <w:strike w:val="0"/>
            <w:dstrike w:val="0"/>
            <w:noProof w:val="0"/>
            <w:sz w:val="24"/>
            <w:szCs w:val="24"/>
            <w:lang w:val="en-US"/>
          </w:rPr>
          <w:t>Aim</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0076ADD1" wp14:paraId="39C00971" wp14:textId="1872E4C7">
      <w:pPr>
        <w:spacing w:before="0" w:beforeAutospacing="off" w:after="100" w:afterAutospacing="off"/>
        <w:ind w:left="240" w:right="0"/>
        <w:rPr>
          <w:rFonts w:ascii="Arial" w:hAnsi="Arial" w:eastAsia="Arial" w:cs="Arial"/>
          <w:sz w:val="24"/>
          <w:szCs w:val="24"/>
        </w:rPr>
      </w:pPr>
      <w:hyperlink w:anchor="heading=h.3rdcrjn" r:id="R71680bac33534bfc">
        <w:r w:rsidRPr="0076ADD1" w:rsidR="01C74277">
          <w:rPr>
            <w:rStyle w:val="Hyperlink"/>
            <w:rFonts w:ascii="Arial" w:hAnsi="Arial" w:eastAsia="Arial" w:cs="Arial"/>
            <w:b w:val="0"/>
            <w:bCs w:val="0"/>
            <w:i w:val="0"/>
            <w:iCs w:val="0"/>
            <w:strike w:val="0"/>
            <w:dstrike w:val="0"/>
            <w:noProof w:val="0"/>
            <w:sz w:val="24"/>
            <w:szCs w:val="24"/>
            <w:lang w:val="en-US"/>
          </w:rPr>
          <w:t>SMART Objectives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0076ADD1" wp14:paraId="3E435F7E" wp14:textId="308D99B3">
      <w:pPr>
        <w:spacing w:before="0" w:beforeAutospacing="off" w:after="100" w:afterAutospacing="off"/>
        <w:rPr>
          <w:rFonts w:ascii="Arial" w:hAnsi="Arial" w:eastAsia="Arial" w:cs="Arial"/>
          <w:sz w:val="24"/>
          <w:szCs w:val="24"/>
        </w:rPr>
      </w:pPr>
      <w:hyperlink w:anchor="heading=h.lnxbz9" r:id="R3aae500e6b714823">
        <w:r w:rsidRPr="0076ADD1" w:rsidR="01C74277">
          <w:rPr>
            <w:rStyle w:val="Hyperlink"/>
            <w:rFonts w:ascii="Arial" w:hAnsi="Arial" w:eastAsia="Arial" w:cs="Arial"/>
            <w:b w:val="0"/>
            <w:bCs w:val="0"/>
            <w:i w:val="0"/>
            <w:iCs w:val="0"/>
            <w:strike w:val="0"/>
            <w:dstrike w:val="0"/>
            <w:noProof w:val="0"/>
            <w:sz w:val="24"/>
            <w:szCs w:val="24"/>
            <w:lang w:val="en-US"/>
          </w:rPr>
          <w:t>Event Management</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0076ADD1" wp14:paraId="572E6D60" wp14:textId="71C16844">
      <w:pPr>
        <w:spacing w:before="0" w:beforeAutospacing="off" w:after="100" w:afterAutospacing="off"/>
        <w:ind w:left="240" w:right="0"/>
        <w:rPr>
          <w:rFonts w:ascii="Arial" w:hAnsi="Arial" w:eastAsia="Arial" w:cs="Arial"/>
          <w:sz w:val="24"/>
          <w:szCs w:val="24"/>
        </w:rPr>
      </w:pPr>
      <w:hyperlink w:anchor="heading=h.35nkun2" r:id="R7c9876fac2d746a6">
        <w:r w:rsidRPr="0076ADD1" w:rsidR="01C74277">
          <w:rPr>
            <w:rStyle w:val="Hyperlink"/>
            <w:rFonts w:ascii="Arial" w:hAnsi="Arial" w:eastAsia="Arial" w:cs="Arial"/>
            <w:b w:val="0"/>
            <w:bCs w:val="0"/>
            <w:i w:val="0"/>
            <w:iCs w:val="0"/>
            <w:strike w:val="0"/>
            <w:dstrike w:val="0"/>
            <w:noProof w:val="0"/>
            <w:sz w:val="24"/>
            <w:szCs w:val="24"/>
            <w:lang w:val="en-US"/>
          </w:rPr>
          <w:t>Staffing and Skills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0076ADD1" wp14:paraId="6AA388E0" wp14:textId="24905231">
      <w:pPr>
        <w:spacing w:before="0" w:beforeAutospacing="off" w:after="100" w:afterAutospacing="off"/>
        <w:ind w:left="240" w:right="0"/>
        <w:rPr>
          <w:rFonts w:ascii="Arial" w:hAnsi="Arial" w:eastAsia="Arial" w:cs="Arial"/>
          <w:sz w:val="24"/>
          <w:szCs w:val="24"/>
        </w:rPr>
      </w:pPr>
      <w:hyperlink w:anchor="heading=h.1ksv4uv" r:id="R77563519b20f4bc5">
        <w:r w:rsidRPr="0076ADD1" w:rsidR="01C74277">
          <w:rPr>
            <w:rStyle w:val="Hyperlink"/>
            <w:rFonts w:ascii="Arial" w:hAnsi="Arial" w:eastAsia="Arial" w:cs="Arial"/>
            <w:b w:val="0"/>
            <w:bCs w:val="0"/>
            <w:i w:val="0"/>
            <w:iCs w:val="0"/>
            <w:strike w:val="0"/>
            <w:dstrike w:val="0"/>
            <w:noProof w:val="0"/>
            <w:sz w:val="24"/>
            <w:szCs w:val="24"/>
            <w:lang w:val="en-US"/>
          </w:rPr>
          <w:t>Operational Planning</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0076ADD1" wp14:paraId="55895161" wp14:textId="2FDB7121">
      <w:pPr>
        <w:spacing w:before="0" w:beforeAutospacing="off" w:after="100" w:afterAutospacing="off"/>
        <w:ind w:left="240" w:right="0"/>
        <w:rPr>
          <w:rFonts w:ascii="Arial" w:hAnsi="Arial" w:eastAsia="Arial" w:cs="Arial"/>
          <w:sz w:val="24"/>
          <w:szCs w:val="24"/>
        </w:rPr>
      </w:pPr>
      <w:hyperlink w:anchor="heading=h.44sinio" r:id="R17c30394458b4c00">
        <w:r w:rsidRPr="0076ADD1" w:rsidR="01C74277">
          <w:rPr>
            <w:rStyle w:val="Hyperlink"/>
            <w:rFonts w:ascii="Arial" w:hAnsi="Arial" w:eastAsia="Arial" w:cs="Arial"/>
            <w:b w:val="0"/>
            <w:bCs w:val="0"/>
            <w:i w:val="0"/>
            <w:iCs w:val="0"/>
            <w:strike w:val="0"/>
            <w:dstrike w:val="0"/>
            <w:noProof w:val="0"/>
            <w:sz w:val="24"/>
            <w:szCs w:val="24"/>
            <w:lang w:val="en-US"/>
          </w:rPr>
          <w:t>Marketing Activities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0076ADD1" wp14:paraId="618CC3E2" wp14:textId="7656DE07">
      <w:pPr>
        <w:spacing w:before="0" w:beforeAutospacing="off" w:after="100" w:afterAutospacing="off"/>
        <w:ind w:left="240" w:right="0"/>
        <w:rPr>
          <w:rFonts w:ascii="Arial" w:hAnsi="Arial" w:eastAsia="Arial" w:cs="Arial"/>
          <w:sz w:val="24"/>
          <w:szCs w:val="24"/>
        </w:rPr>
      </w:pPr>
      <w:hyperlink w:anchor="heading=h.z337ya" r:id="R9c65f133896f43dc">
        <w:r w:rsidRPr="0076ADD1" w:rsidR="01C74277">
          <w:rPr>
            <w:rStyle w:val="Hyperlink"/>
            <w:rFonts w:ascii="Arial" w:hAnsi="Arial" w:eastAsia="Arial" w:cs="Arial"/>
            <w:b w:val="0"/>
            <w:bCs w:val="0"/>
            <w:i w:val="0"/>
            <w:iCs w:val="0"/>
            <w:strike w:val="0"/>
            <w:dstrike w:val="0"/>
            <w:noProof w:val="0"/>
            <w:sz w:val="24"/>
            <w:szCs w:val="24"/>
            <w:lang w:val="en-US"/>
          </w:rPr>
          <w:t>Theoretical Support</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0076ADD1" wp14:paraId="26D233C4" wp14:textId="6CE24C51">
      <w:pPr>
        <w:spacing w:before="0" w:beforeAutospacing="off" w:after="100" w:afterAutospacing="off"/>
        <w:rPr>
          <w:rFonts w:ascii="Arial" w:hAnsi="Arial" w:eastAsia="Arial" w:cs="Arial"/>
          <w:sz w:val="24"/>
          <w:szCs w:val="24"/>
        </w:rPr>
      </w:pPr>
      <w:hyperlink w:anchor="heading=h.1y810tw" r:id="R9cf50721793b4fa0">
        <w:r w:rsidRPr="0076ADD1" w:rsidR="01C74277">
          <w:rPr>
            <w:rStyle w:val="Hyperlink"/>
            <w:rFonts w:ascii="Arial" w:hAnsi="Arial" w:eastAsia="Arial" w:cs="Arial"/>
            <w:b w:val="0"/>
            <w:bCs w:val="0"/>
            <w:i w:val="0"/>
            <w:iCs w:val="0"/>
            <w:strike w:val="0"/>
            <w:dstrike w:val="0"/>
            <w:noProof w:val="0"/>
            <w:sz w:val="24"/>
            <w:szCs w:val="24"/>
            <w:lang w:val="en-US"/>
          </w:rPr>
          <w:t>Event Budget</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0076ADD1" wp14:paraId="751C4BB1" wp14:textId="1CD1FD42">
      <w:pPr>
        <w:spacing w:before="0" w:beforeAutospacing="off" w:after="100" w:afterAutospacing="off"/>
        <w:ind w:left="240" w:right="0"/>
        <w:rPr>
          <w:rFonts w:ascii="Arial" w:hAnsi="Arial" w:eastAsia="Arial" w:cs="Arial"/>
          <w:sz w:val="24"/>
          <w:szCs w:val="24"/>
        </w:rPr>
      </w:pPr>
      <w:hyperlink w:anchor="heading=h.4i7ojhp" r:id="R0afd0cf0980942e5">
        <w:r w:rsidRPr="0076ADD1" w:rsidR="01C74277">
          <w:rPr>
            <w:rStyle w:val="Hyperlink"/>
            <w:rFonts w:ascii="Arial" w:hAnsi="Arial" w:eastAsia="Arial" w:cs="Arial"/>
            <w:b w:val="0"/>
            <w:bCs w:val="0"/>
            <w:i w:val="0"/>
            <w:iCs w:val="0"/>
            <w:strike w:val="0"/>
            <w:dstrike w:val="0"/>
            <w:noProof w:val="0"/>
            <w:sz w:val="24"/>
            <w:szCs w:val="24"/>
            <w:lang w:val="en-US"/>
          </w:rPr>
          <w:t>Projected Income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0076ADD1" wp14:paraId="5A82C676" wp14:textId="62DE7CE6">
      <w:pPr>
        <w:spacing w:before="0" w:beforeAutospacing="off" w:after="100" w:afterAutospacing="off"/>
        <w:ind w:left="240" w:right="0"/>
        <w:rPr>
          <w:rFonts w:ascii="Arial" w:hAnsi="Arial" w:eastAsia="Arial" w:cs="Arial"/>
          <w:sz w:val="24"/>
          <w:szCs w:val="24"/>
        </w:rPr>
      </w:pPr>
      <w:hyperlink w:anchor="heading=h.1ci93xb" r:id="R888ee0023857451e">
        <w:r w:rsidRPr="0076ADD1" w:rsidR="01C74277">
          <w:rPr>
            <w:rStyle w:val="Hyperlink"/>
            <w:rFonts w:ascii="Arial" w:hAnsi="Arial" w:eastAsia="Arial" w:cs="Arial"/>
            <w:b w:val="0"/>
            <w:bCs w:val="0"/>
            <w:i w:val="0"/>
            <w:iCs w:val="0"/>
            <w:strike w:val="0"/>
            <w:dstrike w:val="0"/>
            <w:noProof w:val="0"/>
            <w:sz w:val="24"/>
            <w:szCs w:val="24"/>
            <w:lang w:val="en-US"/>
          </w:rPr>
          <w:t>Projected Expenditure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0076ADD1" wp14:paraId="2BE71867" wp14:textId="1DB8C4FC">
      <w:pPr>
        <w:spacing w:before="0" w:beforeAutospacing="off" w:after="100" w:afterAutospacing="off"/>
        <w:ind w:left="240" w:right="0"/>
        <w:rPr>
          <w:rFonts w:ascii="Arial" w:hAnsi="Arial" w:eastAsia="Arial" w:cs="Arial"/>
          <w:sz w:val="24"/>
          <w:szCs w:val="24"/>
        </w:rPr>
      </w:pPr>
      <w:hyperlink w:anchor="heading=h.2bn6wsx" r:id="R657c72a7948e4039">
        <w:r w:rsidRPr="0076ADD1" w:rsidR="01C74277">
          <w:rPr>
            <w:rStyle w:val="Hyperlink"/>
            <w:rFonts w:ascii="Arial" w:hAnsi="Arial" w:eastAsia="Arial" w:cs="Arial"/>
            <w:b w:val="0"/>
            <w:bCs w:val="0"/>
            <w:i w:val="0"/>
            <w:iCs w:val="0"/>
            <w:strike w:val="0"/>
            <w:dstrike w:val="0"/>
            <w:noProof w:val="0"/>
            <w:sz w:val="24"/>
            <w:szCs w:val="24"/>
            <w:lang w:val="en-US"/>
          </w:rPr>
          <w:t>Funding Sources and Partnerships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0076ADD1" wp14:paraId="715932D1" wp14:textId="0D30F6BF">
      <w:pPr>
        <w:spacing w:before="0" w:beforeAutospacing="off" w:after="100" w:afterAutospacing="off"/>
        <w:ind w:left="240" w:right="0"/>
        <w:rPr>
          <w:rFonts w:ascii="Arial" w:hAnsi="Arial" w:eastAsia="Arial" w:cs="Arial"/>
          <w:sz w:val="24"/>
          <w:szCs w:val="24"/>
        </w:rPr>
      </w:pPr>
      <w:hyperlink w:anchor="heading=h.qsh70q" r:id="Re9e7ec838b8841c9">
        <w:r w:rsidRPr="0076ADD1" w:rsidR="01C74277">
          <w:rPr>
            <w:rStyle w:val="Hyperlink"/>
            <w:rFonts w:ascii="Arial" w:hAnsi="Arial" w:eastAsia="Arial" w:cs="Arial"/>
            <w:b w:val="0"/>
            <w:bCs w:val="0"/>
            <w:i w:val="0"/>
            <w:iCs w:val="0"/>
            <w:strike w:val="0"/>
            <w:dstrike w:val="0"/>
            <w:noProof w:val="0"/>
            <w:sz w:val="24"/>
            <w:szCs w:val="24"/>
            <w:lang w:val="en-US"/>
          </w:rPr>
          <w:t>Cost-Benefit Analysis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0076ADD1" wp14:paraId="6A8DD29B" wp14:textId="178AA86D">
      <w:pPr>
        <w:spacing w:before="0" w:beforeAutospacing="off" w:after="100" w:afterAutospacing="off"/>
        <w:rPr>
          <w:rFonts w:ascii="Arial" w:hAnsi="Arial" w:eastAsia="Arial" w:cs="Arial"/>
          <w:sz w:val="24"/>
          <w:szCs w:val="24"/>
        </w:rPr>
      </w:pPr>
      <w:hyperlink w:anchor="heading=h.1pxezwc" r:id="R60a64e4bac8246cc">
        <w:r w:rsidRPr="0076ADD1" w:rsidR="01C74277">
          <w:rPr>
            <w:rStyle w:val="Hyperlink"/>
            <w:rFonts w:ascii="Arial" w:hAnsi="Arial" w:eastAsia="Arial" w:cs="Arial"/>
            <w:b w:val="0"/>
            <w:bCs w:val="0"/>
            <w:i w:val="0"/>
            <w:iCs w:val="0"/>
            <w:strike w:val="0"/>
            <w:dstrike w:val="0"/>
            <w:noProof w:val="0"/>
            <w:sz w:val="24"/>
            <w:szCs w:val="24"/>
            <w:lang w:val="en-US"/>
          </w:rPr>
          <w:t>Industry Trends, Issues and Impacts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13</w:t>
        </w:r>
      </w:hyperlink>
    </w:p>
    <w:p xmlns:wp14="http://schemas.microsoft.com/office/word/2010/wordml" w:rsidP="0076ADD1" wp14:paraId="0B77D6C2" wp14:textId="38AC9189">
      <w:pPr>
        <w:spacing w:before="0" w:beforeAutospacing="off" w:after="100" w:afterAutospacing="off"/>
        <w:ind w:left="240" w:right="0"/>
        <w:rPr>
          <w:rFonts w:ascii="Arial" w:hAnsi="Arial" w:eastAsia="Arial" w:cs="Arial"/>
          <w:sz w:val="24"/>
          <w:szCs w:val="24"/>
        </w:rPr>
      </w:pPr>
      <w:hyperlink w:anchor="heading=h.49x2ik5" r:id="R8da843ef13a44f10">
        <w:r w:rsidRPr="0076ADD1" w:rsidR="01C74277">
          <w:rPr>
            <w:rStyle w:val="Hyperlink"/>
            <w:rFonts w:ascii="Arial" w:hAnsi="Arial" w:eastAsia="Arial" w:cs="Arial"/>
            <w:b w:val="0"/>
            <w:bCs w:val="0"/>
            <w:i w:val="0"/>
            <w:iCs w:val="0"/>
            <w:strike w:val="0"/>
            <w:dstrike w:val="0"/>
            <w:noProof w:val="0"/>
            <w:sz w:val="24"/>
            <w:szCs w:val="24"/>
            <w:lang w:val="en-US"/>
          </w:rPr>
          <w:t>Technology Integration</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13</w:t>
        </w:r>
      </w:hyperlink>
    </w:p>
    <w:p xmlns:wp14="http://schemas.microsoft.com/office/word/2010/wordml" w:rsidP="0076ADD1" wp14:paraId="3501170D" wp14:textId="6516FBAE">
      <w:pPr>
        <w:spacing w:before="0" w:beforeAutospacing="off" w:after="100" w:afterAutospacing="off"/>
        <w:ind w:left="240" w:right="0"/>
        <w:rPr>
          <w:rFonts w:ascii="Arial" w:hAnsi="Arial" w:eastAsia="Arial" w:cs="Arial"/>
          <w:sz w:val="24"/>
          <w:szCs w:val="24"/>
        </w:rPr>
      </w:pPr>
      <w:hyperlink w:anchor="heading=h.147n2zr" r:id="R0c9eae294a384a3c">
        <w:r w:rsidRPr="0076ADD1" w:rsidR="01C74277">
          <w:rPr>
            <w:rStyle w:val="Hyperlink"/>
            <w:rFonts w:ascii="Arial" w:hAnsi="Arial" w:eastAsia="Arial" w:cs="Arial"/>
            <w:b w:val="0"/>
            <w:bCs w:val="0"/>
            <w:i w:val="0"/>
            <w:iCs w:val="0"/>
            <w:strike w:val="0"/>
            <w:dstrike w:val="0"/>
            <w:noProof w:val="0"/>
            <w:sz w:val="24"/>
            <w:szCs w:val="24"/>
            <w:lang w:val="en-US"/>
          </w:rPr>
          <w:t>Sustainability Initiatives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14</w:t>
        </w:r>
      </w:hyperlink>
    </w:p>
    <w:p xmlns:wp14="http://schemas.microsoft.com/office/word/2010/wordml" w:rsidP="0076ADD1" wp14:paraId="0FF86EE0" wp14:textId="7BC1C116">
      <w:pPr>
        <w:spacing w:before="0" w:beforeAutospacing="off" w:after="100" w:afterAutospacing="off"/>
        <w:ind w:left="240" w:right="0"/>
        <w:rPr>
          <w:rFonts w:ascii="Arial" w:hAnsi="Arial" w:eastAsia="Arial" w:cs="Arial"/>
          <w:sz w:val="24"/>
          <w:szCs w:val="24"/>
        </w:rPr>
      </w:pPr>
      <w:hyperlink w:anchor="heading=h.3o7alnk" r:id="Rf1fb3b8159534d05">
        <w:r w:rsidRPr="0076ADD1" w:rsidR="01C74277">
          <w:rPr>
            <w:rStyle w:val="Hyperlink"/>
            <w:rFonts w:ascii="Arial" w:hAnsi="Arial" w:eastAsia="Arial" w:cs="Arial"/>
            <w:b w:val="0"/>
            <w:bCs w:val="0"/>
            <w:i w:val="0"/>
            <w:iCs w:val="0"/>
            <w:strike w:val="0"/>
            <w:dstrike w:val="0"/>
            <w:noProof w:val="0"/>
            <w:sz w:val="24"/>
            <w:szCs w:val="24"/>
            <w:lang w:val="en-US"/>
          </w:rPr>
          <w:t>Post-COVID Attendee Expectations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14</w:t>
        </w:r>
      </w:hyperlink>
    </w:p>
    <w:p xmlns:wp14="http://schemas.microsoft.com/office/word/2010/wordml" w:rsidP="0076ADD1" wp14:paraId="0C17473A" wp14:textId="7DE07499">
      <w:pPr>
        <w:spacing w:before="0" w:beforeAutospacing="off" w:after="100" w:afterAutospacing="off"/>
        <w:ind w:left="240" w:right="0"/>
        <w:rPr>
          <w:rFonts w:ascii="Arial" w:hAnsi="Arial" w:eastAsia="Arial" w:cs="Arial"/>
          <w:sz w:val="24"/>
          <w:szCs w:val="24"/>
        </w:rPr>
      </w:pPr>
      <w:hyperlink w:anchor="heading=h.23ckvvd" r:id="Re282971d64c34bae">
        <w:r w:rsidRPr="0076ADD1" w:rsidR="01C74277">
          <w:rPr>
            <w:rStyle w:val="Hyperlink"/>
            <w:rFonts w:ascii="Arial" w:hAnsi="Arial" w:eastAsia="Arial" w:cs="Arial"/>
            <w:b w:val="0"/>
            <w:bCs w:val="0"/>
            <w:i w:val="0"/>
            <w:iCs w:val="0"/>
            <w:strike w:val="0"/>
            <w:dstrike w:val="0"/>
            <w:noProof w:val="0"/>
            <w:sz w:val="24"/>
            <w:szCs w:val="24"/>
            <w:lang w:val="en-US"/>
          </w:rPr>
          <w:t>Economic and Cultural Impacts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14</w:t>
        </w:r>
      </w:hyperlink>
    </w:p>
    <w:p xmlns:wp14="http://schemas.microsoft.com/office/word/2010/wordml" w:rsidP="0076ADD1" wp14:paraId="450B3F07" wp14:textId="072C0CDF">
      <w:pPr>
        <w:spacing w:before="0" w:beforeAutospacing="off" w:after="100" w:afterAutospacing="off"/>
        <w:ind w:left="240" w:right="0"/>
        <w:rPr>
          <w:rFonts w:ascii="Arial" w:hAnsi="Arial" w:eastAsia="Arial" w:cs="Arial"/>
          <w:sz w:val="24"/>
          <w:szCs w:val="24"/>
        </w:rPr>
      </w:pPr>
      <w:hyperlink w:anchor="heading=h.ihv636" r:id="Rc7d54c9c10434115">
        <w:r w:rsidRPr="0076ADD1" w:rsidR="01C74277">
          <w:rPr>
            <w:rStyle w:val="Hyperlink"/>
            <w:rFonts w:ascii="Arial" w:hAnsi="Arial" w:eastAsia="Arial" w:cs="Arial"/>
            <w:b w:val="0"/>
            <w:bCs w:val="0"/>
            <w:i w:val="0"/>
            <w:iCs w:val="0"/>
            <w:strike w:val="0"/>
            <w:dstrike w:val="0"/>
            <w:noProof w:val="0"/>
            <w:sz w:val="24"/>
            <w:szCs w:val="24"/>
            <w:lang w:val="en-US"/>
          </w:rPr>
          <w:t>Risk Management</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15</w:t>
        </w:r>
      </w:hyperlink>
    </w:p>
    <w:p xmlns:wp14="http://schemas.microsoft.com/office/word/2010/wordml" w:rsidP="0076ADD1" wp14:paraId="2B22B5F9" wp14:textId="6897CA94">
      <w:pPr>
        <w:spacing w:before="0" w:beforeAutospacing="off" w:after="100" w:afterAutospacing="off"/>
        <w:rPr>
          <w:rFonts w:ascii="Arial" w:hAnsi="Arial" w:eastAsia="Arial" w:cs="Arial"/>
          <w:sz w:val="24"/>
          <w:szCs w:val="24"/>
        </w:rPr>
      </w:pPr>
      <w:hyperlink w:anchor="heading=h.32hioqz" r:id="R2a29f980a0d841be">
        <w:r w:rsidRPr="0076ADD1" w:rsidR="01C74277">
          <w:rPr>
            <w:rStyle w:val="Hyperlink"/>
            <w:rFonts w:ascii="Arial" w:hAnsi="Arial" w:eastAsia="Arial" w:cs="Arial"/>
            <w:b w:val="0"/>
            <w:bCs w:val="0"/>
            <w:i w:val="0"/>
            <w:iCs w:val="0"/>
            <w:strike w:val="0"/>
            <w:dstrike w:val="0"/>
            <w:noProof w:val="0"/>
            <w:sz w:val="24"/>
            <w:szCs w:val="24"/>
            <w:lang w:val="en-US"/>
          </w:rPr>
          <w:t>Situational and Cultural Considerations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15</w:t>
        </w:r>
      </w:hyperlink>
    </w:p>
    <w:p xmlns:wp14="http://schemas.microsoft.com/office/word/2010/wordml" w:rsidP="0076ADD1" wp14:paraId="3B49983F" wp14:textId="317F0A29">
      <w:pPr>
        <w:spacing w:before="0" w:beforeAutospacing="off" w:after="100" w:afterAutospacing="off"/>
        <w:ind w:left="240" w:right="0"/>
        <w:rPr>
          <w:rFonts w:ascii="Arial" w:hAnsi="Arial" w:eastAsia="Arial" w:cs="Arial"/>
          <w:sz w:val="24"/>
          <w:szCs w:val="24"/>
        </w:rPr>
      </w:pPr>
      <w:hyperlink w:anchor="heading=h.1hmsyys" r:id="R850cf4bd644842f1">
        <w:r w:rsidRPr="0076ADD1" w:rsidR="01C74277">
          <w:rPr>
            <w:rStyle w:val="Hyperlink"/>
            <w:rFonts w:ascii="Arial" w:hAnsi="Arial" w:eastAsia="Arial" w:cs="Arial"/>
            <w:b w:val="0"/>
            <w:bCs w:val="0"/>
            <w:i w:val="0"/>
            <w:iCs w:val="0"/>
            <w:strike w:val="0"/>
            <w:dstrike w:val="0"/>
            <w:noProof w:val="0"/>
            <w:sz w:val="24"/>
            <w:szCs w:val="24"/>
            <w:lang w:val="en-US"/>
          </w:rPr>
          <w:t>Situational Analysis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15</w:t>
        </w:r>
      </w:hyperlink>
    </w:p>
    <w:p xmlns:wp14="http://schemas.microsoft.com/office/word/2010/wordml" w:rsidP="0076ADD1" wp14:paraId="389AB2D2" wp14:textId="4691DABF">
      <w:pPr>
        <w:spacing w:before="0" w:beforeAutospacing="off" w:after="100" w:afterAutospacing="off"/>
        <w:ind w:left="240" w:right="0"/>
        <w:rPr>
          <w:rFonts w:ascii="Arial" w:hAnsi="Arial" w:eastAsia="Arial" w:cs="Arial"/>
          <w:sz w:val="24"/>
          <w:szCs w:val="24"/>
        </w:rPr>
      </w:pPr>
      <w:hyperlink w:anchor="heading=h.vx1227" r:id="R9cb6b444456847c0">
        <w:r w:rsidRPr="0076ADD1" w:rsidR="01C74277">
          <w:rPr>
            <w:rStyle w:val="Hyperlink"/>
            <w:rFonts w:ascii="Arial" w:hAnsi="Arial" w:eastAsia="Arial" w:cs="Arial"/>
            <w:b w:val="0"/>
            <w:bCs w:val="0"/>
            <w:i w:val="0"/>
            <w:iCs w:val="0"/>
            <w:strike w:val="0"/>
            <w:dstrike w:val="0"/>
            <w:noProof w:val="0"/>
            <w:sz w:val="24"/>
            <w:szCs w:val="24"/>
            <w:lang w:val="en-US"/>
          </w:rPr>
          <w:t>Cultural Considerations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0076ADD1" wp14:paraId="6C760442" wp14:textId="17B8688E">
      <w:pPr>
        <w:spacing w:before="0" w:beforeAutospacing="off" w:after="100" w:afterAutospacing="off"/>
        <w:ind w:left="240" w:right="0"/>
        <w:rPr>
          <w:rFonts w:ascii="Arial" w:hAnsi="Arial" w:eastAsia="Arial" w:cs="Arial"/>
          <w:sz w:val="24"/>
          <w:szCs w:val="24"/>
        </w:rPr>
      </w:pPr>
      <w:hyperlink w:anchor="heading=h.3fwokq0" r:id="Rc5ebee5b4a5b4274">
        <w:r w:rsidRPr="0076ADD1" w:rsidR="01C74277">
          <w:rPr>
            <w:rStyle w:val="Hyperlink"/>
            <w:rFonts w:ascii="Arial" w:hAnsi="Arial" w:eastAsia="Arial" w:cs="Arial"/>
            <w:b w:val="0"/>
            <w:bCs w:val="0"/>
            <w:i w:val="0"/>
            <w:iCs w:val="0"/>
            <w:strike w:val="0"/>
            <w:dstrike w:val="0"/>
            <w:noProof w:val="0"/>
            <w:sz w:val="24"/>
            <w:szCs w:val="24"/>
            <w:lang w:val="en-US"/>
          </w:rPr>
          <w:t>Health and Safety</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0076ADD1" wp14:paraId="6877C9DC" wp14:textId="607D002F">
      <w:pPr>
        <w:spacing w:before="0" w:beforeAutospacing="off" w:after="100" w:afterAutospacing="off"/>
        <w:ind w:left="240" w:right="0"/>
        <w:rPr>
          <w:rFonts w:ascii="Arial" w:hAnsi="Arial" w:eastAsia="Arial" w:cs="Arial"/>
          <w:sz w:val="24"/>
          <w:szCs w:val="24"/>
        </w:rPr>
      </w:pPr>
      <w:hyperlink w:anchor="heading=h.1v1yuxt" r:id="R5f3e46ba7b9f4e51">
        <w:r w:rsidRPr="0076ADD1" w:rsidR="01C74277">
          <w:rPr>
            <w:rStyle w:val="Hyperlink"/>
            <w:rFonts w:ascii="Arial" w:hAnsi="Arial" w:eastAsia="Arial" w:cs="Arial"/>
            <w:b w:val="0"/>
            <w:bCs w:val="0"/>
            <w:i w:val="0"/>
            <w:iCs w:val="0"/>
            <w:strike w:val="0"/>
            <w:dstrike w:val="0"/>
            <w:noProof w:val="0"/>
            <w:sz w:val="24"/>
            <w:szCs w:val="24"/>
            <w:lang w:val="en-US"/>
          </w:rPr>
          <w:t>Theoretical Support</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0076ADD1" wp14:paraId="0D75F56D" wp14:textId="7B3B5D9E">
      <w:pPr>
        <w:spacing w:before="0" w:beforeAutospacing="off" w:after="100" w:afterAutospacing="off"/>
        <w:rPr>
          <w:rFonts w:ascii="Arial" w:hAnsi="Arial" w:eastAsia="Arial" w:cs="Arial"/>
          <w:sz w:val="24"/>
          <w:szCs w:val="24"/>
        </w:rPr>
      </w:pPr>
      <w:hyperlink w:anchor="heading=h.2u6wntf" r:id="R60bd1e66ce4548b3">
        <w:r w:rsidRPr="0076ADD1" w:rsidR="01C74277">
          <w:rPr>
            <w:rStyle w:val="Hyperlink"/>
            <w:rFonts w:ascii="Arial" w:hAnsi="Arial" w:eastAsia="Arial" w:cs="Arial"/>
            <w:b w:val="0"/>
            <w:bCs w:val="0"/>
            <w:i w:val="0"/>
            <w:iCs w:val="0"/>
            <w:strike w:val="0"/>
            <w:dstrike w:val="0"/>
            <w:noProof w:val="0"/>
            <w:sz w:val="24"/>
            <w:szCs w:val="24"/>
            <w:lang w:val="en-US"/>
          </w:rPr>
          <w:t>References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18</w:t>
        </w:r>
      </w:hyperlink>
    </w:p>
    <w:p xmlns:wp14="http://schemas.microsoft.com/office/word/2010/wordml" w:rsidP="0076ADD1" wp14:paraId="72C84942" wp14:textId="13D34A35">
      <w:pPr>
        <w:rPr>
          <w:rFonts w:ascii="Arial" w:hAnsi="Arial" w:eastAsia="Arial" w:cs="Arial"/>
          <w:sz w:val="24"/>
          <w:szCs w:val="24"/>
        </w:rPr>
      </w:pPr>
    </w:p>
    <w:p xmlns:wp14="http://schemas.microsoft.com/office/word/2010/wordml" w:rsidP="0076ADD1" wp14:paraId="7AF687D6" wp14:textId="32E11C0D">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List of Tables:</w:t>
      </w:r>
    </w:p>
    <w:p xmlns:wp14="http://schemas.microsoft.com/office/word/2010/wordml" w:rsidP="0076ADD1" wp14:paraId="0B7FF96A" wp14:textId="52D867D8">
      <w:pPr>
        <w:spacing w:before="0" w:beforeAutospacing="off" w:after="0" w:afterAutospacing="off"/>
        <w:rPr>
          <w:rFonts w:ascii="Arial" w:hAnsi="Arial" w:eastAsia="Arial" w:cs="Arial"/>
          <w:sz w:val="24"/>
          <w:szCs w:val="24"/>
        </w:rPr>
      </w:pPr>
      <w:hyperlink w:anchor="heading=h.2xcytpi" r:id="R1c751975a40246fd">
        <w:r w:rsidRPr="0076ADD1" w:rsidR="01C74277">
          <w:rPr>
            <w:rStyle w:val="Hyperlink"/>
            <w:rFonts w:ascii="Arial" w:hAnsi="Arial" w:eastAsia="Arial" w:cs="Arial"/>
            <w:b w:val="0"/>
            <w:bCs w:val="0"/>
            <w:i w:val="0"/>
            <w:iCs w:val="0"/>
            <w:strike w:val="0"/>
            <w:dstrike w:val="0"/>
            <w:noProof w:val="0"/>
            <w:sz w:val="24"/>
            <w:szCs w:val="24"/>
            <w:lang w:val="en-US"/>
          </w:rPr>
          <w:t>Table 1 Projected Income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13</w:t>
        </w:r>
      </w:hyperlink>
    </w:p>
    <w:p xmlns:wp14="http://schemas.microsoft.com/office/word/2010/wordml" w:rsidP="0076ADD1" wp14:paraId="4EE3C7E0" wp14:textId="26D10788">
      <w:pPr>
        <w:spacing w:before="0" w:beforeAutospacing="off" w:after="0" w:afterAutospacing="off"/>
        <w:rPr>
          <w:rFonts w:ascii="Arial" w:hAnsi="Arial" w:eastAsia="Arial" w:cs="Arial"/>
          <w:sz w:val="24"/>
          <w:szCs w:val="24"/>
        </w:rPr>
      </w:pPr>
      <w:hyperlink w:anchor="heading=h.3whwml4" r:id="Rdfa85df8e9e846be">
        <w:r w:rsidRPr="0076ADD1" w:rsidR="01C74277">
          <w:rPr>
            <w:rStyle w:val="Hyperlink"/>
            <w:rFonts w:ascii="Arial" w:hAnsi="Arial" w:eastAsia="Arial" w:cs="Arial"/>
            <w:b w:val="0"/>
            <w:bCs w:val="0"/>
            <w:i w:val="0"/>
            <w:iCs w:val="0"/>
            <w:strike w:val="0"/>
            <w:dstrike w:val="0"/>
            <w:noProof w:val="0"/>
            <w:sz w:val="24"/>
            <w:szCs w:val="24"/>
            <w:lang w:val="en-US"/>
          </w:rPr>
          <w:t>Table 2 Projected Expenditure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13</w:t>
        </w:r>
      </w:hyperlink>
    </w:p>
    <w:p xmlns:wp14="http://schemas.microsoft.com/office/word/2010/wordml" w:rsidP="0076ADD1" wp14:paraId="5552F30E" wp14:textId="0D547C97">
      <w:pPr>
        <w:spacing w:before="0" w:beforeAutospacing="off" w:after="0" w:afterAutospacing="off"/>
        <w:rPr>
          <w:rFonts w:ascii="Arial" w:hAnsi="Arial" w:eastAsia="Arial" w:cs="Arial"/>
          <w:sz w:val="24"/>
          <w:szCs w:val="24"/>
        </w:rPr>
      </w:pPr>
      <w:hyperlink w:anchor="heading=h.2grqrue" r:id="Rb6789ff906ee4eab">
        <w:r w:rsidRPr="0076ADD1" w:rsidR="01C74277">
          <w:rPr>
            <w:rStyle w:val="Hyperlink"/>
            <w:rFonts w:ascii="Arial" w:hAnsi="Arial" w:eastAsia="Arial" w:cs="Arial"/>
            <w:b w:val="0"/>
            <w:bCs w:val="0"/>
            <w:i w:val="0"/>
            <w:iCs w:val="0"/>
            <w:strike w:val="0"/>
            <w:dstrike w:val="0"/>
            <w:noProof w:val="0"/>
            <w:sz w:val="24"/>
            <w:szCs w:val="24"/>
            <w:lang w:val="en-US"/>
          </w:rPr>
          <w:t>Table 3 SWOT analysis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17</w:t>
        </w:r>
      </w:hyperlink>
    </w:p>
    <w:p xmlns:wp14="http://schemas.microsoft.com/office/word/2010/wordml" w:rsidP="0076ADD1" wp14:paraId="6D94D28B" wp14:textId="73145427">
      <w:pPr>
        <w:rPr>
          <w:rFonts w:ascii="Arial" w:hAnsi="Arial" w:eastAsia="Arial" w:cs="Arial"/>
          <w:sz w:val="24"/>
          <w:szCs w:val="24"/>
        </w:rPr>
      </w:pPr>
    </w:p>
    <w:p xmlns:wp14="http://schemas.microsoft.com/office/word/2010/wordml" w:rsidP="0076ADD1" wp14:paraId="1E7F313C" wp14:textId="435F1AE1">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List of Figures:</w:t>
      </w:r>
    </w:p>
    <w:p xmlns:wp14="http://schemas.microsoft.com/office/word/2010/wordml" w:rsidP="0076ADD1" wp14:paraId="108E97BE" wp14:textId="66DF8552">
      <w:pPr>
        <w:spacing w:before="0" w:beforeAutospacing="off" w:after="0" w:afterAutospacing="off"/>
        <w:rPr>
          <w:rFonts w:ascii="Arial" w:hAnsi="Arial" w:eastAsia="Arial" w:cs="Arial"/>
          <w:sz w:val="24"/>
          <w:szCs w:val="24"/>
        </w:rPr>
      </w:pPr>
      <w:hyperlink w:anchor="heading=h.30j0zll" r:id="R49b4d398775f44e7">
        <w:r w:rsidRPr="0076ADD1" w:rsidR="01C74277">
          <w:rPr>
            <w:rStyle w:val="Hyperlink"/>
            <w:rFonts w:ascii="Arial" w:hAnsi="Arial" w:eastAsia="Arial" w:cs="Arial"/>
            <w:b w:val="0"/>
            <w:bCs w:val="0"/>
            <w:i w:val="0"/>
            <w:iCs w:val="0"/>
            <w:strike w:val="0"/>
            <w:dstrike w:val="0"/>
            <w:noProof w:val="0"/>
            <w:sz w:val="24"/>
            <w:szCs w:val="24"/>
            <w:lang w:val="en-US"/>
          </w:rPr>
          <w:t>Figure 1 Celebration of Seasonal Art and Culture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7</w:t>
        </w:r>
      </w:hyperlink>
    </w:p>
    <w:p xmlns:wp14="http://schemas.microsoft.com/office/word/2010/wordml" w:rsidP="0076ADD1" wp14:paraId="6427E40A" wp14:textId="5C51BD78">
      <w:pPr>
        <w:spacing w:before="0" w:beforeAutospacing="off" w:after="0" w:afterAutospacing="off"/>
        <w:rPr>
          <w:rFonts w:ascii="Arial" w:hAnsi="Arial" w:eastAsia="Arial" w:cs="Arial"/>
          <w:sz w:val="24"/>
          <w:szCs w:val="24"/>
        </w:rPr>
      </w:pPr>
      <w:hyperlink w:anchor="heading=h.3znysh7" r:id="R70ebf02742eb42c9">
        <w:r w:rsidRPr="0076ADD1" w:rsidR="01C74277">
          <w:rPr>
            <w:rStyle w:val="Hyperlink"/>
            <w:rFonts w:ascii="Arial" w:hAnsi="Arial" w:eastAsia="Arial" w:cs="Arial"/>
            <w:b w:val="0"/>
            <w:bCs w:val="0"/>
            <w:i w:val="0"/>
            <w:iCs w:val="0"/>
            <w:strike w:val="0"/>
            <w:dstrike w:val="0"/>
            <w:noProof w:val="0"/>
            <w:sz w:val="24"/>
            <w:szCs w:val="24"/>
            <w:lang w:val="en-US"/>
          </w:rPr>
          <w:t>Figure 2 Event Cycle</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xmlns:wp14="http://schemas.microsoft.com/office/word/2010/wordml" w:rsidP="0076ADD1" wp14:paraId="3CA7C9E8" wp14:textId="0BC5D82B">
      <w:pPr>
        <w:spacing w:before="0" w:beforeAutospacing="off" w:after="0" w:afterAutospacing="off"/>
        <w:rPr>
          <w:rFonts w:ascii="Arial" w:hAnsi="Arial" w:eastAsia="Arial" w:cs="Arial"/>
          <w:sz w:val="24"/>
          <w:szCs w:val="24"/>
        </w:rPr>
      </w:pPr>
      <w:hyperlink w:anchor="heading=h.4d34og8" r:id="R6608f6e8d3c04063">
        <w:r w:rsidRPr="0076ADD1" w:rsidR="01C74277">
          <w:rPr>
            <w:rStyle w:val="Hyperlink"/>
            <w:rFonts w:ascii="Arial" w:hAnsi="Arial" w:eastAsia="Arial" w:cs="Arial"/>
            <w:b w:val="0"/>
            <w:bCs w:val="0"/>
            <w:i w:val="0"/>
            <w:iCs w:val="0"/>
            <w:strike w:val="0"/>
            <w:dstrike w:val="0"/>
            <w:noProof w:val="0"/>
            <w:sz w:val="24"/>
            <w:szCs w:val="24"/>
            <w:lang w:val="en-US"/>
          </w:rPr>
          <w:t>Figure 3 EMBOK Model</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0076ADD1" wp14:paraId="418D2E82" wp14:textId="6603F3AB">
      <w:pPr>
        <w:spacing w:before="0" w:beforeAutospacing="off" w:after="0" w:afterAutospacing="off"/>
        <w:rPr>
          <w:rFonts w:ascii="Arial" w:hAnsi="Arial" w:eastAsia="Arial" w:cs="Arial"/>
          <w:sz w:val="24"/>
          <w:szCs w:val="24"/>
        </w:rPr>
      </w:pPr>
      <w:hyperlink w:anchor="heading=h.26in1rg" r:id="R83bb7092f30b463f">
        <w:r w:rsidRPr="0076ADD1" w:rsidR="01C74277">
          <w:rPr>
            <w:rStyle w:val="Hyperlink"/>
            <w:rFonts w:ascii="Arial" w:hAnsi="Arial" w:eastAsia="Arial" w:cs="Arial"/>
            <w:b w:val="0"/>
            <w:bCs w:val="0"/>
            <w:i w:val="0"/>
            <w:iCs w:val="0"/>
            <w:strike w:val="0"/>
            <w:dstrike w:val="0"/>
            <w:noProof w:val="0"/>
            <w:sz w:val="24"/>
            <w:szCs w:val="24"/>
            <w:lang w:val="en-US"/>
          </w:rPr>
          <w:t>Figure 4 SMART Objectives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0076ADD1" wp14:paraId="17956F4F" wp14:textId="4EEF9CB6">
      <w:pPr>
        <w:spacing w:before="0" w:beforeAutospacing="off" w:after="0" w:afterAutospacing="off"/>
        <w:rPr>
          <w:rFonts w:ascii="Arial" w:hAnsi="Arial" w:eastAsia="Arial" w:cs="Arial"/>
          <w:sz w:val="24"/>
          <w:szCs w:val="24"/>
        </w:rPr>
      </w:pPr>
      <w:hyperlink w:anchor="heading=h.2jxsxqh" r:id="Rae99d11b7a144bd4">
        <w:r w:rsidRPr="0076ADD1" w:rsidR="01C74277">
          <w:rPr>
            <w:rStyle w:val="Hyperlink"/>
            <w:rFonts w:ascii="Arial" w:hAnsi="Arial" w:eastAsia="Arial" w:cs="Arial"/>
            <w:b w:val="0"/>
            <w:bCs w:val="0"/>
            <w:i w:val="0"/>
            <w:iCs w:val="0"/>
            <w:strike w:val="0"/>
            <w:dstrike w:val="0"/>
            <w:noProof w:val="0"/>
            <w:sz w:val="24"/>
            <w:szCs w:val="24"/>
            <w:lang w:val="en-US"/>
          </w:rPr>
          <w:t>Figure 5 7 Ps of marketing</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0076ADD1" wp14:paraId="43EDD2B9" wp14:textId="5CECC05B">
      <w:pPr>
        <w:spacing w:before="0" w:beforeAutospacing="off" w:after="0" w:afterAutospacing="off"/>
        <w:rPr>
          <w:rFonts w:ascii="Arial" w:hAnsi="Arial" w:eastAsia="Arial" w:cs="Arial"/>
          <w:sz w:val="24"/>
          <w:szCs w:val="24"/>
        </w:rPr>
      </w:pPr>
      <w:hyperlink w:anchor="heading=h.3j2qqm3" r:id="Rf2f5bb1fb44b4633">
        <w:r w:rsidRPr="0076ADD1" w:rsidR="01C74277">
          <w:rPr>
            <w:rStyle w:val="Hyperlink"/>
            <w:rFonts w:ascii="Arial" w:hAnsi="Arial" w:eastAsia="Arial" w:cs="Arial"/>
            <w:b w:val="0"/>
            <w:bCs w:val="0"/>
            <w:i w:val="0"/>
            <w:iCs w:val="0"/>
            <w:strike w:val="0"/>
            <w:dstrike w:val="0"/>
            <w:noProof w:val="0"/>
            <w:sz w:val="24"/>
            <w:szCs w:val="24"/>
            <w:lang w:val="en-US"/>
          </w:rPr>
          <w:t>Figure 6 Marketing and Operation domain of EMBOK Model</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xmlns:wp14="http://schemas.microsoft.com/office/word/2010/wordml" w:rsidP="0076ADD1" wp14:paraId="156B6566" wp14:textId="3C69AED4">
      <w:pPr>
        <w:spacing w:before="0" w:beforeAutospacing="off" w:after="0" w:afterAutospacing="off"/>
        <w:rPr>
          <w:rFonts w:ascii="Arial" w:hAnsi="Arial" w:eastAsia="Arial" w:cs="Arial"/>
          <w:sz w:val="24"/>
          <w:szCs w:val="24"/>
        </w:rPr>
      </w:pPr>
      <w:hyperlink w:anchor="heading=h.3as4poj" r:id="R7cdb22e2c0384ec4">
        <w:r w:rsidRPr="0076ADD1" w:rsidR="01C74277">
          <w:rPr>
            <w:rStyle w:val="Hyperlink"/>
            <w:rFonts w:ascii="Arial" w:hAnsi="Arial" w:eastAsia="Arial" w:cs="Arial"/>
            <w:b w:val="0"/>
            <w:bCs w:val="0"/>
            <w:i w:val="0"/>
            <w:iCs w:val="0"/>
            <w:strike w:val="0"/>
            <w:dstrike w:val="0"/>
            <w:noProof w:val="0"/>
            <w:sz w:val="24"/>
            <w:szCs w:val="24"/>
            <w:lang w:val="en-US"/>
          </w:rPr>
          <w:t>Figure 7 Cost-Benefit Analysis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14</w:t>
        </w:r>
      </w:hyperlink>
    </w:p>
    <w:p xmlns:wp14="http://schemas.microsoft.com/office/word/2010/wordml" w:rsidP="0076ADD1" wp14:paraId="420104DB" wp14:textId="4C61F09C">
      <w:pPr>
        <w:spacing w:before="0" w:beforeAutospacing="off" w:after="0" w:afterAutospacing="off"/>
        <w:rPr>
          <w:rFonts w:ascii="Arial" w:hAnsi="Arial" w:eastAsia="Arial" w:cs="Arial"/>
          <w:sz w:val="24"/>
          <w:szCs w:val="24"/>
        </w:rPr>
      </w:pPr>
      <w:hyperlink w:anchor="heading=h.2p2csry" r:id="Rf878109bb0e84d9a">
        <w:r w:rsidRPr="0076ADD1" w:rsidR="01C74277">
          <w:rPr>
            <w:rStyle w:val="Hyperlink"/>
            <w:rFonts w:ascii="Arial" w:hAnsi="Arial" w:eastAsia="Arial" w:cs="Arial"/>
            <w:b w:val="0"/>
            <w:bCs w:val="0"/>
            <w:i w:val="0"/>
            <w:iCs w:val="0"/>
            <w:strike w:val="0"/>
            <w:dstrike w:val="0"/>
            <w:noProof w:val="0"/>
            <w:sz w:val="24"/>
            <w:szCs w:val="24"/>
            <w:lang w:val="en-US"/>
          </w:rPr>
          <w:t>Figure 8 Technology Integration in event management</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15</w:t>
        </w:r>
      </w:hyperlink>
    </w:p>
    <w:p xmlns:wp14="http://schemas.microsoft.com/office/word/2010/wordml" w:rsidP="0076ADD1" wp14:paraId="1D4AAFEE" wp14:textId="56FC7553">
      <w:pPr>
        <w:spacing w:before="0" w:beforeAutospacing="off" w:after="0" w:afterAutospacing="off"/>
        <w:rPr>
          <w:rFonts w:ascii="Arial" w:hAnsi="Arial" w:eastAsia="Arial" w:cs="Arial"/>
          <w:sz w:val="24"/>
          <w:szCs w:val="24"/>
        </w:rPr>
      </w:pPr>
      <w:hyperlink w:anchor="heading=h.41mghml" r:id="Rf60af4f4df0c45fd">
        <w:r w:rsidRPr="0076ADD1" w:rsidR="01C74277">
          <w:rPr>
            <w:rStyle w:val="Hyperlink"/>
            <w:rFonts w:ascii="Arial" w:hAnsi="Arial" w:eastAsia="Arial" w:cs="Arial"/>
            <w:b w:val="0"/>
            <w:bCs w:val="0"/>
            <w:i w:val="0"/>
            <w:iCs w:val="0"/>
            <w:strike w:val="0"/>
            <w:dstrike w:val="0"/>
            <w:noProof w:val="0"/>
            <w:sz w:val="24"/>
            <w:szCs w:val="24"/>
            <w:lang w:val="en-US"/>
          </w:rPr>
          <w:t>Figure 9 SWOT analysis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17</w:t>
        </w:r>
      </w:hyperlink>
    </w:p>
    <w:p xmlns:wp14="http://schemas.microsoft.com/office/word/2010/wordml" w:rsidP="0076ADD1" wp14:paraId="35219B54" wp14:textId="6B4B74F1">
      <w:pPr>
        <w:spacing w:before="0" w:beforeAutospacing="off" w:after="0" w:afterAutospacing="off"/>
        <w:rPr>
          <w:rFonts w:ascii="Arial" w:hAnsi="Arial" w:eastAsia="Arial" w:cs="Arial"/>
          <w:sz w:val="24"/>
          <w:szCs w:val="24"/>
        </w:rPr>
      </w:pPr>
      <w:hyperlink w:anchor="heading=h.4f1mdlm" r:id="R5cad4a4d58384cdb">
        <w:r w:rsidRPr="0076ADD1" w:rsidR="01C74277">
          <w:rPr>
            <w:rStyle w:val="Hyperlink"/>
            <w:rFonts w:ascii="Arial" w:hAnsi="Arial" w:eastAsia="Arial" w:cs="Arial"/>
            <w:b w:val="0"/>
            <w:bCs w:val="0"/>
            <w:i w:val="0"/>
            <w:iCs w:val="0"/>
            <w:strike w:val="0"/>
            <w:dstrike w:val="0"/>
            <w:noProof w:val="0"/>
            <w:sz w:val="24"/>
            <w:szCs w:val="24"/>
            <w:lang w:val="en-US"/>
          </w:rPr>
          <w:t>Figure 10 Maslow’s hierarchy of needs</w:t>
        </w:r>
        <w:r>
          <w:tab/>
        </w:r>
        <w:r w:rsidRPr="0076ADD1" w:rsidR="01C7427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19</w:t>
        </w:r>
      </w:hyperlink>
    </w:p>
    <w:p xmlns:wp14="http://schemas.microsoft.com/office/word/2010/wordml" w:rsidP="0076ADD1" wp14:paraId="3069DA76" wp14:textId="47B95FB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4B698CE6" wp14:textId="6F09BF9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1C71648A" wp14:textId="5BB3BC0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6B812C6E" wp14:textId="45CE5C61">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400ED970" wp14:textId="5DF08F2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0C5D48EA" wp14:textId="624A993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6CD8B7ED" wp14:textId="6315EC3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5CBFCC2F" wp14:textId="7A1E6BD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7AD04C56" wp14:textId="2CBC420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05985199" wp14:textId="2027AB6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39E78D13" wp14:textId="67DBBFA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745C4DF6" wp14:textId="4ECD690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0DEC8DA4" wp14:textId="10F9690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581793E3" wp14:textId="43B1F92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2B0F11D1" wp14:textId="6344268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042CCF2A" wp14:textId="7B2F6F6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487C6BC">
        <w:rPr>
          <w:rFonts w:ascii="Arial" w:hAnsi="Arial" w:eastAsia="Arial" w:cs="Arial"/>
          <w:b w:val="0"/>
          <w:bCs w:val="0"/>
          <w:i w:val="0"/>
          <w:iCs w:val="0"/>
          <w:strike w:val="0"/>
          <w:dstrike w:val="0"/>
          <w:noProof w:val="0"/>
          <w:color w:val="000000" w:themeColor="text1" w:themeTint="FF" w:themeShade="FF"/>
          <w:sz w:val="24"/>
          <w:szCs w:val="24"/>
          <w:u w:val="none"/>
          <w:lang w:val="en-US"/>
        </w:rPr>
        <w:t>I confirm that I have not used any AI tools in the re</w:t>
      </w:r>
      <w:r w:rsidRPr="0076ADD1" w:rsidR="7782B384">
        <w:rPr>
          <w:rFonts w:ascii="Arial" w:hAnsi="Arial" w:eastAsia="Arial" w:cs="Arial"/>
          <w:b w:val="0"/>
          <w:bCs w:val="0"/>
          <w:i w:val="0"/>
          <w:iCs w:val="0"/>
          <w:strike w:val="0"/>
          <w:dstrike w:val="0"/>
          <w:noProof w:val="0"/>
          <w:color w:val="000000" w:themeColor="text1" w:themeTint="FF" w:themeShade="FF"/>
          <w:sz w:val="24"/>
          <w:szCs w:val="24"/>
          <w:u w:val="none"/>
          <w:lang w:val="en-US"/>
        </w:rPr>
        <w:t>search and confirm this assignment. I confirm</w:t>
      </w:r>
      <w:r w:rsidRPr="0076ADD1" w:rsidR="6F23B3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I have not </w:t>
      </w:r>
      <w:r w:rsidRPr="0076ADD1" w:rsidR="70157ACA">
        <w:rPr>
          <w:rFonts w:ascii="Arial" w:hAnsi="Arial" w:eastAsia="Arial" w:cs="Arial"/>
          <w:b w:val="0"/>
          <w:bCs w:val="0"/>
          <w:i w:val="0"/>
          <w:iCs w:val="0"/>
          <w:strike w:val="0"/>
          <w:dstrike w:val="0"/>
          <w:noProof w:val="0"/>
          <w:color w:val="000000" w:themeColor="text1" w:themeTint="FF" w:themeShade="FF"/>
          <w:sz w:val="24"/>
          <w:szCs w:val="24"/>
          <w:u w:val="none"/>
          <w:lang w:val="en-US"/>
        </w:rPr>
        <w:t>presented any AI generated materials as my</w:t>
      </w:r>
      <w:r w:rsidRPr="0076ADD1" w:rsidR="171A2B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own work. I confirm I have copies of my drafts, notes</w:t>
      </w:r>
      <w:r w:rsidRPr="0076ADD1" w:rsidR="38EE999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other resources I used, which I may be asked to </w:t>
      </w:r>
      <w:r w:rsidRPr="0076ADD1" w:rsidR="1EC02BC6">
        <w:rPr>
          <w:rFonts w:ascii="Arial" w:hAnsi="Arial" w:eastAsia="Arial" w:cs="Arial"/>
          <w:b w:val="0"/>
          <w:bCs w:val="0"/>
          <w:i w:val="0"/>
          <w:iCs w:val="0"/>
          <w:strike w:val="0"/>
          <w:dstrike w:val="0"/>
          <w:noProof w:val="0"/>
          <w:color w:val="000000" w:themeColor="text1" w:themeTint="FF" w:themeShade="FF"/>
          <w:sz w:val="24"/>
          <w:szCs w:val="24"/>
          <w:u w:val="none"/>
          <w:lang w:val="en-US"/>
        </w:rPr>
        <w:t>provide in evidence.</w:t>
      </w:r>
    </w:p>
    <w:p xmlns:wp14="http://schemas.microsoft.com/office/word/2010/wordml" w:rsidP="0076ADD1" wp14:paraId="78495368" wp14:textId="4AB4A82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0076ADD1" wp14:paraId="211FD492" wp14:textId="24AF425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4678C00D">
        <w:rPr>
          <w:rFonts w:ascii="Arial" w:hAnsi="Arial" w:eastAsia="Arial" w:cs="Arial"/>
          <w:b w:val="0"/>
          <w:bCs w:val="0"/>
          <w:i w:val="0"/>
          <w:iCs w:val="0"/>
          <w:strike w:val="0"/>
          <w:dstrike w:val="0"/>
          <w:noProof w:val="0"/>
          <w:color w:val="000000" w:themeColor="text1" w:themeTint="FF" w:themeShade="FF"/>
          <w:sz w:val="24"/>
          <w:szCs w:val="24"/>
          <w:u w:val="none"/>
          <w:lang w:val="en-US"/>
        </w:rPr>
        <w:t>Signature:</w:t>
      </w:r>
    </w:p>
    <w:p xmlns:wp14="http://schemas.microsoft.com/office/word/2010/wordml" w:rsidP="0076ADD1" wp14:paraId="5D3D4DB4" wp14:textId="0CF1912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4678C00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Shah </w:t>
      </w:r>
      <w:r w:rsidRPr="0076ADD1" w:rsidR="4678C00D">
        <w:rPr>
          <w:rFonts w:ascii="Arial" w:hAnsi="Arial" w:eastAsia="Arial" w:cs="Arial"/>
          <w:b w:val="0"/>
          <w:bCs w:val="0"/>
          <w:i w:val="0"/>
          <w:iCs w:val="0"/>
          <w:strike w:val="0"/>
          <w:dstrike w:val="0"/>
          <w:noProof w:val="0"/>
          <w:color w:val="000000" w:themeColor="text1" w:themeTint="FF" w:themeShade="FF"/>
          <w:sz w:val="24"/>
          <w:szCs w:val="24"/>
          <w:u w:val="none"/>
          <w:lang w:val="en-US"/>
        </w:rPr>
        <w:t>Mashuk</w:t>
      </w:r>
      <w:r w:rsidRPr="0076ADD1" w:rsidR="4678C00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Miah</w:t>
      </w:r>
    </w:p>
    <w:p xmlns:wp14="http://schemas.microsoft.com/office/word/2010/wordml" w:rsidP="0076ADD1" wp14:paraId="5D5DD6B3" wp14:textId="00469E6D">
      <w:pPr>
        <w:rPr>
          <w:rFonts w:ascii="Arial" w:hAnsi="Arial" w:eastAsia="Arial" w:cs="Arial"/>
          <w:sz w:val="24"/>
          <w:szCs w:val="24"/>
        </w:rPr>
      </w:pPr>
    </w:p>
    <w:p xmlns:wp14="http://schemas.microsoft.com/office/word/2010/wordml" w:rsidP="0076ADD1" wp14:paraId="405C52DC" wp14:textId="78A89E2D">
      <w:pPr>
        <w:rPr>
          <w:rFonts w:ascii="Arial" w:hAnsi="Arial" w:eastAsia="Arial" w:cs="Arial"/>
          <w:sz w:val="24"/>
          <w:szCs w:val="24"/>
        </w:rPr>
      </w:pPr>
    </w:p>
    <w:p xmlns:wp14="http://schemas.microsoft.com/office/word/2010/wordml" w:rsidP="0076ADD1" wp14:paraId="28EEF8B2" wp14:textId="478329CF">
      <w:pPr>
        <w:rPr>
          <w:rFonts w:ascii="Arial" w:hAnsi="Arial" w:eastAsia="Arial" w:cs="Arial"/>
          <w:sz w:val="24"/>
          <w:szCs w:val="24"/>
        </w:rPr>
      </w:pPr>
    </w:p>
    <w:p xmlns:wp14="http://schemas.microsoft.com/office/word/2010/wordml" w:rsidP="0076ADD1" wp14:paraId="6541ADE3" wp14:textId="1D400357">
      <w:pPr>
        <w:rPr>
          <w:rFonts w:ascii="Arial" w:hAnsi="Arial" w:eastAsia="Arial" w:cs="Arial"/>
          <w:sz w:val="24"/>
          <w:szCs w:val="24"/>
        </w:rPr>
      </w:pPr>
    </w:p>
    <w:p xmlns:wp14="http://schemas.microsoft.com/office/word/2010/wordml" w:rsidP="0076ADD1" wp14:paraId="0F7F857E" wp14:textId="440911CD">
      <w:pPr>
        <w:rPr>
          <w:rFonts w:ascii="Arial" w:hAnsi="Arial" w:eastAsia="Arial" w:cs="Arial"/>
          <w:sz w:val="24"/>
          <w:szCs w:val="24"/>
        </w:rPr>
      </w:pPr>
    </w:p>
    <w:p xmlns:wp14="http://schemas.microsoft.com/office/word/2010/wordml" w:rsidP="0076ADD1" wp14:paraId="1323FBA7" wp14:textId="41AFFEAE">
      <w:pPr>
        <w:rPr>
          <w:rFonts w:ascii="Arial" w:hAnsi="Arial" w:eastAsia="Arial" w:cs="Arial"/>
          <w:sz w:val="24"/>
          <w:szCs w:val="24"/>
        </w:rPr>
      </w:pPr>
    </w:p>
    <w:p xmlns:wp14="http://schemas.microsoft.com/office/word/2010/wordml" w:rsidP="0076ADD1" wp14:paraId="0E8AE40F" wp14:textId="377E53E4">
      <w:pPr>
        <w:rPr>
          <w:rFonts w:ascii="Arial" w:hAnsi="Arial" w:eastAsia="Arial" w:cs="Arial"/>
          <w:sz w:val="24"/>
          <w:szCs w:val="24"/>
        </w:rPr>
      </w:pPr>
    </w:p>
    <w:p xmlns:wp14="http://schemas.microsoft.com/office/word/2010/wordml" w:rsidP="0076ADD1" wp14:paraId="0015C23D" wp14:textId="5F645C05">
      <w:pPr>
        <w:rPr>
          <w:rFonts w:ascii="Arial" w:hAnsi="Arial" w:eastAsia="Arial" w:cs="Arial"/>
          <w:sz w:val="24"/>
          <w:szCs w:val="24"/>
        </w:rPr>
      </w:pPr>
    </w:p>
    <w:p xmlns:wp14="http://schemas.microsoft.com/office/word/2010/wordml" w:rsidP="0076ADD1" wp14:paraId="053E3935" wp14:textId="4AF5671E">
      <w:pPr>
        <w:rPr>
          <w:rFonts w:ascii="Arial" w:hAnsi="Arial" w:eastAsia="Arial" w:cs="Arial"/>
          <w:sz w:val="24"/>
          <w:szCs w:val="24"/>
        </w:rPr>
      </w:pPr>
    </w:p>
    <w:p xmlns:wp14="http://schemas.microsoft.com/office/word/2010/wordml" w:rsidP="0076ADD1" wp14:paraId="73E8B0ED" wp14:textId="28DDFB9A">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0076ADD1" wp14:paraId="25CAFB3E" wp14:textId="13CFA746">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7D9DED0">
        <w:rPr>
          <w:rFonts w:ascii="Arial" w:hAnsi="Arial" w:eastAsia="Arial" w:cs="Arial"/>
          <w:b w:val="1"/>
          <w:bCs w:val="1"/>
          <w:i w:val="0"/>
          <w:iCs w:val="0"/>
          <w:strike w:val="0"/>
          <w:dstrike w:val="0"/>
          <w:noProof w:val="0"/>
          <w:color w:val="000000" w:themeColor="text1" w:themeTint="FF" w:themeShade="FF"/>
          <w:sz w:val="24"/>
          <w:szCs w:val="24"/>
          <w:u w:val="none"/>
          <w:lang w:val="en-US"/>
        </w:rPr>
        <w:t>Introduction</w:t>
      </w:r>
    </w:p>
    <w:p xmlns:wp14="http://schemas.microsoft.com/office/word/2010/wordml" w:rsidP="0076ADD1" wp14:paraId="2100A868" wp14:textId="623B7ECD">
      <w:pPr>
        <w:pStyle w:val="Heading1"/>
        <w:spacing w:before="24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The "Celebration of Seasonal Art and Culture" is a unique event designed to highlight the rich cultural heritage and seasonal artistic expressions of the UK. Taking place against the backdrop of quintessential British scenery, this event will bring together creative talents in painting, sculpture and music, performance art and craftwork, and through installations and performances and workshops epitomize an important theme-the changing of seasons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Akhundova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 The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selection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this event is justified by the annually rising trend in cultural tourism within the MICE (Meetings, Incentives, Conferences, and Exhibitions) industry, as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evidenced</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the recent statistics of Europe where the attendance of cultural events is rising at a rate of 5%. Intended for the international visitors, lovers of culture, and residents of the UK, the goal of this celebration is to support both artists and raise awareness of the richness of the local cultures as well as enhance the UK’s reputation as a prime destination for culturally enriching experiences (Anas et al., 2020).</w:t>
      </w:r>
    </w:p>
    <w:p xmlns:wp14="http://schemas.microsoft.com/office/word/2010/wordml" w:rsidP="0076ADD1" wp14:paraId="4F30407A" wp14:textId="2DC4B4E7">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607B98D9" wp14:anchorId="580467C4">
            <wp:extent cx="4676776" cy="3105150"/>
            <wp:effectExtent l="0" t="0" r="0" b="0"/>
            <wp:docPr id="427376120" name="" descr="1000w-Festivals-holidays-and-events-in-the-UK-Notting-Hill-Carnival.jpg (1000×664)" title=""/>
            <wp:cNvGraphicFramePr>
              <a:graphicFrameLocks noChangeAspect="1"/>
            </wp:cNvGraphicFramePr>
            <a:graphic>
              <a:graphicData uri="http://schemas.openxmlformats.org/drawingml/2006/picture">
                <pic:pic>
                  <pic:nvPicPr>
                    <pic:cNvPr id="0" name=""/>
                    <pic:cNvPicPr/>
                  </pic:nvPicPr>
                  <pic:blipFill>
                    <a:blip r:embed="Rad62bf1a1a8f4677">
                      <a:extLst>
                        <a:ext xmlns:a="http://schemas.openxmlformats.org/drawingml/2006/main" uri="{28A0092B-C50C-407E-A947-70E740481C1C}">
                          <a14:useLocalDpi val="0"/>
                        </a:ext>
                      </a:extLst>
                    </a:blip>
                    <a:stretch>
                      <a:fillRect/>
                    </a:stretch>
                  </pic:blipFill>
                  <pic:spPr>
                    <a:xfrm>
                      <a:off x="0" y="0"/>
                      <a:ext cx="4676776" cy="3105150"/>
                    </a:xfrm>
                    <a:prstGeom prst="rect">
                      <a:avLst/>
                    </a:prstGeom>
                  </pic:spPr>
                </pic:pic>
              </a:graphicData>
            </a:graphic>
          </wp:inline>
        </w:drawing>
      </w:r>
    </w:p>
    <w:p xmlns:wp14="http://schemas.microsoft.com/office/word/2010/wordml" w:rsidP="0076ADD1" wp14:paraId="7BB1351C" wp14:textId="1719CE90">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1 Celebration of Seasonal Art and Culture</w:t>
      </w:r>
    </w:p>
    <w:p xmlns:wp14="http://schemas.microsoft.com/office/word/2010/wordml" w:rsidP="0076ADD1" wp14:paraId="358682EC" wp14:textId="6B8B5CAD">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The Event Cycle </w:t>
      </w:r>
    </w:p>
    <w:p xmlns:wp14="http://schemas.microsoft.com/office/word/2010/wordml" w:rsidP="0076ADD1" wp14:paraId="34CC6F5F" wp14:textId="54FE7AF2">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Event Cycle is a structured process guiding event management from concept to completion, consisting of four main stages: initiation, planning, implementation, and closure. All the steps guarantee that </w:t>
      </w:r>
      <w:r w:rsidRPr="0076ADD1" w:rsidR="64E85F0C">
        <w:rPr>
          <w:rFonts w:ascii="Arial" w:hAnsi="Arial" w:eastAsia="Arial" w:cs="Arial"/>
          <w:b w:val="0"/>
          <w:bCs w:val="0"/>
          <w:i w:val="0"/>
          <w:iCs w:val="0"/>
          <w:strike w:val="0"/>
          <w:dstrike w:val="0"/>
          <w:noProof w:val="0"/>
          <w:color w:val="000000" w:themeColor="text1" w:themeTint="FF" w:themeShade="FF"/>
          <w:sz w:val="24"/>
          <w:szCs w:val="24"/>
          <w:u w:val="none"/>
          <w:lang w:val="en-US"/>
        </w:rPr>
        <w:t>the event’s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goals,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audiences’ expectations are met (Kaunisto, 2021).</w:t>
      </w:r>
    </w:p>
    <w:p xmlns:wp14="http://schemas.microsoft.com/office/word/2010/wordml" w:rsidP="0076ADD1" wp14:paraId="3C295036" wp14:textId="624C581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the “Celebration of Seasonal Art and Culture,” the initiation phase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establishes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goals like the presentation of seasonal art and the appeal to a broad audience, set alongside a first evaluation of feasibility. The planning phase incorporates the aspects of event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logistics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choosing Suitable sites, artists, and marketing strategies, and various allocations of funds </w:t>
      </w:r>
      <w:r w:rsidRPr="0076ADD1" w:rsidR="17C89029">
        <w:rPr>
          <w:rFonts w:ascii="Arial" w:hAnsi="Arial" w:eastAsia="Arial" w:cs="Arial"/>
          <w:b w:val="0"/>
          <w:bCs w:val="0"/>
          <w:i w:val="0"/>
          <w:iCs w:val="0"/>
          <w:strike w:val="0"/>
          <w:dstrike w:val="0"/>
          <w:noProof w:val="0"/>
          <w:color w:val="000000" w:themeColor="text1" w:themeTint="FF" w:themeShade="FF"/>
          <w:sz w:val="24"/>
          <w:szCs w:val="24"/>
          <w:u w:val="none"/>
          <w:lang w:val="en-US"/>
        </w:rPr>
        <w:t>without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compromising resources. The operations of the event are conducted in the implementation phase, including the setup of events and talents as well as the audience to provide an unforgettable experience (Wickham, Donnelly and French, 2020). The final theoretical stage of the program is the closure phase where records of the event are archived, feedback collected, and financial books balanced for future references. </w:t>
      </w:r>
    </w:p>
    <w:p xmlns:wp14="http://schemas.microsoft.com/office/word/2010/wordml" w:rsidP="0076ADD1" wp14:paraId="17722460" wp14:textId="0DFC6294">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5C73301D" wp14:anchorId="5BF8BB7F">
            <wp:extent cx="4714875" cy="1981200"/>
            <wp:effectExtent l="0" t="0" r="0" b="0"/>
            <wp:docPr id="1670585992" name="" descr="embok_phases.gif (464×195)" title=""/>
            <wp:cNvGraphicFramePr>
              <a:graphicFrameLocks noChangeAspect="1"/>
            </wp:cNvGraphicFramePr>
            <a:graphic>
              <a:graphicData uri="http://schemas.openxmlformats.org/drawingml/2006/picture">
                <pic:pic>
                  <pic:nvPicPr>
                    <pic:cNvPr id="0" name=""/>
                    <pic:cNvPicPr/>
                  </pic:nvPicPr>
                  <pic:blipFill>
                    <a:blip r:embed="Rf0b9766882c3449e">
                      <a:extLst>
                        <a:ext xmlns:a="http://schemas.openxmlformats.org/drawingml/2006/main" uri="{28A0092B-C50C-407E-A947-70E740481C1C}">
                          <a14:useLocalDpi val="0"/>
                        </a:ext>
                      </a:extLst>
                    </a:blip>
                    <a:stretch>
                      <a:fillRect/>
                    </a:stretch>
                  </pic:blipFill>
                  <pic:spPr>
                    <a:xfrm>
                      <a:off x="0" y="0"/>
                      <a:ext cx="4714875" cy="1981200"/>
                    </a:xfrm>
                    <a:prstGeom prst="rect">
                      <a:avLst/>
                    </a:prstGeom>
                  </pic:spPr>
                </pic:pic>
              </a:graphicData>
            </a:graphic>
          </wp:inline>
        </w:drawing>
      </w:r>
    </w:p>
    <w:p xmlns:wp14="http://schemas.microsoft.com/office/word/2010/wordml" w:rsidP="0076ADD1" wp14:paraId="6B269E7A" wp14:textId="4590089B">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2 Event Cycle</w:t>
      </w:r>
    </w:p>
    <w:p xmlns:wp14="http://schemas.microsoft.com/office/word/2010/wordml" w:rsidP="0076ADD1" wp14:paraId="23507E50" wp14:textId="0B451392">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The implementation of this structure guarantees that each phase contributes to an optically orderly and effective event that delivers on cultural and economic perspectives to the nation while promoting attendee satisfaction and consistently driving the UK’s cultural tourism agenda (Koenig-Lewis, Palmer and Asaad, 2021).</w:t>
      </w:r>
    </w:p>
    <w:p xmlns:wp14="http://schemas.microsoft.com/office/word/2010/wordml" w:rsidP="0076ADD1" wp14:paraId="19B56056" wp14:textId="0758EB1B">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Event Concept </w:t>
      </w:r>
    </w:p>
    <w:p xmlns:wp14="http://schemas.microsoft.com/office/word/2010/wordml" w:rsidP="0076ADD1" wp14:paraId="7E96E4FF" wp14:textId="6692F323">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Itinerary and Cultural Showcases</w:t>
      </w:r>
    </w:p>
    <w:p xmlns:wp14="http://schemas.microsoft.com/office/word/2010/wordml" w:rsidP="0076ADD1" wp14:paraId="7BD54DAF" wp14:textId="40993E7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"Celebration of Seasonal Art and Culture" is crafted to immerse attendees in the beauty and richness of the UK’s seasonal heritage. The event will start with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showcasing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opening ceremony supported by local artists with </w:t>
      </w:r>
      <w:r w:rsidRPr="0076ADD1" w:rsidR="46F88AC8">
        <w:rPr>
          <w:rFonts w:ascii="Arial" w:hAnsi="Arial" w:eastAsia="Arial" w:cs="Arial"/>
          <w:b w:val="0"/>
          <w:bCs w:val="0"/>
          <w:i w:val="0"/>
          <w:iCs w:val="0"/>
          <w:strike w:val="0"/>
          <w:dstrike w:val="0"/>
          <w:noProof w:val="0"/>
          <w:color w:val="000000" w:themeColor="text1" w:themeTint="FF" w:themeShade="FF"/>
          <w:sz w:val="24"/>
          <w:szCs w:val="24"/>
          <w:u w:val="none"/>
          <w:lang w:val="en-US"/>
        </w:rPr>
        <w:t>a focus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the seasonal theme. Attendees can explore through and view art installations and craft exhibitions that relate to each of the four seasons with artists displaying spring’s rebirth, summer’s energy, autumn’s heat, and winter’s calm. Musicians,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dancers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performers will also have their live shows which will provide views of folklore and traditions related to the seasons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Moayerian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McGehee and Stephenson, 2022).</w:t>
      </w:r>
    </w:p>
    <w:p xmlns:wp14="http://schemas.microsoft.com/office/word/2010/wordml" w:rsidP="0076ADD1" wp14:paraId="06EDD97E" wp14:textId="566BCCB6">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Atmosphere and Aesthetic Design</w:t>
      </w:r>
    </w:p>
    <w:p xmlns:wp14="http://schemas.microsoft.com/office/word/2010/wordml" w:rsidP="0076ADD1" wp14:paraId="56E00FCC" wp14:textId="0D18E83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Everything at the event will require planning, down to lighting and ornamentation to introduce both auditory and visual settings. Each area will have lighting that matches the seasonal theme: Pastels and positive for the beginning of spring, vibrant shades for the beginning of the autumn, and festive mood for winter. Features and objects that will be temporary, and decorations will also be dependent on the specific season or holiday or will be related to some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important events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Ambient music that reflects the natural environment will also be incorporated in each exhibit for the purpose of making it an auditory experience (Yen, 2022).</w:t>
      </w:r>
    </w:p>
    <w:p xmlns:wp14="http://schemas.microsoft.com/office/word/2010/wordml" w:rsidP="0076ADD1" wp14:paraId="45BD9FE1" wp14:textId="4339F46C">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EMBOK Model Application</w:t>
      </w:r>
    </w:p>
    <w:p xmlns:wp14="http://schemas.microsoft.com/office/word/2010/wordml" w:rsidP="0076ADD1" wp14:paraId="164B2391" wp14:textId="00D25945">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In accordance with</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EMBOK model, Design domain contributes to the production of this coherent transdisciplinary theme, guaranteeing that all the visuals and sounds correspond to the seasonal concept of the event. The crowd flow, the technical requirements and availability, and the accessibility are all under the Operations domain, which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seeks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provide a smooth running of the events for everyone involved. This strategic approach not only helps to maximize the attendees’ interaction level but also guarantees </w:t>
      </w:r>
      <w:r w:rsidRPr="0076ADD1" w:rsidR="081AF824">
        <w:rPr>
          <w:rFonts w:ascii="Arial" w:hAnsi="Arial" w:eastAsia="Arial" w:cs="Arial"/>
          <w:b w:val="0"/>
          <w:bCs w:val="0"/>
          <w:i w:val="0"/>
          <w:iCs w:val="0"/>
          <w:strike w:val="0"/>
          <w:dstrike w:val="0"/>
          <w:noProof w:val="0"/>
          <w:color w:val="000000" w:themeColor="text1" w:themeTint="FF" w:themeShade="FF"/>
          <w:sz w:val="24"/>
          <w:szCs w:val="24"/>
          <w:u w:val="none"/>
          <w:lang w:val="en-US"/>
        </w:rPr>
        <w:t>efficient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event flow and </w:t>
      </w:r>
      <w:r w:rsidRPr="0076ADD1" w:rsidR="3A437731">
        <w:rPr>
          <w:rFonts w:ascii="Arial" w:hAnsi="Arial" w:eastAsia="Arial" w:cs="Arial"/>
          <w:b w:val="0"/>
          <w:bCs w:val="0"/>
          <w:i w:val="0"/>
          <w:iCs w:val="0"/>
          <w:strike w:val="0"/>
          <w:dstrike w:val="0"/>
          <w:noProof w:val="0"/>
          <w:color w:val="000000" w:themeColor="text1" w:themeTint="FF" w:themeShade="FF"/>
          <w:sz w:val="24"/>
          <w:szCs w:val="24"/>
          <w:u w:val="none"/>
          <w:lang w:val="en-US"/>
        </w:rPr>
        <w:t>gives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attendees a great cultural boost (EMBOK, 2019).</w:t>
      </w:r>
    </w:p>
    <w:p xmlns:wp14="http://schemas.microsoft.com/office/word/2010/wordml" w:rsidP="0076ADD1" wp14:paraId="78872CF4" wp14:textId="5ED1AD81">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58CD0F17" wp14:anchorId="785A0F94">
            <wp:extent cx="4572000" cy="3429000"/>
            <wp:effectExtent l="0" t="0" r="0" b="0"/>
            <wp:docPr id="1833714679" name="" descr="embok_model_level2.png (480×360)" title=""/>
            <wp:cNvGraphicFramePr>
              <a:graphicFrameLocks noChangeAspect="1"/>
            </wp:cNvGraphicFramePr>
            <a:graphic>
              <a:graphicData uri="http://schemas.openxmlformats.org/drawingml/2006/picture">
                <pic:pic>
                  <pic:nvPicPr>
                    <pic:cNvPr id="0" name=""/>
                    <pic:cNvPicPr/>
                  </pic:nvPicPr>
                  <pic:blipFill>
                    <a:blip r:embed="R413950383cce447f">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xmlns:wp14="http://schemas.microsoft.com/office/word/2010/wordml" w:rsidP="0076ADD1" wp14:paraId="7EEF84B0" wp14:textId="155BF289">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3 EMBOK Model</w:t>
      </w:r>
    </w:p>
    <w:p xmlns:wp14="http://schemas.microsoft.com/office/word/2010/wordml" w:rsidP="0076ADD1" wp14:paraId="0DF0206F" wp14:textId="7AED75D4">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Aims and Objectives</w:t>
      </w:r>
    </w:p>
    <w:p xmlns:wp14="http://schemas.microsoft.com/office/word/2010/wordml" w:rsidP="0076ADD1" wp14:paraId="34E1351D" wp14:textId="23AF3DEB">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Aim</w:t>
      </w:r>
    </w:p>
    <w:p xmlns:wp14="http://schemas.microsoft.com/office/word/2010/wordml" w:rsidP="0076ADD1" wp14:paraId="02AC7B55" wp14:textId="32BE6F1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To celebrate and promote seasonal art and culture within a unique, immersive setting that highlights the richness of the UK’s seasonal heritage.</w:t>
      </w:r>
    </w:p>
    <w:p xmlns:wp14="http://schemas.microsoft.com/office/word/2010/wordml" w:rsidP="0076ADD1" wp14:paraId="6734DD71" wp14:textId="36962DDF">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SMART Objectives</w:t>
      </w:r>
    </w:p>
    <w:p xmlns:wp14="http://schemas.microsoft.com/office/word/2010/wordml" w:rsidP="0076ADD1" wp14:paraId="43528E8F" wp14:textId="3F4D6808">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Increase Awareness and Engagement: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To increase awareness and appreciation of seasonal art and cultural traditions invite at least 500 attendees while at the same time being culturally and community engaging.</w:t>
      </w:r>
    </w:p>
    <w:p xmlns:wp14="http://schemas.microsoft.com/office/word/2010/wordml" w:rsidP="0076ADD1" wp14:paraId="730CEC04" wp14:textId="2010684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Attendee Satisfaction: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Secure the 90% approval rating for “excellence” from the attendees derived from post- event questionnaires that will measure the responses on the quality of the event, overall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feel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coordination of the event (CFI Team, 2022).</w:t>
      </w:r>
    </w:p>
    <w:p xmlns:wp14="http://schemas.microsoft.com/office/word/2010/wordml" w:rsidP="0076ADD1" wp14:paraId="61F43D40" wp14:textId="4285C5C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Financial Sustainability: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achieve break-even revenues, ticket sales, sponsorships, and vendor partnerships should be sold to cover all expenditures necessary for the event’s successfully and the feasibility of the concept for replication in the future (Koenig-Lewis, Palmer and Asaad, 2021).</w:t>
      </w:r>
    </w:p>
    <w:p xmlns:wp14="http://schemas.microsoft.com/office/word/2010/wordml" w:rsidP="0076ADD1" wp14:paraId="60AF56B4" wp14:textId="12E4EB94">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These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follow the SMART criteria, making them Specific (focused goals), Measurable (quantifiable targets), Achievable (realistic given the event scope), Relevant (aligned with the aim of cultural promotion), and Time-bound (evaluated post-event). This approach gives significant guidelines for assessing the success of the event in cultural perspectives, the satisfaction level of attendees and financial return (CFI Team, 2022).</w:t>
      </w:r>
    </w:p>
    <w:p xmlns:wp14="http://schemas.microsoft.com/office/word/2010/wordml" w:rsidP="0076ADD1" wp14:paraId="56262BD7" wp14:textId="4C638060">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14973629" wp14:anchorId="33EC3C2E">
            <wp:extent cx="5448302" cy="2286000"/>
            <wp:effectExtent l="0" t="0" r="0" b="0"/>
            <wp:docPr id="2116543106" name="" descr="smart-business-goals.jpg (1024×429)" title=""/>
            <wp:cNvGraphicFramePr>
              <a:graphicFrameLocks noChangeAspect="1"/>
            </wp:cNvGraphicFramePr>
            <a:graphic>
              <a:graphicData uri="http://schemas.openxmlformats.org/drawingml/2006/picture">
                <pic:pic>
                  <pic:nvPicPr>
                    <pic:cNvPr id="0" name=""/>
                    <pic:cNvPicPr/>
                  </pic:nvPicPr>
                  <pic:blipFill>
                    <a:blip r:embed="R436eadca93734a32">
                      <a:extLst>
                        <a:ext xmlns:a="http://schemas.openxmlformats.org/drawingml/2006/main" uri="{28A0092B-C50C-407E-A947-70E740481C1C}">
                          <a14:useLocalDpi val="0"/>
                        </a:ext>
                      </a:extLst>
                    </a:blip>
                    <a:stretch>
                      <a:fillRect/>
                    </a:stretch>
                  </pic:blipFill>
                  <pic:spPr>
                    <a:xfrm>
                      <a:off x="0" y="0"/>
                      <a:ext cx="5448302" cy="2286000"/>
                    </a:xfrm>
                    <a:prstGeom prst="rect">
                      <a:avLst/>
                    </a:prstGeom>
                  </pic:spPr>
                </pic:pic>
              </a:graphicData>
            </a:graphic>
          </wp:inline>
        </w:drawing>
      </w:r>
    </w:p>
    <w:p xmlns:wp14="http://schemas.microsoft.com/office/word/2010/wordml" w:rsidP="0076ADD1" wp14:paraId="43FA6779" wp14:textId="0ECBF9FD">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4 SMART Objectives</w:t>
      </w:r>
    </w:p>
    <w:p xmlns:wp14="http://schemas.microsoft.com/office/word/2010/wordml" w:rsidP="0076ADD1" wp14:paraId="38113449" wp14:textId="4EC174C2">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Event Management </w:t>
      </w:r>
    </w:p>
    <w:p xmlns:wp14="http://schemas.microsoft.com/office/word/2010/wordml" w:rsidP="0076ADD1" wp14:paraId="0E5F66BF" wp14:textId="401BC26A">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Staffing and Skills</w:t>
      </w:r>
    </w:p>
    <w:p xmlns:wp14="http://schemas.microsoft.com/office/word/2010/wordml" w:rsidP="0076ADD1" wp14:paraId="768C8F3E" wp14:textId="48D2A9C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“Celebration of Seasonal Art and Culture” should be coordinated by a professional staff with core work fields in logistic, customer </w:t>
      </w:r>
      <w:r w:rsidRPr="0076ADD1" w:rsidR="0F682E21">
        <w:rPr>
          <w:rFonts w:ascii="Arial" w:hAnsi="Arial" w:eastAsia="Arial" w:cs="Arial"/>
          <w:b w:val="0"/>
          <w:bCs w:val="0"/>
          <w:i w:val="0"/>
          <w:iCs w:val="0"/>
          <w:strike w:val="0"/>
          <w:dstrike w:val="0"/>
          <w:noProof w:val="0"/>
          <w:color w:val="000000" w:themeColor="text1" w:themeTint="FF" w:themeShade="FF"/>
          <w:sz w:val="24"/>
          <w:szCs w:val="24"/>
          <w:u w:val="none"/>
          <w:lang w:val="en-US"/>
        </w:rPr>
        <w:t>relations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technical support. The properties of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logistics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managers will include coordinating event facilities, traffic </w:t>
      </w:r>
      <w:r w:rsidRPr="0076ADD1" w:rsidR="222944E8">
        <w:rPr>
          <w:rFonts w:ascii="Arial" w:hAnsi="Arial" w:eastAsia="Arial" w:cs="Arial"/>
          <w:b w:val="0"/>
          <w:bCs w:val="0"/>
          <w:i w:val="0"/>
          <w:iCs w:val="0"/>
          <w:strike w:val="0"/>
          <w:dstrike w:val="0"/>
          <w:noProof w:val="0"/>
          <w:color w:val="000000" w:themeColor="text1" w:themeTint="FF" w:themeShade="FF"/>
          <w:sz w:val="24"/>
          <w:szCs w:val="24"/>
          <w:u w:val="none"/>
          <w:lang w:val="en-US"/>
        </w:rPr>
        <w:t>patterns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several safety measures. This role includes ensuring customer service staff who are assigned to attend to such issues as greeting the attendees, providing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directions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responding to queries; the staff members must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possess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cultural competency to enhance diversity and attendance experiences (Brown and Stokes, 2021). Technical personnel will supervise the sound systems, </w:t>
      </w:r>
      <w:r w:rsidRPr="0076ADD1" w:rsidR="1B22FE43">
        <w:rPr>
          <w:rFonts w:ascii="Arial" w:hAnsi="Arial" w:eastAsia="Arial" w:cs="Arial"/>
          <w:b w:val="0"/>
          <w:bCs w:val="0"/>
          <w:i w:val="0"/>
          <w:iCs w:val="0"/>
          <w:strike w:val="0"/>
          <w:dstrike w:val="0"/>
          <w:noProof w:val="0"/>
          <w:color w:val="000000" w:themeColor="text1" w:themeTint="FF" w:themeShade="FF"/>
          <w:sz w:val="24"/>
          <w:szCs w:val="24"/>
          <w:u w:val="none"/>
          <w:lang w:val="en-US"/>
        </w:rPr>
        <w:t>lighting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other related products so that the technicalities will complement the ambiance of the event. The EMBOK model, specifically the Operations domain, emphasizes that planning and staffing of roles applied to </w:t>
      </w:r>
      <w:r w:rsidRPr="0076ADD1" w:rsidR="746B302E">
        <w:rPr>
          <w:rFonts w:ascii="Arial" w:hAnsi="Arial" w:eastAsia="Arial" w:cs="Arial"/>
          <w:b w:val="0"/>
          <w:bCs w:val="0"/>
          <w:i w:val="0"/>
          <w:iCs w:val="0"/>
          <w:strike w:val="0"/>
          <w:dstrike w:val="0"/>
          <w:noProof w:val="0"/>
          <w:color w:val="000000" w:themeColor="text1" w:themeTint="FF" w:themeShade="FF"/>
          <w:sz w:val="24"/>
          <w:szCs w:val="24"/>
          <w:u w:val="none"/>
          <w:lang w:val="en-US"/>
        </w:rPr>
        <w:t>delivery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critical, with attention to the way each position correlates with the event’s goals (EMBOK, 2019).</w:t>
      </w:r>
    </w:p>
    <w:p xmlns:wp14="http://schemas.microsoft.com/office/word/2010/wordml" w:rsidP="0076ADD1" wp14:paraId="18241E0C" wp14:textId="234FEE61">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Operational Planning</w:t>
      </w:r>
    </w:p>
    <w:p xmlns:wp14="http://schemas.microsoft.com/office/word/2010/wordml" w:rsidP="0076ADD1" wp14:paraId="2434877C" wp14:textId="6A6AC3D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Operational planning involves details of planning like event location, artists, vendors, and timing. It must be noted that the venue alignment must be made in a way that it can accommodate seasonal concepts and coordinate traffic; while doing so, each space must satisfy the participant (Yen, 2022). Artist management involves planning and coordinating the appearance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logistics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each act and while vendor management concerns the acquisition of food, beverage and art vendors who will complement the cultural event. Setting the time for transition between </w:t>
      </w:r>
      <w:r w:rsidRPr="0076ADD1" w:rsidR="238CE8BD">
        <w:rPr>
          <w:rFonts w:ascii="Arial" w:hAnsi="Arial" w:eastAsia="Arial" w:cs="Arial"/>
          <w:b w:val="0"/>
          <w:bCs w:val="0"/>
          <w:i w:val="0"/>
          <w:iCs w:val="0"/>
          <w:strike w:val="0"/>
          <w:dstrike w:val="0"/>
          <w:noProof w:val="0"/>
          <w:color w:val="000000" w:themeColor="text1" w:themeTint="FF" w:themeShade="FF"/>
          <w:sz w:val="24"/>
          <w:szCs w:val="24"/>
          <w:u w:val="none"/>
          <w:lang w:val="en-US"/>
        </w:rPr>
        <w:t>activities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important to keep the spirits high among the attendees into the activity. These are the operational elements which are also in harmony with EMBOK model especially the concentrate on structural approach to the work in order to have efficient and safe event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Khoshkam</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2022).</w:t>
      </w:r>
    </w:p>
    <w:p xmlns:wp14="http://schemas.microsoft.com/office/word/2010/wordml" w:rsidP="0076ADD1" wp14:paraId="0327C981" wp14:textId="6AFBC64C">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Marketing Activities</w:t>
      </w:r>
    </w:p>
    <w:p xmlns:wp14="http://schemas.microsoft.com/office/word/2010/wordml" w:rsidP="0076ADD1" wp14:paraId="066452CB" wp14:textId="055AF9F2">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Marketing will follow the 7 Ps of marketing, specifically tailored for an immersive cultural event:</w:t>
      </w:r>
    </w:p>
    <w:p xmlns:wp14="http://schemas.microsoft.com/office/word/2010/wordml" w:rsidP="0076ADD1" wp14:paraId="7B43BC9D" wp14:textId="3D75FED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Product: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experience itself—seasonal themes, art displays, and performances—promotes the uniqueness of seasonal UK culture (Mailchimp, 2022).</w:t>
      </w:r>
    </w:p>
    <w:p xmlns:wp14="http://schemas.microsoft.com/office/word/2010/wordml" w:rsidP="0076ADD1" wp14:paraId="16EEDE95" wp14:textId="1FE2B22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Price: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Ticket pricing will balance affordability for attendees with revenue needs to reach financial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294CBD8B" wp14:textId="20D808DF">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Place: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Central UK locations with cultural significance are ideal to attract both tourists and local visitors.</w:t>
      </w:r>
    </w:p>
    <w:p xmlns:wp14="http://schemas.microsoft.com/office/word/2010/wordml" w:rsidP="0076ADD1" wp14:paraId="1A1793F8" wp14:textId="7884249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Promotion: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mix of digital and traditional media, including social media ads, event listings, and partnerships with cultural institutions, will build visibility (Koenig-Lewis, Palmer and Asaad, 2021).</w:t>
      </w:r>
    </w:p>
    <w:p xmlns:wp14="http://schemas.microsoft.com/office/word/2010/wordml" w:rsidP="0076ADD1" wp14:paraId="0E89CEDE" wp14:textId="67F76A78">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People: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Friendly, knowledgeable staff will enhance the </w:t>
      </w:r>
      <w:r w:rsidRPr="0076ADD1" w:rsidR="16231E62">
        <w:rPr>
          <w:rFonts w:ascii="Arial" w:hAnsi="Arial" w:eastAsia="Arial" w:cs="Arial"/>
          <w:b w:val="0"/>
          <w:bCs w:val="0"/>
          <w:i w:val="0"/>
          <w:iCs w:val="0"/>
          <w:strike w:val="0"/>
          <w:dstrike w:val="0"/>
          <w:noProof w:val="0"/>
          <w:color w:val="000000" w:themeColor="text1" w:themeTint="FF" w:themeShade="FF"/>
          <w:sz w:val="24"/>
          <w:szCs w:val="24"/>
          <w:u w:val="none"/>
          <w:lang w:val="en-US"/>
        </w:rPr>
        <w:t>attendee's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experience, guiding them and ensuring a welcoming atmosphere.</w:t>
      </w:r>
    </w:p>
    <w:p xmlns:wp14="http://schemas.microsoft.com/office/word/2010/wordml" w:rsidP="0076ADD1" wp14:paraId="35556295" wp14:textId="6E8D7B2A">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Process: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Streamlined ticketing, entry, and event navigation ensure smooth attendance and minimize wait times.</w:t>
      </w:r>
    </w:p>
    <w:p xmlns:wp14="http://schemas.microsoft.com/office/word/2010/wordml" w:rsidP="0076ADD1" wp14:paraId="2F10FF5D" wp14:textId="3979640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Physical Evidence: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Branded signage, themed decorations, and cultural artifacts reinforce the event’s identity, creating lasting impressions (Mailchimp, 2022).</w:t>
      </w:r>
    </w:p>
    <w:p xmlns:wp14="http://schemas.microsoft.com/office/word/2010/wordml" w:rsidP="0076ADD1" wp14:paraId="2484A89A" wp14:textId="3B36BD45">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2B263A21" wp14:anchorId="03A3806E">
            <wp:extent cx="5295898" cy="2238375"/>
            <wp:effectExtent l="0" t="0" r="0" b="0"/>
            <wp:docPr id="17665671" name="" title=""/>
            <wp:cNvGraphicFramePr>
              <a:graphicFrameLocks noChangeAspect="1"/>
            </wp:cNvGraphicFramePr>
            <a:graphic>
              <a:graphicData uri="http://schemas.openxmlformats.org/drawingml/2006/picture">
                <pic:pic>
                  <pic:nvPicPr>
                    <pic:cNvPr id="0" name=""/>
                    <pic:cNvPicPr/>
                  </pic:nvPicPr>
                  <pic:blipFill>
                    <a:blip r:embed="Rfb6572cf5eb04c87">
                      <a:extLst>
                        <a:ext xmlns:a="http://schemas.openxmlformats.org/drawingml/2006/main" uri="{28A0092B-C50C-407E-A947-70E740481C1C}">
                          <a14:useLocalDpi val="0"/>
                        </a:ext>
                      </a:extLst>
                    </a:blip>
                    <a:stretch>
                      <a:fillRect/>
                    </a:stretch>
                  </pic:blipFill>
                  <pic:spPr>
                    <a:xfrm>
                      <a:off x="0" y="0"/>
                      <a:ext cx="5295898" cy="2238375"/>
                    </a:xfrm>
                    <a:prstGeom prst="rect">
                      <a:avLst/>
                    </a:prstGeom>
                  </pic:spPr>
                </pic:pic>
              </a:graphicData>
            </a:graphic>
          </wp:inline>
        </w:drawing>
      </w:r>
    </w:p>
    <w:p xmlns:wp14="http://schemas.microsoft.com/office/word/2010/wordml" w:rsidP="0076ADD1" wp14:paraId="07CFA17F" wp14:textId="21B106C5">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5 7 Ps of marketing</w:t>
      </w:r>
    </w:p>
    <w:p xmlns:wp14="http://schemas.microsoft.com/office/word/2010/wordml" w:rsidP="0076ADD1" wp14:paraId="00453B79" wp14:textId="31F01AAC">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Theoretical Support</w:t>
      </w:r>
    </w:p>
    <w:p xmlns:wp14="http://schemas.microsoft.com/office/word/2010/wordml" w:rsidP="0076ADD1" wp14:paraId="354F1B66" wp14:textId="0911AC8D">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The two important domains of the EMBOK model that could be crucial to the marketing and operation strategies of this event are – Marketing and Operations. Marketing is related to the EMBOK Marketing domain, which is concerned with brand building, targeted market reach and conveying value proposition. However, the Operations do work for creating effective operations and managing resources to ensure each operation process satisfies the attendees (Thomas and Stephens, 2022). Also, Maslow’s hierarchy of needs satisfies the needs of attendees focused on their comfort and engagement before considering the engagement on other levels through enrichment content. This integrated approach in event management ensures not only operational efficiency but also a memorable experience, satisfying attendees at all levels of their needs (Carducci, 2020).</w:t>
      </w:r>
    </w:p>
    <w:p xmlns:wp14="http://schemas.microsoft.com/office/word/2010/wordml" w:rsidP="0076ADD1" wp14:paraId="2E549A42" wp14:textId="4259D2D2">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7561C613" wp14:anchorId="500F4E0E">
            <wp:extent cx="5943600" cy="1409700"/>
            <wp:effectExtent l="0" t="0" r="0" b="0"/>
            <wp:docPr id="785020329" name="" descr="embok_classes.gif (629×150)" title=""/>
            <wp:cNvGraphicFramePr>
              <a:graphicFrameLocks noChangeAspect="1"/>
            </wp:cNvGraphicFramePr>
            <a:graphic>
              <a:graphicData uri="http://schemas.openxmlformats.org/drawingml/2006/picture">
                <pic:pic>
                  <pic:nvPicPr>
                    <pic:cNvPr id="0" name=""/>
                    <pic:cNvPicPr/>
                  </pic:nvPicPr>
                  <pic:blipFill>
                    <a:blip r:embed="R8d1e832b25ed433d">
                      <a:extLst>
                        <a:ext xmlns:a="http://schemas.openxmlformats.org/drawingml/2006/main" uri="{28A0092B-C50C-407E-A947-70E740481C1C}">
                          <a14:useLocalDpi val="0"/>
                        </a:ext>
                      </a:extLst>
                    </a:blip>
                    <a:stretch>
                      <a:fillRect/>
                    </a:stretch>
                  </pic:blipFill>
                  <pic:spPr>
                    <a:xfrm>
                      <a:off x="0" y="0"/>
                      <a:ext cx="5943600" cy="1409700"/>
                    </a:xfrm>
                    <a:prstGeom prst="rect">
                      <a:avLst/>
                    </a:prstGeom>
                  </pic:spPr>
                </pic:pic>
              </a:graphicData>
            </a:graphic>
          </wp:inline>
        </w:drawing>
      </w:r>
    </w:p>
    <w:p xmlns:wp14="http://schemas.microsoft.com/office/word/2010/wordml" w:rsidP="0076ADD1" wp14:paraId="45EC08AF" wp14:textId="21E29E6A">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6 Marketing and Operation domain of EMBOK Model</w:t>
      </w:r>
    </w:p>
    <w:p xmlns:wp14="http://schemas.microsoft.com/office/word/2010/wordml" w:rsidP="0076ADD1" wp14:paraId="77ABDF4F" wp14:textId="25A50542">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Event Budget </w:t>
      </w:r>
    </w:p>
    <w:p xmlns:wp14="http://schemas.microsoft.com/office/word/2010/wordml" w:rsidP="0076ADD1" wp14:paraId="7AC55300" wp14:textId="4B0A5F6E">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Projected Income</w:t>
      </w:r>
    </w:p>
    <w:p xmlns:wp14="http://schemas.microsoft.com/office/word/2010/wordml" w:rsidP="0076ADD1" wp14:paraId="6637A687" wp14:textId="0A60B12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Revenue for the “Celebration of Seasonal Art and Culture” event will come from multiple sources: ticket sales, sponsorships, and vendor fees. Tickets will be priced to balance accessibility and revenue, with a target of 500 attendees at an average price of £25, estimating £12,500 in ticket sales. Sponsorships from local businesses, arts councils, and cultural organizations can bring an estimated £8,000 in funding. Also, vendor charges, for food drink &amp; craft vending that brings in £200 per vendor with at least 20 vendors, should amount to £4,000. Total estimated income: £ 24,500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Knardal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Bjørnenak</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2020).</w:t>
      </w:r>
    </w:p>
    <w:p xmlns:wp14="http://schemas.microsoft.com/office/word/2010/wordml" w:rsidP="0076ADD1" wp14:paraId="6CE2CE4A" wp14:textId="30CC5E42">
      <w:pPr>
        <w:spacing w:before="0" w:beforeAutospacing="off" w:after="200" w:afterAutospacing="off"/>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Table 1 Projected Income</w:t>
      </w:r>
    </w:p>
    <w:tbl>
      <w:tblPr>
        <w:tblStyle w:val="TableNormal"/>
        <w:tblW w:w="0" w:type="auto"/>
        <w:tblLayout w:type="fixed"/>
        <w:tblLook w:val="06A0" w:firstRow="1" w:lastRow="0" w:firstColumn="1" w:lastColumn="0" w:noHBand="1" w:noVBand="1"/>
      </w:tblPr>
      <w:tblGrid>
        <w:gridCol w:w="5079"/>
        <w:gridCol w:w="4074"/>
      </w:tblGrid>
      <w:tr w:rsidR="0076ADD1" w:rsidTr="0076ADD1" w14:paraId="3627446E">
        <w:trPr>
          <w:trHeight w:val="300"/>
        </w:trPr>
        <w:tc>
          <w:tcPr>
            <w:tcW w:w="5079" w:type="dxa"/>
            <w:tcBorders>
              <w:top w:val="single" w:color="ED7D31" w:sz="4"/>
              <w:left w:val="single" w:color="ED7D31" w:sz="4"/>
              <w:bottom w:val="single" w:color="ED7D31" w:sz="4"/>
            </w:tcBorders>
            <w:shd w:val="clear" w:color="auto" w:fill="ED7D31"/>
            <w:tcMar>
              <w:left w:w="108" w:type="dxa"/>
              <w:right w:w="108" w:type="dxa"/>
            </w:tcMar>
            <w:vAlign w:val="top"/>
          </w:tcPr>
          <w:p w:rsidR="0076ADD1" w:rsidP="0076ADD1" w:rsidRDefault="0076ADD1" w14:paraId="09EAFC1C" w14:textId="561F5BAD">
            <w:pPr>
              <w:spacing w:before="0" w:beforeAutospacing="off" w:after="0" w:afterAutospacing="off"/>
              <w:jc w:val="both"/>
              <w:rPr>
                <w:rFonts w:ascii="Arial" w:hAnsi="Arial" w:eastAsia="Arial" w:cs="Arial"/>
                <w:b w:val="1"/>
                <w:bCs w:val="1"/>
                <w:i w:val="0"/>
                <w:iCs w:val="0"/>
                <w:strike w:val="0"/>
                <w:dstrike w:val="0"/>
                <w:color w:val="FFFFFF" w:themeColor="background1" w:themeTint="FF" w:themeShade="FF"/>
                <w:sz w:val="24"/>
                <w:szCs w:val="24"/>
                <w:u w:val="none"/>
              </w:rPr>
            </w:pPr>
            <w:r w:rsidRPr="0076ADD1" w:rsidR="0076ADD1">
              <w:rPr>
                <w:rFonts w:ascii="Arial" w:hAnsi="Arial" w:eastAsia="Arial" w:cs="Arial"/>
                <w:b w:val="1"/>
                <w:bCs w:val="1"/>
                <w:i w:val="0"/>
                <w:iCs w:val="0"/>
                <w:strike w:val="0"/>
                <w:dstrike w:val="0"/>
                <w:color w:val="FFFFFF" w:themeColor="background1" w:themeTint="FF" w:themeShade="FF"/>
                <w:sz w:val="24"/>
                <w:szCs w:val="24"/>
                <w:u w:val="none"/>
              </w:rPr>
              <w:t>Income Source</w:t>
            </w:r>
          </w:p>
        </w:tc>
        <w:tc>
          <w:tcPr>
            <w:tcW w:w="4074" w:type="dxa"/>
            <w:tcBorders>
              <w:top w:val="single" w:color="ED7D31" w:sz="4"/>
              <w:bottom w:val="single" w:color="ED7D31" w:sz="4"/>
              <w:right w:val="single" w:color="ED7D31" w:sz="4"/>
            </w:tcBorders>
            <w:shd w:val="clear" w:color="auto" w:fill="ED7D31"/>
            <w:tcMar>
              <w:left w:w="108" w:type="dxa"/>
              <w:right w:w="108" w:type="dxa"/>
            </w:tcMar>
            <w:vAlign w:val="top"/>
          </w:tcPr>
          <w:p w:rsidR="0076ADD1" w:rsidP="0076ADD1" w:rsidRDefault="0076ADD1" w14:paraId="642B7B9C" w14:textId="21CA30B7">
            <w:pPr>
              <w:spacing w:before="0" w:beforeAutospacing="off" w:after="0" w:afterAutospacing="off"/>
              <w:jc w:val="both"/>
              <w:rPr>
                <w:rFonts w:ascii="Arial" w:hAnsi="Arial" w:eastAsia="Arial" w:cs="Arial"/>
                <w:b w:val="1"/>
                <w:bCs w:val="1"/>
                <w:i w:val="0"/>
                <w:iCs w:val="0"/>
                <w:strike w:val="0"/>
                <w:dstrike w:val="0"/>
                <w:color w:val="FFFFFF" w:themeColor="background1" w:themeTint="FF" w:themeShade="FF"/>
                <w:sz w:val="24"/>
                <w:szCs w:val="24"/>
                <w:u w:val="none"/>
              </w:rPr>
            </w:pPr>
            <w:r w:rsidRPr="0076ADD1" w:rsidR="0076ADD1">
              <w:rPr>
                <w:rFonts w:ascii="Arial" w:hAnsi="Arial" w:eastAsia="Arial" w:cs="Arial"/>
                <w:b w:val="1"/>
                <w:bCs w:val="1"/>
                <w:i w:val="0"/>
                <w:iCs w:val="0"/>
                <w:strike w:val="0"/>
                <w:dstrike w:val="0"/>
                <w:color w:val="FFFFFF" w:themeColor="background1" w:themeTint="FF" w:themeShade="FF"/>
                <w:sz w:val="24"/>
                <w:szCs w:val="24"/>
                <w:u w:val="none"/>
              </w:rPr>
              <w:t>Amount (£)</w:t>
            </w:r>
          </w:p>
        </w:tc>
      </w:tr>
      <w:tr w:rsidR="0076ADD1" w:rsidTr="0076ADD1" w14:paraId="20567B4E">
        <w:trPr>
          <w:trHeight w:val="300"/>
        </w:trPr>
        <w:tc>
          <w:tcPr>
            <w:tcW w:w="5079" w:type="dxa"/>
            <w:tcBorders>
              <w:top w:val="single" w:color="ED7D31" w:sz="4"/>
              <w:left w:val="single" w:color="666666" w:sz="4"/>
              <w:bottom w:val="single" w:color="666666" w:sz="4"/>
              <w:right w:val="single" w:color="666666" w:sz="4"/>
            </w:tcBorders>
            <w:shd w:val="clear" w:color="auto" w:fill="FBE5D5"/>
            <w:tcMar>
              <w:left w:w="108" w:type="dxa"/>
              <w:right w:w="108" w:type="dxa"/>
            </w:tcMar>
            <w:vAlign w:val="top"/>
          </w:tcPr>
          <w:p w:rsidR="0076ADD1" w:rsidP="0076ADD1" w:rsidRDefault="0076ADD1" w14:paraId="565216AE" w14:textId="640CD5E9">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Ticket Sales</w:t>
            </w:r>
          </w:p>
        </w:tc>
        <w:tc>
          <w:tcPr>
            <w:tcW w:w="4074" w:type="dxa"/>
            <w:tcBorders>
              <w:top w:val="single" w:color="ED7D31" w:sz="4"/>
              <w:left w:val="single" w:color="666666" w:sz="4"/>
              <w:bottom w:val="single" w:color="666666" w:sz="4"/>
              <w:right w:val="single" w:color="666666" w:sz="4"/>
            </w:tcBorders>
            <w:shd w:val="clear" w:color="auto" w:fill="FBE5D5"/>
            <w:tcMar>
              <w:left w:w="108" w:type="dxa"/>
              <w:right w:w="108" w:type="dxa"/>
            </w:tcMar>
            <w:vAlign w:val="top"/>
          </w:tcPr>
          <w:p w:rsidR="0076ADD1" w:rsidP="0076ADD1" w:rsidRDefault="0076ADD1" w14:paraId="29BBCC97" w14:textId="379B3AC7">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12,500</w:t>
            </w:r>
          </w:p>
        </w:tc>
      </w:tr>
      <w:tr w:rsidR="0076ADD1" w:rsidTr="0076ADD1" w14:paraId="7DFB57D7">
        <w:trPr>
          <w:trHeight w:val="300"/>
        </w:trPr>
        <w:tc>
          <w:tcPr>
            <w:tcW w:w="507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5C234632" w14:textId="2084FACF">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Sponsorships</w:t>
            </w:r>
          </w:p>
        </w:tc>
        <w:tc>
          <w:tcPr>
            <w:tcW w:w="407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04EAC90B" w14:textId="098A1FDD">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8,000</w:t>
            </w:r>
          </w:p>
        </w:tc>
      </w:tr>
      <w:tr w:rsidR="0076ADD1" w:rsidTr="0076ADD1" w14:paraId="14075D94">
        <w:trPr>
          <w:trHeight w:val="300"/>
        </w:trPr>
        <w:tc>
          <w:tcPr>
            <w:tcW w:w="5079" w:type="dxa"/>
            <w:tcBorders>
              <w:top w:val="single" w:color="666666" w:sz="4"/>
              <w:left w:val="single" w:color="666666" w:sz="4"/>
              <w:bottom w:val="single" w:color="666666" w:sz="4"/>
              <w:right w:val="single" w:color="666666" w:sz="4"/>
            </w:tcBorders>
            <w:shd w:val="clear" w:color="auto" w:fill="FBE5D5"/>
            <w:tcMar>
              <w:left w:w="108" w:type="dxa"/>
              <w:right w:w="108" w:type="dxa"/>
            </w:tcMar>
            <w:vAlign w:val="top"/>
          </w:tcPr>
          <w:p w:rsidR="0076ADD1" w:rsidP="0076ADD1" w:rsidRDefault="0076ADD1" w14:paraId="05570BE1" w14:textId="7C888579">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Vendor Fees</w:t>
            </w:r>
          </w:p>
        </w:tc>
        <w:tc>
          <w:tcPr>
            <w:tcW w:w="4074" w:type="dxa"/>
            <w:tcBorders>
              <w:top w:val="single" w:color="666666" w:sz="4"/>
              <w:left w:val="single" w:color="666666" w:sz="4"/>
              <w:bottom w:val="single" w:color="666666" w:sz="4"/>
              <w:right w:val="single" w:color="666666" w:sz="4"/>
            </w:tcBorders>
            <w:shd w:val="clear" w:color="auto" w:fill="FBE5D5"/>
            <w:tcMar>
              <w:left w:w="108" w:type="dxa"/>
              <w:right w:w="108" w:type="dxa"/>
            </w:tcMar>
            <w:vAlign w:val="top"/>
          </w:tcPr>
          <w:p w:rsidR="0076ADD1" w:rsidP="0076ADD1" w:rsidRDefault="0076ADD1" w14:paraId="0E6C274A" w14:textId="734BB868">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4,000</w:t>
            </w:r>
          </w:p>
        </w:tc>
      </w:tr>
      <w:tr w:rsidR="0076ADD1" w:rsidTr="0076ADD1" w14:paraId="071DA6DE">
        <w:trPr>
          <w:trHeight w:val="300"/>
        </w:trPr>
        <w:tc>
          <w:tcPr>
            <w:tcW w:w="507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30DDA035" w14:textId="647520CA">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Total Income</w:t>
            </w:r>
          </w:p>
        </w:tc>
        <w:tc>
          <w:tcPr>
            <w:tcW w:w="407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7EA2DBCB" w14:textId="64B64ABD">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24,500</w:t>
            </w:r>
          </w:p>
        </w:tc>
      </w:tr>
    </w:tbl>
    <w:p xmlns:wp14="http://schemas.microsoft.com/office/word/2010/wordml" w:rsidP="0076ADD1" wp14:paraId="03548D4C" wp14:textId="3E6DE5B3">
      <w:pPr>
        <w:rPr>
          <w:rFonts w:ascii="Arial" w:hAnsi="Arial" w:eastAsia="Arial" w:cs="Arial"/>
          <w:sz w:val="24"/>
          <w:szCs w:val="24"/>
        </w:rPr>
      </w:pPr>
    </w:p>
    <w:p xmlns:wp14="http://schemas.microsoft.com/office/word/2010/wordml" w:rsidP="0076ADD1" wp14:paraId="46BA1C21" wp14:textId="07670374">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Projected Expenditure</w:t>
      </w:r>
    </w:p>
    <w:p xmlns:wp14="http://schemas.microsoft.com/office/word/2010/wordml" w:rsidP="0076ADD1" wp14:paraId="0D66AF2D" wp14:textId="2D8A7154">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Expenses are also spent on all the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needful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facets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 event. It is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anticipated</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hiring a culturally relevant space will cost £5,000. Employee expenses referring to customer service, the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logistics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workers, and technical personnel are put at £4,000. </w:t>
      </w:r>
      <w:r w:rsidRPr="0076ADD1" w:rsidR="49E548CF">
        <w:rPr>
          <w:rFonts w:ascii="Arial" w:hAnsi="Arial" w:eastAsia="Arial" w:cs="Arial"/>
          <w:b w:val="0"/>
          <w:bCs w:val="0"/>
          <w:i w:val="0"/>
          <w:iCs w:val="0"/>
          <w:strike w:val="0"/>
          <w:dstrike w:val="0"/>
          <w:noProof w:val="0"/>
          <w:color w:val="000000" w:themeColor="text1" w:themeTint="FF" w:themeShade="FF"/>
          <w:sz w:val="24"/>
          <w:szCs w:val="24"/>
          <w:u w:val="none"/>
          <w:lang w:val="en-US"/>
        </w:rPr>
        <w:t>Marketing,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plays a vital role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for</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reaching maximum potential for </w:t>
      </w:r>
      <w:r w:rsidRPr="0076ADD1" w:rsidR="5FC481DE">
        <w:rPr>
          <w:rFonts w:ascii="Arial" w:hAnsi="Arial" w:eastAsia="Arial" w:cs="Arial"/>
          <w:b w:val="0"/>
          <w:bCs w:val="0"/>
          <w:i w:val="0"/>
          <w:iCs w:val="0"/>
          <w:strike w:val="0"/>
          <w:dstrike w:val="0"/>
          <w:noProof w:val="0"/>
          <w:color w:val="000000" w:themeColor="text1" w:themeTint="FF" w:themeShade="FF"/>
          <w:sz w:val="24"/>
          <w:szCs w:val="24"/>
          <w:u w:val="none"/>
          <w:lang w:val="en-US"/>
        </w:rPr>
        <w:t>events,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will cost around £3,000. Hire charges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of</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sound systems, lights and other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equipments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displaying are expected to cost £2,500. Furthermore, it cost £2,000 to cover all sorts of contingencies that may arise during the running of the business. Total estimated expenditure: £16,500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Schulenkorf</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2022).</w:t>
      </w:r>
    </w:p>
    <w:p xmlns:wp14="http://schemas.microsoft.com/office/word/2010/wordml" w:rsidP="0076ADD1" wp14:paraId="4B233EC2" wp14:textId="1B7A1232">
      <w:pPr>
        <w:spacing w:before="0" w:beforeAutospacing="off" w:after="200" w:afterAutospacing="off"/>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Table 2 Projected Expenditure</w:t>
      </w:r>
    </w:p>
    <w:tbl>
      <w:tblPr>
        <w:tblStyle w:val="TableNormal"/>
        <w:tblW w:w="0" w:type="auto"/>
        <w:tblLayout w:type="fixed"/>
        <w:tblLook w:val="06A0" w:firstRow="1" w:lastRow="0" w:firstColumn="1" w:lastColumn="0" w:noHBand="1" w:noVBand="1"/>
      </w:tblPr>
      <w:tblGrid>
        <w:gridCol w:w="5484"/>
        <w:gridCol w:w="3669"/>
      </w:tblGrid>
      <w:tr w:rsidR="0076ADD1" w:rsidTr="0076ADD1" w14:paraId="3471420C">
        <w:trPr>
          <w:trHeight w:val="300"/>
        </w:trPr>
        <w:tc>
          <w:tcPr>
            <w:tcW w:w="5484" w:type="dxa"/>
            <w:tcBorders>
              <w:top w:val="single" w:color="5B9BD5" w:sz="4"/>
              <w:left w:val="single" w:color="5B9BD5" w:sz="4"/>
              <w:bottom w:val="single" w:color="5B9BD5" w:sz="4"/>
            </w:tcBorders>
            <w:shd w:val="clear" w:color="auto" w:fill="5B9BD5"/>
            <w:tcMar>
              <w:left w:w="108" w:type="dxa"/>
              <w:right w:w="108" w:type="dxa"/>
            </w:tcMar>
            <w:vAlign w:val="top"/>
          </w:tcPr>
          <w:p w:rsidR="0076ADD1" w:rsidP="0076ADD1" w:rsidRDefault="0076ADD1" w14:paraId="1187A846" w14:textId="5C0F5B8E">
            <w:pPr>
              <w:spacing w:before="0" w:beforeAutospacing="off" w:after="0" w:afterAutospacing="off"/>
              <w:jc w:val="both"/>
              <w:rPr>
                <w:rFonts w:ascii="Arial" w:hAnsi="Arial" w:eastAsia="Arial" w:cs="Arial"/>
                <w:b w:val="1"/>
                <w:bCs w:val="1"/>
                <w:i w:val="0"/>
                <w:iCs w:val="0"/>
                <w:strike w:val="0"/>
                <w:dstrike w:val="0"/>
                <w:color w:val="FFFFFF" w:themeColor="background1" w:themeTint="FF" w:themeShade="FF"/>
                <w:sz w:val="24"/>
                <w:szCs w:val="24"/>
                <w:u w:val="none"/>
              </w:rPr>
            </w:pPr>
            <w:r w:rsidRPr="0076ADD1" w:rsidR="0076ADD1">
              <w:rPr>
                <w:rFonts w:ascii="Arial" w:hAnsi="Arial" w:eastAsia="Arial" w:cs="Arial"/>
                <w:b w:val="1"/>
                <w:bCs w:val="1"/>
                <w:i w:val="0"/>
                <w:iCs w:val="0"/>
                <w:strike w:val="0"/>
                <w:dstrike w:val="0"/>
                <w:color w:val="FFFFFF" w:themeColor="background1" w:themeTint="FF" w:themeShade="FF"/>
                <w:sz w:val="24"/>
                <w:szCs w:val="24"/>
                <w:u w:val="none"/>
              </w:rPr>
              <w:t>Expense Item</w:t>
            </w:r>
          </w:p>
        </w:tc>
        <w:tc>
          <w:tcPr>
            <w:tcW w:w="3669" w:type="dxa"/>
            <w:tcBorders>
              <w:top w:val="single" w:color="5B9BD5" w:sz="4"/>
              <w:bottom w:val="single" w:color="5B9BD5" w:sz="4"/>
              <w:right w:val="single" w:color="5B9BD5" w:sz="4"/>
            </w:tcBorders>
            <w:shd w:val="clear" w:color="auto" w:fill="5B9BD5"/>
            <w:tcMar>
              <w:left w:w="108" w:type="dxa"/>
              <w:right w:w="108" w:type="dxa"/>
            </w:tcMar>
            <w:vAlign w:val="top"/>
          </w:tcPr>
          <w:p w:rsidR="0076ADD1" w:rsidP="0076ADD1" w:rsidRDefault="0076ADD1" w14:paraId="6535F603" w14:textId="4DB9B005">
            <w:pPr>
              <w:spacing w:before="0" w:beforeAutospacing="off" w:after="0" w:afterAutospacing="off"/>
              <w:jc w:val="both"/>
              <w:rPr>
                <w:rFonts w:ascii="Arial" w:hAnsi="Arial" w:eastAsia="Arial" w:cs="Arial"/>
                <w:b w:val="1"/>
                <w:bCs w:val="1"/>
                <w:i w:val="0"/>
                <w:iCs w:val="0"/>
                <w:strike w:val="0"/>
                <w:dstrike w:val="0"/>
                <w:color w:val="FFFFFF" w:themeColor="background1" w:themeTint="FF" w:themeShade="FF"/>
                <w:sz w:val="24"/>
                <w:szCs w:val="24"/>
                <w:u w:val="none"/>
              </w:rPr>
            </w:pPr>
            <w:r w:rsidRPr="0076ADD1" w:rsidR="0076ADD1">
              <w:rPr>
                <w:rFonts w:ascii="Arial" w:hAnsi="Arial" w:eastAsia="Arial" w:cs="Arial"/>
                <w:b w:val="1"/>
                <w:bCs w:val="1"/>
                <w:i w:val="0"/>
                <w:iCs w:val="0"/>
                <w:strike w:val="0"/>
                <w:dstrike w:val="0"/>
                <w:color w:val="FFFFFF" w:themeColor="background1" w:themeTint="FF" w:themeShade="FF"/>
                <w:sz w:val="24"/>
                <w:szCs w:val="24"/>
                <w:u w:val="none"/>
              </w:rPr>
              <w:t>Amount (£)</w:t>
            </w:r>
          </w:p>
        </w:tc>
      </w:tr>
      <w:tr w:rsidR="0076ADD1" w:rsidTr="0076ADD1" w14:paraId="63454898">
        <w:trPr>
          <w:trHeight w:val="300"/>
        </w:trPr>
        <w:tc>
          <w:tcPr>
            <w:tcW w:w="5484" w:type="dxa"/>
            <w:tcBorders>
              <w:top w:val="single" w:color="5B9BD5" w:sz="4"/>
              <w:left w:val="single" w:color="666666" w:sz="4"/>
              <w:bottom w:val="single" w:color="666666" w:sz="4"/>
              <w:right w:val="single" w:color="666666" w:sz="4"/>
            </w:tcBorders>
            <w:shd w:val="clear" w:color="auto" w:fill="DEEBF6"/>
            <w:tcMar>
              <w:left w:w="108" w:type="dxa"/>
              <w:right w:w="108" w:type="dxa"/>
            </w:tcMar>
            <w:vAlign w:val="top"/>
          </w:tcPr>
          <w:p w:rsidR="0076ADD1" w:rsidP="0076ADD1" w:rsidRDefault="0076ADD1" w14:paraId="32D6604D" w14:textId="259E3848">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Venue Rental</w:t>
            </w:r>
          </w:p>
        </w:tc>
        <w:tc>
          <w:tcPr>
            <w:tcW w:w="3669" w:type="dxa"/>
            <w:tcBorders>
              <w:top w:val="single" w:color="5B9BD5" w:sz="4"/>
              <w:left w:val="single" w:color="666666" w:sz="4"/>
              <w:bottom w:val="single" w:color="666666" w:sz="4"/>
              <w:right w:val="single" w:color="666666" w:sz="4"/>
            </w:tcBorders>
            <w:shd w:val="clear" w:color="auto" w:fill="DEEBF6"/>
            <w:tcMar>
              <w:left w:w="108" w:type="dxa"/>
              <w:right w:w="108" w:type="dxa"/>
            </w:tcMar>
            <w:vAlign w:val="top"/>
          </w:tcPr>
          <w:p w:rsidR="0076ADD1" w:rsidP="0076ADD1" w:rsidRDefault="0076ADD1" w14:paraId="50EA4E37" w14:textId="5E97BFCE">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5,000</w:t>
            </w:r>
          </w:p>
        </w:tc>
      </w:tr>
      <w:tr w:rsidR="0076ADD1" w:rsidTr="0076ADD1" w14:paraId="1397918A">
        <w:trPr>
          <w:trHeight w:val="300"/>
        </w:trPr>
        <w:tc>
          <w:tcPr>
            <w:tcW w:w="548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6DFBF1D6" w14:textId="0BF7515D">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Staffing</w:t>
            </w:r>
          </w:p>
        </w:tc>
        <w:tc>
          <w:tcPr>
            <w:tcW w:w="366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066B6289" w14:textId="36210961">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4,000</w:t>
            </w:r>
          </w:p>
        </w:tc>
      </w:tr>
      <w:tr w:rsidR="0076ADD1" w:rsidTr="0076ADD1" w14:paraId="06ECD3ED">
        <w:trPr>
          <w:trHeight w:val="300"/>
        </w:trPr>
        <w:tc>
          <w:tcPr>
            <w:tcW w:w="5484" w:type="dxa"/>
            <w:tcBorders>
              <w:top w:val="single" w:color="666666" w:sz="4"/>
              <w:left w:val="single" w:color="666666" w:sz="4"/>
              <w:bottom w:val="single" w:color="666666" w:sz="4"/>
              <w:right w:val="single" w:color="666666" w:sz="4"/>
            </w:tcBorders>
            <w:shd w:val="clear" w:color="auto" w:fill="DEEBF6"/>
            <w:tcMar>
              <w:left w:w="108" w:type="dxa"/>
              <w:right w:w="108" w:type="dxa"/>
            </w:tcMar>
            <w:vAlign w:val="top"/>
          </w:tcPr>
          <w:p w:rsidR="0076ADD1" w:rsidP="0076ADD1" w:rsidRDefault="0076ADD1" w14:paraId="38843F4A" w14:textId="6D71E408">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Marketing</w:t>
            </w:r>
          </w:p>
        </w:tc>
        <w:tc>
          <w:tcPr>
            <w:tcW w:w="3669" w:type="dxa"/>
            <w:tcBorders>
              <w:top w:val="single" w:color="666666" w:sz="4"/>
              <w:left w:val="single" w:color="666666" w:sz="4"/>
              <w:bottom w:val="single" w:color="666666" w:sz="4"/>
              <w:right w:val="single" w:color="666666" w:sz="4"/>
            </w:tcBorders>
            <w:shd w:val="clear" w:color="auto" w:fill="DEEBF6"/>
            <w:tcMar>
              <w:left w:w="108" w:type="dxa"/>
              <w:right w:w="108" w:type="dxa"/>
            </w:tcMar>
            <w:vAlign w:val="top"/>
          </w:tcPr>
          <w:p w:rsidR="0076ADD1" w:rsidP="0076ADD1" w:rsidRDefault="0076ADD1" w14:paraId="52D41D5E" w14:textId="28A3768A">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3,000</w:t>
            </w:r>
          </w:p>
        </w:tc>
      </w:tr>
      <w:tr w:rsidR="0076ADD1" w:rsidTr="0076ADD1" w14:paraId="67CEA6E5">
        <w:trPr>
          <w:trHeight w:val="300"/>
        </w:trPr>
        <w:tc>
          <w:tcPr>
            <w:tcW w:w="548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1A60E216" w14:textId="28657005">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Equipment Rental</w:t>
            </w:r>
          </w:p>
        </w:tc>
        <w:tc>
          <w:tcPr>
            <w:tcW w:w="366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1246BD90" w14:textId="395DCB13">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2,500</w:t>
            </w:r>
          </w:p>
        </w:tc>
      </w:tr>
      <w:tr w:rsidR="0076ADD1" w:rsidTr="0076ADD1" w14:paraId="21736D81">
        <w:trPr>
          <w:trHeight w:val="300"/>
        </w:trPr>
        <w:tc>
          <w:tcPr>
            <w:tcW w:w="5484" w:type="dxa"/>
            <w:tcBorders>
              <w:top w:val="single" w:color="666666" w:sz="4"/>
              <w:left w:val="single" w:color="666666" w:sz="4"/>
              <w:bottom w:val="single" w:color="666666" w:sz="4"/>
              <w:right w:val="single" w:color="666666" w:sz="4"/>
            </w:tcBorders>
            <w:shd w:val="clear" w:color="auto" w:fill="DEEBF6"/>
            <w:tcMar>
              <w:left w:w="108" w:type="dxa"/>
              <w:right w:w="108" w:type="dxa"/>
            </w:tcMar>
            <w:vAlign w:val="top"/>
          </w:tcPr>
          <w:p w:rsidR="0076ADD1" w:rsidP="0076ADD1" w:rsidRDefault="0076ADD1" w14:paraId="33D7DC30" w14:textId="40E66838">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Contingency</w:t>
            </w:r>
          </w:p>
        </w:tc>
        <w:tc>
          <w:tcPr>
            <w:tcW w:w="3669" w:type="dxa"/>
            <w:tcBorders>
              <w:top w:val="single" w:color="666666" w:sz="4"/>
              <w:left w:val="single" w:color="666666" w:sz="4"/>
              <w:bottom w:val="single" w:color="666666" w:sz="4"/>
              <w:right w:val="single" w:color="666666" w:sz="4"/>
            </w:tcBorders>
            <w:shd w:val="clear" w:color="auto" w:fill="DEEBF6"/>
            <w:tcMar>
              <w:left w:w="108" w:type="dxa"/>
              <w:right w:w="108" w:type="dxa"/>
            </w:tcMar>
            <w:vAlign w:val="top"/>
          </w:tcPr>
          <w:p w:rsidR="0076ADD1" w:rsidP="0076ADD1" w:rsidRDefault="0076ADD1" w14:paraId="572D1F50" w14:textId="762195B7">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2,000</w:t>
            </w:r>
          </w:p>
        </w:tc>
      </w:tr>
      <w:tr w:rsidR="0076ADD1" w:rsidTr="0076ADD1" w14:paraId="75BB2F66">
        <w:trPr>
          <w:trHeight w:val="300"/>
        </w:trPr>
        <w:tc>
          <w:tcPr>
            <w:tcW w:w="548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46BEA902" w14:textId="3C24E8F0">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Total Expenditure</w:t>
            </w:r>
          </w:p>
        </w:tc>
        <w:tc>
          <w:tcPr>
            <w:tcW w:w="366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2647ADD3" w14:textId="4782C2DC">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16,500</w:t>
            </w:r>
          </w:p>
        </w:tc>
      </w:tr>
    </w:tbl>
    <w:p xmlns:wp14="http://schemas.microsoft.com/office/word/2010/wordml" w:rsidP="0076ADD1" wp14:paraId="0AC7F5A8" wp14:textId="5ECF9727">
      <w:pPr>
        <w:rPr>
          <w:rFonts w:ascii="Arial" w:hAnsi="Arial" w:eastAsia="Arial" w:cs="Arial"/>
          <w:sz w:val="24"/>
          <w:szCs w:val="24"/>
        </w:rPr>
      </w:pPr>
    </w:p>
    <w:p xmlns:wp14="http://schemas.microsoft.com/office/word/2010/wordml" w:rsidP="0076ADD1" wp14:paraId="36033ECC" wp14:textId="320CBE4A">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Funding Sources and Partnerships</w:t>
      </w:r>
    </w:p>
    <w:p xmlns:wp14="http://schemas.microsoft.com/office/word/2010/wordml" w:rsidP="0076ADD1" wp14:paraId="30ECB748" wp14:textId="4FA8563F">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Sponsorship must also be a strategic process for covering the budget and increasing the event’s credibility. Targeted sponsors may include cultural institutions, local enterprises, and tourism offices who aim at increasing culture consumption. It can be funding from the art councils and other materials needed for artist relations (Dolores, Macchiaroli and De Mare, 2021).</w:t>
      </w:r>
    </w:p>
    <w:p xmlns:wp14="http://schemas.microsoft.com/office/word/2010/wordml" w:rsidP="0076ADD1" wp14:paraId="6041F34C" wp14:textId="24B0B2C6">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Cost-Benefit Analysis</w:t>
      </w:r>
    </w:p>
    <w:p xmlns:wp14="http://schemas.microsoft.com/office/word/2010/wordml" w:rsidP="0076ADD1" wp14:paraId="61973D82" wp14:textId="7398E94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Analyzing costs and revenue, it is unambiguously possible to expect </w:t>
      </w:r>
      <w:r w:rsidRPr="0076ADD1" w:rsidR="40A2BC98">
        <w:rPr>
          <w:rFonts w:ascii="Arial" w:hAnsi="Arial" w:eastAsia="Arial" w:cs="Arial"/>
          <w:b w:val="0"/>
          <w:bCs w:val="0"/>
          <w:i w:val="0"/>
          <w:iCs w:val="0"/>
          <w:strike w:val="0"/>
          <w:dstrike w:val="0"/>
          <w:noProof w:val="0"/>
          <w:color w:val="000000" w:themeColor="text1" w:themeTint="FF" w:themeShade="FF"/>
          <w:sz w:val="24"/>
          <w:szCs w:val="24"/>
          <w:u w:val="none"/>
          <w:lang w:val="en-US"/>
        </w:rPr>
        <w:t>revenue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£24,500 and expenses of £16,500 and, therefore, a net profit of £8,000. This surplus provides a clear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indication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 ability to breach the break-even point and shows great promise in moving positive returns for the venture. Advanced capital budgeting is a technique that enhances the cash flow by securing multiple cash inflows and </w:t>
      </w:r>
      <w:r w:rsidRPr="0076ADD1" w:rsidR="643E24C7">
        <w:rPr>
          <w:rFonts w:ascii="Arial" w:hAnsi="Arial" w:eastAsia="Arial" w:cs="Arial"/>
          <w:b w:val="0"/>
          <w:bCs w:val="0"/>
          <w:i w:val="0"/>
          <w:iCs w:val="0"/>
          <w:strike w:val="0"/>
          <w:dstrike w:val="0"/>
          <w:noProof w:val="0"/>
          <w:color w:val="000000" w:themeColor="text1" w:themeTint="FF" w:themeShade="FF"/>
          <w:sz w:val="24"/>
          <w:szCs w:val="24"/>
          <w:u w:val="none"/>
          <w:lang w:val="en-US"/>
        </w:rPr>
        <w:t>controlling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cash outflows. The condition is also attained in order to provide money gotten back to fund future events and this portrays sustainability and benefits of the event to stakeholders (Koopmans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Mouter</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2020). These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important factors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formulating this budget framework correlate with the event’s strategic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maintainability, operational productivity as well as creating a memorable seasonal taste of satisfying the UK culture.</w:t>
      </w:r>
    </w:p>
    <w:p xmlns:wp14="http://schemas.microsoft.com/office/word/2010/wordml" w:rsidP="0076ADD1" wp14:paraId="1AC28A19" wp14:textId="7DEB042F">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5CE99863" wp14:anchorId="2570B8E5">
            <wp:extent cx="4829175" cy="3276600"/>
            <wp:effectExtent l="0" t="0" r="0" b="0"/>
            <wp:docPr id="807691250" name="" descr="1677915315597 (730×495)" title=""/>
            <wp:cNvGraphicFramePr>
              <a:graphicFrameLocks noChangeAspect="1"/>
            </wp:cNvGraphicFramePr>
            <a:graphic>
              <a:graphicData uri="http://schemas.openxmlformats.org/drawingml/2006/picture">
                <pic:pic>
                  <pic:nvPicPr>
                    <pic:cNvPr id="0" name=""/>
                    <pic:cNvPicPr/>
                  </pic:nvPicPr>
                  <pic:blipFill>
                    <a:blip r:embed="R5026652c87eb47ee">
                      <a:extLst>
                        <a:ext xmlns:a="http://schemas.openxmlformats.org/drawingml/2006/main" uri="{28A0092B-C50C-407E-A947-70E740481C1C}">
                          <a14:useLocalDpi val="0"/>
                        </a:ext>
                      </a:extLst>
                    </a:blip>
                    <a:stretch>
                      <a:fillRect/>
                    </a:stretch>
                  </pic:blipFill>
                  <pic:spPr>
                    <a:xfrm>
                      <a:off x="0" y="0"/>
                      <a:ext cx="4829175" cy="3276600"/>
                    </a:xfrm>
                    <a:prstGeom prst="rect">
                      <a:avLst/>
                    </a:prstGeom>
                  </pic:spPr>
                </pic:pic>
              </a:graphicData>
            </a:graphic>
          </wp:inline>
        </w:drawing>
      </w:r>
    </w:p>
    <w:p xmlns:wp14="http://schemas.microsoft.com/office/word/2010/wordml" w:rsidP="0076ADD1" wp14:paraId="569FCA1C" wp14:textId="2B2B03E2">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7 Cost-Benefit Analysis</w:t>
      </w:r>
    </w:p>
    <w:p xmlns:wp14="http://schemas.microsoft.com/office/word/2010/wordml" w:rsidP="0076ADD1" wp14:paraId="19E9C330" wp14:textId="7C87BAF1">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Industry Trends, </w:t>
      </w: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Issues</w:t>
      </w: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and Impacts </w:t>
      </w:r>
    </w:p>
    <w:p xmlns:wp14="http://schemas.microsoft.com/office/word/2010/wordml" w:rsidP="0076ADD1" wp14:paraId="2C7A1424" wp14:textId="796C775B">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“Celebration of Seasonal Art and Culture” addresses critical trends and issues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impacting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event industry, particularly in technology integration, sustainability, and evolving post-COVID expectations. These elements significantly shape both attendee experience and operational planning (Chun,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Keeyeon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Ki-</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cheon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Park and Kim, 2024).</w:t>
      </w:r>
    </w:p>
    <w:p xmlns:wp14="http://schemas.microsoft.com/office/word/2010/wordml" w:rsidP="0076ADD1" wp14:paraId="1EB78B2E" wp14:textId="57E89388">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Technology Integration</w:t>
      </w:r>
    </w:p>
    <w:p xmlns:wp14="http://schemas.microsoft.com/office/word/2010/wordml" w:rsidP="0076ADD1" wp14:paraId="2105C946" wp14:textId="101A5D0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Technological enhancements are now central to modern events, improving attendee engagement, convenience, and personalization. Studies show that 68% of attendees expect digital features such as virtual ticketing, mobile apps, and interactive displays. To meet this demand, the event will feature a dedicated app with real-time schedules, interactive maps, and event notifications. Beyond convenience, the app will provide data for post-event analysis, helping organizers evaluate engagement and refine future experiences (Rahman et al., 2022).</w:t>
      </w:r>
    </w:p>
    <w:p xmlns:wp14="http://schemas.microsoft.com/office/word/2010/wordml" w:rsidP="0076ADD1" wp14:paraId="379E0CD7" wp14:textId="278100F9">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0FB49300" wp14:anchorId="11DC6ADE">
            <wp:extent cx="5010148" cy="2819400"/>
            <wp:effectExtent l="0" t="0" r="0" b="0"/>
            <wp:docPr id="1018847608" name="" title=""/>
            <wp:cNvGraphicFramePr>
              <a:graphicFrameLocks noChangeAspect="1"/>
            </wp:cNvGraphicFramePr>
            <a:graphic>
              <a:graphicData uri="http://schemas.openxmlformats.org/drawingml/2006/picture">
                <pic:pic>
                  <pic:nvPicPr>
                    <pic:cNvPr id="0" name=""/>
                    <pic:cNvPicPr/>
                  </pic:nvPicPr>
                  <pic:blipFill>
                    <a:blip r:embed="R1931870cd37c4945">
                      <a:extLst>
                        <a:ext xmlns:a="http://schemas.openxmlformats.org/drawingml/2006/main" uri="{28A0092B-C50C-407E-A947-70E740481C1C}">
                          <a14:useLocalDpi val="0"/>
                        </a:ext>
                      </a:extLst>
                    </a:blip>
                    <a:stretch>
                      <a:fillRect/>
                    </a:stretch>
                  </pic:blipFill>
                  <pic:spPr>
                    <a:xfrm>
                      <a:off x="0" y="0"/>
                      <a:ext cx="5010148" cy="2819400"/>
                    </a:xfrm>
                    <a:prstGeom prst="rect">
                      <a:avLst/>
                    </a:prstGeom>
                  </pic:spPr>
                </pic:pic>
              </a:graphicData>
            </a:graphic>
          </wp:inline>
        </w:drawing>
      </w:r>
    </w:p>
    <w:p xmlns:wp14="http://schemas.microsoft.com/office/word/2010/wordml" w:rsidP="0076ADD1" wp14:paraId="2178D82F" wp14:textId="4C4EB358">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8 Technology Integration in event management</w:t>
      </w:r>
    </w:p>
    <w:p xmlns:wp14="http://schemas.microsoft.com/office/word/2010/wordml" w:rsidP="0076ADD1" wp14:paraId="7EE5AFE2" wp14:textId="4E82ECF2">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Sustainability Initiatives</w:t>
      </w:r>
    </w:p>
    <w:p xmlns:wp14="http://schemas.microsoft.com/office/word/2010/wordml" w:rsidP="0076ADD1" wp14:paraId="53F47D4C" wp14:textId="14871C7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Sustainability is increasingly vital in event planning, with 83% of global consumers expecting events to actively reduce environmental impact. This event will adopt sustainable practices, such as digital ticketing, eco-friendly decor, and sourcing from local vendors. Waste reduction measures include recycling stations and the use of biodegradable packaging. These choices not only align with public expectations but also reinforce the seasonal, nature-inspired theme, creating a responsible and authentic experience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Rashminbhai</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2024).</w:t>
      </w:r>
    </w:p>
    <w:p xmlns:wp14="http://schemas.microsoft.com/office/word/2010/wordml" w:rsidP="0076ADD1" wp14:paraId="3BA3AAFF" wp14:textId="3F746DFB">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Post-COVID Attendee Expectations</w:t>
      </w:r>
    </w:p>
    <w:p xmlns:wp14="http://schemas.microsoft.com/office/word/2010/wordml" w:rsidP="0076ADD1" wp14:paraId="1FBA9347" wp14:textId="51446A0D">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the post-pandemic context, health and safety are paramount, with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nearly 90%</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attendees concerned about safety protocols. To ensure that all attendees meet these expectations I shall ensure that this event has hand sanitation stations, controlled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capacity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controlled traffic patterns. They reduce the chances of violating the established health requirements of an event, increase the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perception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attendees that their safety is deeply ingrained in the event program (Thomas and Stephens, 2022).</w:t>
      </w:r>
    </w:p>
    <w:p xmlns:wp14="http://schemas.microsoft.com/office/word/2010/wordml" w:rsidP="0076ADD1" wp14:paraId="1CA86316" wp14:textId="00635CF6">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Economic and Cultural Impacts</w:t>
      </w:r>
    </w:p>
    <w:p xmlns:wp14="http://schemas.microsoft.com/office/word/2010/wordml" w:rsidP="0076ADD1" wp14:paraId="15CD5008" wp14:textId="0307062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Cost fluctuations, including inflation, pose </w:t>
      </w:r>
      <w:r w:rsidRPr="0076ADD1" w:rsidR="004D4FE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constraints </w:t>
      </w:r>
      <w:r w:rsidRPr="0076ADD1" w:rsidR="004D4FE0">
        <w:rPr>
          <w:rFonts w:ascii="Arial" w:hAnsi="Arial" w:eastAsia="Arial" w:cs="Arial"/>
          <w:b w:val="0"/>
          <w:bCs w:val="0"/>
          <w:i w:val="0"/>
          <w:iCs w:val="0"/>
          <w:strike w:val="0"/>
          <w:dstrike w:val="0"/>
          <w:noProof w:val="0"/>
          <w:color w:val="000000" w:themeColor="text1" w:themeTint="FF" w:themeShade="FF"/>
          <w:sz w:val="24"/>
          <w:szCs w:val="24"/>
          <w:u w:val="none"/>
          <w:lang w:val="en-US"/>
        </w:rPr>
        <w:t>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effective economic planning and thus require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appropriate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strong sponsorship management and planning. Maintenance of financial sustainability will be possible with sponsorships and vendor partnership plans. There is a cultural change towards live, interactive, and community-focused events where people share emotions. This event focuses on local art and seasonal practices which in turn is a perfect fit with the recent trend of offering a unique cultural experience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Schulenkorf</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2022).</w:t>
      </w:r>
    </w:p>
    <w:p xmlns:wp14="http://schemas.microsoft.com/office/word/2010/wordml" w:rsidP="0076ADD1" wp14:paraId="16065292" wp14:textId="65208930">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Risk Management</w:t>
      </w:r>
    </w:p>
    <w:p xmlns:wp14="http://schemas.microsoft.com/office/word/2010/wordml" w:rsidP="0076ADD1" wp14:paraId="6C1B3C0B" wp14:textId="06726CA7">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chosen model for program guidance is the EMBOK model, specifically its Risk domain, </w:t>
      </w:r>
      <w:r w:rsidRPr="0076ADD1" w:rsidR="18659294">
        <w:rPr>
          <w:rFonts w:ascii="Arial" w:hAnsi="Arial" w:eastAsia="Arial" w:cs="Arial"/>
          <w:b w:val="0"/>
          <w:bCs w:val="0"/>
          <w:i w:val="0"/>
          <w:iCs w:val="0"/>
          <w:strike w:val="0"/>
          <w:dstrike w:val="0"/>
          <w:noProof w:val="0"/>
          <w:color w:val="000000" w:themeColor="text1" w:themeTint="FF" w:themeShade="FF"/>
          <w:sz w:val="24"/>
          <w:szCs w:val="24"/>
          <w:u w:val="none"/>
          <w:lang w:val="en-US"/>
        </w:rPr>
        <w:t>according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w:t>
      </w:r>
      <w:r w:rsidRPr="0076ADD1" w:rsidR="2758D55C">
        <w:rPr>
          <w:rFonts w:ascii="Arial" w:hAnsi="Arial" w:eastAsia="Arial" w:cs="Arial"/>
          <w:b w:val="0"/>
          <w:bCs w:val="0"/>
          <w:i w:val="0"/>
          <w:iCs w:val="0"/>
          <w:strike w:val="0"/>
          <w:dstrike w:val="0"/>
          <w:noProof w:val="0"/>
          <w:color w:val="000000" w:themeColor="text1" w:themeTint="FF" w:themeShade="FF"/>
          <w:sz w:val="24"/>
          <w:szCs w:val="24"/>
          <w:u w:val="none"/>
          <w:lang w:val="en-US"/>
        </w:rPr>
        <w:t>which</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risks such as health risks, technology failure, and crowd control will be managed. It also means being prepared for the </w:t>
      </w:r>
      <w:r w:rsidRPr="0076ADD1" w:rsidR="140B4D90">
        <w:rPr>
          <w:rFonts w:ascii="Arial" w:hAnsi="Arial" w:eastAsia="Arial" w:cs="Arial"/>
          <w:b w:val="0"/>
          <w:bCs w:val="0"/>
          <w:i w:val="0"/>
          <w:iCs w:val="0"/>
          <w:strike w:val="0"/>
          <w:dstrike w:val="0"/>
          <w:noProof w:val="0"/>
          <w:color w:val="000000" w:themeColor="text1" w:themeTint="FF" w:themeShade="FF"/>
          <w:sz w:val="24"/>
          <w:szCs w:val="24"/>
          <w:u w:val="none"/>
          <w:lang w:val="en-US"/>
        </w:rPr>
        <w:t>worst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when the worst happens, and this makes the event safe and enjoyable. This approach not only strengthens the event’s contingency but also responds to the industry requirements and places it in a </w:t>
      </w:r>
      <w:r w:rsidRPr="0076ADD1" w:rsidR="3C6489E8">
        <w:rPr>
          <w:rFonts w:ascii="Arial" w:hAnsi="Arial" w:eastAsia="Arial" w:cs="Arial"/>
          <w:b w:val="0"/>
          <w:bCs w:val="0"/>
          <w:i w:val="0"/>
          <w:iCs w:val="0"/>
          <w:strike w:val="0"/>
          <w:dstrike w:val="0"/>
          <w:noProof w:val="0"/>
          <w:color w:val="000000" w:themeColor="text1" w:themeTint="FF" w:themeShade="FF"/>
          <w:sz w:val="24"/>
          <w:szCs w:val="24"/>
          <w:u w:val="none"/>
          <w:lang w:val="en-US"/>
        </w:rPr>
        <w:t>trendsetting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attendee-oriented event (EMBOK, 2019).</w:t>
      </w:r>
    </w:p>
    <w:p xmlns:wp14="http://schemas.microsoft.com/office/word/2010/wordml" w:rsidP="0076ADD1" wp14:paraId="17265B78" wp14:textId="445AE955">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Situational and Cultural Considerations </w:t>
      </w:r>
    </w:p>
    <w:p xmlns:wp14="http://schemas.microsoft.com/office/word/2010/wordml" w:rsidP="0076ADD1" wp14:paraId="44A8C03A" wp14:textId="284A11D8">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Situational Analysis</w:t>
      </w:r>
    </w:p>
    <w:p xmlns:wp14="http://schemas.microsoft.com/office/word/2010/wordml" w:rsidP="0076ADD1" wp14:paraId="030CFA36" wp14:textId="30465D3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SWOT analysis makes it easier to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determine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strengths, weaknesses,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opportunities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threats of an event such as “Celebration of Seasonal Art and Culture.”  </w:t>
      </w:r>
    </w:p>
    <w:p xmlns:wp14="http://schemas.microsoft.com/office/word/2010/wordml" w:rsidP="0076ADD1" wp14:paraId="1CB3EEC3" wp14:textId="47AFA632">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2897D3DF" wp14:anchorId="79AB1FF5">
            <wp:extent cx="4010025" cy="3000375"/>
            <wp:effectExtent l="0" t="0" r="0" b="0"/>
            <wp:docPr id="1372382259" name="" descr="canva-white-colorful-simple-professional-swot-analysis-graph-ZtXNDSrcfss.jpg (1600×1200)" title=""/>
            <wp:cNvGraphicFramePr>
              <a:graphicFrameLocks noChangeAspect="1"/>
            </wp:cNvGraphicFramePr>
            <a:graphic>
              <a:graphicData uri="http://schemas.openxmlformats.org/drawingml/2006/picture">
                <pic:pic>
                  <pic:nvPicPr>
                    <pic:cNvPr id="0" name=""/>
                    <pic:cNvPicPr/>
                  </pic:nvPicPr>
                  <pic:blipFill>
                    <a:blip r:embed="Rcd274bcde4484257">
                      <a:extLst>
                        <a:ext xmlns:a="http://schemas.openxmlformats.org/drawingml/2006/main" uri="{28A0092B-C50C-407E-A947-70E740481C1C}">
                          <a14:useLocalDpi val="0"/>
                        </a:ext>
                      </a:extLst>
                    </a:blip>
                    <a:stretch>
                      <a:fillRect/>
                    </a:stretch>
                  </pic:blipFill>
                  <pic:spPr>
                    <a:xfrm>
                      <a:off x="0" y="0"/>
                      <a:ext cx="4010025" cy="3000375"/>
                    </a:xfrm>
                    <a:prstGeom prst="rect">
                      <a:avLst/>
                    </a:prstGeom>
                  </pic:spPr>
                </pic:pic>
              </a:graphicData>
            </a:graphic>
          </wp:inline>
        </w:drawing>
      </w:r>
    </w:p>
    <w:p xmlns:wp14="http://schemas.microsoft.com/office/word/2010/wordml" w:rsidP="0076ADD1" wp14:paraId="5A931AC9" wp14:textId="5D1F4A77">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9 SWOT analysis</w:t>
      </w:r>
    </w:p>
    <w:p xmlns:wp14="http://schemas.microsoft.com/office/word/2010/wordml" w:rsidP="0076ADD1" wp14:paraId="07662B32" wp14:textId="6379BAA7">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Strengths are that it offers a narrow but highly relevant and heavily visited theme of seasonal UK </w:t>
      </w:r>
      <w:r w:rsidRPr="0076ADD1" w:rsidR="087D02DC">
        <w:rPr>
          <w:rFonts w:ascii="Arial" w:hAnsi="Arial" w:eastAsia="Arial" w:cs="Arial"/>
          <w:b w:val="0"/>
          <w:bCs w:val="0"/>
          <w:i w:val="0"/>
          <w:iCs w:val="0"/>
          <w:strike w:val="0"/>
          <w:dstrike w:val="0"/>
          <w:noProof w:val="0"/>
          <w:color w:val="000000" w:themeColor="text1" w:themeTint="FF" w:themeShade="FF"/>
          <w:sz w:val="24"/>
          <w:szCs w:val="24"/>
          <w:u w:val="none"/>
          <w:lang w:val="en-US"/>
        </w:rPr>
        <w:t>culture.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makes it a distinct platform from other events making it more appealing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Benzaghta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2021).</w:t>
      </w:r>
    </w:p>
    <w:p xmlns:wp14="http://schemas.microsoft.com/office/word/2010/wordml" w:rsidP="0076ADD1" wp14:paraId="6EE9F480" wp14:textId="5111597C">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Weaknesses may involve the costs associated with seasonal decor and artist engagement, requiring careful budget management to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maintain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financial feasibility. </w:t>
      </w:r>
    </w:p>
    <w:p xmlns:wp14="http://schemas.microsoft.com/office/word/2010/wordml" w:rsidP="0076ADD1" wp14:paraId="2DFDF5E7" wp14:textId="550FF17C">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Opportunities exist in partnerships with local cultural institutions and tourism boards, enhancing credibility and marketing reach. </w:t>
      </w:r>
    </w:p>
    <w:p xmlns:wp14="http://schemas.microsoft.com/office/word/2010/wordml" w:rsidP="0076ADD1" wp14:paraId="600BBB5E" wp14:textId="7A10B811">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Threats include the presence of economic instability that may pose a threat to sponsorship and attendee pocket reach for sponsoring, and inequality in weather patterns that may harm outdoor booths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Puyt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Lie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Wilderom</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2023).</w:t>
      </w:r>
    </w:p>
    <w:p xmlns:wp14="http://schemas.microsoft.com/office/word/2010/wordml" w:rsidP="0076ADD1" wp14:paraId="59E68A46" wp14:textId="3B74A068">
      <w:pPr>
        <w:spacing w:before="0" w:beforeAutospacing="off" w:after="200" w:afterAutospacing="off"/>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Table 3 SWOT analysis</w:t>
      </w:r>
    </w:p>
    <w:tbl>
      <w:tblPr>
        <w:tblStyle w:val="TableNormal"/>
        <w:tblW w:w="0" w:type="auto"/>
        <w:tblLayout w:type="fixed"/>
        <w:tblLook w:val="06A0" w:firstRow="1" w:lastRow="0" w:firstColumn="1" w:lastColumn="0" w:noHBand="1" w:noVBand="1"/>
      </w:tblPr>
      <w:tblGrid>
        <w:gridCol w:w="1719"/>
        <w:gridCol w:w="7434"/>
      </w:tblGrid>
      <w:tr w:rsidR="0076ADD1" w:rsidTr="0076ADD1" w14:paraId="375868CB">
        <w:trPr>
          <w:trHeight w:val="300"/>
        </w:trPr>
        <w:tc>
          <w:tcPr>
            <w:tcW w:w="1719" w:type="dxa"/>
            <w:tcBorders>
              <w:top w:val="single" w:color="000000" w:themeColor="text1" w:sz="4"/>
              <w:left w:val="single" w:color="000000" w:themeColor="text1" w:sz="4"/>
              <w:bottom w:val="single" w:color="000000" w:themeColor="text1" w:sz="4"/>
            </w:tcBorders>
            <w:shd w:val="clear" w:color="auto" w:fill="000000" w:themeFill="text1"/>
            <w:tcMar>
              <w:left w:w="108" w:type="dxa"/>
              <w:right w:w="108" w:type="dxa"/>
            </w:tcMar>
            <w:vAlign w:val="top"/>
          </w:tcPr>
          <w:p w:rsidR="0076ADD1" w:rsidP="0076ADD1" w:rsidRDefault="0076ADD1" w14:paraId="1BBE29B5" w14:textId="2B1C48CC">
            <w:pPr>
              <w:spacing w:before="0" w:beforeAutospacing="off" w:after="0" w:afterAutospacing="off"/>
              <w:jc w:val="both"/>
              <w:rPr>
                <w:rFonts w:ascii="Arial" w:hAnsi="Arial" w:eastAsia="Arial" w:cs="Arial"/>
                <w:b w:val="1"/>
                <w:bCs w:val="1"/>
                <w:i w:val="0"/>
                <w:iCs w:val="0"/>
                <w:strike w:val="0"/>
                <w:dstrike w:val="0"/>
                <w:color w:val="FFFFFF" w:themeColor="background1" w:themeTint="FF" w:themeShade="FF"/>
                <w:sz w:val="24"/>
                <w:szCs w:val="24"/>
                <w:u w:val="none"/>
              </w:rPr>
            </w:pPr>
            <w:r w:rsidRPr="0076ADD1" w:rsidR="0076ADD1">
              <w:rPr>
                <w:rFonts w:ascii="Arial" w:hAnsi="Arial" w:eastAsia="Arial" w:cs="Arial"/>
                <w:b w:val="1"/>
                <w:bCs w:val="1"/>
                <w:i w:val="0"/>
                <w:iCs w:val="0"/>
                <w:strike w:val="0"/>
                <w:dstrike w:val="0"/>
                <w:color w:val="FFFFFF" w:themeColor="background1" w:themeTint="FF" w:themeShade="FF"/>
                <w:sz w:val="24"/>
                <w:szCs w:val="24"/>
                <w:u w:val="none"/>
              </w:rPr>
              <w:t>Factors</w:t>
            </w:r>
          </w:p>
        </w:tc>
        <w:tc>
          <w:tcPr>
            <w:tcW w:w="7434" w:type="dxa"/>
            <w:tcBorders>
              <w:top w:val="single" w:color="000000" w:themeColor="text1" w:sz="4"/>
              <w:bottom w:val="single" w:color="000000" w:themeColor="text1" w:sz="4"/>
              <w:right w:val="single" w:color="000000" w:themeColor="text1" w:sz="4"/>
            </w:tcBorders>
            <w:shd w:val="clear" w:color="auto" w:fill="000000" w:themeFill="text1"/>
            <w:tcMar>
              <w:left w:w="108" w:type="dxa"/>
              <w:right w:w="108" w:type="dxa"/>
            </w:tcMar>
            <w:vAlign w:val="top"/>
          </w:tcPr>
          <w:p w:rsidR="0076ADD1" w:rsidP="0076ADD1" w:rsidRDefault="0076ADD1" w14:paraId="21F514E6" w14:textId="0AACD7CF">
            <w:pPr>
              <w:spacing w:before="0" w:beforeAutospacing="off" w:after="0" w:afterAutospacing="off"/>
              <w:jc w:val="both"/>
              <w:rPr>
                <w:rFonts w:ascii="Arial" w:hAnsi="Arial" w:eastAsia="Arial" w:cs="Arial"/>
                <w:b w:val="1"/>
                <w:bCs w:val="1"/>
                <w:i w:val="0"/>
                <w:iCs w:val="0"/>
                <w:strike w:val="0"/>
                <w:dstrike w:val="0"/>
                <w:color w:val="FFFFFF" w:themeColor="background1" w:themeTint="FF" w:themeShade="FF"/>
                <w:sz w:val="24"/>
                <w:szCs w:val="24"/>
                <w:u w:val="none"/>
              </w:rPr>
            </w:pPr>
            <w:r w:rsidRPr="0076ADD1" w:rsidR="0076ADD1">
              <w:rPr>
                <w:rFonts w:ascii="Arial" w:hAnsi="Arial" w:eastAsia="Arial" w:cs="Arial"/>
                <w:b w:val="1"/>
                <w:bCs w:val="1"/>
                <w:i w:val="0"/>
                <w:iCs w:val="0"/>
                <w:strike w:val="0"/>
                <w:dstrike w:val="0"/>
                <w:color w:val="FFFFFF" w:themeColor="background1" w:themeTint="FF" w:themeShade="FF"/>
                <w:sz w:val="24"/>
                <w:szCs w:val="24"/>
                <w:u w:val="none"/>
              </w:rPr>
              <w:t>Description</w:t>
            </w:r>
          </w:p>
        </w:tc>
      </w:tr>
      <w:tr w:rsidR="0076ADD1" w:rsidTr="0076ADD1" w14:paraId="0B2FAE0E">
        <w:trPr>
          <w:trHeight w:val="300"/>
        </w:trPr>
        <w:tc>
          <w:tcPr>
            <w:tcW w:w="1719" w:type="dxa"/>
            <w:tcBorders>
              <w:top w:val="single" w:color="000000" w:themeColor="text1" w:sz="4"/>
              <w:left w:val="single" w:color="666666" w:sz="4"/>
              <w:bottom w:val="single" w:color="666666" w:sz="4"/>
              <w:right w:val="single" w:color="666666" w:sz="4"/>
            </w:tcBorders>
            <w:shd w:val="clear" w:color="auto" w:fill="CCCCCC"/>
            <w:tcMar>
              <w:left w:w="108" w:type="dxa"/>
              <w:right w:w="108" w:type="dxa"/>
            </w:tcMar>
            <w:vAlign w:val="top"/>
          </w:tcPr>
          <w:p w:rsidR="0076ADD1" w:rsidP="0076ADD1" w:rsidRDefault="0076ADD1" w14:paraId="2D0AB346" w14:textId="5EFABD76">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Strengths</w:t>
            </w:r>
          </w:p>
        </w:tc>
        <w:tc>
          <w:tcPr>
            <w:tcW w:w="7434" w:type="dxa"/>
            <w:tcBorders>
              <w:top w:val="single" w:color="000000" w:themeColor="text1" w:sz="4"/>
              <w:left w:val="single" w:color="666666" w:sz="4"/>
              <w:bottom w:val="single" w:color="666666" w:sz="4"/>
              <w:right w:val="single" w:color="666666" w:sz="4"/>
            </w:tcBorders>
            <w:shd w:val="clear" w:color="auto" w:fill="CCCCCC"/>
            <w:tcMar>
              <w:left w:w="108" w:type="dxa"/>
              <w:right w:w="108" w:type="dxa"/>
            </w:tcMar>
            <w:vAlign w:val="top"/>
          </w:tcPr>
          <w:p w:rsidR="0076ADD1" w:rsidP="0076ADD1" w:rsidRDefault="0076ADD1" w14:paraId="286B4F1E" w14:textId="5698FD6E">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Unique seasonal theme, cultural appeal, differentiation from similar events</w:t>
            </w:r>
          </w:p>
        </w:tc>
      </w:tr>
      <w:tr w:rsidR="0076ADD1" w:rsidTr="0076ADD1" w14:paraId="4C759DE0">
        <w:trPr>
          <w:trHeight w:val="300"/>
        </w:trPr>
        <w:tc>
          <w:tcPr>
            <w:tcW w:w="171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7A094729" w14:textId="5F8EB2CF">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Weaknesses</w:t>
            </w:r>
          </w:p>
        </w:tc>
        <w:tc>
          <w:tcPr>
            <w:tcW w:w="743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7071B033" w14:textId="6093EB20">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High costs</w:t>
            </w:r>
            <w:r w:rsidRPr="0076ADD1" w:rsidR="0076ADD1">
              <w:rPr>
                <w:rFonts w:ascii="Arial" w:hAnsi="Arial" w:eastAsia="Arial" w:cs="Arial"/>
                <w:b w:val="0"/>
                <w:bCs w:val="0"/>
                <w:i w:val="0"/>
                <w:iCs w:val="0"/>
                <w:strike w:val="0"/>
                <w:dstrike w:val="0"/>
                <w:color w:val="000000" w:themeColor="text1" w:themeTint="FF" w:themeShade="FF"/>
                <w:sz w:val="24"/>
                <w:szCs w:val="24"/>
                <w:u w:val="none"/>
              </w:rPr>
              <w:t xml:space="preserve"> for decor and artist engagement, reliance on sponsorship</w:t>
            </w:r>
          </w:p>
        </w:tc>
      </w:tr>
      <w:tr w:rsidR="0076ADD1" w:rsidTr="0076ADD1" w14:paraId="6119924C">
        <w:trPr>
          <w:trHeight w:val="300"/>
        </w:trPr>
        <w:tc>
          <w:tcPr>
            <w:tcW w:w="1719" w:type="dxa"/>
            <w:tcBorders>
              <w:top w:val="single" w:color="666666" w:sz="4"/>
              <w:left w:val="single" w:color="666666" w:sz="4"/>
              <w:bottom w:val="single" w:color="666666" w:sz="4"/>
              <w:right w:val="single" w:color="666666" w:sz="4"/>
            </w:tcBorders>
            <w:shd w:val="clear" w:color="auto" w:fill="CCCCCC"/>
            <w:tcMar>
              <w:left w:w="108" w:type="dxa"/>
              <w:right w:w="108" w:type="dxa"/>
            </w:tcMar>
            <w:vAlign w:val="top"/>
          </w:tcPr>
          <w:p w:rsidR="0076ADD1" w:rsidP="0076ADD1" w:rsidRDefault="0076ADD1" w14:paraId="6FD8A4CF" w14:textId="5482A466">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Opportunities</w:t>
            </w:r>
          </w:p>
        </w:tc>
        <w:tc>
          <w:tcPr>
            <w:tcW w:w="7434" w:type="dxa"/>
            <w:tcBorders>
              <w:top w:val="single" w:color="666666" w:sz="4"/>
              <w:left w:val="single" w:color="666666" w:sz="4"/>
              <w:bottom w:val="single" w:color="666666" w:sz="4"/>
              <w:right w:val="single" w:color="666666" w:sz="4"/>
            </w:tcBorders>
            <w:shd w:val="clear" w:color="auto" w:fill="CCCCCC"/>
            <w:tcMar>
              <w:left w:w="108" w:type="dxa"/>
              <w:right w:w="108" w:type="dxa"/>
            </w:tcMar>
            <w:vAlign w:val="top"/>
          </w:tcPr>
          <w:p w:rsidR="0076ADD1" w:rsidP="0076ADD1" w:rsidRDefault="0076ADD1" w14:paraId="664823EF" w14:textId="35F9A7C2">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Partnerships with cultural institutions, expanded tourism marketing reach</w:t>
            </w:r>
          </w:p>
        </w:tc>
      </w:tr>
      <w:tr w:rsidR="0076ADD1" w:rsidTr="0076ADD1" w14:paraId="51B3ECFA">
        <w:trPr>
          <w:trHeight w:val="300"/>
        </w:trPr>
        <w:tc>
          <w:tcPr>
            <w:tcW w:w="1719"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369182A4" w14:textId="513BD1C4">
            <w:pPr>
              <w:spacing w:before="0" w:beforeAutospacing="off" w:after="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0076ADD1" w:rsidR="0076ADD1">
              <w:rPr>
                <w:rFonts w:ascii="Arial" w:hAnsi="Arial" w:eastAsia="Arial" w:cs="Arial"/>
                <w:b w:val="1"/>
                <w:bCs w:val="1"/>
                <w:i w:val="0"/>
                <w:iCs w:val="0"/>
                <w:strike w:val="0"/>
                <w:dstrike w:val="0"/>
                <w:color w:val="000000" w:themeColor="text1" w:themeTint="FF" w:themeShade="FF"/>
                <w:sz w:val="24"/>
                <w:szCs w:val="24"/>
                <w:u w:val="none"/>
              </w:rPr>
              <w:t>Threats</w:t>
            </w:r>
          </w:p>
        </w:tc>
        <w:tc>
          <w:tcPr>
            <w:tcW w:w="7434" w:type="dxa"/>
            <w:tcBorders>
              <w:top w:val="single" w:color="666666" w:sz="4"/>
              <w:left w:val="single" w:color="666666" w:sz="4"/>
              <w:bottom w:val="single" w:color="666666" w:sz="4"/>
              <w:right w:val="single" w:color="666666" w:sz="4"/>
            </w:tcBorders>
            <w:tcMar>
              <w:left w:w="108" w:type="dxa"/>
              <w:right w:w="108" w:type="dxa"/>
            </w:tcMar>
            <w:vAlign w:val="top"/>
          </w:tcPr>
          <w:p w:rsidR="0076ADD1" w:rsidP="0076ADD1" w:rsidRDefault="0076ADD1" w14:paraId="34CC472E" w14:textId="0B706273">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0076ADD1" w:rsidR="0076ADD1">
              <w:rPr>
                <w:rFonts w:ascii="Arial" w:hAnsi="Arial" w:eastAsia="Arial" w:cs="Arial"/>
                <w:b w:val="0"/>
                <w:bCs w:val="0"/>
                <w:i w:val="0"/>
                <w:iCs w:val="0"/>
                <w:strike w:val="0"/>
                <w:dstrike w:val="0"/>
                <w:color w:val="000000" w:themeColor="text1" w:themeTint="FF" w:themeShade="FF"/>
                <w:sz w:val="24"/>
                <w:szCs w:val="24"/>
                <w:u w:val="none"/>
              </w:rPr>
              <w:t xml:space="preserve">Economic fluctuations </w:t>
            </w:r>
            <w:r w:rsidRPr="0076ADD1" w:rsidR="0076ADD1">
              <w:rPr>
                <w:rFonts w:ascii="Arial" w:hAnsi="Arial" w:eastAsia="Arial" w:cs="Arial"/>
                <w:b w:val="0"/>
                <w:bCs w:val="0"/>
                <w:i w:val="0"/>
                <w:iCs w:val="0"/>
                <w:strike w:val="0"/>
                <w:dstrike w:val="0"/>
                <w:color w:val="000000" w:themeColor="text1" w:themeTint="FF" w:themeShade="FF"/>
                <w:sz w:val="24"/>
                <w:szCs w:val="24"/>
                <w:u w:val="none"/>
              </w:rPr>
              <w:t>impacting</w:t>
            </w:r>
            <w:r w:rsidRPr="0076ADD1" w:rsidR="0076ADD1">
              <w:rPr>
                <w:rFonts w:ascii="Arial" w:hAnsi="Arial" w:eastAsia="Arial" w:cs="Arial"/>
                <w:b w:val="0"/>
                <w:bCs w:val="0"/>
                <w:i w:val="0"/>
                <w:iCs w:val="0"/>
                <w:strike w:val="0"/>
                <w:dstrike w:val="0"/>
                <w:color w:val="000000" w:themeColor="text1" w:themeTint="FF" w:themeShade="FF"/>
                <w:sz w:val="24"/>
                <w:szCs w:val="24"/>
                <w:u w:val="none"/>
              </w:rPr>
              <w:t xml:space="preserve"> costs, weather affecting outdoor activities</w:t>
            </w:r>
          </w:p>
        </w:tc>
      </w:tr>
    </w:tbl>
    <w:p xmlns:wp14="http://schemas.microsoft.com/office/word/2010/wordml" w:rsidP="0076ADD1" wp14:paraId="0900AEB2" wp14:textId="1286CD22">
      <w:pPr>
        <w:rPr>
          <w:rFonts w:ascii="Arial" w:hAnsi="Arial" w:eastAsia="Arial" w:cs="Arial"/>
          <w:sz w:val="24"/>
          <w:szCs w:val="24"/>
        </w:rPr>
      </w:pPr>
    </w:p>
    <w:p xmlns:wp14="http://schemas.microsoft.com/office/word/2010/wordml" w:rsidP="0076ADD1" wp14:paraId="77C04704" wp14:textId="64BFAD2E">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Cultural Considerations</w:t>
      </w:r>
    </w:p>
    <w:p xmlns:wp14="http://schemas.microsoft.com/office/word/2010/wordml" w:rsidP="0076ADD1" wp14:paraId="085BB13A" wp14:textId="0186649D">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audience of the UK is quite culturally sensitive where the organizers of events </w:t>
      </w:r>
      <w:r w:rsidRPr="0076ADD1" w:rsidR="1E6D3D32">
        <w:rPr>
          <w:rFonts w:ascii="Arial" w:hAnsi="Arial" w:eastAsia="Arial" w:cs="Arial"/>
          <w:b w:val="0"/>
          <w:bCs w:val="0"/>
          <w:i w:val="0"/>
          <w:iCs w:val="0"/>
          <w:strike w:val="0"/>
          <w:dstrike w:val="0"/>
          <w:noProof w:val="0"/>
          <w:color w:val="000000" w:themeColor="text1" w:themeTint="FF" w:themeShade="FF"/>
          <w:sz w:val="24"/>
          <w:szCs w:val="24"/>
          <w:u w:val="none"/>
          <w:lang w:val="en-US"/>
        </w:rPr>
        <w:t>must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consider diverse tastes in designing the event. This will be considered during the event since artists of different performance gadgets and cultural backgrounds will be included to make everyone feel comfortable. Programming that honors culture, and that offers both graphic and written instructions in the major languages, will enhance accessibility. This means that embracing this diversity does not only increase the popularity of the event but also is more applicable to the best practices of organization, since community-oriented focus is more effective in present situation (Lück et al., 2020).</w:t>
      </w:r>
    </w:p>
    <w:p xmlns:wp14="http://schemas.microsoft.com/office/word/2010/wordml" w:rsidP="0076ADD1" wp14:paraId="3E81B551" wp14:textId="3167E1B4">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Health and Safety</w:t>
      </w:r>
    </w:p>
    <w:p xmlns:wp14="http://schemas.microsoft.com/office/word/2010/wordml" w:rsidP="0076ADD1" wp14:paraId="5CD4B5F4" wp14:textId="551C4EA6">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Accessibility and inclusivity are prioritized to create a safe and welcoming environment. Some of the options are </w:t>
      </w:r>
      <w:r w:rsidRPr="0076ADD1" w:rsidR="0FC31B83">
        <w:rPr>
          <w:rFonts w:ascii="Arial" w:hAnsi="Arial" w:eastAsia="Arial" w:cs="Arial"/>
          <w:b w:val="0"/>
          <w:bCs w:val="0"/>
          <w:i w:val="0"/>
          <w:iCs w:val="0"/>
          <w:strike w:val="0"/>
          <w:dstrike w:val="0"/>
          <w:noProof w:val="0"/>
          <w:color w:val="000000" w:themeColor="text1" w:themeTint="FF" w:themeShade="FF"/>
          <w:sz w:val="24"/>
          <w:szCs w:val="24"/>
          <w:u w:val="none"/>
          <w:lang w:val="en-US"/>
        </w:rPr>
        <w:t>ramps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pathways to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facilitate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easy access to the events or activities for the wheelchair-bound, provision of zones whereby members of the public can watch events afloat as a way of clearing physical access for all. To support such spectators, the event will also offer sensory-free areas: for example, audio descriptions and Braille options for those with visual impairment problems (Quinn et al., 2020)</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Health measures, such as sanitation stations, controlled crowd capacity, and managed queuing, enhance both safety and attendee comfort, addressing needs aligned with Maslow’s hierarchy of needs, beginning with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safety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culminating in a fulfilling experience (Carducci, 2020).</w:t>
      </w:r>
    </w:p>
    <w:p xmlns:wp14="http://schemas.microsoft.com/office/word/2010/wordml" w:rsidP="0076ADD1" wp14:paraId="7757D6D8" wp14:textId="5259C903">
      <w:pPr>
        <w:pStyle w:val="Heading2"/>
        <w:spacing w:before="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Theoretical Support</w:t>
      </w:r>
    </w:p>
    <w:p xmlns:wp14="http://schemas.microsoft.com/office/word/2010/wordml" w:rsidP="0076ADD1" wp14:paraId="760CC641" wp14:textId="0D30B780">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According to Maslow’s hierarchy of needs, fundamental safety and access needs are fulfilled before engaging with the higher levels of needs that include the need for belonging and appreciation of cultural diversity. Further, the EMBOK model risk domain covers robust risk evaluation methodologies, from crowd control as hazards to health concerns. These frameworks make for a safe event that is multicultural and promotes a cultural experience that the diverse UK audience can relate to (Carducci, 2020).</w:t>
      </w:r>
    </w:p>
    <w:p xmlns:wp14="http://schemas.microsoft.com/office/word/2010/wordml" w:rsidP="0076ADD1" wp14:paraId="7A345FA6" wp14:textId="4F770E23">
      <w:pPr>
        <w:spacing w:before="0" w:beforeAutospacing="off" w:after="160" w:afterAutospacing="off"/>
        <w:jc w:val="center"/>
        <w:rPr>
          <w:rFonts w:ascii="Arial" w:hAnsi="Arial" w:eastAsia="Arial" w:cs="Arial"/>
          <w:sz w:val="24"/>
          <w:szCs w:val="24"/>
        </w:rPr>
      </w:pPr>
      <w:r w:rsidR="01C74277">
        <w:drawing>
          <wp:inline xmlns:wp14="http://schemas.microsoft.com/office/word/2010/wordprocessingDrawing" wp14:editId="333A57EA" wp14:anchorId="105C6F91">
            <wp:extent cx="5019676" cy="3733800"/>
            <wp:effectExtent l="0" t="0" r="0" b="0"/>
            <wp:docPr id="768807448" name="" descr="maslow-5.jpg (1344×1000)" title=""/>
            <wp:cNvGraphicFramePr>
              <a:graphicFrameLocks noChangeAspect="1"/>
            </wp:cNvGraphicFramePr>
            <a:graphic>
              <a:graphicData uri="http://schemas.openxmlformats.org/drawingml/2006/picture">
                <pic:pic>
                  <pic:nvPicPr>
                    <pic:cNvPr id="0" name=""/>
                    <pic:cNvPicPr/>
                  </pic:nvPicPr>
                  <pic:blipFill>
                    <a:blip r:embed="R115d728abf034423">
                      <a:extLst>
                        <a:ext xmlns:a="http://schemas.openxmlformats.org/drawingml/2006/main" uri="{28A0092B-C50C-407E-A947-70E740481C1C}">
                          <a14:useLocalDpi val="0"/>
                        </a:ext>
                      </a:extLst>
                    </a:blip>
                    <a:stretch>
                      <a:fillRect/>
                    </a:stretch>
                  </pic:blipFill>
                  <pic:spPr>
                    <a:xfrm>
                      <a:off x="0" y="0"/>
                      <a:ext cx="5019676" cy="3733800"/>
                    </a:xfrm>
                    <a:prstGeom prst="rect">
                      <a:avLst/>
                    </a:prstGeom>
                  </pic:spPr>
                </pic:pic>
              </a:graphicData>
            </a:graphic>
          </wp:inline>
        </w:drawing>
      </w:r>
    </w:p>
    <w:p xmlns:wp14="http://schemas.microsoft.com/office/word/2010/wordml" w:rsidP="0076ADD1" wp14:paraId="5996780D" wp14:textId="26735C59">
      <w:pPr>
        <w:spacing w:before="0" w:beforeAutospacing="off" w:after="200" w:afterAutospacing="off"/>
        <w:jc w:val="center"/>
        <w:rPr>
          <w:rFonts w:ascii="Arial" w:hAnsi="Arial" w:eastAsia="Arial" w:cs="Arial"/>
          <w:b w:val="0"/>
          <w:bCs w:val="0"/>
          <w:i w:val="1"/>
          <w:iCs w:val="1"/>
          <w:strike w:val="0"/>
          <w:dstrike w:val="0"/>
          <w:noProof w:val="0"/>
          <w:color w:val="44546A"/>
          <w:sz w:val="24"/>
          <w:szCs w:val="24"/>
          <w:u w:val="none"/>
          <w:lang w:val="en-US"/>
        </w:rPr>
      </w:pPr>
      <w:r w:rsidRPr="0076ADD1" w:rsidR="01C74277">
        <w:rPr>
          <w:rFonts w:ascii="Arial" w:hAnsi="Arial" w:eastAsia="Arial" w:cs="Arial"/>
          <w:b w:val="0"/>
          <w:bCs w:val="0"/>
          <w:i w:val="1"/>
          <w:iCs w:val="1"/>
          <w:strike w:val="0"/>
          <w:dstrike w:val="0"/>
          <w:noProof w:val="0"/>
          <w:color w:val="44546A"/>
          <w:sz w:val="24"/>
          <w:szCs w:val="24"/>
          <w:u w:val="none"/>
          <w:lang w:val="en-US"/>
        </w:rPr>
        <w:t>Figure 10 Maslow’s hierarchy of needs</w:t>
      </w:r>
    </w:p>
    <w:p xmlns:wp14="http://schemas.microsoft.com/office/word/2010/wordml" w:rsidP="0076ADD1" wp14:paraId="4AF39531" wp14:textId="2098C298">
      <w:pPr>
        <w:rPr>
          <w:rFonts w:ascii="Arial" w:hAnsi="Arial" w:eastAsia="Arial" w:cs="Arial"/>
          <w:sz w:val="24"/>
          <w:szCs w:val="24"/>
        </w:rPr>
      </w:pPr>
    </w:p>
    <w:p xmlns:wp14="http://schemas.microsoft.com/office/word/2010/wordml" w:rsidP="0076ADD1" wp14:paraId="4616D5AA" wp14:textId="4F01AD75">
      <w:pPr>
        <w:rPr>
          <w:rFonts w:ascii="Arial" w:hAnsi="Arial" w:eastAsia="Arial" w:cs="Arial"/>
          <w:sz w:val="24"/>
          <w:szCs w:val="24"/>
        </w:rPr>
      </w:pPr>
    </w:p>
    <w:p xmlns:wp14="http://schemas.microsoft.com/office/word/2010/wordml" w:rsidP="0076ADD1" wp14:paraId="2512004C" wp14:textId="108309F5">
      <w:pPr>
        <w:rPr>
          <w:rFonts w:ascii="Arial" w:hAnsi="Arial" w:eastAsia="Arial" w:cs="Arial"/>
          <w:sz w:val="24"/>
          <w:szCs w:val="24"/>
        </w:rPr>
      </w:pPr>
    </w:p>
    <w:p xmlns:wp14="http://schemas.microsoft.com/office/word/2010/wordml" w:rsidP="0076ADD1" wp14:paraId="68CA0AAF" wp14:textId="69B7FF5D">
      <w:pPr>
        <w:rPr>
          <w:rFonts w:ascii="Arial" w:hAnsi="Arial" w:eastAsia="Arial" w:cs="Arial"/>
          <w:sz w:val="24"/>
          <w:szCs w:val="24"/>
        </w:rPr>
      </w:pPr>
    </w:p>
    <w:p xmlns:wp14="http://schemas.microsoft.com/office/word/2010/wordml" w:rsidP="0076ADD1" wp14:paraId="0F503F52" wp14:textId="13BDDDA5">
      <w:pPr>
        <w:rPr>
          <w:rFonts w:ascii="Arial" w:hAnsi="Arial" w:eastAsia="Arial" w:cs="Arial"/>
          <w:sz w:val="24"/>
          <w:szCs w:val="24"/>
        </w:rPr>
      </w:pPr>
    </w:p>
    <w:p xmlns:wp14="http://schemas.microsoft.com/office/word/2010/wordml" w:rsidP="0076ADD1" wp14:paraId="5E53D088" wp14:textId="1D76B696">
      <w:pPr>
        <w:rPr>
          <w:rFonts w:ascii="Arial" w:hAnsi="Arial" w:eastAsia="Arial" w:cs="Arial"/>
          <w:sz w:val="24"/>
          <w:szCs w:val="24"/>
        </w:rPr>
      </w:pPr>
    </w:p>
    <w:p xmlns:wp14="http://schemas.microsoft.com/office/word/2010/wordml" w:rsidP="0076ADD1" wp14:paraId="56E2B883" wp14:textId="086948AA">
      <w:pPr>
        <w:rPr>
          <w:rFonts w:ascii="Arial" w:hAnsi="Arial" w:eastAsia="Arial" w:cs="Arial"/>
          <w:sz w:val="24"/>
          <w:szCs w:val="24"/>
        </w:rPr>
      </w:pPr>
    </w:p>
    <w:p xmlns:wp14="http://schemas.microsoft.com/office/word/2010/wordml" w:rsidP="0076ADD1" wp14:paraId="6E836BC0" wp14:textId="469DA7A8">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0076ADD1" wp14:paraId="789B2EAF" wp14:textId="0D13D888">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0076ADD1" wp14:paraId="76A4F6A5" wp14:textId="3DA32F3F">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0076ADD1" wp14:paraId="32BE5924" wp14:textId="2485AF56">
      <w:pPr>
        <w:pStyle w:val="Heading1"/>
        <w:spacing w:before="24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1"/>
          <w:bCs w:val="1"/>
          <w:i w:val="0"/>
          <w:iCs w:val="0"/>
          <w:strike w:val="0"/>
          <w:dstrike w:val="0"/>
          <w:noProof w:val="0"/>
          <w:color w:val="000000" w:themeColor="text1" w:themeTint="FF" w:themeShade="FF"/>
          <w:sz w:val="24"/>
          <w:szCs w:val="24"/>
          <w:u w:val="none"/>
          <w:lang w:val="en-US"/>
        </w:rPr>
        <w:t>References</w:t>
      </w:r>
    </w:p>
    <w:p xmlns:wp14="http://schemas.microsoft.com/office/word/2010/wordml" w:rsidP="0076ADD1" wp14:paraId="5037533A" wp14:textId="47A9B4B6">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Akhundova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(2024). Role of Festivals in Stimulating the Development of Event Tourism.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Theoretical and Practical Research in Economic Fields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15(2), pp.277–287.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://doi.org/10.14505/tpref.v15.2(30).11.</w:t>
      </w:r>
    </w:p>
    <w:p xmlns:wp14="http://schemas.microsoft.com/office/word/2010/wordml" w:rsidP="0076ADD1" wp14:paraId="22F2C8D4" wp14:textId="2734E437">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Anas, M.S.,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Maddiah</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N.A., Noor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Eizamly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N.U.E., Sulaiman, N.A. and Wee, H. (2020). Key success factors toward MICE industry: A systematic literature review / Muhammad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Saufi</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Anas ... [et al.].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 of Tourism, Hospitality &amp; Culinary Arts (JTHCA)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12(1), pp.1–34. Available at: </w:t>
      </w:r>
      <w:hyperlink r:id="R4b440498a01b4547">
        <w:r w:rsidRPr="0076ADD1" w:rsidR="01C74277">
          <w:rPr>
            <w:rStyle w:val="Hyperlink"/>
            <w:rFonts w:ascii="Arial" w:hAnsi="Arial" w:eastAsia="Arial" w:cs="Arial"/>
            <w:b w:val="0"/>
            <w:bCs w:val="0"/>
            <w:i w:val="0"/>
            <w:iCs w:val="0"/>
            <w:strike w:val="0"/>
            <w:dstrike w:val="0"/>
            <w:noProof w:val="0"/>
            <w:sz w:val="24"/>
            <w:szCs w:val="24"/>
            <w:lang w:val="en-US"/>
          </w:rPr>
          <w:t>https://ir.uitm.edu.my/id/eprint/29153/</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4114132F" wp14:textId="1C1F0D07">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Benzaghta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Elwalda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Mousa, M., Erkan, I. and Rahman, M. (2021). SWOT Analysis applications: an Integrative Literature Review.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 of Global Business Insights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6(1), pp.54–72.</w:t>
      </w:r>
    </w:p>
    <w:p xmlns:wp14="http://schemas.microsoft.com/office/word/2010/wordml" w:rsidP="0076ADD1" wp14:paraId="66716CB3" wp14:textId="3F16F148">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Brown, T. and Stokes, P. (2021). Events management as a community of practice.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 of Hospitality and Tourism Insights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4(2), pp.224–242.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://doi.org/10.1108/jhti-09-2020-0157.</w:t>
      </w:r>
    </w:p>
    <w:p xmlns:wp14="http://schemas.microsoft.com/office/word/2010/wordml" w:rsidP="0076ADD1" wp14:paraId="53A181A5" wp14:textId="4974C34A">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Carducci, B.J. (2020). Maslow’s Hierarchy of Needs.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The Wiley Encyclopedia of Personality and Individual Differences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1(1), pp.269–273.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://doi.org/10.1002/9781118970843.ch45.</w:t>
      </w:r>
    </w:p>
    <w:p xmlns:wp14="http://schemas.microsoft.com/office/word/2010/wordml" w:rsidP="0076ADD1" wp14:paraId="69908412" wp14:textId="2BECBA25">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CFI Team (2022).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SMART Goals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Corporate Finance Institute. Available at: </w:t>
      </w:r>
      <w:hyperlink r:id="Rab675dfea5534474">
        <w:r w:rsidRPr="0076ADD1" w:rsidR="01C74277">
          <w:rPr>
            <w:rStyle w:val="Hyperlink"/>
            <w:rFonts w:ascii="Arial" w:hAnsi="Arial" w:eastAsia="Arial" w:cs="Arial"/>
            <w:b w:val="0"/>
            <w:bCs w:val="0"/>
            <w:i w:val="0"/>
            <w:iCs w:val="0"/>
            <w:strike w:val="0"/>
            <w:dstrike w:val="0"/>
            <w:noProof w:val="0"/>
            <w:sz w:val="24"/>
            <w:szCs w:val="24"/>
            <w:lang w:val="en-US"/>
          </w:rPr>
          <w:t>https://corporatefinanceinstitute.com/resources/management/smart-goal/</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7E0DD659" wp14:textId="5C3F9F9D">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Chun, D.-S.,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Keeyeon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Ki-</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cheon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Park and Kim, J.-M. (2024). From Disruption to Sustainability: The Event Industry’s Journey through the COVID-19 Pandemic.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16(14), pp.6013–6013.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://doi.org/10.3390/su16146013.</w:t>
      </w:r>
    </w:p>
    <w:p xmlns:wp14="http://schemas.microsoft.com/office/word/2010/wordml" w:rsidP="0076ADD1" wp14:paraId="19809F50" wp14:textId="453DB2BE">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Dolores, L., Macchiaroli, M. and De Mare, G. (2021). Sponsorship’s Financial Sustainability for Cultural Conservation and Enhancement Strategies: An Innovative Model for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Sponsees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Sponsors.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13(16), p.9070.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://doi.org/10.3390/su13169070.</w:t>
      </w:r>
    </w:p>
    <w:p xmlns:wp14="http://schemas.microsoft.com/office/word/2010/wordml" w:rsidP="0076ADD1" wp14:paraId="08DF0561" wp14:textId="4A8371B1">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EMBOK (2019).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EMBOK - Event Management Body of Knowledge - EMBOK Model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Embok.org. Available at: </w:t>
      </w:r>
      <w:hyperlink r:id="R119c30ad1a694cc6">
        <w:r w:rsidRPr="0076ADD1" w:rsidR="01C74277">
          <w:rPr>
            <w:rStyle w:val="Hyperlink"/>
            <w:rFonts w:ascii="Arial" w:hAnsi="Arial" w:eastAsia="Arial" w:cs="Arial"/>
            <w:b w:val="0"/>
            <w:bCs w:val="0"/>
            <w:i w:val="0"/>
            <w:iCs w:val="0"/>
            <w:strike w:val="0"/>
            <w:dstrike w:val="0"/>
            <w:noProof w:val="0"/>
            <w:sz w:val="24"/>
            <w:szCs w:val="24"/>
            <w:lang w:val="en-US"/>
          </w:rPr>
          <w:t>https://www.embok.org/index.php/embok-model</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539C817F" wp14:textId="0BB73E1A">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Kaunisto, A. (2021).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Introducing the Event Cycle – The core of Event Success Management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w:t>
      </w:r>
      <w:hyperlink r:id="R911567576a744f75">
        <w:r w:rsidRPr="0076ADD1" w:rsidR="01C74277">
          <w:rPr>
            <w:rStyle w:val="Hyperlink"/>
            <w:rFonts w:ascii="Arial" w:hAnsi="Arial" w:eastAsia="Arial" w:cs="Arial"/>
            <w:b w:val="0"/>
            <w:bCs w:val="0"/>
            <w:i w:val="0"/>
            <w:iCs w:val="0"/>
            <w:strike w:val="0"/>
            <w:dstrike w:val="0"/>
            <w:noProof w:val="0"/>
            <w:sz w:val="24"/>
            <w:szCs w:val="24"/>
            <w:lang w:val="en-US"/>
          </w:rPr>
          <w:t>www.lyyti.com</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Available at: </w:t>
      </w:r>
      <w:hyperlink r:id="R6331cc0e94b0484a">
        <w:r w:rsidRPr="0076ADD1" w:rsidR="01C74277">
          <w:rPr>
            <w:rStyle w:val="Hyperlink"/>
            <w:rFonts w:ascii="Arial" w:hAnsi="Arial" w:eastAsia="Arial" w:cs="Arial"/>
            <w:b w:val="0"/>
            <w:bCs w:val="0"/>
            <w:i w:val="0"/>
            <w:iCs w:val="0"/>
            <w:strike w:val="0"/>
            <w:dstrike w:val="0"/>
            <w:noProof w:val="0"/>
            <w:sz w:val="24"/>
            <w:szCs w:val="24"/>
            <w:lang w:val="en-US"/>
          </w:rPr>
          <w:t>https://www.lyyti.com/en/blog/introducing-the-event-cycle-the-core-of-event-success-management</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42D74988" wp14:textId="79237BD2">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Khoshkam</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 Marzuki, A., Nunkoo, R.,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Pirmohammadzadeh</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Kiumarsi</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 (2022). The impact of food culture on patronage intention of visitors: the mediating role of satisfaction.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British Food Journal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://doi.org/10.1108/bfj-12-2020-1165.</w:t>
      </w:r>
    </w:p>
    <w:p xmlns:wp14="http://schemas.microsoft.com/office/word/2010/wordml" w:rsidP="0076ADD1" wp14:paraId="240055D3" wp14:textId="46796481">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Knardal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P.S.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Bjørnenak</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 (2020). Managerial characteristics and budget use in festival organizations.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 of Management Control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31(4), pp.379–402.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://doi.org/10.1007/s00187-020-00305-0.</w:t>
      </w:r>
    </w:p>
    <w:p xmlns:wp14="http://schemas.microsoft.com/office/word/2010/wordml" w:rsidP="0076ADD1" wp14:paraId="51E9BC85" wp14:textId="171F8780">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Koenig-Lewis, N., Palmer, A. and Asaad, Y. (2021). Linking Engagement at Cultural Festivals to Legacy Impacts.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 of Sustainable Tourism</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29(11-12), pp.1–22.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://doi.org/10.1080/09669582.2020.1855434.</w:t>
      </w:r>
    </w:p>
    <w:p xmlns:wp14="http://schemas.microsoft.com/office/word/2010/wordml" w:rsidP="0076ADD1" wp14:paraId="29FCA9E0" wp14:textId="4E8722BC">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Koopmans, C.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Mouter</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 (2020).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Chapter One - Cost-benefit analysis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ScienceDirect. Available at: </w:t>
      </w:r>
      <w:hyperlink r:id="Re6e95e5d0c524ba0">
        <w:r w:rsidRPr="0076ADD1" w:rsidR="01C74277">
          <w:rPr>
            <w:rStyle w:val="Hyperlink"/>
            <w:rFonts w:ascii="Arial" w:hAnsi="Arial" w:eastAsia="Arial" w:cs="Arial"/>
            <w:b w:val="0"/>
            <w:bCs w:val="0"/>
            <w:i w:val="0"/>
            <w:iCs w:val="0"/>
            <w:strike w:val="0"/>
            <w:dstrike w:val="0"/>
            <w:noProof w:val="0"/>
            <w:sz w:val="24"/>
            <w:szCs w:val="24"/>
            <w:lang w:val="en-US"/>
          </w:rPr>
          <w:t>https://www.sciencedirect.com/science/article/pii/S2543000920300184</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16C87BD0" wp14:textId="4AFFD429">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Lück, J., Schultz, T., Simon, F., Borchardt, A. and Kieslich, S. (2020). Diversity in British, Swedish, and German Newsrooms: Problem Awareness, Measures, and Achievements.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Journalism Practice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pp.1–21.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://doi.org/10.1080/17512786.2020.1815073.</w:t>
      </w:r>
    </w:p>
    <w:p xmlns:wp14="http://schemas.microsoft.com/office/word/2010/wordml" w:rsidP="0076ADD1" wp14:paraId="59056A3B" wp14:textId="2794D2D7">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Mailchimp (2022).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Marketing Mix and the 7 Ps of Marketing - Mailchimp</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Mailchimp. Available at: </w:t>
      </w:r>
      <w:hyperlink r:id="R8a19ccffb1af47d9">
        <w:r w:rsidRPr="0076ADD1" w:rsidR="01C74277">
          <w:rPr>
            <w:rStyle w:val="Hyperlink"/>
            <w:rFonts w:ascii="Arial" w:hAnsi="Arial" w:eastAsia="Arial" w:cs="Arial"/>
            <w:b w:val="0"/>
            <w:bCs w:val="0"/>
            <w:i w:val="0"/>
            <w:iCs w:val="0"/>
            <w:strike w:val="0"/>
            <w:dstrike w:val="0"/>
            <w:noProof w:val="0"/>
            <w:sz w:val="24"/>
            <w:szCs w:val="24"/>
            <w:lang w:val="en-US"/>
          </w:rPr>
          <w:t>https://mailchimp.com/marketing-glossary/marketing-mix-7ps/</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73690997" wp14:textId="68F7748B">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Moayerian</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 McGehee, N.G. and Stephenson, M.O. (2022). Community cultural development: Exploring the connections between collective art making,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capacity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building and sustainable community-based tourism.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Annals of Tourism Research</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93, p.103355.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://doi.org/10.1016/j.annals.2022.103355.</w:t>
      </w:r>
    </w:p>
    <w:p xmlns:wp14="http://schemas.microsoft.com/office/word/2010/wordml" w:rsidP="0076ADD1" wp14:paraId="7739809C" wp14:textId="266379A0">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Puyt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R.W., Lie, F.B.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Wilderom</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C.P.M. (2023). The origins of SWOT analysis.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Long Range Planning</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56(3), p.102304.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://doi.org/10.1016/j.lrp.2023.102304.</w:t>
      </w:r>
    </w:p>
    <w:p xmlns:wp14="http://schemas.microsoft.com/office/word/2010/wordml" w:rsidP="0076ADD1" wp14:paraId="033F6D07" wp14:textId="5545DAF5">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Quinn, B., Columbo, A., Lindström, K., McGillivray, D. and Smith, A. (2020). Festivals, public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space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cultural inclusion: public policy insights.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Journal of Sustainable Tourism</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29(11-12), pp.1–18.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://doi.org/10.1080/09669582.2020.1858090.</w:t>
      </w:r>
    </w:p>
    <w:p xmlns:wp14="http://schemas.microsoft.com/office/word/2010/wordml" w:rsidP="0076ADD1" wp14:paraId="51524E82" wp14:textId="0D78502A">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Rahman, M.K., Rana,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Md.S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Akter, S. and Hassan, A. (2022). Technology Innovation as a Destination Branding Tool for Festivals and Events Tourism.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Technology Application in Tourism Fairs, Festivals and Events in Asia</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pp.135–147.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://doi.org/10.1007/978-981-16-8070-0_8.</w:t>
      </w:r>
    </w:p>
    <w:p xmlns:wp14="http://schemas.microsoft.com/office/word/2010/wordml" w:rsidP="0076ADD1" wp14:paraId="69D0D4C0" wp14:textId="52C005F1">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Rashminbhai</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S.J. (2024). Assessment of the Sustainable Practices – A Specific Study on Green Event Management.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Vidhyayana</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 An International Multidisciplinary Peer-Reviewed E-Journal - ISSN 2454-8596</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9(si2). Available at: </w:t>
      </w:r>
      <w:hyperlink r:id="R9adccbb415274953">
        <w:r w:rsidRPr="0076ADD1" w:rsidR="01C74277">
          <w:rPr>
            <w:rStyle w:val="Hyperlink"/>
            <w:rFonts w:ascii="Arial" w:hAnsi="Arial" w:eastAsia="Arial" w:cs="Arial"/>
            <w:b w:val="0"/>
            <w:bCs w:val="0"/>
            <w:i w:val="0"/>
            <w:iCs w:val="0"/>
            <w:strike w:val="0"/>
            <w:dstrike w:val="0"/>
            <w:noProof w:val="0"/>
            <w:sz w:val="24"/>
            <w:szCs w:val="24"/>
            <w:lang w:val="en-US"/>
          </w:rPr>
          <w:t>http://www.vidhyayanaejournal.org/journal/article/view/1633</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23A623DD" wp14:textId="5DA426E1">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Schulenkorf</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 Welty Peachey, J., Chen, G. and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Hergesell</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(2022). Event leverage: a systematic literature review and new research agenda.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European Sport Management Quarterly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pp.1–25.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://doi.org/10.1080/16184742.2022.2160477.</w:t>
      </w:r>
    </w:p>
    <w:p xmlns:wp14="http://schemas.microsoft.com/office/word/2010/wordml" w:rsidP="0076ADD1" wp14:paraId="7DB5FAFF" wp14:textId="7A03A4F5">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Thomas, K. and Stephens, S. (2022).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Understanding the Management Theory in Event Management: A Conceptual Framework</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papers.ssrn.com. Available at: </w:t>
      </w:r>
      <w:hyperlink r:id="Rb8bb716cdca04281">
        <w:r w:rsidRPr="0076ADD1" w:rsidR="01C74277">
          <w:rPr>
            <w:rStyle w:val="Hyperlink"/>
            <w:rFonts w:ascii="Arial" w:hAnsi="Arial" w:eastAsia="Arial" w:cs="Arial"/>
            <w:b w:val="0"/>
            <w:bCs w:val="0"/>
            <w:i w:val="0"/>
            <w:iCs w:val="0"/>
            <w:strike w:val="0"/>
            <w:dstrike w:val="0"/>
            <w:noProof w:val="0"/>
            <w:sz w:val="24"/>
            <w:szCs w:val="24"/>
            <w:lang w:val="en-US"/>
          </w:rPr>
          <w:t>https://papers.ssrn.com/sol3/papers.cfm?abstract_id=4051469</w:t>
        </w:r>
      </w:hyperlink>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0076ADD1" wp14:paraId="68A7118F" wp14:textId="014000ED">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Wickham, M., Donnelly, T. and French, L. (2020). STRATEGIC SUSTAINABILITY MANAGEMENT IN THE EVENT SECTOR.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Event Management</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25(3).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://doi.org/10.3727/152599519x15506259856318.</w:t>
      </w:r>
    </w:p>
    <w:p xmlns:wp14="http://schemas.microsoft.com/office/word/2010/wordml" w:rsidP="0076ADD1" wp14:paraId="5589F284" wp14:textId="66DE7DF5">
      <w:pPr>
        <w:spacing w:before="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Yen, H.-Y. (2022). How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the Experience</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Designs of Sustainable Festive Events Affect Cultural Emotion, Travel Motivation, and Behavioral Intention. </w:t>
      </w:r>
      <w:r w:rsidRPr="0076ADD1" w:rsidR="01C74277">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14(19), p.11807. </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0076ADD1" w:rsidR="01C74277">
        <w:rPr>
          <w:rFonts w:ascii="Arial" w:hAnsi="Arial" w:eastAsia="Arial" w:cs="Arial"/>
          <w:b w:val="0"/>
          <w:bCs w:val="0"/>
          <w:i w:val="0"/>
          <w:iCs w:val="0"/>
          <w:strike w:val="0"/>
          <w:dstrike w:val="0"/>
          <w:noProof w:val="0"/>
          <w:color w:val="000000" w:themeColor="text1" w:themeTint="FF" w:themeShade="FF"/>
          <w:sz w:val="24"/>
          <w:szCs w:val="24"/>
          <w:u w:val="none"/>
          <w:lang w:val="en-US"/>
        </w:rPr>
        <w:t>://doi.org/10.3390/su141911807.</w:t>
      </w:r>
    </w:p>
    <w:p xmlns:wp14="http://schemas.microsoft.com/office/word/2010/wordml" wp14:paraId="7C02F475" wp14:textId="505D6195"/>
    <w:p xmlns:wp14="http://schemas.microsoft.com/office/word/2010/wordml" wp14:paraId="2C078E63" wp14:textId="140926F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WxIiE0bJ" int2:invalidationBookmarkName="" int2:hashCode="rtDJN006Ih+xTW" int2:id="iRtdlDoo">
      <int2:state int2:type="WordDesignerDefaultAnnotation" int2:value="Rejected"/>
    </int2:bookmark>
    <int2:bookmark int2:bookmarkName="_Int_PbZRIJHD" int2:invalidationBookmarkName="" int2:hashCode="mw5o/BBLY0rfR2" int2:id="3pfefzyc">
      <int2:state int2:type="WordDesignerDefaultAnnotation" int2:value="Rejected"/>
    </int2:bookmark>
    <int2:bookmark int2:bookmarkName="_Int_eUuZdJrI" int2:invalidationBookmarkName="" int2:hashCode="Stsvirk5d12mMN" int2:id="Y9V27ii1">
      <int2:state int2:type="WordDesignerDefaultAnnotation" int2:value="Rejected"/>
    </int2:bookmark>
    <int2:bookmark int2:bookmarkName="_Int_alQc5LSD" int2:invalidationBookmarkName="" int2:hashCode="Bt0D7Cw70+HS01" int2:id="VW94gwQB">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4eeb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15B88C"/>
    <w:rsid w:val="001C8A16"/>
    <w:rsid w:val="004D4FE0"/>
    <w:rsid w:val="0076ADD1"/>
    <w:rsid w:val="013DC59D"/>
    <w:rsid w:val="01C74277"/>
    <w:rsid w:val="0360D17D"/>
    <w:rsid w:val="0487C6BC"/>
    <w:rsid w:val="07D9DED0"/>
    <w:rsid w:val="081AF824"/>
    <w:rsid w:val="087D02DC"/>
    <w:rsid w:val="0A86B1A3"/>
    <w:rsid w:val="0B103A06"/>
    <w:rsid w:val="0C910673"/>
    <w:rsid w:val="0E364DC2"/>
    <w:rsid w:val="0F682E21"/>
    <w:rsid w:val="0FA2B16F"/>
    <w:rsid w:val="0FC31B83"/>
    <w:rsid w:val="11759732"/>
    <w:rsid w:val="12023623"/>
    <w:rsid w:val="140B4D90"/>
    <w:rsid w:val="15BEF6C7"/>
    <w:rsid w:val="16231E62"/>
    <w:rsid w:val="1686C8D6"/>
    <w:rsid w:val="171A2B1F"/>
    <w:rsid w:val="17C89029"/>
    <w:rsid w:val="18659294"/>
    <w:rsid w:val="1915B88C"/>
    <w:rsid w:val="19D23F19"/>
    <w:rsid w:val="1B22FE43"/>
    <w:rsid w:val="1E4A2705"/>
    <w:rsid w:val="1E6D3D32"/>
    <w:rsid w:val="1EC02BC6"/>
    <w:rsid w:val="1F05C450"/>
    <w:rsid w:val="1F5F8AB7"/>
    <w:rsid w:val="20D96061"/>
    <w:rsid w:val="222944E8"/>
    <w:rsid w:val="238CE8BD"/>
    <w:rsid w:val="24E2E08F"/>
    <w:rsid w:val="252F8503"/>
    <w:rsid w:val="2758D55C"/>
    <w:rsid w:val="2979B1E8"/>
    <w:rsid w:val="2ADF5BED"/>
    <w:rsid w:val="2C7045D6"/>
    <w:rsid w:val="30A62D4D"/>
    <w:rsid w:val="31999030"/>
    <w:rsid w:val="36C8AD41"/>
    <w:rsid w:val="36CA511A"/>
    <w:rsid w:val="38020873"/>
    <w:rsid w:val="38EE9995"/>
    <w:rsid w:val="3A27322F"/>
    <w:rsid w:val="3A437731"/>
    <w:rsid w:val="3B135259"/>
    <w:rsid w:val="3C6489E8"/>
    <w:rsid w:val="3DCC7C51"/>
    <w:rsid w:val="3DFB2565"/>
    <w:rsid w:val="402C4957"/>
    <w:rsid w:val="40A2BC98"/>
    <w:rsid w:val="4545FCE0"/>
    <w:rsid w:val="4678C00D"/>
    <w:rsid w:val="46F88AC8"/>
    <w:rsid w:val="47C79737"/>
    <w:rsid w:val="49E548CF"/>
    <w:rsid w:val="4A121586"/>
    <w:rsid w:val="4DB2E11D"/>
    <w:rsid w:val="4F22630B"/>
    <w:rsid w:val="5588E96A"/>
    <w:rsid w:val="56DA5B95"/>
    <w:rsid w:val="56DA5B95"/>
    <w:rsid w:val="5B0497F6"/>
    <w:rsid w:val="5CAC3E19"/>
    <w:rsid w:val="5CB4ADD0"/>
    <w:rsid w:val="5E6E0241"/>
    <w:rsid w:val="5FC481DE"/>
    <w:rsid w:val="61E62E85"/>
    <w:rsid w:val="635E182C"/>
    <w:rsid w:val="643E24C7"/>
    <w:rsid w:val="64E85F0C"/>
    <w:rsid w:val="64F58B7E"/>
    <w:rsid w:val="67E4FC3D"/>
    <w:rsid w:val="67FC1664"/>
    <w:rsid w:val="67FC72A2"/>
    <w:rsid w:val="6838627D"/>
    <w:rsid w:val="6862BA1A"/>
    <w:rsid w:val="6BDF7C6D"/>
    <w:rsid w:val="6F23B3C6"/>
    <w:rsid w:val="70157ACA"/>
    <w:rsid w:val="71792817"/>
    <w:rsid w:val="722BE742"/>
    <w:rsid w:val="746B302E"/>
    <w:rsid w:val="74B4B8AE"/>
    <w:rsid w:val="74EFF5CF"/>
    <w:rsid w:val="75705D1D"/>
    <w:rsid w:val="76A7DED7"/>
    <w:rsid w:val="7782B384"/>
    <w:rsid w:val="77BB9D1E"/>
    <w:rsid w:val="7C31FC7E"/>
    <w:rsid w:val="7E518D77"/>
    <w:rsid w:val="7ECD8196"/>
    <w:rsid w:val="7FD21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5B88C"/>
  <w15:chartTrackingRefBased/>
  <w15:docId w15:val="{5E5C6C20-EFEE-45FE-86EA-D6FBDDBB72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google.com/document/d/1nfk4zwldAmpaIJRf4Sqv2JX8AF9N6Zds/edit" TargetMode="External" Id="R407018ec75a047e3" /><Relationship Type="http://schemas.openxmlformats.org/officeDocument/2006/relationships/hyperlink" Target="https://docs.google.com/document/d/1nfk4zwldAmpaIJRf4Sqv2JX8AF9N6Zds/edit" TargetMode="External" Id="Rc6b2f79625f044f8" /><Relationship Type="http://schemas.openxmlformats.org/officeDocument/2006/relationships/hyperlink" Target="https://docs.google.com/document/d/1nfk4zwldAmpaIJRf4Sqv2JX8AF9N6Zds/edit" TargetMode="External" Id="R595c1d5d541a4a1c" /><Relationship Type="http://schemas.openxmlformats.org/officeDocument/2006/relationships/hyperlink" Target="https://docs.google.com/document/d/1nfk4zwldAmpaIJRf4Sqv2JX8AF9N6Zds/edit" TargetMode="External" Id="Red26826c9cc34447" /><Relationship Type="http://schemas.openxmlformats.org/officeDocument/2006/relationships/hyperlink" Target="https://docs.google.com/document/d/1nfk4zwldAmpaIJRf4Sqv2JX8AF9N6Zds/edit" TargetMode="External" Id="Rd71a146a96c24dfc" /><Relationship Type="http://schemas.openxmlformats.org/officeDocument/2006/relationships/hyperlink" Target="https://docs.google.com/document/d/1nfk4zwldAmpaIJRf4Sqv2JX8AF9N6Zds/edit" TargetMode="External" Id="Ra18580c6ba154296" /><Relationship Type="http://schemas.openxmlformats.org/officeDocument/2006/relationships/hyperlink" Target="https://docs.google.com/document/d/1nfk4zwldAmpaIJRf4Sqv2JX8AF9N6Zds/edit" TargetMode="External" Id="R71680bac33534bfc" /><Relationship Type="http://schemas.openxmlformats.org/officeDocument/2006/relationships/hyperlink" Target="https://docs.google.com/document/d/1nfk4zwldAmpaIJRf4Sqv2JX8AF9N6Zds/edit" TargetMode="External" Id="R3aae500e6b714823" /><Relationship Type="http://schemas.openxmlformats.org/officeDocument/2006/relationships/hyperlink" Target="https://docs.google.com/document/d/1nfk4zwldAmpaIJRf4Sqv2JX8AF9N6Zds/edit" TargetMode="External" Id="R7c9876fac2d746a6" /><Relationship Type="http://schemas.openxmlformats.org/officeDocument/2006/relationships/hyperlink" Target="https://docs.google.com/document/d/1nfk4zwldAmpaIJRf4Sqv2JX8AF9N6Zds/edit" TargetMode="External" Id="R77563519b20f4bc5" /><Relationship Type="http://schemas.openxmlformats.org/officeDocument/2006/relationships/hyperlink" Target="https://docs.google.com/document/d/1nfk4zwldAmpaIJRf4Sqv2JX8AF9N6Zds/edit" TargetMode="External" Id="R17c30394458b4c00" /><Relationship Type="http://schemas.openxmlformats.org/officeDocument/2006/relationships/hyperlink" Target="https://docs.google.com/document/d/1nfk4zwldAmpaIJRf4Sqv2JX8AF9N6Zds/edit" TargetMode="External" Id="R9c65f133896f43dc" /><Relationship Type="http://schemas.openxmlformats.org/officeDocument/2006/relationships/hyperlink" Target="https://docs.google.com/document/d/1nfk4zwldAmpaIJRf4Sqv2JX8AF9N6Zds/edit" TargetMode="External" Id="R9cf50721793b4fa0" /><Relationship Type="http://schemas.openxmlformats.org/officeDocument/2006/relationships/hyperlink" Target="https://docs.google.com/document/d/1nfk4zwldAmpaIJRf4Sqv2JX8AF9N6Zds/edit" TargetMode="External" Id="R0afd0cf0980942e5" /><Relationship Type="http://schemas.openxmlformats.org/officeDocument/2006/relationships/hyperlink" Target="https://docs.google.com/document/d/1nfk4zwldAmpaIJRf4Sqv2JX8AF9N6Zds/edit" TargetMode="External" Id="R888ee0023857451e" /><Relationship Type="http://schemas.openxmlformats.org/officeDocument/2006/relationships/hyperlink" Target="https://docs.google.com/document/d/1nfk4zwldAmpaIJRf4Sqv2JX8AF9N6Zds/edit" TargetMode="External" Id="R657c72a7948e4039" /><Relationship Type="http://schemas.openxmlformats.org/officeDocument/2006/relationships/hyperlink" Target="https://docs.google.com/document/d/1nfk4zwldAmpaIJRf4Sqv2JX8AF9N6Zds/edit" TargetMode="External" Id="Re9e7ec838b8841c9" /><Relationship Type="http://schemas.openxmlformats.org/officeDocument/2006/relationships/hyperlink" Target="https://docs.google.com/document/d/1nfk4zwldAmpaIJRf4Sqv2JX8AF9N6Zds/edit" TargetMode="External" Id="R60a64e4bac8246cc" /><Relationship Type="http://schemas.openxmlformats.org/officeDocument/2006/relationships/hyperlink" Target="https://docs.google.com/document/d/1nfk4zwldAmpaIJRf4Sqv2JX8AF9N6Zds/edit" TargetMode="External" Id="R8da843ef13a44f10" /><Relationship Type="http://schemas.openxmlformats.org/officeDocument/2006/relationships/hyperlink" Target="https://docs.google.com/document/d/1nfk4zwldAmpaIJRf4Sqv2JX8AF9N6Zds/edit" TargetMode="External" Id="R0c9eae294a384a3c" /><Relationship Type="http://schemas.openxmlformats.org/officeDocument/2006/relationships/hyperlink" Target="https://docs.google.com/document/d/1nfk4zwldAmpaIJRf4Sqv2JX8AF9N6Zds/edit" TargetMode="External" Id="Rf1fb3b8159534d05" /><Relationship Type="http://schemas.openxmlformats.org/officeDocument/2006/relationships/hyperlink" Target="https://docs.google.com/document/d/1nfk4zwldAmpaIJRf4Sqv2JX8AF9N6Zds/edit" TargetMode="External" Id="Re282971d64c34bae" /><Relationship Type="http://schemas.openxmlformats.org/officeDocument/2006/relationships/hyperlink" Target="https://docs.google.com/document/d/1nfk4zwldAmpaIJRf4Sqv2JX8AF9N6Zds/edit" TargetMode="External" Id="Rc7d54c9c10434115" /><Relationship Type="http://schemas.openxmlformats.org/officeDocument/2006/relationships/hyperlink" Target="https://docs.google.com/document/d/1nfk4zwldAmpaIJRf4Sqv2JX8AF9N6Zds/edit" TargetMode="External" Id="R2a29f980a0d841be" /><Relationship Type="http://schemas.openxmlformats.org/officeDocument/2006/relationships/hyperlink" Target="https://docs.google.com/document/d/1nfk4zwldAmpaIJRf4Sqv2JX8AF9N6Zds/edit" TargetMode="External" Id="R850cf4bd644842f1" /><Relationship Type="http://schemas.openxmlformats.org/officeDocument/2006/relationships/hyperlink" Target="https://docs.google.com/document/d/1nfk4zwldAmpaIJRf4Sqv2JX8AF9N6Zds/edit" TargetMode="External" Id="R9cb6b444456847c0" /><Relationship Type="http://schemas.openxmlformats.org/officeDocument/2006/relationships/hyperlink" Target="https://docs.google.com/document/d/1nfk4zwldAmpaIJRf4Sqv2JX8AF9N6Zds/edit" TargetMode="External" Id="Rc5ebee5b4a5b4274" /><Relationship Type="http://schemas.openxmlformats.org/officeDocument/2006/relationships/hyperlink" Target="https://docs.google.com/document/d/1nfk4zwldAmpaIJRf4Sqv2JX8AF9N6Zds/edit" TargetMode="External" Id="R5f3e46ba7b9f4e51" /><Relationship Type="http://schemas.openxmlformats.org/officeDocument/2006/relationships/hyperlink" Target="https://docs.google.com/document/d/1nfk4zwldAmpaIJRf4Sqv2JX8AF9N6Zds/edit" TargetMode="External" Id="R60bd1e66ce4548b3" /><Relationship Type="http://schemas.openxmlformats.org/officeDocument/2006/relationships/hyperlink" Target="https://docs.google.com/document/d/1nfk4zwldAmpaIJRf4Sqv2JX8AF9N6Zds/edit" TargetMode="External" Id="R1c751975a40246fd" /><Relationship Type="http://schemas.openxmlformats.org/officeDocument/2006/relationships/hyperlink" Target="https://docs.google.com/document/d/1nfk4zwldAmpaIJRf4Sqv2JX8AF9N6Zds/edit" TargetMode="External" Id="Rdfa85df8e9e846be" /><Relationship Type="http://schemas.openxmlformats.org/officeDocument/2006/relationships/hyperlink" Target="https://docs.google.com/document/d/1nfk4zwldAmpaIJRf4Sqv2JX8AF9N6Zds/edit" TargetMode="External" Id="Rb6789ff906ee4eab" /><Relationship Type="http://schemas.openxmlformats.org/officeDocument/2006/relationships/hyperlink" Target="https://docs.google.com/document/d/1nfk4zwldAmpaIJRf4Sqv2JX8AF9N6Zds/edit" TargetMode="External" Id="R49b4d398775f44e7" /><Relationship Type="http://schemas.openxmlformats.org/officeDocument/2006/relationships/hyperlink" Target="https://docs.google.com/document/d/1nfk4zwldAmpaIJRf4Sqv2JX8AF9N6Zds/edit" TargetMode="External" Id="R70ebf02742eb42c9" /><Relationship Type="http://schemas.openxmlformats.org/officeDocument/2006/relationships/hyperlink" Target="https://docs.google.com/document/d/1nfk4zwldAmpaIJRf4Sqv2JX8AF9N6Zds/edit" TargetMode="External" Id="R6608f6e8d3c04063" /><Relationship Type="http://schemas.openxmlformats.org/officeDocument/2006/relationships/hyperlink" Target="https://docs.google.com/document/d/1nfk4zwldAmpaIJRf4Sqv2JX8AF9N6Zds/edit" TargetMode="External" Id="R83bb7092f30b463f" /><Relationship Type="http://schemas.openxmlformats.org/officeDocument/2006/relationships/hyperlink" Target="https://docs.google.com/document/d/1nfk4zwldAmpaIJRf4Sqv2JX8AF9N6Zds/edit" TargetMode="External" Id="Rae99d11b7a144bd4" /><Relationship Type="http://schemas.openxmlformats.org/officeDocument/2006/relationships/hyperlink" Target="https://docs.google.com/document/d/1nfk4zwldAmpaIJRf4Sqv2JX8AF9N6Zds/edit" TargetMode="External" Id="Rf2f5bb1fb44b4633" /><Relationship Type="http://schemas.openxmlformats.org/officeDocument/2006/relationships/hyperlink" Target="https://docs.google.com/document/d/1nfk4zwldAmpaIJRf4Sqv2JX8AF9N6Zds/edit" TargetMode="External" Id="R7cdb22e2c0384ec4" /><Relationship Type="http://schemas.openxmlformats.org/officeDocument/2006/relationships/hyperlink" Target="https://docs.google.com/document/d/1nfk4zwldAmpaIJRf4Sqv2JX8AF9N6Zds/edit" TargetMode="External" Id="Rf878109bb0e84d9a" /><Relationship Type="http://schemas.openxmlformats.org/officeDocument/2006/relationships/hyperlink" Target="https://docs.google.com/document/d/1nfk4zwldAmpaIJRf4Sqv2JX8AF9N6Zds/edit" TargetMode="External" Id="Rf60af4f4df0c45fd" /><Relationship Type="http://schemas.openxmlformats.org/officeDocument/2006/relationships/hyperlink" Target="https://docs.google.com/document/d/1nfk4zwldAmpaIJRf4Sqv2JX8AF9N6Zds/edit" TargetMode="External" Id="R5cad4a4d58384cdb" /><Relationship Type="http://schemas.openxmlformats.org/officeDocument/2006/relationships/image" Target="/media/image.jpg" Id="Rad62bf1a1a8f4677" /><Relationship Type="http://schemas.openxmlformats.org/officeDocument/2006/relationships/image" Target="/media/image.gif" Id="Rf0b9766882c3449e" /><Relationship Type="http://schemas.openxmlformats.org/officeDocument/2006/relationships/image" Target="/media/image.png" Id="R413950383cce447f" /><Relationship Type="http://schemas.openxmlformats.org/officeDocument/2006/relationships/image" Target="/media/image2.jpg" Id="R436eadca93734a32" /><Relationship Type="http://schemas.openxmlformats.org/officeDocument/2006/relationships/image" Target="/media/image2.png" Id="Rfb6572cf5eb04c87" /><Relationship Type="http://schemas.openxmlformats.org/officeDocument/2006/relationships/image" Target="/media/image2.gif" Id="R8d1e832b25ed433d" /><Relationship Type="http://schemas.openxmlformats.org/officeDocument/2006/relationships/image" Target="/media/image3.jpg" Id="R5026652c87eb47ee" /><Relationship Type="http://schemas.openxmlformats.org/officeDocument/2006/relationships/image" Target="/media/image3.png" Id="R1931870cd37c4945" /><Relationship Type="http://schemas.openxmlformats.org/officeDocument/2006/relationships/image" Target="/media/image4.jpg" Id="Rcd274bcde4484257" /><Relationship Type="http://schemas.openxmlformats.org/officeDocument/2006/relationships/image" Target="/media/image5.jpg" Id="R115d728abf034423" /><Relationship Type="http://schemas.openxmlformats.org/officeDocument/2006/relationships/hyperlink" Target="https://ir.uitm.edu.my/id/eprint/29153/" TargetMode="External" Id="R4b440498a01b4547" /><Relationship Type="http://schemas.openxmlformats.org/officeDocument/2006/relationships/hyperlink" Target="https://corporatefinanceinstitute.com/resources/management/smart-goal/" TargetMode="External" Id="Rab675dfea5534474" /><Relationship Type="http://schemas.openxmlformats.org/officeDocument/2006/relationships/hyperlink" Target="https://www.embok.org/index.php/embok-model" TargetMode="External" Id="R119c30ad1a694cc6" /><Relationship Type="http://schemas.openxmlformats.org/officeDocument/2006/relationships/hyperlink" Target="https://www.lyyti.com" TargetMode="External" Id="R911567576a744f75" /><Relationship Type="http://schemas.openxmlformats.org/officeDocument/2006/relationships/hyperlink" Target="https://www.lyyti.com/en/blog/introducing-the-event-cycle-the-core-of-event-success-management" TargetMode="External" Id="R6331cc0e94b0484a" /><Relationship Type="http://schemas.openxmlformats.org/officeDocument/2006/relationships/hyperlink" Target="https://www.sciencedirect.com/science/article/pii/S2543000920300184" TargetMode="External" Id="Re6e95e5d0c524ba0" /><Relationship Type="http://schemas.openxmlformats.org/officeDocument/2006/relationships/hyperlink" Target="https://mailchimp.com/marketing-glossary/marketing-mix-7ps/" TargetMode="External" Id="R8a19ccffb1af47d9" /><Relationship Type="http://schemas.openxmlformats.org/officeDocument/2006/relationships/hyperlink" Target="http://www.vidhyayanaejournal.org/journal/article/view/1633" TargetMode="External" Id="R9adccbb415274953" /><Relationship Type="http://schemas.openxmlformats.org/officeDocument/2006/relationships/hyperlink" Target="https://papers.ssrn.com/sol3/papers.cfm?abstract_id=4051469" TargetMode="External" Id="Rb8bb716cdca04281" /><Relationship Type="http://schemas.microsoft.com/office/2020/10/relationships/intelligence" Target="intelligence2.xml" Id="R2ccda8732e214a47" /><Relationship Type="http://schemas.openxmlformats.org/officeDocument/2006/relationships/numbering" Target="numbering.xml" Id="Rc219ea74c91a40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2024-11-08T21:34:11.2517043Z</dcterms:created>
  <dcterms:modified xsi:type="dcterms:W3CDTF">2024-11-08T22:22:31.7936448Z</dcterms:modified>
  <dc:creator>Shah Miah (1911285)</dc:creator>
  <lastModifiedBy>Shah Miah (1911285)</lastModifiedBy>
</coreProperties>
</file>