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9E3C9" w14:textId="77777777" w:rsidR="003578C3" w:rsidRPr="00F4799C" w:rsidRDefault="003578C3" w:rsidP="003578C3">
      <w:pPr>
        <w:jc w:val="center"/>
        <w:rPr>
          <w:rFonts w:asciiTheme="minorBidi" w:hAnsiTheme="minorBidi"/>
        </w:rPr>
      </w:pPr>
      <w:r w:rsidRPr="00F4799C">
        <w:rPr>
          <w:rFonts w:asciiTheme="minorBidi" w:hAnsiTheme="minorBidi"/>
          <w:noProof/>
        </w:rPr>
        <w:drawing>
          <wp:inline distT="0" distB="0" distL="0" distR="0" wp14:anchorId="118A5091" wp14:editId="02417AA2">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7947435" w14:textId="77777777" w:rsidR="003578C3" w:rsidRPr="00F4799C" w:rsidRDefault="003578C3" w:rsidP="003578C3">
      <w:pPr>
        <w:jc w:val="center"/>
        <w:rPr>
          <w:rFonts w:asciiTheme="minorBidi" w:hAnsiTheme="minorBidi"/>
        </w:rPr>
      </w:pPr>
    </w:p>
    <w:p w14:paraId="353AD518" w14:textId="6857C45E" w:rsidR="003578C3" w:rsidRPr="00F4799C" w:rsidRDefault="003578C3" w:rsidP="003578C3">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Ronak Rameshbhai Sojitra</w:t>
      </w:r>
    </w:p>
    <w:p w14:paraId="2D0DCA45" w14:textId="6BBCBCF8" w:rsidR="003578C3" w:rsidRDefault="003578C3" w:rsidP="003578C3">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2519657</w:t>
      </w:r>
    </w:p>
    <w:p w14:paraId="20FBB505" w14:textId="77777777" w:rsidR="003578C3" w:rsidRPr="007956A3" w:rsidRDefault="003578C3" w:rsidP="003578C3">
      <w:pPr>
        <w:jc w:val="center"/>
        <w:rPr>
          <w:rFonts w:asciiTheme="minorBidi" w:hAnsiTheme="minorBidi"/>
          <w:b/>
          <w:bCs/>
          <w:sz w:val="28"/>
          <w:szCs w:val="28"/>
        </w:rPr>
      </w:pPr>
    </w:p>
    <w:p w14:paraId="2375F0B6" w14:textId="67FF6136" w:rsidR="003578C3" w:rsidRPr="00F4799C" w:rsidRDefault="003578C3" w:rsidP="003578C3">
      <w:pPr>
        <w:jc w:val="center"/>
        <w:rPr>
          <w:rFonts w:asciiTheme="minorBidi" w:hAnsiTheme="minorBidi"/>
          <w:b/>
          <w:bCs/>
          <w:sz w:val="28"/>
          <w:szCs w:val="28"/>
        </w:rPr>
      </w:pPr>
      <w:r w:rsidRPr="00F4799C">
        <w:rPr>
          <w:rFonts w:asciiTheme="minorBidi" w:hAnsiTheme="minorBidi"/>
          <w:b/>
          <w:bCs/>
          <w:sz w:val="28"/>
          <w:szCs w:val="28"/>
        </w:rPr>
        <w:t>Module Name</w:t>
      </w:r>
      <w:r>
        <w:rPr>
          <w:rFonts w:asciiTheme="minorBidi" w:hAnsiTheme="minorBidi"/>
          <w:b/>
          <w:bCs/>
          <w:sz w:val="28"/>
          <w:szCs w:val="28"/>
        </w:rPr>
        <w:t xml:space="preserve"> </w:t>
      </w:r>
      <w:r w:rsidRPr="00F4799C">
        <w:rPr>
          <w:rFonts w:asciiTheme="minorBidi" w:hAnsiTheme="minorBidi"/>
          <w:b/>
          <w:bCs/>
          <w:sz w:val="28"/>
          <w:szCs w:val="28"/>
        </w:rPr>
        <w:t xml:space="preserve">: </w:t>
      </w:r>
      <w:r w:rsidRPr="007956A3">
        <w:rPr>
          <w:rFonts w:asciiTheme="minorBidi" w:hAnsiTheme="minorBidi"/>
          <w:b/>
          <w:bCs/>
          <w:sz w:val="28"/>
          <w:szCs w:val="28"/>
        </w:rPr>
        <w:t>Financial Management</w:t>
      </w:r>
    </w:p>
    <w:p w14:paraId="7EA03C3F" w14:textId="77777777" w:rsidR="003578C3" w:rsidRPr="00F4799C" w:rsidRDefault="003578C3" w:rsidP="003578C3">
      <w:pPr>
        <w:jc w:val="center"/>
        <w:rPr>
          <w:rFonts w:asciiTheme="minorBidi" w:hAnsiTheme="minorBidi"/>
          <w:b/>
          <w:bCs/>
          <w:sz w:val="28"/>
          <w:szCs w:val="28"/>
        </w:rPr>
      </w:pPr>
      <w:r w:rsidRPr="00F4799C">
        <w:rPr>
          <w:rFonts w:asciiTheme="minorBidi" w:hAnsiTheme="minorBidi"/>
          <w:b/>
          <w:bCs/>
          <w:sz w:val="28"/>
          <w:szCs w:val="28"/>
        </w:rPr>
        <w:t>Module Code</w:t>
      </w:r>
      <w:r>
        <w:rPr>
          <w:rFonts w:asciiTheme="minorBidi" w:hAnsiTheme="minorBidi"/>
          <w:b/>
          <w:bCs/>
          <w:sz w:val="28"/>
          <w:szCs w:val="28"/>
        </w:rPr>
        <w:t xml:space="preserve"> </w:t>
      </w:r>
      <w:r w:rsidRPr="00F4799C">
        <w:rPr>
          <w:rFonts w:asciiTheme="minorBidi" w:hAnsiTheme="minorBidi"/>
          <w:b/>
          <w:bCs/>
          <w:sz w:val="28"/>
          <w:szCs w:val="28"/>
        </w:rPr>
        <w:t xml:space="preserve">: </w:t>
      </w:r>
      <w:r w:rsidRPr="007956A3">
        <w:rPr>
          <w:rFonts w:asciiTheme="minorBidi" w:hAnsiTheme="minorBidi"/>
          <w:b/>
          <w:bCs/>
          <w:sz w:val="28"/>
          <w:szCs w:val="28"/>
        </w:rPr>
        <w:t>LCMB7002</w:t>
      </w:r>
    </w:p>
    <w:p w14:paraId="64343DB0" w14:textId="77777777" w:rsidR="003578C3" w:rsidRDefault="003578C3" w:rsidP="003578C3">
      <w:pPr>
        <w:jc w:val="center"/>
        <w:rPr>
          <w:rFonts w:asciiTheme="minorBidi" w:hAnsiTheme="minorBidi"/>
          <w:b/>
          <w:bCs/>
          <w:sz w:val="28"/>
          <w:szCs w:val="28"/>
        </w:rPr>
      </w:pPr>
      <w:r w:rsidRPr="00F4799C">
        <w:rPr>
          <w:rFonts w:asciiTheme="minorBidi" w:hAnsiTheme="minorBidi"/>
          <w:b/>
          <w:bCs/>
          <w:sz w:val="28"/>
          <w:szCs w:val="28"/>
        </w:rPr>
        <w:t>Lecturer’s Name</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w:t>
      </w:r>
      <w:r w:rsidRPr="007956A3">
        <w:rPr>
          <w:rFonts w:asciiTheme="minorBidi" w:hAnsiTheme="minorBidi"/>
          <w:b/>
          <w:bCs/>
          <w:sz w:val="28"/>
          <w:szCs w:val="28"/>
        </w:rPr>
        <w:t>Dr Shengfeng Mei</w:t>
      </w:r>
    </w:p>
    <w:p w14:paraId="1BBACAB6" w14:textId="77777777" w:rsidR="003578C3" w:rsidRPr="00F4799C" w:rsidRDefault="003578C3" w:rsidP="003578C3">
      <w:pPr>
        <w:jc w:val="center"/>
        <w:rPr>
          <w:rFonts w:asciiTheme="minorBidi" w:hAnsiTheme="minorBidi"/>
          <w:b/>
          <w:bCs/>
          <w:sz w:val="28"/>
          <w:szCs w:val="28"/>
        </w:rPr>
      </w:pPr>
    </w:p>
    <w:p w14:paraId="432F6C11" w14:textId="7A5EB070" w:rsidR="003578C3" w:rsidRDefault="003578C3" w:rsidP="003578C3">
      <w:pPr>
        <w:jc w:val="center"/>
        <w:rPr>
          <w:rFonts w:asciiTheme="minorBidi" w:hAnsiTheme="minorBidi"/>
          <w:b/>
          <w:bCs/>
          <w:sz w:val="28"/>
          <w:szCs w:val="28"/>
        </w:rPr>
      </w:pPr>
      <w:r w:rsidRPr="00F4799C">
        <w:rPr>
          <w:rFonts w:asciiTheme="minorBidi" w:hAnsiTheme="minorBidi"/>
          <w:b/>
          <w:bCs/>
          <w:sz w:val="28"/>
          <w:szCs w:val="28"/>
        </w:rPr>
        <w:t>Work Count</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5</w:t>
      </w:r>
      <w:r w:rsidR="006B7AF5">
        <w:rPr>
          <w:rFonts w:asciiTheme="minorBidi" w:hAnsiTheme="minorBidi"/>
          <w:b/>
          <w:bCs/>
          <w:sz w:val="28"/>
          <w:szCs w:val="28"/>
        </w:rPr>
        <w:t>200</w:t>
      </w:r>
    </w:p>
    <w:p w14:paraId="492C01D4" w14:textId="77777777" w:rsidR="00163034" w:rsidRPr="00163034" w:rsidRDefault="00163034" w:rsidP="00163034">
      <w:pPr>
        <w:jc w:val="center"/>
        <w:rPr>
          <w:rFonts w:asciiTheme="minorBidi" w:hAnsiTheme="minorBidi"/>
          <w:b/>
          <w:bCs/>
          <w:sz w:val="28"/>
          <w:szCs w:val="28"/>
          <w:lang w:val="en-GB"/>
        </w:rPr>
      </w:pPr>
      <w:r w:rsidRPr="00163034">
        <w:rPr>
          <w:rFonts w:asciiTheme="minorBidi" w:hAnsiTheme="minorBidi"/>
          <w:b/>
          <w:bCs/>
          <w:sz w:val="28"/>
          <w:szCs w:val="28"/>
          <w:lang w:val="en-GB"/>
        </w:rPr>
        <w:t>Submission Date: 24</w:t>
      </w:r>
      <w:r w:rsidRPr="00163034">
        <w:rPr>
          <w:rFonts w:asciiTheme="minorBidi" w:hAnsiTheme="minorBidi"/>
          <w:b/>
          <w:bCs/>
          <w:sz w:val="28"/>
          <w:szCs w:val="28"/>
          <w:vertAlign w:val="superscript"/>
          <w:lang w:val="en-GB"/>
        </w:rPr>
        <w:t>th</w:t>
      </w:r>
      <w:r w:rsidRPr="00163034">
        <w:rPr>
          <w:rFonts w:asciiTheme="minorBidi" w:hAnsiTheme="minorBidi"/>
          <w:b/>
          <w:bCs/>
          <w:sz w:val="28"/>
          <w:szCs w:val="28"/>
          <w:lang w:val="en-GB"/>
        </w:rPr>
        <w:t xml:space="preserve"> April 2026</w:t>
      </w:r>
    </w:p>
    <w:p w14:paraId="5E5FDAED" w14:textId="77777777" w:rsidR="00163034" w:rsidRPr="00F4799C" w:rsidRDefault="00163034" w:rsidP="003578C3">
      <w:pPr>
        <w:jc w:val="center"/>
        <w:rPr>
          <w:rFonts w:asciiTheme="minorBidi" w:hAnsiTheme="minorBidi"/>
          <w:b/>
          <w:bCs/>
          <w:sz w:val="28"/>
          <w:szCs w:val="28"/>
        </w:rPr>
      </w:pPr>
    </w:p>
    <w:p w14:paraId="0D51ADEF" w14:textId="77777777" w:rsidR="003578C3" w:rsidRDefault="003578C3" w:rsidP="003578C3">
      <w:pPr>
        <w:jc w:val="center"/>
        <w:rPr>
          <w:rFonts w:asciiTheme="minorBidi" w:hAnsiTheme="minorBidi"/>
          <w:b/>
          <w:bCs/>
          <w:sz w:val="28"/>
          <w:szCs w:val="28"/>
        </w:rPr>
      </w:pPr>
      <w:r w:rsidRPr="00F4799C">
        <w:rPr>
          <w:rFonts w:asciiTheme="minorBidi" w:hAnsiTheme="minorBidi"/>
          <w:b/>
          <w:bCs/>
          <w:sz w:val="28"/>
          <w:szCs w:val="28"/>
        </w:rPr>
        <w:t>Term 1</w:t>
      </w:r>
    </w:p>
    <w:p w14:paraId="762776EB" w14:textId="77777777" w:rsidR="003578C3" w:rsidRDefault="003578C3">
      <w:pPr>
        <w:spacing w:before="800"/>
        <w:jc w:val="center"/>
        <w:rPr>
          <w:b/>
          <w:color w:val="1F497D"/>
          <w:sz w:val="32"/>
        </w:rPr>
      </w:pPr>
    </w:p>
    <w:p w14:paraId="1466401A" w14:textId="77777777" w:rsidR="003578C3" w:rsidRDefault="003578C3">
      <w:pPr>
        <w:spacing w:before="800"/>
        <w:jc w:val="center"/>
        <w:rPr>
          <w:b/>
          <w:color w:val="1F497D"/>
          <w:sz w:val="32"/>
        </w:rPr>
      </w:pPr>
    </w:p>
    <w:p w14:paraId="28F38009" w14:textId="77777777" w:rsidR="003578C3" w:rsidRDefault="003578C3">
      <w:pPr>
        <w:spacing w:before="800"/>
        <w:jc w:val="center"/>
        <w:rPr>
          <w:b/>
          <w:color w:val="1F497D"/>
          <w:sz w:val="32"/>
        </w:rPr>
      </w:pPr>
    </w:p>
    <w:p w14:paraId="7CF4FEB6" w14:textId="77777777" w:rsidR="002F23F6" w:rsidRDefault="002F23F6"/>
    <w:p w14:paraId="34D066C1" w14:textId="77777777" w:rsidR="003578C3" w:rsidRDefault="003578C3" w:rsidP="00163034">
      <w:pPr>
        <w:spacing w:after="80"/>
        <w:rPr>
          <w:b/>
          <w:color w:val="1F497D"/>
        </w:rPr>
      </w:pPr>
    </w:p>
    <w:p w14:paraId="179E7F6E" w14:textId="77777777" w:rsidR="003578C3" w:rsidRDefault="003578C3">
      <w:pPr>
        <w:spacing w:after="80"/>
        <w:jc w:val="center"/>
        <w:rPr>
          <w:b/>
          <w:color w:val="1F497D"/>
        </w:rPr>
      </w:pPr>
    </w:p>
    <w:p w14:paraId="53B1C7A4" w14:textId="77777777" w:rsidR="003578C3" w:rsidRDefault="003578C3">
      <w:pPr>
        <w:spacing w:after="80"/>
        <w:jc w:val="center"/>
        <w:rPr>
          <w:b/>
          <w:color w:val="1F497D"/>
        </w:rPr>
      </w:pPr>
    </w:p>
    <w:p w14:paraId="73D70463" w14:textId="77777777" w:rsidR="003578C3" w:rsidRDefault="003578C3">
      <w:pPr>
        <w:spacing w:after="80"/>
        <w:jc w:val="center"/>
        <w:rPr>
          <w:b/>
          <w:color w:val="1F497D"/>
        </w:rPr>
      </w:pPr>
    </w:p>
    <w:p w14:paraId="42A631C9" w14:textId="77777777" w:rsidR="003578C3" w:rsidRDefault="003578C3">
      <w:pPr>
        <w:spacing w:after="80"/>
        <w:jc w:val="center"/>
        <w:rPr>
          <w:b/>
          <w:color w:val="1F497D"/>
        </w:rPr>
      </w:pPr>
    </w:p>
    <w:p w14:paraId="1BF46CB2" w14:textId="77777777" w:rsidR="003578C3" w:rsidRDefault="003578C3">
      <w:pPr>
        <w:spacing w:after="80"/>
        <w:jc w:val="center"/>
        <w:rPr>
          <w:b/>
          <w:color w:val="1F497D"/>
        </w:rPr>
      </w:pPr>
    </w:p>
    <w:p w14:paraId="4D2AACE5" w14:textId="77777777" w:rsidR="003578C3" w:rsidRDefault="003578C3">
      <w:pPr>
        <w:spacing w:after="80"/>
        <w:jc w:val="center"/>
        <w:rPr>
          <w:b/>
          <w:color w:val="1F497D"/>
        </w:rPr>
      </w:pPr>
    </w:p>
    <w:p w14:paraId="21D79326" w14:textId="77777777" w:rsidR="00413DCA" w:rsidRDefault="00413DCA" w:rsidP="00413DCA">
      <w:pPr>
        <w:spacing w:before="200"/>
        <w:jc w:val="center"/>
        <w:rPr>
          <w:rFonts w:eastAsia="Arial" w:cs="Arial"/>
          <w:b/>
          <w:bCs/>
          <w:sz w:val="32"/>
          <w:szCs w:val="32"/>
        </w:rPr>
      </w:pPr>
      <w:r>
        <w:rPr>
          <w:rFonts w:eastAsia="Arial" w:cs="Arial"/>
          <w:b/>
          <w:bCs/>
          <w:sz w:val="32"/>
          <w:szCs w:val="32"/>
        </w:rPr>
        <w:t>Topic: Strategic CFO Challenge</w:t>
      </w:r>
    </w:p>
    <w:p w14:paraId="661B5A92" w14:textId="77777777" w:rsidR="003578C3" w:rsidRDefault="003578C3">
      <w:pPr>
        <w:spacing w:after="80"/>
        <w:jc w:val="center"/>
        <w:rPr>
          <w:b/>
          <w:color w:val="1F497D"/>
        </w:rPr>
      </w:pPr>
    </w:p>
    <w:p w14:paraId="336F5294" w14:textId="7F78862E" w:rsidR="003578C3" w:rsidRPr="00413DCA" w:rsidRDefault="00000000" w:rsidP="003578C3">
      <w:pPr>
        <w:spacing w:after="80"/>
        <w:jc w:val="center"/>
        <w:rPr>
          <w:b/>
          <w:sz w:val="32"/>
          <w:szCs w:val="32"/>
        </w:rPr>
      </w:pPr>
      <w:r w:rsidRPr="00413DCA">
        <w:rPr>
          <w:b/>
          <w:color w:val="000000" w:themeColor="text1"/>
          <w:sz w:val="32"/>
          <w:szCs w:val="32"/>
        </w:rPr>
        <w:t>Assessment</w:t>
      </w:r>
      <w:r w:rsidRPr="00413DCA">
        <w:rPr>
          <w:b/>
          <w:color w:val="1F497D"/>
          <w:sz w:val="32"/>
          <w:szCs w:val="32"/>
        </w:rPr>
        <w:t xml:space="preserve">:  </w:t>
      </w:r>
      <w:r w:rsidRPr="00413DCA">
        <w:rPr>
          <w:b/>
          <w:sz w:val="32"/>
          <w:szCs w:val="32"/>
        </w:rPr>
        <w:t xml:space="preserve">Financial Performance and Management - </w:t>
      </w:r>
      <w:r w:rsidR="00413DCA" w:rsidRPr="00413DCA">
        <w:rPr>
          <w:b/>
          <w:sz w:val="32"/>
          <w:szCs w:val="32"/>
        </w:rPr>
        <w:t>Hyundai Motor Company</w:t>
      </w:r>
      <w:r w:rsidR="00413DCA" w:rsidRPr="00413DCA">
        <w:rPr>
          <w:b/>
          <w:color w:val="1F497D"/>
          <w:sz w:val="32"/>
          <w:szCs w:val="32"/>
        </w:rPr>
        <w:t xml:space="preserve"> </w:t>
      </w:r>
    </w:p>
    <w:p w14:paraId="5AD6CBC1" w14:textId="77777777" w:rsidR="003578C3" w:rsidRDefault="003578C3" w:rsidP="003578C3">
      <w:pPr>
        <w:spacing w:after="80"/>
        <w:jc w:val="center"/>
      </w:pPr>
    </w:p>
    <w:p w14:paraId="09DDE245" w14:textId="77777777" w:rsidR="003578C3" w:rsidRDefault="003578C3" w:rsidP="003578C3">
      <w:pPr>
        <w:spacing w:after="80"/>
        <w:jc w:val="center"/>
      </w:pPr>
    </w:p>
    <w:p w14:paraId="0D00E3AB" w14:textId="77777777" w:rsidR="003578C3" w:rsidRDefault="003578C3" w:rsidP="003578C3">
      <w:pPr>
        <w:spacing w:after="80"/>
        <w:jc w:val="center"/>
      </w:pPr>
    </w:p>
    <w:p w14:paraId="64600D98" w14:textId="77777777" w:rsidR="003578C3" w:rsidRDefault="003578C3" w:rsidP="003578C3">
      <w:pPr>
        <w:spacing w:after="80"/>
        <w:jc w:val="center"/>
      </w:pPr>
    </w:p>
    <w:p w14:paraId="30BB1727" w14:textId="77777777" w:rsidR="003578C3" w:rsidRDefault="003578C3" w:rsidP="003578C3">
      <w:pPr>
        <w:spacing w:after="80"/>
        <w:jc w:val="center"/>
      </w:pPr>
    </w:p>
    <w:p w14:paraId="6A407453" w14:textId="77777777" w:rsidR="003578C3" w:rsidRDefault="003578C3" w:rsidP="00F345AA">
      <w:pPr>
        <w:pStyle w:val="TOCHeading"/>
        <w:jc w:val="center"/>
        <w:rPr>
          <w:rFonts w:asciiTheme="minorHAnsi" w:eastAsiaTheme="minorEastAsia" w:hAnsiTheme="minorHAnsi" w:cstheme="minorBidi"/>
          <w:b w:val="0"/>
          <w:bCs w:val="0"/>
          <w:color w:val="auto"/>
          <w:sz w:val="22"/>
          <w:szCs w:val="22"/>
        </w:rPr>
      </w:pPr>
    </w:p>
    <w:p w14:paraId="2F933515" w14:textId="77777777" w:rsidR="003578C3" w:rsidRDefault="003578C3" w:rsidP="003578C3"/>
    <w:p w14:paraId="6241DB7D" w14:textId="77777777" w:rsidR="003578C3" w:rsidRPr="003578C3" w:rsidRDefault="003578C3" w:rsidP="003578C3"/>
    <w:sdt>
      <w:sdtPr>
        <w:rPr>
          <w:rFonts w:asciiTheme="minorHAnsi" w:eastAsiaTheme="minorEastAsia" w:hAnsiTheme="minorHAnsi" w:cstheme="minorBidi"/>
          <w:b w:val="0"/>
          <w:bCs w:val="0"/>
          <w:color w:val="auto"/>
          <w:sz w:val="22"/>
          <w:szCs w:val="22"/>
        </w:rPr>
        <w:id w:val="883068593"/>
        <w:docPartObj>
          <w:docPartGallery w:val="Table of Contents"/>
          <w:docPartUnique/>
        </w:docPartObj>
      </w:sdtPr>
      <w:sdtEndPr>
        <w:rPr>
          <w:rFonts w:ascii="Arial" w:hAnsi="Arial"/>
          <w:noProof/>
          <w:sz w:val="24"/>
        </w:rPr>
      </w:sdtEndPr>
      <w:sdtContent>
        <w:p w14:paraId="7D9A3E21" w14:textId="77777777" w:rsidR="003578C3" w:rsidRDefault="003578C3" w:rsidP="00F345AA">
          <w:pPr>
            <w:pStyle w:val="TOCHeading"/>
            <w:jc w:val="center"/>
            <w:rPr>
              <w:rFonts w:asciiTheme="minorHAnsi" w:eastAsiaTheme="minorEastAsia" w:hAnsiTheme="minorHAnsi" w:cstheme="minorBidi"/>
              <w:b w:val="0"/>
              <w:bCs w:val="0"/>
              <w:color w:val="auto"/>
              <w:sz w:val="22"/>
              <w:szCs w:val="22"/>
            </w:rPr>
          </w:pPr>
        </w:p>
        <w:p w14:paraId="5B2CD31C" w14:textId="77777777" w:rsidR="003578C3" w:rsidRDefault="003578C3" w:rsidP="003578C3">
          <w:pPr>
            <w:pStyle w:val="TOCHeading"/>
            <w:rPr>
              <w:sz w:val="40"/>
              <w:szCs w:val="40"/>
            </w:rPr>
          </w:pPr>
        </w:p>
        <w:p w14:paraId="0EFA7C33" w14:textId="3C13B5A8" w:rsidR="00F345AA" w:rsidRPr="00F345AA" w:rsidRDefault="00F345AA" w:rsidP="00F345AA">
          <w:pPr>
            <w:pStyle w:val="TOCHeading"/>
            <w:jc w:val="center"/>
            <w:rPr>
              <w:sz w:val="40"/>
              <w:szCs w:val="40"/>
            </w:rPr>
          </w:pPr>
          <w:r>
            <w:rPr>
              <w:sz w:val="40"/>
              <w:szCs w:val="40"/>
            </w:rPr>
            <w:t>Table of Contents</w:t>
          </w:r>
        </w:p>
        <w:p w14:paraId="1C732918" w14:textId="4A6DF234" w:rsidR="0044417F" w:rsidRDefault="00F345AA">
          <w:pPr>
            <w:pStyle w:val="TOC1"/>
            <w:tabs>
              <w:tab w:val="right" w:leader="dot" w:pos="9350"/>
            </w:tabs>
            <w:rPr>
              <w:rFonts w:asciiTheme="minorHAnsi"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27888378" w:history="1">
            <w:r w:rsidR="0044417F" w:rsidRPr="00C523CD">
              <w:rPr>
                <w:rStyle w:val="Hyperlink"/>
                <w:noProof/>
              </w:rPr>
              <w:t>1. Introduction</w:t>
            </w:r>
            <w:r w:rsidR="0044417F">
              <w:rPr>
                <w:noProof/>
                <w:webHidden/>
              </w:rPr>
              <w:tab/>
            </w:r>
            <w:r w:rsidR="0044417F">
              <w:rPr>
                <w:noProof/>
                <w:webHidden/>
              </w:rPr>
              <w:fldChar w:fldCharType="begin"/>
            </w:r>
            <w:r w:rsidR="0044417F">
              <w:rPr>
                <w:noProof/>
                <w:webHidden/>
              </w:rPr>
              <w:instrText xml:space="preserve"> PAGEREF _Toc227888378 \h </w:instrText>
            </w:r>
            <w:r w:rsidR="0044417F">
              <w:rPr>
                <w:noProof/>
                <w:webHidden/>
              </w:rPr>
            </w:r>
            <w:r w:rsidR="0044417F">
              <w:rPr>
                <w:noProof/>
                <w:webHidden/>
              </w:rPr>
              <w:fldChar w:fldCharType="separate"/>
            </w:r>
            <w:r w:rsidR="0044417F">
              <w:rPr>
                <w:noProof/>
                <w:webHidden/>
              </w:rPr>
              <w:t>4</w:t>
            </w:r>
            <w:r w:rsidR="0044417F">
              <w:rPr>
                <w:noProof/>
                <w:webHidden/>
              </w:rPr>
              <w:fldChar w:fldCharType="end"/>
            </w:r>
          </w:hyperlink>
        </w:p>
        <w:p w14:paraId="08FC4042" w14:textId="2BDDCF08" w:rsidR="0044417F" w:rsidRDefault="0044417F">
          <w:pPr>
            <w:pStyle w:val="TOC1"/>
            <w:tabs>
              <w:tab w:val="right" w:leader="dot" w:pos="9350"/>
            </w:tabs>
            <w:rPr>
              <w:rFonts w:asciiTheme="minorHAnsi" w:hAnsiTheme="minorHAnsi"/>
              <w:noProof/>
              <w:kern w:val="2"/>
              <w:szCs w:val="24"/>
              <w:lang w:val="en-IN" w:eastAsia="en-IN"/>
              <w14:ligatures w14:val="standardContextual"/>
            </w:rPr>
          </w:pPr>
          <w:hyperlink w:anchor="_Toc227888379" w:history="1">
            <w:r w:rsidRPr="00C523CD">
              <w:rPr>
                <w:rStyle w:val="Hyperlink"/>
                <w:noProof/>
              </w:rPr>
              <w:t>2. Financial Health Check</w:t>
            </w:r>
            <w:r>
              <w:rPr>
                <w:noProof/>
                <w:webHidden/>
              </w:rPr>
              <w:tab/>
            </w:r>
            <w:r>
              <w:rPr>
                <w:noProof/>
                <w:webHidden/>
              </w:rPr>
              <w:fldChar w:fldCharType="begin"/>
            </w:r>
            <w:r>
              <w:rPr>
                <w:noProof/>
                <w:webHidden/>
              </w:rPr>
              <w:instrText xml:space="preserve"> PAGEREF _Toc227888379 \h </w:instrText>
            </w:r>
            <w:r>
              <w:rPr>
                <w:noProof/>
                <w:webHidden/>
              </w:rPr>
            </w:r>
            <w:r>
              <w:rPr>
                <w:noProof/>
                <w:webHidden/>
              </w:rPr>
              <w:fldChar w:fldCharType="separate"/>
            </w:r>
            <w:r>
              <w:rPr>
                <w:noProof/>
                <w:webHidden/>
              </w:rPr>
              <w:t>4</w:t>
            </w:r>
            <w:r>
              <w:rPr>
                <w:noProof/>
                <w:webHidden/>
              </w:rPr>
              <w:fldChar w:fldCharType="end"/>
            </w:r>
          </w:hyperlink>
        </w:p>
        <w:p w14:paraId="5039E2D7" w14:textId="24438AE5"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80" w:history="1">
            <w:r w:rsidRPr="00C523CD">
              <w:rPr>
                <w:rStyle w:val="Hyperlink"/>
                <w:noProof/>
              </w:rPr>
              <w:t>2.1 Profitability Analysis</w:t>
            </w:r>
            <w:r>
              <w:rPr>
                <w:noProof/>
                <w:webHidden/>
              </w:rPr>
              <w:tab/>
            </w:r>
            <w:r>
              <w:rPr>
                <w:noProof/>
                <w:webHidden/>
              </w:rPr>
              <w:fldChar w:fldCharType="begin"/>
            </w:r>
            <w:r>
              <w:rPr>
                <w:noProof/>
                <w:webHidden/>
              </w:rPr>
              <w:instrText xml:space="preserve"> PAGEREF _Toc227888380 \h </w:instrText>
            </w:r>
            <w:r>
              <w:rPr>
                <w:noProof/>
                <w:webHidden/>
              </w:rPr>
            </w:r>
            <w:r>
              <w:rPr>
                <w:noProof/>
                <w:webHidden/>
              </w:rPr>
              <w:fldChar w:fldCharType="separate"/>
            </w:r>
            <w:r>
              <w:rPr>
                <w:noProof/>
                <w:webHidden/>
              </w:rPr>
              <w:t>4</w:t>
            </w:r>
            <w:r>
              <w:rPr>
                <w:noProof/>
                <w:webHidden/>
              </w:rPr>
              <w:fldChar w:fldCharType="end"/>
            </w:r>
          </w:hyperlink>
        </w:p>
        <w:p w14:paraId="57C03B27" w14:textId="44D59C19"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81" w:history="1">
            <w:r w:rsidRPr="00C523CD">
              <w:rPr>
                <w:rStyle w:val="Hyperlink"/>
                <w:noProof/>
              </w:rPr>
              <w:t>2.2 Liquidity Analysis</w:t>
            </w:r>
            <w:r>
              <w:rPr>
                <w:noProof/>
                <w:webHidden/>
              </w:rPr>
              <w:tab/>
            </w:r>
            <w:r>
              <w:rPr>
                <w:noProof/>
                <w:webHidden/>
              </w:rPr>
              <w:fldChar w:fldCharType="begin"/>
            </w:r>
            <w:r>
              <w:rPr>
                <w:noProof/>
                <w:webHidden/>
              </w:rPr>
              <w:instrText xml:space="preserve"> PAGEREF _Toc227888381 \h </w:instrText>
            </w:r>
            <w:r>
              <w:rPr>
                <w:noProof/>
                <w:webHidden/>
              </w:rPr>
            </w:r>
            <w:r>
              <w:rPr>
                <w:noProof/>
                <w:webHidden/>
              </w:rPr>
              <w:fldChar w:fldCharType="separate"/>
            </w:r>
            <w:r>
              <w:rPr>
                <w:noProof/>
                <w:webHidden/>
              </w:rPr>
              <w:t>8</w:t>
            </w:r>
            <w:r>
              <w:rPr>
                <w:noProof/>
                <w:webHidden/>
              </w:rPr>
              <w:fldChar w:fldCharType="end"/>
            </w:r>
          </w:hyperlink>
        </w:p>
        <w:p w14:paraId="04AA3A56" w14:textId="0C9F0CE8"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82" w:history="1">
            <w:r w:rsidRPr="00C523CD">
              <w:rPr>
                <w:rStyle w:val="Hyperlink"/>
                <w:noProof/>
              </w:rPr>
              <w:t>2.3 Efficiency Analysis</w:t>
            </w:r>
            <w:r>
              <w:rPr>
                <w:noProof/>
                <w:webHidden/>
              </w:rPr>
              <w:tab/>
            </w:r>
            <w:r>
              <w:rPr>
                <w:noProof/>
                <w:webHidden/>
              </w:rPr>
              <w:fldChar w:fldCharType="begin"/>
            </w:r>
            <w:r>
              <w:rPr>
                <w:noProof/>
                <w:webHidden/>
              </w:rPr>
              <w:instrText xml:space="preserve"> PAGEREF _Toc227888382 \h </w:instrText>
            </w:r>
            <w:r>
              <w:rPr>
                <w:noProof/>
                <w:webHidden/>
              </w:rPr>
            </w:r>
            <w:r>
              <w:rPr>
                <w:noProof/>
                <w:webHidden/>
              </w:rPr>
              <w:fldChar w:fldCharType="separate"/>
            </w:r>
            <w:r>
              <w:rPr>
                <w:noProof/>
                <w:webHidden/>
              </w:rPr>
              <w:t>8</w:t>
            </w:r>
            <w:r>
              <w:rPr>
                <w:noProof/>
                <w:webHidden/>
              </w:rPr>
              <w:fldChar w:fldCharType="end"/>
            </w:r>
          </w:hyperlink>
        </w:p>
        <w:p w14:paraId="118CAFB0" w14:textId="5183777D"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83" w:history="1">
            <w:r w:rsidRPr="00C523CD">
              <w:rPr>
                <w:rStyle w:val="Hyperlink"/>
                <w:noProof/>
              </w:rPr>
              <w:t>2.4 Gearing and Cash Flow Analysis</w:t>
            </w:r>
            <w:r>
              <w:rPr>
                <w:noProof/>
                <w:webHidden/>
              </w:rPr>
              <w:tab/>
            </w:r>
            <w:r>
              <w:rPr>
                <w:noProof/>
                <w:webHidden/>
              </w:rPr>
              <w:fldChar w:fldCharType="begin"/>
            </w:r>
            <w:r>
              <w:rPr>
                <w:noProof/>
                <w:webHidden/>
              </w:rPr>
              <w:instrText xml:space="preserve"> PAGEREF _Toc227888383 \h </w:instrText>
            </w:r>
            <w:r>
              <w:rPr>
                <w:noProof/>
                <w:webHidden/>
              </w:rPr>
            </w:r>
            <w:r>
              <w:rPr>
                <w:noProof/>
                <w:webHidden/>
              </w:rPr>
              <w:fldChar w:fldCharType="separate"/>
            </w:r>
            <w:r>
              <w:rPr>
                <w:noProof/>
                <w:webHidden/>
              </w:rPr>
              <w:t>9</w:t>
            </w:r>
            <w:r>
              <w:rPr>
                <w:noProof/>
                <w:webHidden/>
              </w:rPr>
              <w:fldChar w:fldCharType="end"/>
            </w:r>
          </w:hyperlink>
        </w:p>
        <w:p w14:paraId="5D3CC07D" w14:textId="018C8D37" w:rsidR="0044417F" w:rsidRDefault="0044417F">
          <w:pPr>
            <w:pStyle w:val="TOC1"/>
            <w:tabs>
              <w:tab w:val="right" w:leader="dot" w:pos="9350"/>
            </w:tabs>
            <w:rPr>
              <w:rFonts w:asciiTheme="minorHAnsi" w:hAnsiTheme="minorHAnsi"/>
              <w:noProof/>
              <w:kern w:val="2"/>
              <w:szCs w:val="24"/>
              <w:lang w:val="en-IN" w:eastAsia="en-IN"/>
              <w14:ligatures w14:val="standardContextual"/>
            </w:rPr>
          </w:pPr>
          <w:hyperlink w:anchor="_Toc227888384" w:history="1">
            <w:r w:rsidRPr="00C523CD">
              <w:rPr>
                <w:rStyle w:val="Hyperlink"/>
                <w:noProof/>
              </w:rPr>
              <w:t>3. Working Capital Management Analysis</w:t>
            </w:r>
            <w:r>
              <w:rPr>
                <w:noProof/>
                <w:webHidden/>
              </w:rPr>
              <w:tab/>
            </w:r>
            <w:r>
              <w:rPr>
                <w:noProof/>
                <w:webHidden/>
              </w:rPr>
              <w:fldChar w:fldCharType="begin"/>
            </w:r>
            <w:r>
              <w:rPr>
                <w:noProof/>
                <w:webHidden/>
              </w:rPr>
              <w:instrText xml:space="preserve"> PAGEREF _Toc227888384 \h </w:instrText>
            </w:r>
            <w:r>
              <w:rPr>
                <w:noProof/>
                <w:webHidden/>
              </w:rPr>
            </w:r>
            <w:r>
              <w:rPr>
                <w:noProof/>
                <w:webHidden/>
              </w:rPr>
              <w:fldChar w:fldCharType="separate"/>
            </w:r>
            <w:r>
              <w:rPr>
                <w:noProof/>
                <w:webHidden/>
              </w:rPr>
              <w:t>12</w:t>
            </w:r>
            <w:r>
              <w:rPr>
                <w:noProof/>
                <w:webHidden/>
              </w:rPr>
              <w:fldChar w:fldCharType="end"/>
            </w:r>
          </w:hyperlink>
        </w:p>
        <w:p w14:paraId="7EB1552C" w14:textId="3A1C3163"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85" w:history="1">
            <w:r w:rsidRPr="00C523CD">
              <w:rPr>
                <w:rStyle w:val="Hyperlink"/>
                <w:noProof/>
              </w:rPr>
              <w:t>3.1 Cash Operating Cycle Assessment</w:t>
            </w:r>
            <w:r>
              <w:rPr>
                <w:noProof/>
                <w:webHidden/>
              </w:rPr>
              <w:tab/>
            </w:r>
            <w:r>
              <w:rPr>
                <w:noProof/>
                <w:webHidden/>
              </w:rPr>
              <w:fldChar w:fldCharType="begin"/>
            </w:r>
            <w:r>
              <w:rPr>
                <w:noProof/>
                <w:webHidden/>
              </w:rPr>
              <w:instrText xml:space="preserve"> PAGEREF _Toc227888385 \h </w:instrText>
            </w:r>
            <w:r>
              <w:rPr>
                <w:noProof/>
                <w:webHidden/>
              </w:rPr>
            </w:r>
            <w:r>
              <w:rPr>
                <w:noProof/>
                <w:webHidden/>
              </w:rPr>
              <w:fldChar w:fldCharType="separate"/>
            </w:r>
            <w:r>
              <w:rPr>
                <w:noProof/>
                <w:webHidden/>
              </w:rPr>
              <w:t>12</w:t>
            </w:r>
            <w:r>
              <w:rPr>
                <w:noProof/>
                <w:webHidden/>
              </w:rPr>
              <w:fldChar w:fldCharType="end"/>
            </w:r>
          </w:hyperlink>
        </w:p>
        <w:p w14:paraId="741D6A0C" w14:textId="0EF852D2"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86" w:history="1">
            <w:r w:rsidRPr="00C523CD">
              <w:rPr>
                <w:rStyle w:val="Hyperlink"/>
                <w:noProof/>
              </w:rPr>
              <w:t>3.2 Strategies to Improve Liquidity</w:t>
            </w:r>
            <w:r>
              <w:rPr>
                <w:noProof/>
                <w:webHidden/>
              </w:rPr>
              <w:tab/>
            </w:r>
            <w:r>
              <w:rPr>
                <w:noProof/>
                <w:webHidden/>
              </w:rPr>
              <w:fldChar w:fldCharType="begin"/>
            </w:r>
            <w:r>
              <w:rPr>
                <w:noProof/>
                <w:webHidden/>
              </w:rPr>
              <w:instrText xml:space="preserve"> PAGEREF _Toc227888386 \h </w:instrText>
            </w:r>
            <w:r>
              <w:rPr>
                <w:noProof/>
                <w:webHidden/>
              </w:rPr>
            </w:r>
            <w:r>
              <w:rPr>
                <w:noProof/>
                <w:webHidden/>
              </w:rPr>
              <w:fldChar w:fldCharType="separate"/>
            </w:r>
            <w:r>
              <w:rPr>
                <w:noProof/>
                <w:webHidden/>
              </w:rPr>
              <w:t>13</w:t>
            </w:r>
            <w:r>
              <w:rPr>
                <w:noProof/>
                <w:webHidden/>
              </w:rPr>
              <w:fldChar w:fldCharType="end"/>
            </w:r>
          </w:hyperlink>
        </w:p>
        <w:p w14:paraId="277A524F" w14:textId="4DC39EBC"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87" w:history="1">
            <w:r w:rsidRPr="00C523CD">
              <w:rPr>
                <w:rStyle w:val="Hyperlink"/>
                <w:noProof/>
              </w:rPr>
              <w:t>3.3 Short-Term versus Long-Term Financing</w:t>
            </w:r>
            <w:r>
              <w:rPr>
                <w:noProof/>
                <w:webHidden/>
              </w:rPr>
              <w:tab/>
            </w:r>
            <w:r>
              <w:rPr>
                <w:noProof/>
                <w:webHidden/>
              </w:rPr>
              <w:fldChar w:fldCharType="begin"/>
            </w:r>
            <w:r>
              <w:rPr>
                <w:noProof/>
                <w:webHidden/>
              </w:rPr>
              <w:instrText xml:space="preserve"> PAGEREF _Toc227888387 \h </w:instrText>
            </w:r>
            <w:r>
              <w:rPr>
                <w:noProof/>
                <w:webHidden/>
              </w:rPr>
            </w:r>
            <w:r>
              <w:rPr>
                <w:noProof/>
                <w:webHidden/>
              </w:rPr>
              <w:fldChar w:fldCharType="separate"/>
            </w:r>
            <w:r>
              <w:rPr>
                <w:noProof/>
                <w:webHidden/>
              </w:rPr>
              <w:t>14</w:t>
            </w:r>
            <w:r>
              <w:rPr>
                <w:noProof/>
                <w:webHidden/>
              </w:rPr>
              <w:fldChar w:fldCharType="end"/>
            </w:r>
          </w:hyperlink>
        </w:p>
        <w:p w14:paraId="1AB47598" w14:textId="6C9E866F" w:rsidR="0044417F" w:rsidRDefault="0044417F">
          <w:pPr>
            <w:pStyle w:val="TOC1"/>
            <w:tabs>
              <w:tab w:val="right" w:leader="dot" w:pos="9350"/>
            </w:tabs>
            <w:rPr>
              <w:rFonts w:asciiTheme="minorHAnsi" w:hAnsiTheme="minorHAnsi"/>
              <w:noProof/>
              <w:kern w:val="2"/>
              <w:szCs w:val="24"/>
              <w:lang w:val="en-IN" w:eastAsia="en-IN"/>
              <w14:ligatures w14:val="standardContextual"/>
            </w:rPr>
          </w:pPr>
          <w:hyperlink w:anchor="_Toc227888388" w:history="1">
            <w:r w:rsidRPr="00C523CD">
              <w:rPr>
                <w:rStyle w:val="Hyperlink"/>
                <w:noProof/>
              </w:rPr>
              <w:t>4. Strategic Financial Restructuring Plan</w:t>
            </w:r>
            <w:r>
              <w:rPr>
                <w:noProof/>
                <w:webHidden/>
              </w:rPr>
              <w:tab/>
            </w:r>
            <w:r>
              <w:rPr>
                <w:noProof/>
                <w:webHidden/>
              </w:rPr>
              <w:fldChar w:fldCharType="begin"/>
            </w:r>
            <w:r>
              <w:rPr>
                <w:noProof/>
                <w:webHidden/>
              </w:rPr>
              <w:instrText xml:space="preserve"> PAGEREF _Toc227888388 \h </w:instrText>
            </w:r>
            <w:r>
              <w:rPr>
                <w:noProof/>
                <w:webHidden/>
              </w:rPr>
            </w:r>
            <w:r>
              <w:rPr>
                <w:noProof/>
                <w:webHidden/>
              </w:rPr>
              <w:fldChar w:fldCharType="separate"/>
            </w:r>
            <w:r>
              <w:rPr>
                <w:noProof/>
                <w:webHidden/>
              </w:rPr>
              <w:t>15</w:t>
            </w:r>
            <w:r>
              <w:rPr>
                <w:noProof/>
                <w:webHidden/>
              </w:rPr>
              <w:fldChar w:fldCharType="end"/>
            </w:r>
          </w:hyperlink>
        </w:p>
        <w:p w14:paraId="18101A58" w14:textId="269B19B0"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89" w:history="1">
            <w:r w:rsidRPr="00C523CD">
              <w:rPr>
                <w:rStyle w:val="Hyperlink"/>
                <w:noProof/>
              </w:rPr>
              <w:t>4.1 Recommended Restructuring Options</w:t>
            </w:r>
            <w:r>
              <w:rPr>
                <w:noProof/>
                <w:webHidden/>
              </w:rPr>
              <w:tab/>
            </w:r>
            <w:r>
              <w:rPr>
                <w:noProof/>
                <w:webHidden/>
              </w:rPr>
              <w:fldChar w:fldCharType="begin"/>
            </w:r>
            <w:r>
              <w:rPr>
                <w:noProof/>
                <w:webHidden/>
              </w:rPr>
              <w:instrText xml:space="preserve"> PAGEREF _Toc227888389 \h </w:instrText>
            </w:r>
            <w:r>
              <w:rPr>
                <w:noProof/>
                <w:webHidden/>
              </w:rPr>
            </w:r>
            <w:r>
              <w:rPr>
                <w:noProof/>
                <w:webHidden/>
              </w:rPr>
              <w:fldChar w:fldCharType="separate"/>
            </w:r>
            <w:r>
              <w:rPr>
                <w:noProof/>
                <w:webHidden/>
              </w:rPr>
              <w:t>15</w:t>
            </w:r>
            <w:r>
              <w:rPr>
                <w:noProof/>
                <w:webHidden/>
              </w:rPr>
              <w:fldChar w:fldCharType="end"/>
            </w:r>
          </w:hyperlink>
        </w:p>
        <w:p w14:paraId="3CCF5871" w14:textId="40C334FF"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90" w:history="1">
            <w:r w:rsidRPr="00C523CD">
              <w:rPr>
                <w:rStyle w:val="Hyperlink"/>
                <w:noProof/>
              </w:rPr>
              <w:t>4.2 Impact on Shareholder Value and Debt Structure</w:t>
            </w:r>
            <w:r>
              <w:rPr>
                <w:noProof/>
                <w:webHidden/>
              </w:rPr>
              <w:tab/>
            </w:r>
            <w:r>
              <w:rPr>
                <w:noProof/>
                <w:webHidden/>
              </w:rPr>
              <w:fldChar w:fldCharType="begin"/>
            </w:r>
            <w:r>
              <w:rPr>
                <w:noProof/>
                <w:webHidden/>
              </w:rPr>
              <w:instrText xml:space="preserve"> PAGEREF _Toc227888390 \h </w:instrText>
            </w:r>
            <w:r>
              <w:rPr>
                <w:noProof/>
                <w:webHidden/>
              </w:rPr>
            </w:r>
            <w:r>
              <w:rPr>
                <w:noProof/>
                <w:webHidden/>
              </w:rPr>
              <w:fldChar w:fldCharType="separate"/>
            </w:r>
            <w:r>
              <w:rPr>
                <w:noProof/>
                <w:webHidden/>
              </w:rPr>
              <w:t>16</w:t>
            </w:r>
            <w:r>
              <w:rPr>
                <w:noProof/>
                <w:webHidden/>
              </w:rPr>
              <w:fldChar w:fldCharType="end"/>
            </w:r>
          </w:hyperlink>
        </w:p>
        <w:p w14:paraId="7980C2E9" w14:textId="507AC31C"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91" w:history="1">
            <w:r w:rsidRPr="00C523CD">
              <w:rPr>
                <w:rStyle w:val="Hyperlink"/>
                <w:noProof/>
              </w:rPr>
              <w:t>4.3 International and Ethical Considerations</w:t>
            </w:r>
            <w:r>
              <w:rPr>
                <w:noProof/>
                <w:webHidden/>
              </w:rPr>
              <w:tab/>
            </w:r>
            <w:r>
              <w:rPr>
                <w:noProof/>
                <w:webHidden/>
              </w:rPr>
              <w:fldChar w:fldCharType="begin"/>
            </w:r>
            <w:r>
              <w:rPr>
                <w:noProof/>
                <w:webHidden/>
              </w:rPr>
              <w:instrText xml:space="preserve"> PAGEREF _Toc227888391 \h </w:instrText>
            </w:r>
            <w:r>
              <w:rPr>
                <w:noProof/>
                <w:webHidden/>
              </w:rPr>
            </w:r>
            <w:r>
              <w:rPr>
                <w:noProof/>
                <w:webHidden/>
              </w:rPr>
              <w:fldChar w:fldCharType="separate"/>
            </w:r>
            <w:r>
              <w:rPr>
                <w:noProof/>
                <w:webHidden/>
              </w:rPr>
              <w:t>16</w:t>
            </w:r>
            <w:r>
              <w:rPr>
                <w:noProof/>
                <w:webHidden/>
              </w:rPr>
              <w:fldChar w:fldCharType="end"/>
            </w:r>
          </w:hyperlink>
        </w:p>
        <w:p w14:paraId="5BC25902" w14:textId="465567CA" w:rsidR="0044417F" w:rsidRDefault="0044417F">
          <w:pPr>
            <w:pStyle w:val="TOC1"/>
            <w:tabs>
              <w:tab w:val="right" w:leader="dot" w:pos="9350"/>
            </w:tabs>
            <w:rPr>
              <w:rFonts w:asciiTheme="minorHAnsi" w:hAnsiTheme="minorHAnsi"/>
              <w:noProof/>
              <w:kern w:val="2"/>
              <w:szCs w:val="24"/>
              <w:lang w:val="en-IN" w:eastAsia="en-IN"/>
              <w14:ligatures w14:val="standardContextual"/>
            </w:rPr>
          </w:pPr>
          <w:hyperlink w:anchor="_Toc227888392" w:history="1">
            <w:r w:rsidRPr="00C523CD">
              <w:rPr>
                <w:rStyle w:val="Hyperlink"/>
                <w:noProof/>
              </w:rPr>
              <w:t>5. Investment Appraisal and Capital Budgeting</w:t>
            </w:r>
            <w:r>
              <w:rPr>
                <w:noProof/>
                <w:webHidden/>
              </w:rPr>
              <w:tab/>
            </w:r>
            <w:r>
              <w:rPr>
                <w:noProof/>
                <w:webHidden/>
              </w:rPr>
              <w:fldChar w:fldCharType="begin"/>
            </w:r>
            <w:r>
              <w:rPr>
                <w:noProof/>
                <w:webHidden/>
              </w:rPr>
              <w:instrText xml:space="preserve"> PAGEREF _Toc227888392 \h </w:instrText>
            </w:r>
            <w:r>
              <w:rPr>
                <w:noProof/>
                <w:webHidden/>
              </w:rPr>
            </w:r>
            <w:r>
              <w:rPr>
                <w:noProof/>
                <w:webHidden/>
              </w:rPr>
              <w:fldChar w:fldCharType="separate"/>
            </w:r>
            <w:r>
              <w:rPr>
                <w:noProof/>
                <w:webHidden/>
              </w:rPr>
              <w:t>18</w:t>
            </w:r>
            <w:r>
              <w:rPr>
                <w:noProof/>
                <w:webHidden/>
              </w:rPr>
              <w:fldChar w:fldCharType="end"/>
            </w:r>
          </w:hyperlink>
        </w:p>
        <w:p w14:paraId="49DD7F03" w14:textId="7F52DFCC"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93" w:history="1">
            <w:r w:rsidRPr="00C523CD">
              <w:rPr>
                <w:rStyle w:val="Hyperlink"/>
                <w:noProof/>
              </w:rPr>
              <w:t>5.1 Project Overview and Assumptions</w:t>
            </w:r>
            <w:r>
              <w:rPr>
                <w:noProof/>
                <w:webHidden/>
              </w:rPr>
              <w:tab/>
            </w:r>
            <w:r>
              <w:rPr>
                <w:noProof/>
                <w:webHidden/>
              </w:rPr>
              <w:fldChar w:fldCharType="begin"/>
            </w:r>
            <w:r>
              <w:rPr>
                <w:noProof/>
                <w:webHidden/>
              </w:rPr>
              <w:instrText xml:space="preserve"> PAGEREF _Toc227888393 \h </w:instrText>
            </w:r>
            <w:r>
              <w:rPr>
                <w:noProof/>
                <w:webHidden/>
              </w:rPr>
            </w:r>
            <w:r>
              <w:rPr>
                <w:noProof/>
                <w:webHidden/>
              </w:rPr>
              <w:fldChar w:fldCharType="separate"/>
            </w:r>
            <w:r>
              <w:rPr>
                <w:noProof/>
                <w:webHidden/>
              </w:rPr>
              <w:t>18</w:t>
            </w:r>
            <w:r>
              <w:rPr>
                <w:noProof/>
                <w:webHidden/>
              </w:rPr>
              <w:fldChar w:fldCharType="end"/>
            </w:r>
          </w:hyperlink>
        </w:p>
        <w:p w14:paraId="515E7566" w14:textId="7A4704A1"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94" w:history="1">
            <w:r w:rsidRPr="00C523CD">
              <w:rPr>
                <w:rStyle w:val="Hyperlink"/>
                <w:noProof/>
              </w:rPr>
              <w:t>5.2 Payback Period</w:t>
            </w:r>
            <w:r>
              <w:rPr>
                <w:noProof/>
                <w:webHidden/>
              </w:rPr>
              <w:tab/>
            </w:r>
            <w:r>
              <w:rPr>
                <w:noProof/>
                <w:webHidden/>
              </w:rPr>
              <w:fldChar w:fldCharType="begin"/>
            </w:r>
            <w:r>
              <w:rPr>
                <w:noProof/>
                <w:webHidden/>
              </w:rPr>
              <w:instrText xml:space="preserve"> PAGEREF _Toc227888394 \h </w:instrText>
            </w:r>
            <w:r>
              <w:rPr>
                <w:noProof/>
                <w:webHidden/>
              </w:rPr>
            </w:r>
            <w:r>
              <w:rPr>
                <w:noProof/>
                <w:webHidden/>
              </w:rPr>
              <w:fldChar w:fldCharType="separate"/>
            </w:r>
            <w:r>
              <w:rPr>
                <w:noProof/>
                <w:webHidden/>
              </w:rPr>
              <w:t>18</w:t>
            </w:r>
            <w:r>
              <w:rPr>
                <w:noProof/>
                <w:webHidden/>
              </w:rPr>
              <w:fldChar w:fldCharType="end"/>
            </w:r>
          </w:hyperlink>
        </w:p>
        <w:p w14:paraId="2FCAA5B1" w14:textId="6622BBBC"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95" w:history="1">
            <w:r w:rsidRPr="00C523CD">
              <w:rPr>
                <w:rStyle w:val="Hyperlink"/>
                <w:noProof/>
              </w:rPr>
              <w:t>5.3 Accounting Rate of Return</w:t>
            </w:r>
            <w:r>
              <w:rPr>
                <w:noProof/>
                <w:webHidden/>
              </w:rPr>
              <w:tab/>
            </w:r>
            <w:r>
              <w:rPr>
                <w:noProof/>
                <w:webHidden/>
              </w:rPr>
              <w:fldChar w:fldCharType="begin"/>
            </w:r>
            <w:r>
              <w:rPr>
                <w:noProof/>
                <w:webHidden/>
              </w:rPr>
              <w:instrText xml:space="preserve"> PAGEREF _Toc227888395 \h </w:instrText>
            </w:r>
            <w:r>
              <w:rPr>
                <w:noProof/>
                <w:webHidden/>
              </w:rPr>
            </w:r>
            <w:r>
              <w:rPr>
                <w:noProof/>
                <w:webHidden/>
              </w:rPr>
              <w:fldChar w:fldCharType="separate"/>
            </w:r>
            <w:r>
              <w:rPr>
                <w:noProof/>
                <w:webHidden/>
              </w:rPr>
              <w:t>19</w:t>
            </w:r>
            <w:r>
              <w:rPr>
                <w:noProof/>
                <w:webHidden/>
              </w:rPr>
              <w:fldChar w:fldCharType="end"/>
            </w:r>
          </w:hyperlink>
        </w:p>
        <w:p w14:paraId="0C4356C3" w14:textId="6A5C2F72"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96" w:history="1">
            <w:r w:rsidRPr="00C523CD">
              <w:rPr>
                <w:rStyle w:val="Hyperlink"/>
                <w:noProof/>
              </w:rPr>
              <w:t>5.4 NPV, Profitability Index, and IRR</w:t>
            </w:r>
            <w:r>
              <w:rPr>
                <w:noProof/>
                <w:webHidden/>
              </w:rPr>
              <w:tab/>
            </w:r>
            <w:r>
              <w:rPr>
                <w:noProof/>
                <w:webHidden/>
              </w:rPr>
              <w:fldChar w:fldCharType="begin"/>
            </w:r>
            <w:r>
              <w:rPr>
                <w:noProof/>
                <w:webHidden/>
              </w:rPr>
              <w:instrText xml:space="preserve"> PAGEREF _Toc227888396 \h </w:instrText>
            </w:r>
            <w:r>
              <w:rPr>
                <w:noProof/>
                <w:webHidden/>
              </w:rPr>
            </w:r>
            <w:r>
              <w:rPr>
                <w:noProof/>
                <w:webHidden/>
              </w:rPr>
              <w:fldChar w:fldCharType="separate"/>
            </w:r>
            <w:r>
              <w:rPr>
                <w:noProof/>
                <w:webHidden/>
              </w:rPr>
              <w:t>20</w:t>
            </w:r>
            <w:r>
              <w:rPr>
                <w:noProof/>
                <w:webHidden/>
              </w:rPr>
              <w:fldChar w:fldCharType="end"/>
            </w:r>
          </w:hyperlink>
        </w:p>
        <w:p w14:paraId="0E643A0E" w14:textId="0AAF1054"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97" w:history="1">
            <w:r w:rsidRPr="00C523CD">
              <w:rPr>
                <w:rStyle w:val="Hyperlink"/>
                <w:noProof/>
              </w:rPr>
              <w:t>5.5 Project Recommendation</w:t>
            </w:r>
            <w:r>
              <w:rPr>
                <w:noProof/>
                <w:webHidden/>
              </w:rPr>
              <w:tab/>
            </w:r>
            <w:r>
              <w:rPr>
                <w:noProof/>
                <w:webHidden/>
              </w:rPr>
              <w:fldChar w:fldCharType="begin"/>
            </w:r>
            <w:r>
              <w:rPr>
                <w:noProof/>
                <w:webHidden/>
              </w:rPr>
              <w:instrText xml:space="preserve"> PAGEREF _Toc227888397 \h </w:instrText>
            </w:r>
            <w:r>
              <w:rPr>
                <w:noProof/>
                <w:webHidden/>
              </w:rPr>
            </w:r>
            <w:r>
              <w:rPr>
                <w:noProof/>
                <w:webHidden/>
              </w:rPr>
              <w:fldChar w:fldCharType="separate"/>
            </w:r>
            <w:r>
              <w:rPr>
                <w:noProof/>
                <w:webHidden/>
              </w:rPr>
              <w:t>21</w:t>
            </w:r>
            <w:r>
              <w:rPr>
                <w:noProof/>
                <w:webHidden/>
              </w:rPr>
              <w:fldChar w:fldCharType="end"/>
            </w:r>
          </w:hyperlink>
        </w:p>
        <w:p w14:paraId="3613DBF1" w14:textId="47F765E0"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398" w:history="1">
            <w:r w:rsidRPr="00C523CD">
              <w:rPr>
                <w:rStyle w:val="Hyperlink"/>
                <w:noProof/>
              </w:rPr>
              <w:t>5.6 Capital Rationing - Optimal Project Combination</w:t>
            </w:r>
            <w:r>
              <w:rPr>
                <w:noProof/>
                <w:webHidden/>
              </w:rPr>
              <w:tab/>
            </w:r>
            <w:r>
              <w:rPr>
                <w:noProof/>
                <w:webHidden/>
              </w:rPr>
              <w:fldChar w:fldCharType="begin"/>
            </w:r>
            <w:r>
              <w:rPr>
                <w:noProof/>
                <w:webHidden/>
              </w:rPr>
              <w:instrText xml:space="preserve"> PAGEREF _Toc227888398 \h </w:instrText>
            </w:r>
            <w:r>
              <w:rPr>
                <w:noProof/>
                <w:webHidden/>
              </w:rPr>
            </w:r>
            <w:r>
              <w:rPr>
                <w:noProof/>
                <w:webHidden/>
              </w:rPr>
              <w:fldChar w:fldCharType="separate"/>
            </w:r>
            <w:r>
              <w:rPr>
                <w:noProof/>
                <w:webHidden/>
              </w:rPr>
              <w:t>22</w:t>
            </w:r>
            <w:r>
              <w:rPr>
                <w:noProof/>
                <w:webHidden/>
              </w:rPr>
              <w:fldChar w:fldCharType="end"/>
            </w:r>
          </w:hyperlink>
        </w:p>
        <w:p w14:paraId="32E97083" w14:textId="5F8F4811" w:rsidR="0044417F" w:rsidRDefault="0044417F">
          <w:pPr>
            <w:pStyle w:val="TOC1"/>
            <w:tabs>
              <w:tab w:val="right" w:leader="dot" w:pos="9350"/>
            </w:tabs>
            <w:rPr>
              <w:rFonts w:asciiTheme="minorHAnsi" w:hAnsiTheme="minorHAnsi"/>
              <w:noProof/>
              <w:kern w:val="2"/>
              <w:szCs w:val="24"/>
              <w:lang w:val="en-IN" w:eastAsia="en-IN"/>
              <w14:ligatures w14:val="standardContextual"/>
            </w:rPr>
          </w:pPr>
          <w:hyperlink w:anchor="_Toc227888399" w:history="1">
            <w:r w:rsidRPr="00C523CD">
              <w:rPr>
                <w:rStyle w:val="Hyperlink"/>
                <w:noProof/>
              </w:rPr>
              <w:t>6. Conclusion</w:t>
            </w:r>
            <w:r>
              <w:rPr>
                <w:noProof/>
                <w:webHidden/>
              </w:rPr>
              <w:tab/>
            </w:r>
            <w:r>
              <w:rPr>
                <w:noProof/>
                <w:webHidden/>
              </w:rPr>
              <w:fldChar w:fldCharType="begin"/>
            </w:r>
            <w:r>
              <w:rPr>
                <w:noProof/>
                <w:webHidden/>
              </w:rPr>
              <w:instrText xml:space="preserve"> PAGEREF _Toc227888399 \h </w:instrText>
            </w:r>
            <w:r>
              <w:rPr>
                <w:noProof/>
                <w:webHidden/>
              </w:rPr>
            </w:r>
            <w:r>
              <w:rPr>
                <w:noProof/>
                <w:webHidden/>
              </w:rPr>
              <w:fldChar w:fldCharType="separate"/>
            </w:r>
            <w:r>
              <w:rPr>
                <w:noProof/>
                <w:webHidden/>
              </w:rPr>
              <w:t>23</w:t>
            </w:r>
            <w:r>
              <w:rPr>
                <w:noProof/>
                <w:webHidden/>
              </w:rPr>
              <w:fldChar w:fldCharType="end"/>
            </w:r>
          </w:hyperlink>
        </w:p>
        <w:p w14:paraId="408E21C3" w14:textId="42316CF3" w:rsidR="0044417F" w:rsidRDefault="0044417F">
          <w:pPr>
            <w:pStyle w:val="TOC1"/>
            <w:tabs>
              <w:tab w:val="right" w:leader="dot" w:pos="9350"/>
            </w:tabs>
            <w:rPr>
              <w:rFonts w:asciiTheme="minorHAnsi" w:hAnsiTheme="minorHAnsi"/>
              <w:noProof/>
              <w:kern w:val="2"/>
              <w:szCs w:val="24"/>
              <w:lang w:val="en-IN" w:eastAsia="en-IN"/>
              <w14:ligatures w14:val="standardContextual"/>
            </w:rPr>
          </w:pPr>
          <w:hyperlink w:anchor="_Toc227888400" w:history="1">
            <w:r w:rsidRPr="00C523CD">
              <w:rPr>
                <w:rStyle w:val="Hyperlink"/>
                <w:noProof/>
              </w:rPr>
              <w:t>7. References</w:t>
            </w:r>
            <w:r>
              <w:rPr>
                <w:noProof/>
                <w:webHidden/>
              </w:rPr>
              <w:tab/>
            </w:r>
            <w:r>
              <w:rPr>
                <w:noProof/>
                <w:webHidden/>
              </w:rPr>
              <w:fldChar w:fldCharType="begin"/>
            </w:r>
            <w:r>
              <w:rPr>
                <w:noProof/>
                <w:webHidden/>
              </w:rPr>
              <w:instrText xml:space="preserve"> PAGEREF _Toc227888400 \h </w:instrText>
            </w:r>
            <w:r>
              <w:rPr>
                <w:noProof/>
                <w:webHidden/>
              </w:rPr>
            </w:r>
            <w:r>
              <w:rPr>
                <w:noProof/>
                <w:webHidden/>
              </w:rPr>
              <w:fldChar w:fldCharType="separate"/>
            </w:r>
            <w:r>
              <w:rPr>
                <w:noProof/>
                <w:webHidden/>
              </w:rPr>
              <w:t>24</w:t>
            </w:r>
            <w:r>
              <w:rPr>
                <w:noProof/>
                <w:webHidden/>
              </w:rPr>
              <w:fldChar w:fldCharType="end"/>
            </w:r>
          </w:hyperlink>
        </w:p>
        <w:p w14:paraId="27B21D51" w14:textId="56EC014F" w:rsidR="0044417F" w:rsidRDefault="0044417F">
          <w:pPr>
            <w:pStyle w:val="TOC1"/>
            <w:tabs>
              <w:tab w:val="right" w:leader="dot" w:pos="9350"/>
            </w:tabs>
            <w:rPr>
              <w:rFonts w:asciiTheme="minorHAnsi" w:hAnsiTheme="minorHAnsi"/>
              <w:noProof/>
              <w:kern w:val="2"/>
              <w:szCs w:val="24"/>
              <w:lang w:val="en-IN" w:eastAsia="en-IN"/>
              <w14:ligatures w14:val="standardContextual"/>
            </w:rPr>
          </w:pPr>
          <w:hyperlink w:anchor="_Toc227888401" w:history="1">
            <w:r w:rsidRPr="00C523CD">
              <w:rPr>
                <w:rStyle w:val="Hyperlink"/>
                <w:noProof/>
              </w:rPr>
              <w:t>8. Appendices</w:t>
            </w:r>
            <w:r>
              <w:rPr>
                <w:noProof/>
                <w:webHidden/>
              </w:rPr>
              <w:tab/>
            </w:r>
            <w:r>
              <w:rPr>
                <w:noProof/>
                <w:webHidden/>
              </w:rPr>
              <w:fldChar w:fldCharType="begin"/>
            </w:r>
            <w:r>
              <w:rPr>
                <w:noProof/>
                <w:webHidden/>
              </w:rPr>
              <w:instrText xml:space="preserve"> PAGEREF _Toc227888401 \h </w:instrText>
            </w:r>
            <w:r>
              <w:rPr>
                <w:noProof/>
                <w:webHidden/>
              </w:rPr>
            </w:r>
            <w:r>
              <w:rPr>
                <w:noProof/>
                <w:webHidden/>
              </w:rPr>
              <w:fldChar w:fldCharType="separate"/>
            </w:r>
            <w:r>
              <w:rPr>
                <w:noProof/>
                <w:webHidden/>
              </w:rPr>
              <w:t>26</w:t>
            </w:r>
            <w:r>
              <w:rPr>
                <w:noProof/>
                <w:webHidden/>
              </w:rPr>
              <w:fldChar w:fldCharType="end"/>
            </w:r>
          </w:hyperlink>
        </w:p>
        <w:p w14:paraId="771B8058" w14:textId="5A0F241C"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402" w:history="1">
            <w:r w:rsidRPr="00C523CD">
              <w:rPr>
                <w:rStyle w:val="Hyperlink"/>
                <w:noProof/>
              </w:rPr>
              <w:t>Appendix A: Full Ratio Summary Table (FY2020–FY2024)</w:t>
            </w:r>
            <w:r>
              <w:rPr>
                <w:noProof/>
                <w:webHidden/>
              </w:rPr>
              <w:tab/>
            </w:r>
            <w:r>
              <w:rPr>
                <w:noProof/>
                <w:webHidden/>
              </w:rPr>
              <w:fldChar w:fldCharType="begin"/>
            </w:r>
            <w:r>
              <w:rPr>
                <w:noProof/>
                <w:webHidden/>
              </w:rPr>
              <w:instrText xml:space="preserve"> PAGEREF _Toc227888402 \h </w:instrText>
            </w:r>
            <w:r>
              <w:rPr>
                <w:noProof/>
                <w:webHidden/>
              </w:rPr>
            </w:r>
            <w:r>
              <w:rPr>
                <w:noProof/>
                <w:webHidden/>
              </w:rPr>
              <w:fldChar w:fldCharType="separate"/>
            </w:r>
            <w:r>
              <w:rPr>
                <w:noProof/>
                <w:webHidden/>
              </w:rPr>
              <w:t>26</w:t>
            </w:r>
            <w:r>
              <w:rPr>
                <w:noProof/>
                <w:webHidden/>
              </w:rPr>
              <w:fldChar w:fldCharType="end"/>
            </w:r>
          </w:hyperlink>
        </w:p>
        <w:p w14:paraId="75179A97" w14:textId="3C186FBD" w:rsidR="0044417F" w:rsidRDefault="0044417F">
          <w:pPr>
            <w:pStyle w:val="TOC2"/>
            <w:tabs>
              <w:tab w:val="right" w:leader="dot" w:pos="9350"/>
            </w:tabs>
            <w:rPr>
              <w:rFonts w:asciiTheme="minorHAnsi" w:hAnsiTheme="minorHAnsi"/>
              <w:noProof/>
              <w:kern w:val="2"/>
              <w:szCs w:val="24"/>
              <w:lang w:val="en-IN" w:eastAsia="en-IN"/>
              <w14:ligatures w14:val="standardContextual"/>
            </w:rPr>
          </w:pPr>
          <w:hyperlink w:anchor="_Toc227888403" w:history="1">
            <w:r w:rsidRPr="00C523CD">
              <w:rPr>
                <w:rStyle w:val="Hyperlink"/>
                <w:noProof/>
              </w:rPr>
              <w:t>Appendix B: Generative AI Usage Declaration</w:t>
            </w:r>
            <w:r>
              <w:rPr>
                <w:noProof/>
                <w:webHidden/>
              </w:rPr>
              <w:tab/>
            </w:r>
            <w:r>
              <w:rPr>
                <w:noProof/>
                <w:webHidden/>
              </w:rPr>
              <w:fldChar w:fldCharType="begin"/>
            </w:r>
            <w:r>
              <w:rPr>
                <w:noProof/>
                <w:webHidden/>
              </w:rPr>
              <w:instrText xml:space="preserve"> PAGEREF _Toc227888403 \h </w:instrText>
            </w:r>
            <w:r>
              <w:rPr>
                <w:noProof/>
                <w:webHidden/>
              </w:rPr>
            </w:r>
            <w:r>
              <w:rPr>
                <w:noProof/>
                <w:webHidden/>
              </w:rPr>
              <w:fldChar w:fldCharType="separate"/>
            </w:r>
            <w:r>
              <w:rPr>
                <w:noProof/>
                <w:webHidden/>
              </w:rPr>
              <w:t>26</w:t>
            </w:r>
            <w:r>
              <w:rPr>
                <w:noProof/>
                <w:webHidden/>
              </w:rPr>
              <w:fldChar w:fldCharType="end"/>
            </w:r>
          </w:hyperlink>
        </w:p>
        <w:p w14:paraId="06F5D81D" w14:textId="25927EFB" w:rsidR="00F345AA" w:rsidRDefault="00F345AA">
          <w:r>
            <w:rPr>
              <w:b/>
              <w:bCs/>
              <w:noProof/>
            </w:rPr>
            <w:fldChar w:fldCharType="end"/>
          </w:r>
        </w:p>
      </w:sdtContent>
    </w:sdt>
    <w:p w14:paraId="2070819E" w14:textId="77777777" w:rsidR="002F23F6" w:rsidRDefault="002F23F6"/>
    <w:p w14:paraId="17293CE7" w14:textId="77777777" w:rsidR="00F345AA" w:rsidRDefault="00F345AA"/>
    <w:p w14:paraId="24122DBB" w14:textId="77777777" w:rsidR="00F345AA" w:rsidRDefault="00F345AA"/>
    <w:p w14:paraId="6871212B" w14:textId="77777777" w:rsidR="002F23F6" w:rsidRDefault="00000000">
      <w:pPr>
        <w:spacing w:before="240" w:after="120"/>
      </w:pPr>
      <w:r>
        <w:rPr>
          <w:b/>
          <w:color w:val="1F497D"/>
          <w:sz w:val="26"/>
        </w:rPr>
        <w:t>LIST OF FIGURES</w:t>
      </w:r>
    </w:p>
    <w:p w14:paraId="511A81C0" w14:textId="2F9EEDCB" w:rsidR="001F1822" w:rsidRDefault="009E1D76">
      <w:pPr>
        <w:pStyle w:val="TableofFigures"/>
        <w:tabs>
          <w:tab w:val="right" w:leader="dot" w:pos="9350"/>
        </w:tabs>
        <w:rPr>
          <w:rFonts w:asciiTheme="minorHAnsi" w:hAnsiTheme="minorHAnsi"/>
          <w:noProof/>
          <w:kern w:val="2"/>
          <w:szCs w:val="24"/>
          <w:lang w:val="en-IN" w:eastAsia="en-IN"/>
          <w14:ligatures w14:val="standardContextual"/>
        </w:rPr>
      </w:pPr>
      <w:r>
        <w:fldChar w:fldCharType="begin"/>
      </w:r>
      <w:r>
        <w:instrText xml:space="preserve"> TOC \h \z \c "Figure" </w:instrText>
      </w:r>
      <w:r>
        <w:fldChar w:fldCharType="separate"/>
      </w:r>
      <w:hyperlink w:anchor="_Toc227887990" w:history="1">
        <w:r w:rsidR="001F1822" w:rsidRPr="0029651E">
          <w:rPr>
            <w:rStyle w:val="Hyperlink"/>
            <w:noProof/>
          </w:rPr>
          <w:t>Figure 1 Revenue and Operating Profit Trend, FY2020–FY2024</w:t>
        </w:r>
        <w:r w:rsidR="001F1822">
          <w:rPr>
            <w:noProof/>
            <w:webHidden/>
          </w:rPr>
          <w:tab/>
        </w:r>
        <w:r w:rsidR="001F1822">
          <w:rPr>
            <w:noProof/>
            <w:webHidden/>
          </w:rPr>
          <w:fldChar w:fldCharType="begin"/>
        </w:r>
        <w:r w:rsidR="001F1822">
          <w:rPr>
            <w:noProof/>
            <w:webHidden/>
          </w:rPr>
          <w:instrText xml:space="preserve"> PAGEREF _Toc227887990 \h </w:instrText>
        </w:r>
        <w:r w:rsidR="001F1822">
          <w:rPr>
            <w:noProof/>
            <w:webHidden/>
          </w:rPr>
        </w:r>
        <w:r w:rsidR="001F1822">
          <w:rPr>
            <w:noProof/>
            <w:webHidden/>
          </w:rPr>
          <w:fldChar w:fldCharType="separate"/>
        </w:r>
        <w:r w:rsidR="001F1822">
          <w:rPr>
            <w:noProof/>
            <w:webHidden/>
          </w:rPr>
          <w:t>5</w:t>
        </w:r>
        <w:r w:rsidR="001F1822">
          <w:rPr>
            <w:noProof/>
            <w:webHidden/>
          </w:rPr>
          <w:fldChar w:fldCharType="end"/>
        </w:r>
      </w:hyperlink>
    </w:p>
    <w:p w14:paraId="00F08CA1" w14:textId="729DE95E"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7991" w:history="1">
        <w:r w:rsidRPr="0029651E">
          <w:rPr>
            <w:rStyle w:val="Hyperlink"/>
            <w:noProof/>
          </w:rPr>
          <w:t>Figure 2 Profitability Margins, FY2020–FY2024</w:t>
        </w:r>
        <w:r>
          <w:rPr>
            <w:noProof/>
            <w:webHidden/>
          </w:rPr>
          <w:tab/>
        </w:r>
        <w:r>
          <w:rPr>
            <w:noProof/>
            <w:webHidden/>
          </w:rPr>
          <w:fldChar w:fldCharType="begin"/>
        </w:r>
        <w:r>
          <w:rPr>
            <w:noProof/>
            <w:webHidden/>
          </w:rPr>
          <w:instrText xml:space="preserve"> PAGEREF _Toc227887991 \h </w:instrText>
        </w:r>
        <w:r>
          <w:rPr>
            <w:noProof/>
            <w:webHidden/>
          </w:rPr>
        </w:r>
        <w:r>
          <w:rPr>
            <w:noProof/>
            <w:webHidden/>
          </w:rPr>
          <w:fldChar w:fldCharType="separate"/>
        </w:r>
        <w:r>
          <w:rPr>
            <w:noProof/>
            <w:webHidden/>
          </w:rPr>
          <w:t>6</w:t>
        </w:r>
        <w:r>
          <w:rPr>
            <w:noProof/>
            <w:webHidden/>
          </w:rPr>
          <w:fldChar w:fldCharType="end"/>
        </w:r>
      </w:hyperlink>
    </w:p>
    <w:p w14:paraId="274FB9DB" w14:textId="616A5222"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7992" w:history="1">
        <w:r w:rsidRPr="0029651E">
          <w:rPr>
            <w:rStyle w:val="Hyperlink"/>
            <w:noProof/>
          </w:rPr>
          <w:t>Figure 3 Peer Comparison - Hyundai vs KIA vs Honda (FY2024)</w:t>
        </w:r>
        <w:r>
          <w:rPr>
            <w:noProof/>
            <w:webHidden/>
          </w:rPr>
          <w:tab/>
        </w:r>
        <w:r>
          <w:rPr>
            <w:noProof/>
            <w:webHidden/>
          </w:rPr>
          <w:fldChar w:fldCharType="begin"/>
        </w:r>
        <w:r>
          <w:rPr>
            <w:noProof/>
            <w:webHidden/>
          </w:rPr>
          <w:instrText xml:space="preserve"> PAGEREF _Toc227887992 \h </w:instrText>
        </w:r>
        <w:r>
          <w:rPr>
            <w:noProof/>
            <w:webHidden/>
          </w:rPr>
        </w:r>
        <w:r>
          <w:rPr>
            <w:noProof/>
            <w:webHidden/>
          </w:rPr>
          <w:fldChar w:fldCharType="separate"/>
        </w:r>
        <w:r>
          <w:rPr>
            <w:noProof/>
            <w:webHidden/>
          </w:rPr>
          <w:t>7</w:t>
        </w:r>
        <w:r>
          <w:rPr>
            <w:noProof/>
            <w:webHidden/>
          </w:rPr>
          <w:fldChar w:fldCharType="end"/>
        </w:r>
      </w:hyperlink>
    </w:p>
    <w:p w14:paraId="3899D755" w14:textId="45977DCE"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7993" w:history="1">
        <w:r w:rsidRPr="0029651E">
          <w:rPr>
            <w:rStyle w:val="Hyperlink"/>
            <w:noProof/>
          </w:rPr>
          <w:t>Figure 4 Cash Flow Ratios, FY2020–FY2024</w:t>
        </w:r>
        <w:r>
          <w:rPr>
            <w:noProof/>
            <w:webHidden/>
          </w:rPr>
          <w:tab/>
        </w:r>
        <w:r>
          <w:rPr>
            <w:noProof/>
            <w:webHidden/>
          </w:rPr>
          <w:fldChar w:fldCharType="begin"/>
        </w:r>
        <w:r>
          <w:rPr>
            <w:noProof/>
            <w:webHidden/>
          </w:rPr>
          <w:instrText xml:space="preserve"> PAGEREF _Toc227887993 \h </w:instrText>
        </w:r>
        <w:r>
          <w:rPr>
            <w:noProof/>
            <w:webHidden/>
          </w:rPr>
        </w:r>
        <w:r>
          <w:rPr>
            <w:noProof/>
            <w:webHidden/>
          </w:rPr>
          <w:fldChar w:fldCharType="separate"/>
        </w:r>
        <w:r>
          <w:rPr>
            <w:noProof/>
            <w:webHidden/>
          </w:rPr>
          <w:t>10</w:t>
        </w:r>
        <w:r>
          <w:rPr>
            <w:noProof/>
            <w:webHidden/>
          </w:rPr>
          <w:fldChar w:fldCharType="end"/>
        </w:r>
      </w:hyperlink>
    </w:p>
    <w:p w14:paraId="00E6B5E1" w14:textId="377885AA"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7994" w:history="1">
        <w:r w:rsidRPr="0029651E">
          <w:rPr>
            <w:rStyle w:val="Hyperlink"/>
            <w:noProof/>
          </w:rPr>
          <w:t>Figure 5 Investment Ratios - EPS, DPS, and P/E Trend, FY2020–FY2024</w:t>
        </w:r>
        <w:r>
          <w:rPr>
            <w:noProof/>
            <w:webHidden/>
          </w:rPr>
          <w:tab/>
        </w:r>
        <w:r>
          <w:rPr>
            <w:noProof/>
            <w:webHidden/>
          </w:rPr>
          <w:fldChar w:fldCharType="begin"/>
        </w:r>
        <w:r>
          <w:rPr>
            <w:noProof/>
            <w:webHidden/>
          </w:rPr>
          <w:instrText xml:space="preserve"> PAGEREF _Toc227887994 \h </w:instrText>
        </w:r>
        <w:r>
          <w:rPr>
            <w:noProof/>
            <w:webHidden/>
          </w:rPr>
        </w:r>
        <w:r>
          <w:rPr>
            <w:noProof/>
            <w:webHidden/>
          </w:rPr>
          <w:fldChar w:fldCharType="separate"/>
        </w:r>
        <w:r>
          <w:rPr>
            <w:noProof/>
            <w:webHidden/>
          </w:rPr>
          <w:t>11</w:t>
        </w:r>
        <w:r>
          <w:rPr>
            <w:noProof/>
            <w:webHidden/>
          </w:rPr>
          <w:fldChar w:fldCharType="end"/>
        </w:r>
      </w:hyperlink>
    </w:p>
    <w:p w14:paraId="2DDC3A60" w14:textId="6A3EFE3F"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7995" w:history="1">
        <w:r w:rsidRPr="0029651E">
          <w:rPr>
            <w:rStyle w:val="Hyperlink"/>
            <w:noProof/>
          </w:rPr>
          <w:t>Figure 6 Cash Operating Cycle Components, FY2020–FY2024</w:t>
        </w:r>
        <w:r>
          <w:rPr>
            <w:noProof/>
            <w:webHidden/>
          </w:rPr>
          <w:tab/>
        </w:r>
        <w:r>
          <w:rPr>
            <w:noProof/>
            <w:webHidden/>
          </w:rPr>
          <w:fldChar w:fldCharType="begin"/>
        </w:r>
        <w:r>
          <w:rPr>
            <w:noProof/>
            <w:webHidden/>
          </w:rPr>
          <w:instrText xml:space="preserve"> PAGEREF _Toc227887995 \h </w:instrText>
        </w:r>
        <w:r>
          <w:rPr>
            <w:noProof/>
            <w:webHidden/>
          </w:rPr>
        </w:r>
        <w:r>
          <w:rPr>
            <w:noProof/>
            <w:webHidden/>
          </w:rPr>
          <w:fldChar w:fldCharType="separate"/>
        </w:r>
        <w:r>
          <w:rPr>
            <w:noProof/>
            <w:webHidden/>
          </w:rPr>
          <w:t>12</w:t>
        </w:r>
        <w:r>
          <w:rPr>
            <w:noProof/>
            <w:webHidden/>
          </w:rPr>
          <w:fldChar w:fldCharType="end"/>
        </w:r>
      </w:hyperlink>
    </w:p>
    <w:p w14:paraId="74B85335" w14:textId="30E8595B"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7996" w:history="1">
        <w:r w:rsidRPr="0029651E">
          <w:rPr>
            <w:rStyle w:val="Hyperlink"/>
            <w:noProof/>
          </w:rPr>
          <w:t>Figure 7 Cumulative Cash Flows - Projects A, B, C (Year 0–5)</w:t>
        </w:r>
        <w:r>
          <w:rPr>
            <w:noProof/>
            <w:webHidden/>
          </w:rPr>
          <w:tab/>
        </w:r>
        <w:r>
          <w:rPr>
            <w:noProof/>
            <w:webHidden/>
          </w:rPr>
          <w:fldChar w:fldCharType="begin"/>
        </w:r>
        <w:r>
          <w:rPr>
            <w:noProof/>
            <w:webHidden/>
          </w:rPr>
          <w:instrText xml:space="preserve"> PAGEREF _Toc227887996 \h </w:instrText>
        </w:r>
        <w:r>
          <w:rPr>
            <w:noProof/>
            <w:webHidden/>
          </w:rPr>
        </w:r>
        <w:r>
          <w:rPr>
            <w:noProof/>
            <w:webHidden/>
          </w:rPr>
          <w:fldChar w:fldCharType="separate"/>
        </w:r>
        <w:r>
          <w:rPr>
            <w:noProof/>
            <w:webHidden/>
          </w:rPr>
          <w:t>19</w:t>
        </w:r>
        <w:r>
          <w:rPr>
            <w:noProof/>
            <w:webHidden/>
          </w:rPr>
          <w:fldChar w:fldCharType="end"/>
        </w:r>
      </w:hyperlink>
    </w:p>
    <w:p w14:paraId="5E5D17E5" w14:textId="361A7B9A"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7997" w:history="1">
        <w:r w:rsidRPr="0029651E">
          <w:rPr>
            <w:rStyle w:val="Hyperlink"/>
            <w:noProof/>
          </w:rPr>
          <w:t>Figure 8 Accounting Rate of Return - Projects A, B, C</w:t>
        </w:r>
        <w:r>
          <w:rPr>
            <w:noProof/>
            <w:webHidden/>
          </w:rPr>
          <w:tab/>
        </w:r>
        <w:r>
          <w:rPr>
            <w:noProof/>
            <w:webHidden/>
          </w:rPr>
          <w:fldChar w:fldCharType="begin"/>
        </w:r>
        <w:r>
          <w:rPr>
            <w:noProof/>
            <w:webHidden/>
          </w:rPr>
          <w:instrText xml:space="preserve"> PAGEREF _Toc227887997 \h </w:instrText>
        </w:r>
        <w:r>
          <w:rPr>
            <w:noProof/>
            <w:webHidden/>
          </w:rPr>
        </w:r>
        <w:r>
          <w:rPr>
            <w:noProof/>
            <w:webHidden/>
          </w:rPr>
          <w:fldChar w:fldCharType="separate"/>
        </w:r>
        <w:r>
          <w:rPr>
            <w:noProof/>
            <w:webHidden/>
          </w:rPr>
          <w:t>20</w:t>
        </w:r>
        <w:r>
          <w:rPr>
            <w:noProof/>
            <w:webHidden/>
          </w:rPr>
          <w:fldChar w:fldCharType="end"/>
        </w:r>
      </w:hyperlink>
    </w:p>
    <w:p w14:paraId="1956B067" w14:textId="346A832F" w:rsidR="002F23F6" w:rsidRDefault="009E1D76">
      <w:r>
        <w:fldChar w:fldCharType="end"/>
      </w:r>
    </w:p>
    <w:p w14:paraId="2DBA1179" w14:textId="77777777" w:rsidR="002F23F6" w:rsidRDefault="00000000">
      <w:pPr>
        <w:spacing w:before="240" w:after="120"/>
      </w:pPr>
      <w:r>
        <w:rPr>
          <w:b/>
          <w:color w:val="1F497D"/>
          <w:sz w:val="26"/>
        </w:rPr>
        <w:t>LIST OF TABLES</w:t>
      </w:r>
    </w:p>
    <w:p w14:paraId="56BC9D08" w14:textId="1FF60DD0" w:rsidR="001F1822" w:rsidRDefault="009E1D76">
      <w:pPr>
        <w:pStyle w:val="TableofFigures"/>
        <w:tabs>
          <w:tab w:val="right" w:leader="dot" w:pos="9350"/>
        </w:tabs>
        <w:rPr>
          <w:rFonts w:asciiTheme="minorHAnsi" w:hAnsiTheme="minorHAnsi"/>
          <w:noProof/>
          <w:kern w:val="2"/>
          <w:szCs w:val="24"/>
          <w:lang w:val="en-IN" w:eastAsia="en-IN"/>
          <w14:ligatures w14:val="standardContextual"/>
        </w:rPr>
      </w:pPr>
      <w:r>
        <w:fldChar w:fldCharType="begin"/>
      </w:r>
      <w:r>
        <w:instrText xml:space="preserve"> TOC \h \z \c "Table" </w:instrText>
      </w:r>
      <w:r>
        <w:fldChar w:fldCharType="separate"/>
      </w:r>
      <w:hyperlink w:anchor="_Toc227887998" w:history="1">
        <w:r w:rsidR="001F1822" w:rsidRPr="00B45C1B">
          <w:rPr>
            <w:rStyle w:val="Hyperlink"/>
            <w:noProof/>
          </w:rPr>
          <w:t>Table 1 Hyundai Motor Company - Profitability Ratios, FY2020–FY2024</w:t>
        </w:r>
        <w:r w:rsidR="001F1822">
          <w:rPr>
            <w:noProof/>
            <w:webHidden/>
          </w:rPr>
          <w:tab/>
        </w:r>
        <w:r w:rsidR="001F1822">
          <w:rPr>
            <w:noProof/>
            <w:webHidden/>
          </w:rPr>
          <w:fldChar w:fldCharType="begin"/>
        </w:r>
        <w:r w:rsidR="001F1822">
          <w:rPr>
            <w:noProof/>
            <w:webHidden/>
          </w:rPr>
          <w:instrText xml:space="preserve"> PAGEREF _Toc227887998 \h </w:instrText>
        </w:r>
        <w:r w:rsidR="001F1822">
          <w:rPr>
            <w:noProof/>
            <w:webHidden/>
          </w:rPr>
        </w:r>
        <w:r w:rsidR="001F1822">
          <w:rPr>
            <w:noProof/>
            <w:webHidden/>
          </w:rPr>
          <w:fldChar w:fldCharType="separate"/>
        </w:r>
        <w:r w:rsidR="001F1822">
          <w:rPr>
            <w:noProof/>
            <w:webHidden/>
          </w:rPr>
          <w:t>5</w:t>
        </w:r>
        <w:r w:rsidR="001F1822">
          <w:rPr>
            <w:noProof/>
            <w:webHidden/>
          </w:rPr>
          <w:fldChar w:fldCharType="end"/>
        </w:r>
      </w:hyperlink>
    </w:p>
    <w:p w14:paraId="1CE11034" w14:textId="702C45F1"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7999" w:history="1">
        <w:r w:rsidRPr="00B45C1B">
          <w:rPr>
            <w:rStyle w:val="Hyperlink"/>
            <w:noProof/>
          </w:rPr>
          <w:t>Table 2 Peer Comparison - Hyundai, KIA, and Honda (FY2024)</w:t>
        </w:r>
        <w:r>
          <w:rPr>
            <w:noProof/>
            <w:webHidden/>
          </w:rPr>
          <w:tab/>
        </w:r>
        <w:r>
          <w:rPr>
            <w:noProof/>
            <w:webHidden/>
          </w:rPr>
          <w:fldChar w:fldCharType="begin"/>
        </w:r>
        <w:r>
          <w:rPr>
            <w:noProof/>
            <w:webHidden/>
          </w:rPr>
          <w:instrText xml:space="preserve"> PAGEREF _Toc227887999 \h </w:instrText>
        </w:r>
        <w:r>
          <w:rPr>
            <w:noProof/>
            <w:webHidden/>
          </w:rPr>
        </w:r>
        <w:r>
          <w:rPr>
            <w:noProof/>
            <w:webHidden/>
          </w:rPr>
          <w:fldChar w:fldCharType="separate"/>
        </w:r>
        <w:r>
          <w:rPr>
            <w:noProof/>
            <w:webHidden/>
          </w:rPr>
          <w:t>7</w:t>
        </w:r>
        <w:r>
          <w:rPr>
            <w:noProof/>
            <w:webHidden/>
          </w:rPr>
          <w:fldChar w:fldCharType="end"/>
        </w:r>
      </w:hyperlink>
    </w:p>
    <w:p w14:paraId="01375BA2" w14:textId="7E622924"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8000" w:history="1">
        <w:r w:rsidRPr="00B45C1B">
          <w:rPr>
            <w:rStyle w:val="Hyperlink"/>
            <w:noProof/>
          </w:rPr>
          <w:t>Table 3 Hyundai Motor Company - Liquidity and Gearing Ratios, FY2020–FY2024</w:t>
        </w:r>
        <w:r>
          <w:rPr>
            <w:noProof/>
            <w:webHidden/>
          </w:rPr>
          <w:tab/>
        </w:r>
        <w:r>
          <w:rPr>
            <w:noProof/>
            <w:webHidden/>
          </w:rPr>
          <w:fldChar w:fldCharType="begin"/>
        </w:r>
        <w:r>
          <w:rPr>
            <w:noProof/>
            <w:webHidden/>
          </w:rPr>
          <w:instrText xml:space="preserve"> PAGEREF _Toc227888000 \h </w:instrText>
        </w:r>
        <w:r>
          <w:rPr>
            <w:noProof/>
            <w:webHidden/>
          </w:rPr>
        </w:r>
        <w:r>
          <w:rPr>
            <w:noProof/>
            <w:webHidden/>
          </w:rPr>
          <w:fldChar w:fldCharType="separate"/>
        </w:r>
        <w:r>
          <w:rPr>
            <w:noProof/>
            <w:webHidden/>
          </w:rPr>
          <w:t>8</w:t>
        </w:r>
        <w:r>
          <w:rPr>
            <w:noProof/>
            <w:webHidden/>
          </w:rPr>
          <w:fldChar w:fldCharType="end"/>
        </w:r>
      </w:hyperlink>
    </w:p>
    <w:p w14:paraId="43C306EE" w14:textId="72D423AA"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8001" w:history="1">
        <w:r w:rsidRPr="00B45C1B">
          <w:rPr>
            <w:rStyle w:val="Hyperlink"/>
            <w:noProof/>
          </w:rPr>
          <w:t>Table 4 Hyundai Motor Company - Efficiency Ratios, FY2020–FY2024</w:t>
        </w:r>
        <w:r>
          <w:rPr>
            <w:noProof/>
            <w:webHidden/>
          </w:rPr>
          <w:tab/>
        </w:r>
        <w:r>
          <w:rPr>
            <w:noProof/>
            <w:webHidden/>
          </w:rPr>
          <w:fldChar w:fldCharType="begin"/>
        </w:r>
        <w:r>
          <w:rPr>
            <w:noProof/>
            <w:webHidden/>
          </w:rPr>
          <w:instrText xml:space="preserve"> PAGEREF _Toc227888001 \h </w:instrText>
        </w:r>
        <w:r>
          <w:rPr>
            <w:noProof/>
            <w:webHidden/>
          </w:rPr>
        </w:r>
        <w:r>
          <w:rPr>
            <w:noProof/>
            <w:webHidden/>
          </w:rPr>
          <w:fldChar w:fldCharType="separate"/>
        </w:r>
        <w:r>
          <w:rPr>
            <w:noProof/>
            <w:webHidden/>
          </w:rPr>
          <w:t>8</w:t>
        </w:r>
        <w:r>
          <w:rPr>
            <w:noProof/>
            <w:webHidden/>
          </w:rPr>
          <w:fldChar w:fldCharType="end"/>
        </w:r>
      </w:hyperlink>
    </w:p>
    <w:p w14:paraId="2BEDB154" w14:textId="0EDEDDD8"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8002" w:history="1">
        <w:r w:rsidRPr="00B45C1B">
          <w:rPr>
            <w:rStyle w:val="Hyperlink"/>
            <w:noProof/>
          </w:rPr>
          <w:t>Table 5 Hyundai Motor Company - Cash Flow Ratios, FY2020–FY2024</w:t>
        </w:r>
        <w:r>
          <w:rPr>
            <w:noProof/>
            <w:webHidden/>
          </w:rPr>
          <w:tab/>
        </w:r>
        <w:r>
          <w:rPr>
            <w:noProof/>
            <w:webHidden/>
          </w:rPr>
          <w:fldChar w:fldCharType="begin"/>
        </w:r>
        <w:r>
          <w:rPr>
            <w:noProof/>
            <w:webHidden/>
          </w:rPr>
          <w:instrText xml:space="preserve"> PAGEREF _Toc227888002 \h </w:instrText>
        </w:r>
        <w:r>
          <w:rPr>
            <w:noProof/>
            <w:webHidden/>
          </w:rPr>
        </w:r>
        <w:r>
          <w:rPr>
            <w:noProof/>
            <w:webHidden/>
          </w:rPr>
          <w:fldChar w:fldCharType="separate"/>
        </w:r>
        <w:r>
          <w:rPr>
            <w:noProof/>
            <w:webHidden/>
          </w:rPr>
          <w:t>10</w:t>
        </w:r>
        <w:r>
          <w:rPr>
            <w:noProof/>
            <w:webHidden/>
          </w:rPr>
          <w:fldChar w:fldCharType="end"/>
        </w:r>
      </w:hyperlink>
    </w:p>
    <w:p w14:paraId="58B8B2CA" w14:textId="4323F421"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8003" w:history="1">
        <w:r w:rsidRPr="00B45C1B">
          <w:rPr>
            <w:rStyle w:val="Hyperlink"/>
            <w:noProof/>
          </w:rPr>
          <w:t>Table 6 Hyundai Motor Company - Investment Ratios, FY2020–FY2024</w:t>
        </w:r>
        <w:r>
          <w:rPr>
            <w:noProof/>
            <w:webHidden/>
          </w:rPr>
          <w:tab/>
        </w:r>
        <w:r>
          <w:rPr>
            <w:noProof/>
            <w:webHidden/>
          </w:rPr>
          <w:fldChar w:fldCharType="begin"/>
        </w:r>
        <w:r>
          <w:rPr>
            <w:noProof/>
            <w:webHidden/>
          </w:rPr>
          <w:instrText xml:space="preserve"> PAGEREF _Toc227888003 \h </w:instrText>
        </w:r>
        <w:r>
          <w:rPr>
            <w:noProof/>
            <w:webHidden/>
          </w:rPr>
        </w:r>
        <w:r>
          <w:rPr>
            <w:noProof/>
            <w:webHidden/>
          </w:rPr>
          <w:fldChar w:fldCharType="separate"/>
        </w:r>
        <w:r>
          <w:rPr>
            <w:noProof/>
            <w:webHidden/>
          </w:rPr>
          <w:t>11</w:t>
        </w:r>
        <w:r>
          <w:rPr>
            <w:noProof/>
            <w:webHidden/>
          </w:rPr>
          <w:fldChar w:fldCharType="end"/>
        </w:r>
      </w:hyperlink>
    </w:p>
    <w:p w14:paraId="40AFCFF7" w14:textId="657CAEA8"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8004" w:history="1">
        <w:r w:rsidRPr="00B45C1B">
          <w:rPr>
            <w:rStyle w:val="Hyperlink"/>
            <w:noProof/>
          </w:rPr>
          <w:t>Table 7 Hyundai - Cash Operating Cycle, FY2020–FY2024</w:t>
        </w:r>
        <w:r>
          <w:rPr>
            <w:noProof/>
            <w:webHidden/>
          </w:rPr>
          <w:tab/>
        </w:r>
        <w:r>
          <w:rPr>
            <w:noProof/>
            <w:webHidden/>
          </w:rPr>
          <w:fldChar w:fldCharType="begin"/>
        </w:r>
        <w:r>
          <w:rPr>
            <w:noProof/>
            <w:webHidden/>
          </w:rPr>
          <w:instrText xml:space="preserve"> PAGEREF _Toc227888004 \h </w:instrText>
        </w:r>
        <w:r>
          <w:rPr>
            <w:noProof/>
            <w:webHidden/>
          </w:rPr>
        </w:r>
        <w:r>
          <w:rPr>
            <w:noProof/>
            <w:webHidden/>
          </w:rPr>
          <w:fldChar w:fldCharType="separate"/>
        </w:r>
        <w:r>
          <w:rPr>
            <w:noProof/>
            <w:webHidden/>
          </w:rPr>
          <w:t>12</w:t>
        </w:r>
        <w:r>
          <w:rPr>
            <w:noProof/>
            <w:webHidden/>
          </w:rPr>
          <w:fldChar w:fldCharType="end"/>
        </w:r>
      </w:hyperlink>
    </w:p>
    <w:p w14:paraId="33CA15BE" w14:textId="2D53851F"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8005" w:history="1">
        <w:r w:rsidRPr="00B45C1B">
          <w:rPr>
            <w:rStyle w:val="Hyperlink"/>
            <w:noProof/>
          </w:rPr>
          <w:t>Table 8 Investment Project Cash Flows (£ million)</w:t>
        </w:r>
        <w:r>
          <w:rPr>
            <w:noProof/>
            <w:webHidden/>
          </w:rPr>
          <w:tab/>
        </w:r>
        <w:r>
          <w:rPr>
            <w:noProof/>
            <w:webHidden/>
          </w:rPr>
          <w:fldChar w:fldCharType="begin"/>
        </w:r>
        <w:r>
          <w:rPr>
            <w:noProof/>
            <w:webHidden/>
          </w:rPr>
          <w:instrText xml:space="preserve"> PAGEREF _Toc227888005 \h </w:instrText>
        </w:r>
        <w:r>
          <w:rPr>
            <w:noProof/>
            <w:webHidden/>
          </w:rPr>
        </w:r>
        <w:r>
          <w:rPr>
            <w:noProof/>
            <w:webHidden/>
          </w:rPr>
          <w:fldChar w:fldCharType="separate"/>
        </w:r>
        <w:r>
          <w:rPr>
            <w:noProof/>
            <w:webHidden/>
          </w:rPr>
          <w:t>18</w:t>
        </w:r>
        <w:r>
          <w:rPr>
            <w:noProof/>
            <w:webHidden/>
          </w:rPr>
          <w:fldChar w:fldCharType="end"/>
        </w:r>
      </w:hyperlink>
    </w:p>
    <w:p w14:paraId="6AB0D9C9" w14:textId="00DFAB97"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8006" w:history="1">
        <w:r w:rsidRPr="00B45C1B">
          <w:rPr>
            <w:rStyle w:val="Hyperlink"/>
            <w:noProof/>
          </w:rPr>
          <w:t>Table 9 ARR Calculation Summary - Projects A, B, C</w:t>
        </w:r>
        <w:r>
          <w:rPr>
            <w:noProof/>
            <w:webHidden/>
          </w:rPr>
          <w:tab/>
        </w:r>
        <w:r>
          <w:rPr>
            <w:noProof/>
            <w:webHidden/>
          </w:rPr>
          <w:fldChar w:fldCharType="begin"/>
        </w:r>
        <w:r>
          <w:rPr>
            <w:noProof/>
            <w:webHidden/>
          </w:rPr>
          <w:instrText xml:space="preserve"> PAGEREF _Toc227888006 \h </w:instrText>
        </w:r>
        <w:r>
          <w:rPr>
            <w:noProof/>
            <w:webHidden/>
          </w:rPr>
        </w:r>
        <w:r>
          <w:rPr>
            <w:noProof/>
            <w:webHidden/>
          </w:rPr>
          <w:fldChar w:fldCharType="separate"/>
        </w:r>
        <w:r>
          <w:rPr>
            <w:noProof/>
            <w:webHidden/>
          </w:rPr>
          <w:t>20</w:t>
        </w:r>
        <w:r>
          <w:rPr>
            <w:noProof/>
            <w:webHidden/>
          </w:rPr>
          <w:fldChar w:fldCharType="end"/>
        </w:r>
      </w:hyperlink>
    </w:p>
    <w:p w14:paraId="1D9FE3F7" w14:textId="1CE142EE"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8007" w:history="1">
        <w:r w:rsidRPr="00B45C1B">
          <w:rPr>
            <w:rStyle w:val="Hyperlink"/>
            <w:noProof/>
          </w:rPr>
          <w:t>Table 10 Investment Appraisal Summary</w:t>
        </w:r>
        <w:r>
          <w:rPr>
            <w:noProof/>
            <w:webHidden/>
          </w:rPr>
          <w:tab/>
        </w:r>
        <w:r>
          <w:rPr>
            <w:noProof/>
            <w:webHidden/>
          </w:rPr>
          <w:fldChar w:fldCharType="begin"/>
        </w:r>
        <w:r>
          <w:rPr>
            <w:noProof/>
            <w:webHidden/>
          </w:rPr>
          <w:instrText xml:space="preserve"> PAGEREF _Toc227888007 \h </w:instrText>
        </w:r>
        <w:r>
          <w:rPr>
            <w:noProof/>
            <w:webHidden/>
          </w:rPr>
        </w:r>
        <w:r>
          <w:rPr>
            <w:noProof/>
            <w:webHidden/>
          </w:rPr>
          <w:fldChar w:fldCharType="separate"/>
        </w:r>
        <w:r>
          <w:rPr>
            <w:noProof/>
            <w:webHidden/>
          </w:rPr>
          <w:t>20</w:t>
        </w:r>
        <w:r>
          <w:rPr>
            <w:noProof/>
            <w:webHidden/>
          </w:rPr>
          <w:fldChar w:fldCharType="end"/>
        </w:r>
      </w:hyperlink>
    </w:p>
    <w:p w14:paraId="19F93C72" w14:textId="66DD3D9B" w:rsidR="001F1822" w:rsidRDefault="001F1822">
      <w:pPr>
        <w:pStyle w:val="TableofFigures"/>
        <w:tabs>
          <w:tab w:val="right" w:leader="dot" w:pos="9350"/>
        </w:tabs>
        <w:rPr>
          <w:rFonts w:asciiTheme="minorHAnsi" w:hAnsiTheme="minorHAnsi"/>
          <w:noProof/>
          <w:kern w:val="2"/>
          <w:szCs w:val="24"/>
          <w:lang w:val="en-IN" w:eastAsia="en-IN"/>
          <w14:ligatures w14:val="standardContextual"/>
        </w:rPr>
      </w:pPr>
      <w:hyperlink w:anchor="_Toc227888008" w:history="1">
        <w:r w:rsidRPr="00B45C1B">
          <w:rPr>
            <w:rStyle w:val="Hyperlink"/>
            <w:noProof/>
          </w:rPr>
          <w:t>Table 11 Capital Rationing Analysis (Budget = £100 million)</w:t>
        </w:r>
        <w:r>
          <w:rPr>
            <w:noProof/>
            <w:webHidden/>
          </w:rPr>
          <w:tab/>
        </w:r>
        <w:r>
          <w:rPr>
            <w:noProof/>
            <w:webHidden/>
          </w:rPr>
          <w:fldChar w:fldCharType="begin"/>
        </w:r>
        <w:r>
          <w:rPr>
            <w:noProof/>
            <w:webHidden/>
          </w:rPr>
          <w:instrText xml:space="preserve"> PAGEREF _Toc227888008 \h </w:instrText>
        </w:r>
        <w:r>
          <w:rPr>
            <w:noProof/>
            <w:webHidden/>
          </w:rPr>
        </w:r>
        <w:r>
          <w:rPr>
            <w:noProof/>
            <w:webHidden/>
          </w:rPr>
          <w:fldChar w:fldCharType="separate"/>
        </w:r>
        <w:r>
          <w:rPr>
            <w:noProof/>
            <w:webHidden/>
          </w:rPr>
          <w:t>22</w:t>
        </w:r>
        <w:r>
          <w:rPr>
            <w:noProof/>
            <w:webHidden/>
          </w:rPr>
          <w:fldChar w:fldCharType="end"/>
        </w:r>
      </w:hyperlink>
    </w:p>
    <w:p w14:paraId="64C3340A" w14:textId="0990A05C" w:rsidR="002F23F6" w:rsidRDefault="009E1D76">
      <w:r>
        <w:fldChar w:fldCharType="end"/>
      </w:r>
      <w:r>
        <w:br w:type="page"/>
      </w:r>
    </w:p>
    <w:p w14:paraId="2FB04737" w14:textId="77777777" w:rsidR="002F23F6" w:rsidRDefault="00000000" w:rsidP="00937AB4">
      <w:pPr>
        <w:pStyle w:val="Heading1"/>
      </w:pPr>
      <w:bookmarkStart w:id="0" w:name="_Toc227888378"/>
      <w:r>
        <w:lastRenderedPageBreak/>
        <w:t>1. Introduction</w:t>
      </w:r>
      <w:bookmarkEnd w:id="0"/>
    </w:p>
    <w:p w14:paraId="18A8CBD2" w14:textId="77777777" w:rsidR="001C5774" w:rsidRDefault="001C5774">
      <w:pPr>
        <w:spacing w:before="60" w:after="120" w:line="360" w:lineRule="exact"/>
      </w:pPr>
      <w:r>
        <w:t>With headquarters in Seoul, South Korea, Hyundai Motor Company is one of the top five automotive manufacturers in the world by volume, and forcefully repositioned itself as a serious competitor in the electric vehicle (EV) market with its IONIQ sub-brand and growing battery electric vehicle product line. Would the 2020-2024 five-year gap place extraordinary pressure on all global automakers? A pandemic that fell volumes during the night, a semiconductor shortage that shook production over two years and an industry reorganization toward electrification that required capital investments in the trillions of Won demanded capital investments. It is based on that background that the financial journey of Hyundai is marked by a recovery, development and increasing strategic investment.</w:t>
      </w:r>
    </w:p>
    <w:p w14:paraId="1E9FEBAB" w14:textId="77777777" w:rsidR="002F23F6" w:rsidRDefault="001C5774">
      <w:pPr>
        <w:spacing w:before="60" w:after="120" w:line="360" w:lineRule="exact"/>
      </w:pPr>
      <w:r>
        <w:t>The report is designed on four analysis tasks. Section 2 discusses five financial years of the financial performance by analyzing its ratios in detail and referring to the trends and strengths, threats. Section 3 appraises working capital management and financing strategy. Section 4 suggests a strategic financial restructuring strategy, taking into consideration international and ethical aspects. In Section 5, three competing investment projects are assessed, and the best allocation in a budget of £100 million is made. All figures are based on K-IFRS consolidated financial statements of Hyundai FY2020- FY2024 (Hyundai Motor Company, 2024).</w:t>
      </w:r>
    </w:p>
    <w:p w14:paraId="7820B152" w14:textId="77777777" w:rsidR="002F23F6" w:rsidRDefault="00000000" w:rsidP="00937AB4">
      <w:pPr>
        <w:pStyle w:val="Heading1"/>
      </w:pPr>
      <w:bookmarkStart w:id="1" w:name="_Toc227888379"/>
      <w:r>
        <w:t>2. Financial Health Check</w:t>
      </w:r>
      <w:bookmarkEnd w:id="1"/>
    </w:p>
    <w:p w14:paraId="193F8B75" w14:textId="77777777" w:rsidR="002F23F6" w:rsidRDefault="00000000" w:rsidP="00937AB4">
      <w:pPr>
        <w:pStyle w:val="Heading2"/>
      </w:pPr>
      <w:bookmarkStart w:id="2" w:name="_Toc227888380"/>
      <w:r>
        <w:t>2.1 Profitability Analysis</w:t>
      </w:r>
      <w:bookmarkEnd w:id="2"/>
    </w:p>
    <w:p w14:paraId="35D5B3F0" w14:textId="77777777" w:rsidR="002F23F6" w:rsidRDefault="001C5774">
      <w:pPr>
        <w:spacing w:before="60" w:after="120" w:line="360" w:lineRule="exact"/>
      </w:pPr>
      <w:r>
        <w:t>The trend in the revenue level of hyundai in the period under review is one of the most convincing trends in the peer group. Out of the KRW 103.9 trillion in FY2020, revenue increased steadily until FY2024, when it reached KRW 175.2 trillion - a total cumulative growth of 68.5 percent in five years (Hyundai Motor Company, 2025). Interestingly, this was despite decreasing the unit sales of vehicles by 1.8% in FY2024, showing that increasing revenue is no longer based on volume but on pricing discipline and a more enriched product mix.</w:t>
      </w:r>
    </w:p>
    <w:p w14:paraId="6264CD03" w14:textId="77777777" w:rsidR="00937AB4" w:rsidRDefault="00937AB4">
      <w:pPr>
        <w:spacing w:before="60" w:after="120" w:line="360" w:lineRule="exact"/>
      </w:pPr>
    </w:p>
    <w:p w14:paraId="5019C93A" w14:textId="77777777" w:rsidR="00937AB4" w:rsidRDefault="00937AB4">
      <w:pPr>
        <w:spacing w:before="60" w:after="120" w:line="360" w:lineRule="exact"/>
      </w:pPr>
    </w:p>
    <w:p w14:paraId="08498772" w14:textId="77777777" w:rsidR="00937AB4" w:rsidRDefault="00937AB4">
      <w:pPr>
        <w:spacing w:before="60" w:after="120" w:line="360" w:lineRule="exact"/>
      </w:pPr>
    </w:p>
    <w:p w14:paraId="07DDDDEF" w14:textId="3E4ABAAF" w:rsidR="002F23F6" w:rsidRDefault="002F23F6">
      <w:pPr>
        <w:spacing w:before="60" w:after="120" w:line="360" w:lineRule="exact"/>
      </w:pPr>
    </w:p>
    <w:p w14:paraId="2EC53009" w14:textId="6EA3C6A1" w:rsidR="00CE1199" w:rsidRDefault="00CE1199" w:rsidP="00CE1199">
      <w:pPr>
        <w:pStyle w:val="Caption"/>
        <w:keepNext/>
        <w:jc w:val="center"/>
      </w:pPr>
      <w:bookmarkStart w:id="3" w:name="_Toc227887998"/>
      <w:r>
        <w:t xml:space="preserve">Table </w:t>
      </w:r>
      <w:fldSimple w:instr=" SEQ Table \* ARABIC ">
        <w:r w:rsidR="00053944">
          <w:rPr>
            <w:noProof/>
          </w:rPr>
          <w:t>1</w:t>
        </w:r>
      </w:fldSimple>
      <w:r>
        <w:t xml:space="preserve"> </w:t>
      </w:r>
      <w:r w:rsidRPr="00EB3291">
        <w:t xml:space="preserve">Hyundai Motor Company </w:t>
      </w:r>
      <w:r w:rsidR="009E1D76">
        <w:t>-</w:t>
      </w:r>
      <w:r w:rsidRPr="00EB3291">
        <w:t xml:space="preserve"> Profitability Ratios, FY2020–FY2024</w:t>
      </w:r>
      <w:bookmarkEnd w:id="3"/>
    </w:p>
    <w:tbl>
      <w:tblPr>
        <w:tblStyle w:val="TableGrid"/>
        <w:tblW w:w="0" w:type="auto"/>
        <w:jc w:val="center"/>
        <w:tblLook w:val="04A0" w:firstRow="1" w:lastRow="0" w:firstColumn="1" w:lastColumn="0" w:noHBand="0" w:noVBand="1"/>
      </w:tblPr>
      <w:tblGrid>
        <w:gridCol w:w="2880"/>
        <w:gridCol w:w="1152"/>
        <w:gridCol w:w="1152"/>
        <w:gridCol w:w="1152"/>
        <w:gridCol w:w="1152"/>
        <w:gridCol w:w="1152"/>
      </w:tblGrid>
      <w:tr w:rsidR="002F23F6" w14:paraId="33BA6ECE" w14:textId="77777777" w:rsidTr="00CE1199">
        <w:trPr>
          <w:jc w:val="center"/>
        </w:trPr>
        <w:tc>
          <w:tcPr>
            <w:tcW w:w="2880" w:type="dxa"/>
            <w:shd w:val="clear" w:color="auto" w:fill="1F497D"/>
          </w:tcPr>
          <w:p w14:paraId="6597D22B" w14:textId="77777777" w:rsidR="002F23F6" w:rsidRDefault="00000000">
            <w:pPr>
              <w:jc w:val="center"/>
            </w:pPr>
            <w:r>
              <w:rPr>
                <w:b/>
                <w:color w:val="FFFFFF"/>
                <w:sz w:val="20"/>
              </w:rPr>
              <w:t>Metric</w:t>
            </w:r>
          </w:p>
        </w:tc>
        <w:tc>
          <w:tcPr>
            <w:tcW w:w="1152" w:type="dxa"/>
            <w:shd w:val="clear" w:color="auto" w:fill="1F497D"/>
          </w:tcPr>
          <w:p w14:paraId="0C66AC3E" w14:textId="77777777" w:rsidR="002F23F6" w:rsidRDefault="00000000">
            <w:pPr>
              <w:jc w:val="center"/>
            </w:pPr>
            <w:r>
              <w:rPr>
                <w:b/>
                <w:color w:val="FFFFFF"/>
                <w:sz w:val="20"/>
              </w:rPr>
              <w:t>FY2020</w:t>
            </w:r>
          </w:p>
        </w:tc>
        <w:tc>
          <w:tcPr>
            <w:tcW w:w="1152" w:type="dxa"/>
            <w:shd w:val="clear" w:color="auto" w:fill="1F497D"/>
          </w:tcPr>
          <w:p w14:paraId="59EA7A39" w14:textId="77777777" w:rsidR="002F23F6" w:rsidRDefault="00000000">
            <w:pPr>
              <w:jc w:val="center"/>
            </w:pPr>
            <w:r>
              <w:rPr>
                <w:b/>
                <w:color w:val="FFFFFF"/>
                <w:sz w:val="20"/>
              </w:rPr>
              <w:t>FY2021</w:t>
            </w:r>
          </w:p>
        </w:tc>
        <w:tc>
          <w:tcPr>
            <w:tcW w:w="1152" w:type="dxa"/>
            <w:shd w:val="clear" w:color="auto" w:fill="1F497D"/>
          </w:tcPr>
          <w:p w14:paraId="135FC349" w14:textId="77777777" w:rsidR="002F23F6" w:rsidRDefault="00000000">
            <w:pPr>
              <w:jc w:val="center"/>
            </w:pPr>
            <w:r>
              <w:rPr>
                <w:b/>
                <w:color w:val="FFFFFF"/>
                <w:sz w:val="20"/>
              </w:rPr>
              <w:t>FY2022</w:t>
            </w:r>
          </w:p>
        </w:tc>
        <w:tc>
          <w:tcPr>
            <w:tcW w:w="1152" w:type="dxa"/>
            <w:shd w:val="clear" w:color="auto" w:fill="1F497D"/>
          </w:tcPr>
          <w:p w14:paraId="5BD3948B" w14:textId="77777777" w:rsidR="002F23F6" w:rsidRDefault="00000000">
            <w:pPr>
              <w:jc w:val="center"/>
            </w:pPr>
            <w:r>
              <w:rPr>
                <w:b/>
                <w:color w:val="FFFFFF"/>
                <w:sz w:val="20"/>
              </w:rPr>
              <w:t>FY2023</w:t>
            </w:r>
          </w:p>
        </w:tc>
        <w:tc>
          <w:tcPr>
            <w:tcW w:w="1152" w:type="dxa"/>
            <w:shd w:val="clear" w:color="auto" w:fill="1F497D"/>
          </w:tcPr>
          <w:p w14:paraId="5EF68E35" w14:textId="77777777" w:rsidR="002F23F6" w:rsidRDefault="00000000">
            <w:pPr>
              <w:jc w:val="center"/>
            </w:pPr>
            <w:r>
              <w:rPr>
                <w:b/>
                <w:color w:val="FFFFFF"/>
                <w:sz w:val="20"/>
              </w:rPr>
              <w:t>FY2024</w:t>
            </w:r>
          </w:p>
        </w:tc>
      </w:tr>
      <w:tr w:rsidR="002F23F6" w14:paraId="04F1FD3D" w14:textId="77777777" w:rsidTr="00CE1199">
        <w:trPr>
          <w:jc w:val="center"/>
        </w:trPr>
        <w:tc>
          <w:tcPr>
            <w:tcW w:w="2880" w:type="dxa"/>
            <w:shd w:val="clear" w:color="auto" w:fill="FFFFFF"/>
          </w:tcPr>
          <w:p w14:paraId="1239AFBA" w14:textId="77777777" w:rsidR="002F23F6" w:rsidRDefault="00000000">
            <w:r>
              <w:rPr>
                <w:sz w:val="20"/>
              </w:rPr>
              <w:t>Revenue (KRW bn)</w:t>
            </w:r>
          </w:p>
        </w:tc>
        <w:tc>
          <w:tcPr>
            <w:tcW w:w="1152" w:type="dxa"/>
            <w:shd w:val="clear" w:color="auto" w:fill="FFFFFF"/>
          </w:tcPr>
          <w:p w14:paraId="4A1732B5" w14:textId="77777777" w:rsidR="002F23F6" w:rsidRDefault="00000000">
            <w:pPr>
              <w:jc w:val="center"/>
            </w:pPr>
            <w:r>
              <w:rPr>
                <w:sz w:val="20"/>
              </w:rPr>
              <w:t>103,998</w:t>
            </w:r>
          </w:p>
        </w:tc>
        <w:tc>
          <w:tcPr>
            <w:tcW w:w="1152" w:type="dxa"/>
            <w:shd w:val="clear" w:color="auto" w:fill="FFFFFF"/>
          </w:tcPr>
          <w:p w14:paraId="7701362C" w14:textId="77777777" w:rsidR="002F23F6" w:rsidRDefault="00000000">
            <w:pPr>
              <w:jc w:val="center"/>
            </w:pPr>
            <w:r>
              <w:rPr>
                <w:sz w:val="20"/>
              </w:rPr>
              <w:t>117,611</w:t>
            </w:r>
          </w:p>
        </w:tc>
        <w:tc>
          <w:tcPr>
            <w:tcW w:w="1152" w:type="dxa"/>
            <w:shd w:val="clear" w:color="auto" w:fill="FFFFFF"/>
          </w:tcPr>
          <w:p w14:paraId="04882FD2" w14:textId="77777777" w:rsidR="002F23F6" w:rsidRDefault="00000000">
            <w:pPr>
              <w:jc w:val="center"/>
            </w:pPr>
            <w:r>
              <w:rPr>
                <w:sz w:val="20"/>
              </w:rPr>
              <w:t>142,151</w:t>
            </w:r>
          </w:p>
        </w:tc>
        <w:tc>
          <w:tcPr>
            <w:tcW w:w="1152" w:type="dxa"/>
            <w:shd w:val="clear" w:color="auto" w:fill="FFFFFF"/>
          </w:tcPr>
          <w:p w14:paraId="779F4C40" w14:textId="77777777" w:rsidR="002F23F6" w:rsidRDefault="00000000">
            <w:pPr>
              <w:jc w:val="center"/>
            </w:pPr>
            <w:r>
              <w:rPr>
                <w:sz w:val="20"/>
              </w:rPr>
              <w:t>162,664</w:t>
            </w:r>
          </w:p>
        </w:tc>
        <w:tc>
          <w:tcPr>
            <w:tcW w:w="1152" w:type="dxa"/>
            <w:shd w:val="clear" w:color="auto" w:fill="FFFFFF"/>
          </w:tcPr>
          <w:p w14:paraId="353D1F99" w14:textId="77777777" w:rsidR="002F23F6" w:rsidRDefault="00000000">
            <w:pPr>
              <w:jc w:val="center"/>
            </w:pPr>
            <w:r>
              <w:rPr>
                <w:sz w:val="20"/>
              </w:rPr>
              <w:t>175,231</w:t>
            </w:r>
          </w:p>
        </w:tc>
      </w:tr>
      <w:tr w:rsidR="002F23F6" w14:paraId="5A3B79DF" w14:textId="77777777" w:rsidTr="00CE1199">
        <w:trPr>
          <w:jc w:val="center"/>
        </w:trPr>
        <w:tc>
          <w:tcPr>
            <w:tcW w:w="2880" w:type="dxa"/>
            <w:shd w:val="clear" w:color="auto" w:fill="DCE6F1"/>
          </w:tcPr>
          <w:p w14:paraId="528CB9AB" w14:textId="77777777" w:rsidR="002F23F6" w:rsidRDefault="00000000">
            <w:r>
              <w:rPr>
                <w:sz w:val="20"/>
              </w:rPr>
              <w:t>Gross Profit Margin</w:t>
            </w:r>
          </w:p>
        </w:tc>
        <w:tc>
          <w:tcPr>
            <w:tcW w:w="1152" w:type="dxa"/>
            <w:shd w:val="clear" w:color="auto" w:fill="DCE6F1"/>
          </w:tcPr>
          <w:p w14:paraId="7BBBAAE9" w14:textId="77777777" w:rsidR="002F23F6" w:rsidRDefault="00000000">
            <w:pPr>
              <w:jc w:val="center"/>
            </w:pPr>
            <w:r>
              <w:rPr>
                <w:sz w:val="20"/>
              </w:rPr>
              <w:t>17.8%</w:t>
            </w:r>
          </w:p>
        </w:tc>
        <w:tc>
          <w:tcPr>
            <w:tcW w:w="1152" w:type="dxa"/>
            <w:shd w:val="clear" w:color="auto" w:fill="DCE6F1"/>
          </w:tcPr>
          <w:p w14:paraId="6998AC05" w14:textId="77777777" w:rsidR="002F23F6" w:rsidRDefault="00000000">
            <w:pPr>
              <w:jc w:val="center"/>
            </w:pPr>
            <w:r>
              <w:rPr>
                <w:sz w:val="20"/>
              </w:rPr>
              <w:t>18.6%</w:t>
            </w:r>
          </w:p>
        </w:tc>
        <w:tc>
          <w:tcPr>
            <w:tcW w:w="1152" w:type="dxa"/>
            <w:shd w:val="clear" w:color="auto" w:fill="DCE6F1"/>
          </w:tcPr>
          <w:p w14:paraId="210C33EE" w14:textId="77777777" w:rsidR="002F23F6" w:rsidRDefault="00000000">
            <w:pPr>
              <w:jc w:val="center"/>
            </w:pPr>
            <w:r>
              <w:rPr>
                <w:sz w:val="20"/>
              </w:rPr>
              <w:t>19.9%</w:t>
            </w:r>
          </w:p>
        </w:tc>
        <w:tc>
          <w:tcPr>
            <w:tcW w:w="1152" w:type="dxa"/>
            <w:shd w:val="clear" w:color="auto" w:fill="DCE6F1"/>
          </w:tcPr>
          <w:p w14:paraId="6C30EB74" w14:textId="77777777" w:rsidR="002F23F6" w:rsidRDefault="00000000">
            <w:pPr>
              <w:jc w:val="center"/>
            </w:pPr>
            <w:r>
              <w:rPr>
                <w:sz w:val="20"/>
              </w:rPr>
              <w:t>20.6%</w:t>
            </w:r>
          </w:p>
        </w:tc>
        <w:tc>
          <w:tcPr>
            <w:tcW w:w="1152" w:type="dxa"/>
            <w:shd w:val="clear" w:color="auto" w:fill="DCE6F1"/>
          </w:tcPr>
          <w:p w14:paraId="2BC5B19C" w14:textId="77777777" w:rsidR="002F23F6" w:rsidRDefault="00000000">
            <w:pPr>
              <w:jc w:val="center"/>
            </w:pPr>
            <w:r>
              <w:rPr>
                <w:sz w:val="20"/>
              </w:rPr>
              <w:t>20.4%</w:t>
            </w:r>
          </w:p>
        </w:tc>
      </w:tr>
      <w:tr w:rsidR="002F23F6" w14:paraId="7EFEDF24" w14:textId="77777777" w:rsidTr="00CE1199">
        <w:trPr>
          <w:jc w:val="center"/>
        </w:trPr>
        <w:tc>
          <w:tcPr>
            <w:tcW w:w="2880" w:type="dxa"/>
            <w:shd w:val="clear" w:color="auto" w:fill="FFFFFF"/>
          </w:tcPr>
          <w:p w14:paraId="36BF55CD" w14:textId="77777777" w:rsidR="002F23F6" w:rsidRDefault="00000000">
            <w:r>
              <w:rPr>
                <w:sz w:val="20"/>
              </w:rPr>
              <w:t>Operating Margin (EBIT)</w:t>
            </w:r>
          </w:p>
        </w:tc>
        <w:tc>
          <w:tcPr>
            <w:tcW w:w="1152" w:type="dxa"/>
            <w:shd w:val="clear" w:color="auto" w:fill="FFFFFF"/>
          </w:tcPr>
          <w:p w14:paraId="654B61A0" w14:textId="77777777" w:rsidR="002F23F6" w:rsidRDefault="00000000">
            <w:pPr>
              <w:jc w:val="center"/>
            </w:pPr>
            <w:r>
              <w:rPr>
                <w:sz w:val="20"/>
              </w:rPr>
              <w:t>2.3%</w:t>
            </w:r>
          </w:p>
        </w:tc>
        <w:tc>
          <w:tcPr>
            <w:tcW w:w="1152" w:type="dxa"/>
            <w:shd w:val="clear" w:color="auto" w:fill="FFFFFF"/>
          </w:tcPr>
          <w:p w14:paraId="17ED3442" w14:textId="77777777" w:rsidR="002F23F6" w:rsidRDefault="00000000">
            <w:pPr>
              <w:jc w:val="center"/>
            </w:pPr>
            <w:r>
              <w:rPr>
                <w:sz w:val="20"/>
              </w:rPr>
              <w:t>5.7%</w:t>
            </w:r>
          </w:p>
        </w:tc>
        <w:tc>
          <w:tcPr>
            <w:tcW w:w="1152" w:type="dxa"/>
            <w:shd w:val="clear" w:color="auto" w:fill="FFFFFF"/>
          </w:tcPr>
          <w:p w14:paraId="01FA887E" w14:textId="77777777" w:rsidR="002F23F6" w:rsidRDefault="00000000">
            <w:pPr>
              <w:jc w:val="center"/>
            </w:pPr>
            <w:r>
              <w:rPr>
                <w:sz w:val="20"/>
              </w:rPr>
              <w:t>6.9%</w:t>
            </w:r>
          </w:p>
        </w:tc>
        <w:tc>
          <w:tcPr>
            <w:tcW w:w="1152" w:type="dxa"/>
            <w:shd w:val="clear" w:color="auto" w:fill="FFFFFF"/>
          </w:tcPr>
          <w:p w14:paraId="03530C50" w14:textId="77777777" w:rsidR="002F23F6" w:rsidRDefault="00000000">
            <w:pPr>
              <w:jc w:val="center"/>
            </w:pPr>
            <w:r>
              <w:rPr>
                <w:sz w:val="20"/>
              </w:rPr>
              <w:t>9.3%</w:t>
            </w:r>
          </w:p>
        </w:tc>
        <w:tc>
          <w:tcPr>
            <w:tcW w:w="1152" w:type="dxa"/>
            <w:shd w:val="clear" w:color="auto" w:fill="FFFFFF"/>
          </w:tcPr>
          <w:p w14:paraId="240C17EF" w14:textId="77777777" w:rsidR="002F23F6" w:rsidRDefault="00000000">
            <w:pPr>
              <w:jc w:val="center"/>
            </w:pPr>
            <w:r>
              <w:rPr>
                <w:sz w:val="20"/>
              </w:rPr>
              <w:t>8.1%</w:t>
            </w:r>
          </w:p>
        </w:tc>
      </w:tr>
      <w:tr w:rsidR="002F23F6" w14:paraId="34C22F55" w14:textId="77777777" w:rsidTr="00CE1199">
        <w:trPr>
          <w:jc w:val="center"/>
        </w:trPr>
        <w:tc>
          <w:tcPr>
            <w:tcW w:w="2880" w:type="dxa"/>
            <w:shd w:val="clear" w:color="auto" w:fill="DCE6F1"/>
          </w:tcPr>
          <w:p w14:paraId="12C370E6" w14:textId="77777777" w:rsidR="002F23F6" w:rsidRDefault="00000000">
            <w:r>
              <w:rPr>
                <w:sz w:val="20"/>
              </w:rPr>
              <w:t>Net Profit Margin</w:t>
            </w:r>
          </w:p>
        </w:tc>
        <w:tc>
          <w:tcPr>
            <w:tcW w:w="1152" w:type="dxa"/>
            <w:shd w:val="clear" w:color="auto" w:fill="DCE6F1"/>
          </w:tcPr>
          <w:p w14:paraId="6ECEF51A" w14:textId="77777777" w:rsidR="002F23F6" w:rsidRDefault="00000000">
            <w:pPr>
              <w:jc w:val="center"/>
            </w:pPr>
            <w:r>
              <w:rPr>
                <w:sz w:val="20"/>
              </w:rPr>
              <w:t>1.4%</w:t>
            </w:r>
          </w:p>
        </w:tc>
        <w:tc>
          <w:tcPr>
            <w:tcW w:w="1152" w:type="dxa"/>
            <w:shd w:val="clear" w:color="auto" w:fill="DCE6F1"/>
          </w:tcPr>
          <w:p w14:paraId="149DE693" w14:textId="77777777" w:rsidR="002F23F6" w:rsidRDefault="00000000">
            <w:pPr>
              <w:jc w:val="center"/>
            </w:pPr>
            <w:r>
              <w:rPr>
                <w:sz w:val="20"/>
              </w:rPr>
              <w:t>4.2%</w:t>
            </w:r>
          </w:p>
        </w:tc>
        <w:tc>
          <w:tcPr>
            <w:tcW w:w="1152" w:type="dxa"/>
            <w:shd w:val="clear" w:color="auto" w:fill="DCE6F1"/>
          </w:tcPr>
          <w:p w14:paraId="08A36042" w14:textId="77777777" w:rsidR="002F23F6" w:rsidRDefault="00000000">
            <w:pPr>
              <w:jc w:val="center"/>
            </w:pPr>
            <w:r>
              <w:rPr>
                <w:sz w:val="20"/>
              </w:rPr>
              <w:t>5.2%</w:t>
            </w:r>
          </w:p>
        </w:tc>
        <w:tc>
          <w:tcPr>
            <w:tcW w:w="1152" w:type="dxa"/>
            <w:shd w:val="clear" w:color="auto" w:fill="DCE6F1"/>
          </w:tcPr>
          <w:p w14:paraId="7EB0890F" w14:textId="77777777" w:rsidR="002F23F6" w:rsidRDefault="00000000">
            <w:pPr>
              <w:jc w:val="center"/>
            </w:pPr>
            <w:r>
              <w:rPr>
                <w:sz w:val="20"/>
              </w:rPr>
              <w:t>7.4%</w:t>
            </w:r>
          </w:p>
        </w:tc>
        <w:tc>
          <w:tcPr>
            <w:tcW w:w="1152" w:type="dxa"/>
            <w:shd w:val="clear" w:color="auto" w:fill="DCE6F1"/>
          </w:tcPr>
          <w:p w14:paraId="5586F06B" w14:textId="77777777" w:rsidR="002F23F6" w:rsidRDefault="00000000">
            <w:pPr>
              <w:jc w:val="center"/>
            </w:pPr>
            <w:r>
              <w:rPr>
                <w:sz w:val="20"/>
              </w:rPr>
              <w:t>7.1%</w:t>
            </w:r>
          </w:p>
        </w:tc>
      </w:tr>
      <w:tr w:rsidR="002F23F6" w14:paraId="1405E8F7" w14:textId="77777777" w:rsidTr="00CE1199">
        <w:trPr>
          <w:jc w:val="center"/>
        </w:trPr>
        <w:tc>
          <w:tcPr>
            <w:tcW w:w="2880" w:type="dxa"/>
            <w:shd w:val="clear" w:color="auto" w:fill="FFFFFF"/>
          </w:tcPr>
          <w:p w14:paraId="189EB064" w14:textId="77777777" w:rsidR="002F23F6" w:rsidRDefault="00000000">
            <w:r>
              <w:rPr>
                <w:sz w:val="20"/>
              </w:rPr>
              <w:t>EBITDA Margin</w:t>
            </w:r>
          </w:p>
        </w:tc>
        <w:tc>
          <w:tcPr>
            <w:tcW w:w="1152" w:type="dxa"/>
            <w:shd w:val="clear" w:color="auto" w:fill="FFFFFF"/>
          </w:tcPr>
          <w:p w14:paraId="1AE19E02" w14:textId="77777777" w:rsidR="002F23F6" w:rsidRDefault="00000000">
            <w:pPr>
              <w:jc w:val="center"/>
            </w:pPr>
            <w:r>
              <w:rPr>
                <w:sz w:val="20"/>
              </w:rPr>
              <w:t>5.0%</w:t>
            </w:r>
          </w:p>
        </w:tc>
        <w:tc>
          <w:tcPr>
            <w:tcW w:w="1152" w:type="dxa"/>
            <w:shd w:val="clear" w:color="auto" w:fill="FFFFFF"/>
          </w:tcPr>
          <w:p w14:paraId="5C77769C" w14:textId="77777777" w:rsidR="002F23F6" w:rsidRDefault="00000000">
            <w:pPr>
              <w:jc w:val="center"/>
            </w:pPr>
            <w:r>
              <w:rPr>
                <w:sz w:val="20"/>
              </w:rPr>
              <w:t>8.2%</w:t>
            </w:r>
          </w:p>
        </w:tc>
        <w:tc>
          <w:tcPr>
            <w:tcW w:w="1152" w:type="dxa"/>
            <w:shd w:val="clear" w:color="auto" w:fill="FFFFFF"/>
          </w:tcPr>
          <w:p w14:paraId="6E0E2E3D" w14:textId="77777777" w:rsidR="002F23F6" w:rsidRDefault="00000000">
            <w:pPr>
              <w:jc w:val="center"/>
            </w:pPr>
            <w:r>
              <w:rPr>
                <w:sz w:val="20"/>
              </w:rPr>
              <w:t>9.2%</w:t>
            </w:r>
          </w:p>
        </w:tc>
        <w:tc>
          <w:tcPr>
            <w:tcW w:w="1152" w:type="dxa"/>
            <w:shd w:val="clear" w:color="auto" w:fill="FFFFFF"/>
          </w:tcPr>
          <w:p w14:paraId="3110C5C2" w14:textId="77777777" w:rsidR="002F23F6" w:rsidRDefault="00000000">
            <w:pPr>
              <w:jc w:val="center"/>
            </w:pPr>
            <w:r>
              <w:rPr>
                <w:sz w:val="20"/>
              </w:rPr>
              <w:t>11.2%</w:t>
            </w:r>
          </w:p>
        </w:tc>
        <w:tc>
          <w:tcPr>
            <w:tcW w:w="1152" w:type="dxa"/>
            <w:shd w:val="clear" w:color="auto" w:fill="FFFFFF"/>
          </w:tcPr>
          <w:p w14:paraId="6B7F7705" w14:textId="77777777" w:rsidR="002F23F6" w:rsidRDefault="00000000">
            <w:pPr>
              <w:jc w:val="center"/>
            </w:pPr>
            <w:r>
              <w:rPr>
                <w:sz w:val="20"/>
              </w:rPr>
              <w:t>9.9%</w:t>
            </w:r>
          </w:p>
        </w:tc>
      </w:tr>
      <w:tr w:rsidR="002F23F6" w14:paraId="72CC05A7" w14:textId="77777777" w:rsidTr="00CE1199">
        <w:trPr>
          <w:jc w:val="center"/>
        </w:trPr>
        <w:tc>
          <w:tcPr>
            <w:tcW w:w="2880" w:type="dxa"/>
            <w:shd w:val="clear" w:color="auto" w:fill="DCE6F1"/>
          </w:tcPr>
          <w:p w14:paraId="41C6FFCE" w14:textId="77777777" w:rsidR="002F23F6" w:rsidRDefault="00000000">
            <w:r>
              <w:rPr>
                <w:sz w:val="20"/>
              </w:rPr>
              <w:t>Return on Equity (ROE)</w:t>
            </w:r>
          </w:p>
        </w:tc>
        <w:tc>
          <w:tcPr>
            <w:tcW w:w="1152" w:type="dxa"/>
            <w:shd w:val="clear" w:color="auto" w:fill="DCE6F1"/>
          </w:tcPr>
          <w:p w14:paraId="0A5064E5" w14:textId="77777777" w:rsidR="002F23F6" w:rsidRDefault="00000000">
            <w:pPr>
              <w:jc w:val="center"/>
            </w:pPr>
            <w:r>
              <w:rPr>
                <w:sz w:val="20"/>
              </w:rPr>
              <w:t>1.9%</w:t>
            </w:r>
          </w:p>
        </w:tc>
        <w:tc>
          <w:tcPr>
            <w:tcW w:w="1152" w:type="dxa"/>
            <w:shd w:val="clear" w:color="auto" w:fill="DCE6F1"/>
          </w:tcPr>
          <w:p w14:paraId="493B5D9D" w14:textId="77777777" w:rsidR="002F23F6" w:rsidRDefault="00000000">
            <w:pPr>
              <w:jc w:val="center"/>
            </w:pPr>
            <w:r>
              <w:rPr>
                <w:sz w:val="20"/>
              </w:rPr>
              <w:t>6.0%</w:t>
            </w:r>
          </w:p>
        </w:tc>
        <w:tc>
          <w:tcPr>
            <w:tcW w:w="1152" w:type="dxa"/>
            <w:shd w:val="clear" w:color="auto" w:fill="DCE6F1"/>
          </w:tcPr>
          <w:p w14:paraId="05832143" w14:textId="77777777" w:rsidR="002F23F6" w:rsidRDefault="00000000">
            <w:pPr>
              <w:jc w:val="center"/>
            </w:pPr>
            <w:r>
              <w:rPr>
                <w:sz w:val="20"/>
              </w:rPr>
              <w:t>8.1%</w:t>
            </w:r>
          </w:p>
        </w:tc>
        <w:tc>
          <w:tcPr>
            <w:tcW w:w="1152" w:type="dxa"/>
            <w:shd w:val="clear" w:color="auto" w:fill="DCE6F1"/>
          </w:tcPr>
          <w:p w14:paraId="129FB6EC" w14:textId="77777777" w:rsidR="002F23F6" w:rsidRDefault="00000000">
            <w:pPr>
              <w:jc w:val="center"/>
            </w:pPr>
            <w:r>
              <w:rPr>
                <w:sz w:val="20"/>
              </w:rPr>
              <w:t>11.7%</w:t>
            </w:r>
          </w:p>
        </w:tc>
        <w:tc>
          <w:tcPr>
            <w:tcW w:w="1152" w:type="dxa"/>
            <w:shd w:val="clear" w:color="auto" w:fill="DCE6F1"/>
          </w:tcPr>
          <w:p w14:paraId="14393C53" w14:textId="77777777" w:rsidR="002F23F6" w:rsidRDefault="00000000">
            <w:pPr>
              <w:jc w:val="center"/>
            </w:pPr>
            <w:r>
              <w:rPr>
                <w:sz w:val="20"/>
              </w:rPr>
              <w:t>10.4%</w:t>
            </w:r>
          </w:p>
        </w:tc>
      </w:tr>
      <w:tr w:rsidR="002F23F6" w14:paraId="011E1C02" w14:textId="77777777" w:rsidTr="00CE1199">
        <w:trPr>
          <w:jc w:val="center"/>
        </w:trPr>
        <w:tc>
          <w:tcPr>
            <w:tcW w:w="2880" w:type="dxa"/>
            <w:shd w:val="clear" w:color="auto" w:fill="FFFFFF"/>
          </w:tcPr>
          <w:p w14:paraId="1801DF24" w14:textId="77777777" w:rsidR="002F23F6" w:rsidRDefault="00000000">
            <w:r>
              <w:rPr>
                <w:sz w:val="20"/>
              </w:rPr>
              <w:t>Return on Assets (ROA)</w:t>
            </w:r>
          </w:p>
        </w:tc>
        <w:tc>
          <w:tcPr>
            <w:tcW w:w="1152" w:type="dxa"/>
            <w:shd w:val="clear" w:color="auto" w:fill="FFFFFF"/>
          </w:tcPr>
          <w:p w14:paraId="1ADA2B24" w14:textId="77777777" w:rsidR="002F23F6" w:rsidRDefault="00000000">
            <w:pPr>
              <w:jc w:val="center"/>
            </w:pPr>
            <w:r>
              <w:rPr>
                <w:sz w:val="20"/>
              </w:rPr>
              <w:t>0.7%</w:t>
            </w:r>
          </w:p>
        </w:tc>
        <w:tc>
          <w:tcPr>
            <w:tcW w:w="1152" w:type="dxa"/>
            <w:shd w:val="clear" w:color="auto" w:fill="FFFFFF"/>
          </w:tcPr>
          <w:p w14:paraId="3EB5CD5C" w14:textId="77777777" w:rsidR="002F23F6" w:rsidRDefault="00000000">
            <w:pPr>
              <w:jc w:val="center"/>
            </w:pPr>
            <w:r>
              <w:rPr>
                <w:sz w:val="20"/>
              </w:rPr>
              <w:t>2.1%</w:t>
            </w:r>
          </w:p>
        </w:tc>
        <w:tc>
          <w:tcPr>
            <w:tcW w:w="1152" w:type="dxa"/>
            <w:shd w:val="clear" w:color="auto" w:fill="FFFFFF"/>
          </w:tcPr>
          <w:p w14:paraId="5F940E9F" w14:textId="77777777" w:rsidR="002F23F6" w:rsidRDefault="00000000">
            <w:pPr>
              <w:jc w:val="center"/>
            </w:pPr>
            <w:r>
              <w:rPr>
                <w:sz w:val="20"/>
              </w:rPr>
              <w:t>2.9%</w:t>
            </w:r>
          </w:p>
        </w:tc>
        <w:tc>
          <w:tcPr>
            <w:tcW w:w="1152" w:type="dxa"/>
            <w:shd w:val="clear" w:color="auto" w:fill="FFFFFF"/>
          </w:tcPr>
          <w:p w14:paraId="4E01DF8C" w14:textId="77777777" w:rsidR="002F23F6" w:rsidRDefault="00000000">
            <w:pPr>
              <w:jc w:val="center"/>
            </w:pPr>
            <w:r>
              <w:rPr>
                <w:sz w:val="20"/>
              </w:rPr>
              <w:t>4.2%</w:t>
            </w:r>
          </w:p>
        </w:tc>
        <w:tc>
          <w:tcPr>
            <w:tcW w:w="1152" w:type="dxa"/>
            <w:shd w:val="clear" w:color="auto" w:fill="FFFFFF"/>
          </w:tcPr>
          <w:p w14:paraId="38E9EC61" w14:textId="77777777" w:rsidR="002F23F6" w:rsidRDefault="00000000">
            <w:pPr>
              <w:jc w:val="center"/>
            </w:pPr>
            <w:r>
              <w:rPr>
                <w:sz w:val="20"/>
              </w:rPr>
              <w:t>3.7%</w:t>
            </w:r>
          </w:p>
        </w:tc>
      </w:tr>
    </w:tbl>
    <w:p w14:paraId="7B25393D" w14:textId="77777777" w:rsidR="002F23F6" w:rsidRDefault="00000000" w:rsidP="00CE1199">
      <w:pPr>
        <w:spacing w:before="60" w:after="120" w:line="360" w:lineRule="exact"/>
        <w:jc w:val="center"/>
      </w:pPr>
      <w:r>
        <w:rPr>
          <w:sz w:val="18"/>
        </w:rPr>
        <w:t>Source: Hyundai Motor Company (2024); Hyundai Motor Company (2025)</w:t>
      </w:r>
    </w:p>
    <w:p w14:paraId="5E11C20F" w14:textId="77777777" w:rsidR="00C11EA6" w:rsidRDefault="00000000">
      <w:pPr>
        <w:spacing w:before="40" w:after="80" w:line="300" w:lineRule="exact"/>
      </w:pPr>
      <w:r w:rsidRPr="009E1D76">
        <w:t>Table 1 demonstrates that Hyundai’s profitability strengthened significantly across FY2020–FY2024, with net profit margin rising from 1.4% to 7.1% and ROE recovering from 1.9% to 10.4%, confirming a robust earnings recovery driven by EV market repositioning and improved pricing discipline.</w:t>
      </w:r>
    </w:p>
    <w:p w14:paraId="0F6AA09C" w14:textId="77777777" w:rsidR="00CE1199" w:rsidRDefault="006D3F40" w:rsidP="00CE1199">
      <w:pPr>
        <w:keepNext/>
        <w:jc w:val="center"/>
      </w:pPr>
      <w:r>
        <w:rPr>
          <w:noProof/>
        </w:rPr>
        <w:drawing>
          <wp:inline distT="0" distB="0" distL="0" distR="0" wp14:anchorId="5E4E6A64" wp14:editId="2C26ED80">
            <wp:extent cx="5463540" cy="3436620"/>
            <wp:effectExtent l="0" t="0" r="3810" b="0"/>
            <wp:docPr id="16967822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7">
                      <a:extLst>
                        <a:ext uri="{28A0092B-C50C-407E-A947-70E740481C1C}">
                          <a14:useLocalDpi xmlns:a14="http://schemas.microsoft.com/office/drawing/2010/main" val="0"/>
                        </a:ext>
                      </a:extLst>
                    </a:blip>
                    <a:srcRect t="5648"/>
                    <a:stretch>
                      <a:fillRect/>
                    </a:stretch>
                  </pic:blipFill>
                  <pic:spPr bwMode="auto">
                    <a:xfrm>
                      <a:off x="0" y="0"/>
                      <a:ext cx="5463540" cy="3436620"/>
                    </a:xfrm>
                    <a:prstGeom prst="rect">
                      <a:avLst/>
                    </a:prstGeom>
                    <a:noFill/>
                    <a:ln>
                      <a:noFill/>
                    </a:ln>
                    <a:extLst>
                      <a:ext uri="{53640926-AAD7-44D8-BBD7-CCE9431645EC}">
                        <a14:shadowObscured xmlns:a14="http://schemas.microsoft.com/office/drawing/2010/main"/>
                      </a:ext>
                    </a:extLst>
                  </pic:spPr>
                </pic:pic>
              </a:graphicData>
            </a:graphic>
          </wp:inline>
        </w:drawing>
      </w:r>
    </w:p>
    <w:p w14:paraId="6A4EAA37" w14:textId="5C55C5E5" w:rsidR="002F23F6" w:rsidRDefault="00CE1199" w:rsidP="00CE1199">
      <w:pPr>
        <w:pStyle w:val="Caption"/>
        <w:jc w:val="center"/>
      </w:pPr>
      <w:bookmarkStart w:id="4" w:name="_Toc227887990"/>
      <w:r>
        <w:t xml:space="preserve">Figure </w:t>
      </w:r>
      <w:fldSimple w:instr=" SEQ Figure \* ARABIC ">
        <w:r w:rsidR="00053944">
          <w:rPr>
            <w:noProof/>
          </w:rPr>
          <w:t>1</w:t>
        </w:r>
      </w:fldSimple>
      <w:r>
        <w:t xml:space="preserve"> </w:t>
      </w:r>
      <w:r w:rsidRPr="002A1908">
        <w:t>Revenue and Operating Profit Trend, FY2020–FY2024</w:t>
      </w:r>
      <w:bookmarkEnd w:id="4"/>
    </w:p>
    <w:p w14:paraId="66E4E7FB" w14:textId="33253B1B" w:rsidR="002F23F6" w:rsidRDefault="00000000">
      <w:pPr>
        <w:spacing w:after="240"/>
        <w:jc w:val="center"/>
      </w:pPr>
      <w:r>
        <w:rPr>
          <w:i/>
          <w:color w:val="595959"/>
          <w:sz w:val="20"/>
        </w:rPr>
        <w:t>Source: Hyundai Motor Company Annual Reports</w:t>
      </w:r>
    </w:p>
    <w:p w14:paraId="76A46684" w14:textId="77777777" w:rsidR="002F23F6" w:rsidRDefault="001C5774">
      <w:pPr>
        <w:spacing w:before="60" w:after="120" w:line="360" w:lineRule="exact"/>
      </w:pPr>
      <w:r>
        <w:t xml:space="preserve">The gross profit margin has increased to 20.4 that will result in a gradual increase of the management of the production costs and the favourable pricing environment of the premium EV models. The operating margin is a far more dramatic tale: the 2.3% of FY2020 was due to a collapse in volumes and factory shutdowns brought about by the </w:t>
      </w:r>
      <w:r>
        <w:lastRenderedPageBreak/>
        <w:t>pandemic and the recovery to 9.3% in FY2023 was the operational leverage inherent in the business in situations when everything went back to normal. Its minor decline to 8.1% in FY2024 was attributed to an increase in warranty coverage due to a weaker Korean Won and increased incentives in the dealers in the increasingly competitive EV markets (Hyundai Motor Company, 2025).</w:t>
      </w:r>
    </w:p>
    <w:p w14:paraId="315037A2" w14:textId="77777777" w:rsidR="00CE1199" w:rsidRDefault="00AB3B2D" w:rsidP="00CE1199">
      <w:pPr>
        <w:keepNext/>
        <w:jc w:val="center"/>
      </w:pPr>
      <w:r>
        <w:rPr>
          <w:noProof/>
        </w:rPr>
        <w:drawing>
          <wp:inline distT="0" distB="0" distL="0" distR="0" wp14:anchorId="01DDA9AD" wp14:editId="1ADC8159">
            <wp:extent cx="5943600" cy="3738880"/>
            <wp:effectExtent l="0" t="0" r="0" b="0"/>
            <wp:docPr id="118298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8">
                      <a:extLst>
                        <a:ext uri="{28A0092B-C50C-407E-A947-70E740481C1C}">
                          <a14:useLocalDpi xmlns:a14="http://schemas.microsoft.com/office/drawing/2010/main" val="0"/>
                        </a:ext>
                      </a:extLst>
                    </a:blip>
                    <a:srcRect t="5642" b="-1"/>
                    <a:stretch>
                      <a:fillRect/>
                    </a:stretch>
                  </pic:blipFill>
                  <pic:spPr bwMode="auto">
                    <a:xfrm>
                      <a:off x="0" y="0"/>
                      <a:ext cx="5943600" cy="3738880"/>
                    </a:xfrm>
                    <a:prstGeom prst="rect">
                      <a:avLst/>
                    </a:prstGeom>
                    <a:noFill/>
                    <a:ln>
                      <a:noFill/>
                    </a:ln>
                    <a:extLst>
                      <a:ext uri="{53640926-AAD7-44D8-BBD7-CCE9431645EC}">
                        <a14:shadowObscured xmlns:a14="http://schemas.microsoft.com/office/drawing/2010/main"/>
                      </a:ext>
                    </a:extLst>
                  </pic:spPr>
                </pic:pic>
              </a:graphicData>
            </a:graphic>
          </wp:inline>
        </w:drawing>
      </w:r>
    </w:p>
    <w:p w14:paraId="1BFDCA18" w14:textId="2A57E7DA" w:rsidR="002F23F6" w:rsidRDefault="00CE1199" w:rsidP="00CE1199">
      <w:pPr>
        <w:pStyle w:val="Caption"/>
        <w:jc w:val="center"/>
      </w:pPr>
      <w:bookmarkStart w:id="5" w:name="_Toc227887991"/>
      <w:r>
        <w:t xml:space="preserve">Figure </w:t>
      </w:r>
      <w:fldSimple w:instr=" SEQ Figure \* ARABIC ">
        <w:r w:rsidR="00053944">
          <w:rPr>
            <w:noProof/>
          </w:rPr>
          <w:t>2</w:t>
        </w:r>
      </w:fldSimple>
      <w:r>
        <w:t xml:space="preserve"> </w:t>
      </w:r>
      <w:r w:rsidRPr="0050585B">
        <w:t>Profitability Margins, FY2020–FY2024</w:t>
      </w:r>
      <w:bookmarkEnd w:id="5"/>
    </w:p>
    <w:p w14:paraId="723EC32C" w14:textId="61E09E9B" w:rsidR="002F23F6" w:rsidRDefault="00000000">
      <w:pPr>
        <w:spacing w:after="240"/>
        <w:jc w:val="center"/>
      </w:pPr>
      <w:r>
        <w:rPr>
          <w:i/>
          <w:color w:val="595959"/>
          <w:sz w:val="20"/>
        </w:rPr>
        <w:t>Source: Hyundai Motor Company Annual Reports</w:t>
      </w:r>
    </w:p>
    <w:p w14:paraId="0CE05DDF" w14:textId="77777777" w:rsidR="00CE1199" w:rsidRDefault="001C5774">
      <w:pPr>
        <w:spacing w:before="60" w:after="120" w:line="360" w:lineRule="exact"/>
      </w:pPr>
      <w:r>
        <w:t>The net profit increased by nine times in absolute terms, as at FY2020, the net profit stood at KRW 1.4 trillion and in FY2024, the net profit was KRW 12.5 trillion. The profitability also on the shareholders showed that the shareholders had been better compensated with 10.4 on the equity invested, compared to the previous year when it was only 1.9, which was a significant benefit, as the profitability normalised and grew. ROA changed to 3.7% compared to 0.7 which is that the increasing asset base is being utilized with increased efficiency. Although these returns are lower than the 15-18% ROE thresholds of technology-platform companies, they are a fitting result of a capital-intensive automotive firm and are not periods of cyclical volatility (Palepu, Healy and Peek, 2019).</w:t>
      </w:r>
    </w:p>
    <w:p w14:paraId="48B4D551" w14:textId="0150E5CA" w:rsidR="00C11EA6" w:rsidRDefault="00000000" w:rsidP="00CE1199">
      <w:pPr>
        <w:spacing w:before="60" w:after="120" w:line="360" w:lineRule="exact"/>
      </w:pPr>
      <w:r>
        <w:lastRenderedPageBreak/>
        <w:t xml:space="preserve">To contextualise Hyundai’s financial performance, Table </w:t>
      </w:r>
      <w:r w:rsidR="00CE1199">
        <w:t>2</w:t>
      </w:r>
      <w:r>
        <w:t xml:space="preserve"> below provides a benchmark comparison with closest Korean peer KIA Corporation and global competitor Honda Motor Company for FY2024, covering profitability, liquidity, and leverage dimensions (KIA Corporation, 2024; Honda Motor Co., 2024).</w:t>
      </w:r>
    </w:p>
    <w:p w14:paraId="23AFAE55" w14:textId="5B6CB215" w:rsidR="00CE1199" w:rsidRDefault="00CE1199" w:rsidP="00CE1199">
      <w:pPr>
        <w:pStyle w:val="Caption"/>
        <w:keepNext/>
        <w:jc w:val="center"/>
      </w:pPr>
      <w:bookmarkStart w:id="6" w:name="_Toc227887999"/>
      <w:r>
        <w:t xml:space="preserve">Table </w:t>
      </w:r>
      <w:fldSimple w:instr=" SEQ Table \* ARABIC ">
        <w:r w:rsidR="00053944">
          <w:rPr>
            <w:noProof/>
          </w:rPr>
          <w:t>2</w:t>
        </w:r>
      </w:fldSimple>
      <w:r>
        <w:t xml:space="preserve"> </w:t>
      </w:r>
      <w:r w:rsidRPr="00446FBB">
        <w:t xml:space="preserve">Peer Comparison </w:t>
      </w:r>
      <w:r>
        <w:t>-</w:t>
      </w:r>
      <w:r w:rsidRPr="00446FBB">
        <w:t xml:space="preserve"> Hyundai, KIA, and Honda (FY2024)</w:t>
      </w:r>
      <w:bookmarkEnd w:id="6"/>
    </w:p>
    <w:tbl>
      <w:tblPr>
        <w:tblStyle w:val="TableGrid"/>
        <w:tblW w:w="9360" w:type="dxa"/>
        <w:jc w:val="center"/>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Look w:val="04A0" w:firstRow="1" w:lastRow="0" w:firstColumn="1" w:lastColumn="0" w:noHBand="0" w:noVBand="1"/>
      </w:tblPr>
      <w:tblGrid>
        <w:gridCol w:w="3240"/>
        <w:gridCol w:w="2040"/>
        <w:gridCol w:w="2040"/>
        <w:gridCol w:w="2040"/>
      </w:tblGrid>
      <w:tr w:rsidR="002F23F6" w14:paraId="3BC40629" w14:textId="77777777" w:rsidTr="00CE1199">
        <w:trPr>
          <w:jc w:val="center"/>
        </w:trPr>
        <w:tc>
          <w:tcPr>
            <w:tcW w:w="3240" w:type="dxa"/>
            <w:shd w:val="clear" w:color="auto" w:fill="1F5C99"/>
          </w:tcPr>
          <w:p w14:paraId="5C686528" w14:textId="77777777" w:rsidR="002F23F6" w:rsidRDefault="00000000">
            <w:pPr>
              <w:jc w:val="center"/>
            </w:pPr>
            <w:r>
              <w:rPr>
                <w:b/>
                <w:color w:val="FFFFFF"/>
                <w:sz w:val="20"/>
              </w:rPr>
              <w:t>Metric (FY2024)</w:t>
            </w:r>
          </w:p>
        </w:tc>
        <w:tc>
          <w:tcPr>
            <w:tcW w:w="2040" w:type="dxa"/>
            <w:shd w:val="clear" w:color="auto" w:fill="1F5C99"/>
          </w:tcPr>
          <w:p w14:paraId="2BFD9C7B" w14:textId="77777777" w:rsidR="002F23F6" w:rsidRDefault="00000000">
            <w:pPr>
              <w:jc w:val="center"/>
            </w:pPr>
            <w:r>
              <w:rPr>
                <w:b/>
                <w:color w:val="FFFFFF"/>
                <w:sz w:val="20"/>
              </w:rPr>
              <w:t>Hyundai</w:t>
            </w:r>
          </w:p>
        </w:tc>
        <w:tc>
          <w:tcPr>
            <w:tcW w:w="2040" w:type="dxa"/>
            <w:shd w:val="clear" w:color="auto" w:fill="1F5C99"/>
          </w:tcPr>
          <w:p w14:paraId="3B68D235" w14:textId="77777777" w:rsidR="002F23F6" w:rsidRDefault="00000000">
            <w:pPr>
              <w:jc w:val="center"/>
            </w:pPr>
            <w:r>
              <w:rPr>
                <w:b/>
                <w:color w:val="FFFFFF"/>
                <w:sz w:val="20"/>
              </w:rPr>
              <w:t>KIA</w:t>
            </w:r>
          </w:p>
        </w:tc>
        <w:tc>
          <w:tcPr>
            <w:tcW w:w="2040" w:type="dxa"/>
            <w:shd w:val="clear" w:color="auto" w:fill="1F5C99"/>
          </w:tcPr>
          <w:p w14:paraId="3F550595" w14:textId="77777777" w:rsidR="002F23F6" w:rsidRDefault="00000000">
            <w:pPr>
              <w:jc w:val="center"/>
            </w:pPr>
            <w:r>
              <w:rPr>
                <w:b/>
                <w:color w:val="FFFFFF"/>
                <w:sz w:val="20"/>
              </w:rPr>
              <w:t>Honda</w:t>
            </w:r>
          </w:p>
        </w:tc>
      </w:tr>
      <w:tr w:rsidR="002F23F6" w14:paraId="0BF6379F" w14:textId="77777777" w:rsidTr="00CE1199">
        <w:trPr>
          <w:jc w:val="center"/>
        </w:trPr>
        <w:tc>
          <w:tcPr>
            <w:tcW w:w="3240" w:type="dxa"/>
            <w:shd w:val="clear" w:color="auto" w:fill="FFFFFF"/>
          </w:tcPr>
          <w:p w14:paraId="6A2D3559" w14:textId="77777777" w:rsidR="002F23F6" w:rsidRDefault="00000000">
            <w:r>
              <w:rPr>
                <w:sz w:val="20"/>
              </w:rPr>
              <w:t>Operating Margin (%)</w:t>
            </w:r>
          </w:p>
        </w:tc>
        <w:tc>
          <w:tcPr>
            <w:tcW w:w="2040" w:type="dxa"/>
            <w:shd w:val="clear" w:color="auto" w:fill="FFFFFF"/>
          </w:tcPr>
          <w:p w14:paraId="63648B18" w14:textId="77777777" w:rsidR="002F23F6" w:rsidRDefault="00000000">
            <w:pPr>
              <w:jc w:val="center"/>
            </w:pPr>
            <w:r>
              <w:rPr>
                <w:sz w:val="20"/>
              </w:rPr>
              <w:t>8.1%</w:t>
            </w:r>
          </w:p>
        </w:tc>
        <w:tc>
          <w:tcPr>
            <w:tcW w:w="2040" w:type="dxa"/>
            <w:shd w:val="clear" w:color="auto" w:fill="FFFFFF"/>
          </w:tcPr>
          <w:p w14:paraId="233909E9" w14:textId="77777777" w:rsidR="002F23F6" w:rsidRDefault="00000000">
            <w:pPr>
              <w:jc w:val="center"/>
            </w:pPr>
            <w:r>
              <w:rPr>
                <w:sz w:val="20"/>
              </w:rPr>
              <w:t>7.8%</w:t>
            </w:r>
          </w:p>
        </w:tc>
        <w:tc>
          <w:tcPr>
            <w:tcW w:w="2040" w:type="dxa"/>
            <w:shd w:val="clear" w:color="auto" w:fill="FFFFFF"/>
          </w:tcPr>
          <w:p w14:paraId="5E3E0297" w14:textId="77777777" w:rsidR="002F23F6" w:rsidRDefault="00000000">
            <w:pPr>
              <w:jc w:val="center"/>
            </w:pPr>
            <w:r>
              <w:rPr>
                <w:sz w:val="20"/>
              </w:rPr>
              <w:t>7.2%</w:t>
            </w:r>
          </w:p>
        </w:tc>
      </w:tr>
      <w:tr w:rsidR="002F23F6" w14:paraId="498DA725" w14:textId="77777777" w:rsidTr="00CE1199">
        <w:trPr>
          <w:jc w:val="center"/>
        </w:trPr>
        <w:tc>
          <w:tcPr>
            <w:tcW w:w="3240" w:type="dxa"/>
            <w:shd w:val="clear" w:color="auto" w:fill="DCE6F1"/>
          </w:tcPr>
          <w:p w14:paraId="7FC07D4A" w14:textId="77777777" w:rsidR="002F23F6" w:rsidRDefault="00000000">
            <w:r>
              <w:rPr>
                <w:sz w:val="20"/>
              </w:rPr>
              <w:t>Net Profit Margin (%)</w:t>
            </w:r>
          </w:p>
        </w:tc>
        <w:tc>
          <w:tcPr>
            <w:tcW w:w="2040" w:type="dxa"/>
            <w:shd w:val="clear" w:color="auto" w:fill="DCE6F1"/>
          </w:tcPr>
          <w:p w14:paraId="1693785F" w14:textId="77777777" w:rsidR="002F23F6" w:rsidRDefault="00000000">
            <w:pPr>
              <w:jc w:val="center"/>
            </w:pPr>
            <w:r>
              <w:rPr>
                <w:sz w:val="20"/>
              </w:rPr>
              <w:t>7.1%</w:t>
            </w:r>
          </w:p>
        </w:tc>
        <w:tc>
          <w:tcPr>
            <w:tcW w:w="2040" w:type="dxa"/>
            <w:shd w:val="clear" w:color="auto" w:fill="DCE6F1"/>
          </w:tcPr>
          <w:p w14:paraId="327D8AFC" w14:textId="77777777" w:rsidR="002F23F6" w:rsidRDefault="00000000">
            <w:pPr>
              <w:jc w:val="center"/>
            </w:pPr>
            <w:r>
              <w:rPr>
                <w:sz w:val="20"/>
              </w:rPr>
              <w:t>7.1%</w:t>
            </w:r>
          </w:p>
        </w:tc>
        <w:tc>
          <w:tcPr>
            <w:tcW w:w="2040" w:type="dxa"/>
            <w:shd w:val="clear" w:color="auto" w:fill="DCE6F1"/>
          </w:tcPr>
          <w:p w14:paraId="1549C169" w14:textId="77777777" w:rsidR="002F23F6" w:rsidRDefault="00000000">
            <w:pPr>
              <w:jc w:val="center"/>
            </w:pPr>
            <w:r>
              <w:rPr>
                <w:sz w:val="20"/>
              </w:rPr>
              <w:t>5.8%</w:t>
            </w:r>
          </w:p>
        </w:tc>
      </w:tr>
      <w:tr w:rsidR="002F23F6" w14:paraId="79266D15" w14:textId="77777777" w:rsidTr="00CE1199">
        <w:trPr>
          <w:jc w:val="center"/>
        </w:trPr>
        <w:tc>
          <w:tcPr>
            <w:tcW w:w="3240" w:type="dxa"/>
            <w:shd w:val="clear" w:color="auto" w:fill="FFFFFF"/>
          </w:tcPr>
          <w:p w14:paraId="5A5213A7" w14:textId="77777777" w:rsidR="002F23F6" w:rsidRDefault="00000000">
            <w:r>
              <w:rPr>
                <w:sz w:val="20"/>
              </w:rPr>
              <w:t>ROE (%)</w:t>
            </w:r>
          </w:p>
        </w:tc>
        <w:tc>
          <w:tcPr>
            <w:tcW w:w="2040" w:type="dxa"/>
            <w:shd w:val="clear" w:color="auto" w:fill="FFFFFF"/>
          </w:tcPr>
          <w:p w14:paraId="19C8C603" w14:textId="77777777" w:rsidR="002F23F6" w:rsidRDefault="00000000">
            <w:pPr>
              <w:jc w:val="center"/>
            </w:pPr>
            <w:r>
              <w:rPr>
                <w:sz w:val="20"/>
              </w:rPr>
              <w:t>10.4%</w:t>
            </w:r>
          </w:p>
        </w:tc>
        <w:tc>
          <w:tcPr>
            <w:tcW w:w="2040" w:type="dxa"/>
            <w:shd w:val="clear" w:color="auto" w:fill="FFFFFF"/>
          </w:tcPr>
          <w:p w14:paraId="46611A7C" w14:textId="77777777" w:rsidR="002F23F6" w:rsidRDefault="00000000">
            <w:pPr>
              <w:jc w:val="center"/>
            </w:pPr>
            <w:r>
              <w:rPr>
                <w:sz w:val="20"/>
              </w:rPr>
              <w:t>16.2%</w:t>
            </w:r>
          </w:p>
        </w:tc>
        <w:tc>
          <w:tcPr>
            <w:tcW w:w="2040" w:type="dxa"/>
            <w:shd w:val="clear" w:color="auto" w:fill="FFFFFF"/>
          </w:tcPr>
          <w:p w14:paraId="1641E622" w14:textId="77777777" w:rsidR="002F23F6" w:rsidRDefault="00000000">
            <w:pPr>
              <w:jc w:val="center"/>
            </w:pPr>
            <w:r>
              <w:rPr>
                <w:sz w:val="20"/>
              </w:rPr>
              <w:t>9.2%</w:t>
            </w:r>
          </w:p>
        </w:tc>
      </w:tr>
      <w:tr w:rsidR="002F23F6" w14:paraId="43E24981" w14:textId="77777777" w:rsidTr="00CE1199">
        <w:trPr>
          <w:jc w:val="center"/>
        </w:trPr>
        <w:tc>
          <w:tcPr>
            <w:tcW w:w="3240" w:type="dxa"/>
            <w:shd w:val="clear" w:color="auto" w:fill="DCE6F1"/>
          </w:tcPr>
          <w:p w14:paraId="5233AA73" w14:textId="77777777" w:rsidR="002F23F6" w:rsidRDefault="00000000">
            <w:r>
              <w:rPr>
                <w:sz w:val="20"/>
              </w:rPr>
              <w:t>ROA (%)</w:t>
            </w:r>
          </w:p>
        </w:tc>
        <w:tc>
          <w:tcPr>
            <w:tcW w:w="2040" w:type="dxa"/>
            <w:shd w:val="clear" w:color="auto" w:fill="DCE6F1"/>
          </w:tcPr>
          <w:p w14:paraId="231EE64E" w14:textId="77777777" w:rsidR="002F23F6" w:rsidRDefault="00000000">
            <w:pPr>
              <w:jc w:val="center"/>
            </w:pPr>
            <w:r>
              <w:rPr>
                <w:sz w:val="20"/>
              </w:rPr>
              <w:t>3.7%</w:t>
            </w:r>
          </w:p>
        </w:tc>
        <w:tc>
          <w:tcPr>
            <w:tcW w:w="2040" w:type="dxa"/>
            <w:shd w:val="clear" w:color="auto" w:fill="DCE6F1"/>
          </w:tcPr>
          <w:p w14:paraId="737600B8" w14:textId="77777777" w:rsidR="002F23F6" w:rsidRDefault="00000000">
            <w:pPr>
              <w:jc w:val="center"/>
            </w:pPr>
            <w:r>
              <w:rPr>
                <w:sz w:val="20"/>
              </w:rPr>
              <w:t>4.9%</w:t>
            </w:r>
          </w:p>
        </w:tc>
        <w:tc>
          <w:tcPr>
            <w:tcW w:w="2040" w:type="dxa"/>
            <w:shd w:val="clear" w:color="auto" w:fill="DCE6F1"/>
          </w:tcPr>
          <w:p w14:paraId="11069080" w14:textId="77777777" w:rsidR="002F23F6" w:rsidRDefault="00000000">
            <w:pPr>
              <w:jc w:val="center"/>
            </w:pPr>
            <w:r>
              <w:rPr>
                <w:sz w:val="20"/>
              </w:rPr>
              <w:t>2.9%</w:t>
            </w:r>
          </w:p>
        </w:tc>
      </w:tr>
      <w:tr w:rsidR="002F23F6" w14:paraId="11D1E213" w14:textId="77777777" w:rsidTr="00CE1199">
        <w:trPr>
          <w:jc w:val="center"/>
        </w:trPr>
        <w:tc>
          <w:tcPr>
            <w:tcW w:w="3240" w:type="dxa"/>
            <w:shd w:val="clear" w:color="auto" w:fill="FFFFFF"/>
          </w:tcPr>
          <w:p w14:paraId="5B2AACE2" w14:textId="77777777" w:rsidR="002F23F6" w:rsidRDefault="00000000">
            <w:r>
              <w:rPr>
                <w:sz w:val="20"/>
              </w:rPr>
              <w:t>Current Ratio</w:t>
            </w:r>
          </w:p>
        </w:tc>
        <w:tc>
          <w:tcPr>
            <w:tcW w:w="2040" w:type="dxa"/>
            <w:shd w:val="clear" w:color="auto" w:fill="FFFFFF"/>
          </w:tcPr>
          <w:p w14:paraId="0F373DD6" w14:textId="77777777" w:rsidR="002F23F6" w:rsidRDefault="00000000">
            <w:pPr>
              <w:jc w:val="center"/>
            </w:pPr>
            <w:r>
              <w:rPr>
                <w:sz w:val="20"/>
              </w:rPr>
              <w:t>1.46</w:t>
            </w:r>
          </w:p>
        </w:tc>
        <w:tc>
          <w:tcPr>
            <w:tcW w:w="2040" w:type="dxa"/>
            <w:shd w:val="clear" w:color="auto" w:fill="FFFFFF"/>
          </w:tcPr>
          <w:p w14:paraId="554BE527" w14:textId="77777777" w:rsidR="002F23F6" w:rsidRDefault="00000000">
            <w:pPr>
              <w:jc w:val="center"/>
            </w:pPr>
            <w:r>
              <w:rPr>
                <w:sz w:val="20"/>
              </w:rPr>
              <w:t>1.38</w:t>
            </w:r>
          </w:p>
        </w:tc>
        <w:tc>
          <w:tcPr>
            <w:tcW w:w="2040" w:type="dxa"/>
            <w:shd w:val="clear" w:color="auto" w:fill="FFFFFF"/>
          </w:tcPr>
          <w:p w14:paraId="5BA2DBAA" w14:textId="77777777" w:rsidR="002F23F6" w:rsidRDefault="00000000">
            <w:pPr>
              <w:jc w:val="center"/>
            </w:pPr>
            <w:r>
              <w:rPr>
                <w:sz w:val="20"/>
              </w:rPr>
              <w:t>1.43</w:t>
            </w:r>
          </w:p>
        </w:tc>
      </w:tr>
      <w:tr w:rsidR="002F23F6" w14:paraId="6145444E" w14:textId="77777777" w:rsidTr="00CE1199">
        <w:trPr>
          <w:jc w:val="center"/>
        </w:trPr>
        <w:tc>
          <w:tcPr>
            <w:tcW w:w="3240" w:type="dxa"/>
            <w:shd w:val="clear" w:color="auto" w:fill="DCE6F1"/>
          </w:tcPr>
          <w:p w14:paraId="3BDABA29" w14:textId="77777777" w:rsidR="002F23F6" w:rsidRDefault="00000000">
            <w:r>
              <w:rPr>
                <w:sz w:val="20"/>
              </w:rPr>
              <w:t>Debt-to-Equity</w:t>
            </w:r>
          </w:p>
        </w:tc>
        <w:tc>
          <w:tcPr>
            <w:tcW w:w="2040" w:type="dxa"/>
            <w:shd w:val="clear" w:color="auto" w:fill="DCE6F1"/>
          </w:tcPr>
          <w:p w14:paraId="512486C4" w14:textId="77777777" w:rsidR="002F23F6" w:rsidRDefault="00000000">
            <w:pPr>
              <w:jc w:val="center"/>
            </w:pPr>
            <w:r>
              <w:rPr>
                <w:sz w:val="20"/>
              </w:rPr>
              <w:t>1.31</w:t>
            </w:r>
          </w:p>
        </w:tc>
        <w:tc>
          <w:tcPr>
            <w:tcW w:w="2040" w:type="dxa"/>
            <w:shd w:val="clear" w:color="auto" w:fill="DCE6F1"/>
          </w:tcPr>
          <w:p w14:paraId="0152FF2C" w14:textId="77777777" w:rsidR="002F23F6" w:rsidRDefault="00000000">
            <w:pPr>
              <w:jc w:val="center"/>
            </w:pPr>
            <w:r>
              <w:rPr>
                <w:sz w:val="20"/>
              </w:rPr>
              <w:t>1.22</w:t>
            </w:r>
          </w:p>
        </w:tc>
        <w:tc>
          <w:tcPr>
            <w:tcW w:w="2040" w:type="dxa"/>
            <w:shd w:val="clear" w:color="auto" w:fill="DCE6F1"/>
          </w:tcPr>
          <w:p w14:paraId="6813F906" w14:textId="77777777" w:rsidR="002F23F6" w:rsidRDefault="00000000">
            <w:pPr>
              <w:jc w:val="center"/>
            </w:pPr>
            <w:r>
              <w:rPr>
                <w:sz w:val="20"/>
              </w:rPr>
              <w:t>1.18</w:t>
            </w:r>
          </w:p>
        </w:tc>
      </w:tr>
      <w:tr w:rsidR="002F23F6" w14:paraId="3361BF01" w14:textId="77777777" w:rsidTr="00CE1199">
        <w:trPr>
          <w:jc w:val="center"/>
        </w:trPr>
        <w:tc>
          <w:tcPr>
            <w:tcW w:w="3240" w:type="dxa"/>
            <w:shd w:val="clear" w:color="auto" w:fill="FFFFFF"/>
          </w:tcPr>
          <w:p w14:paraId="395A4392" w14:textId="77777777" w:rsidR="002F23F6" w:rsidRDefault="00000000">
            <w:r>
              <w:rPr>
                <w:sz w:val="20"/>
              </w:rPr>
              <w:t>Interest Cover (x)</w:t>
            </w:r>
          </w:p>
        </w:tc>
        <w:tc>
          <w:tcPr>
            <w:tcW w:w="2040" w:type="dxa"/>
            <w:shd w:val="clear" w:color="auto" w:fill="FFFFFF"/>
          </w:tcPr>
          <w:p w14:paraId="56DF0CB5" w14:textId="77777777" w:rsidR="002F23F6" w:rsidRDefault="00000000">
            <w:pPr>
              <w:jc w:val="center"/>
            </w:pPr>
            <w:r>
              <w:rPr>
                <w:sz w:val="20"/>
              </w:rPr>
              <w:t>31.5x</w:t>
            </w:r>
          </w:p>
        </w:tc>
        <w:tc>
          <w:tcPr>
            <w:tcW w:w="2040" w:type="dxa"/>
            <w:shd w:val="clear" w:color="auto" w:fill="FFFFFF"/>
          </w:tcPr>
          <w:p w14:paraId="45F75F55" w14:textId="77777777" w:rsidR="002F23F6" w:rsidRDefault="00000000">
            <w:pPr>
              <w:jc w:val="center"/>
            </w:pPr>
            <w:r>
              <w:rPr>
                <w:sz w:val="20"/>
              </w:rPr>
              <w:t>28.4x</w:t>
            </w:r>
          </w:p>
        </w:tc>
        <w:tc>
          <w:tcPr>
            <w:tcW w:w="2040" w:type="dxa"/>
            <w:shd w:val="clear" w:color="auto" w:fill="FFFFFF"/>
          </w:tcPr>
          <w:p w14:paraId="3E112914" w14:textId="77777777" w:rsidR="002F23F6" w:rsidRDefault="00000000">
            <w:pPr>
              <w:jc w:val="center"/>
            </w:pPr>
            <w:r>
              <w:rPr>
                <w:sz w:val="20"/>
              </w:rPr>
              <w:t>19.6x</w:t>
            </w:r>
          </w:p>
        </w:tc>
      </w:tr>
    </w:tbl>
    <w:p w14:paraId="47E961EE" w14:textId="77777777" w:rsidR="00C11EA6" w:rsidRDefault="00000000">
      <w:pPr>
        <w:spacing w:before="40" w:after="60" w:line="280" w:lineRule="exact"/>
      </w:pPr>
      <w:r>
        <w:rPr>
          <w:sz w:val="18"/>
        </w:rPr>
        <w:t>Sources: KIA Corporation Annual Report (2024); Honda Motor Co. Annual Report (2024); StockAnalysis.com (2025)</w:t>
      </w:r>
    </w:p>
    <w:p w14:paraId="5F5EB5C2" w14:textId="61AE932C" w:rsidR="00C11EA6" w:rsidRPr="00FE3FED" w:rsidRDefault="00000000">
      <w:pPr>
        <w:spacing w:before="40" w:after="80" w:line="300" w:lineRule="exact"/>
      </w:pPr>
      <w:r w:rsidRPr="00FE3FED">
        <w:t xml:space="preserve">Table </w:t>
      </w:r>
      <w:r w:rsidR="00CE1199" w:rsidRPr="00FE3FED">
        <w:t>2</w:t>
      </w:r>
      <w:r w:rsidRPr="00FE3FED">
        <w:t xml:space="preserve"> confirms that Hyundai’s profitability is broadly aligned with KIA in FY2024, though KIA’s ROE of 16.2% exceeds Hyundai’s 10.4%, reflecting a leaner balance sheet; both Korean OEMs outperform Honda on return metrics, while all three maintain adequate liquidity buffers consistent with investment-grade profiles.</w:t>
      </w:r>
    </w:p>
    <w:p w14:paraId="02DCFF10" w14:textId="77777777" w:rsidR="00CE1199" w:rsidRDefault="00CE1199">
      <w:pPr>
        <w:spacing w:before="40" w:after="80" w:line="300" w:lineRule="exact"/>
        <w:rPr>
          <w:i/>
          <w:sz w:val="20"/>
        </w:rPr>
      </w:pPr>
    </w:p>
    <w:p w14:paraId="53343589" w14:textId="2D9529B9" w:rsidR="00CE1199" w:rsidRDefault="00FE3FED">
      <w:pPr>
        <w:spacing w:before="40" w:after="80" w:line="300" w:lineRule="exact"/>
        <w:rPr>
          <w:i/>
          <w:sz w:val="20"/>
        </w:rPr>
      </w:pPr>
      <w:r>
        <w:rPr>
          <w:noProof/>
        </w:rPr>
        <w:drawing>
          <wp:anchor distT="0" distB="0" distL="114300" distR="114300" simplePos="0" relativeHeight="251609600" behindDoc="1" locked="0" layoutInCell="1" allowOverlap="1" wp14:anchorId="149DE84E" wp14:editId="76BC5EDC">
            <wp:simplePos x="0" y="0"/>
            <wp:positionH relativeFrom="column">
              <wp:posOffset>99060</wp:posOffset>
            </wp:positionH>
            <wp:positionV relativeFrom="paragraph">
              <wp:posOffset>17145</wp:posOffset>
            </wp:positionV>
            <wp:extent cx="5943600" cy="2788285"/>
            <wp:effectExtent l="0" t="0" r="0" b="0"/>
            <wp:wrapNone/>
            <wp:docPr id="1406" name="img1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png"/>
                    <pic:cNvPicPr>
                      <a:picLocks noChangeAspect="1" noChangeArrowheads="1"/>
                    </pic:cNvPicPr>
                  </pic:nvPicPr>
                  <pic:blipFill rotWithShape="1">
                    <a:blip r:embed="rId9"/>
                    <a:srcRect t="6155"/>
                    <a:stretch>
                      <a:fillRect/>
                    </a:stretch>
                  </pic:blipFill>
                  <pic:spPr bwMode="auto">
                    <a:xfrm>
                      <a:off x="0" y="0"/>
                      <a:ext cx="5943600" cy="278828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4AC4DA3" w14:textId="77777777" w:rsidR="00CE1199" w:rsidRDefault="00CE1199">
      <w:pPr>
        <w:spacing w:before="40" w:after="80" w:line="300" w:lineRule="exact"/>
        <w:rPr>
          <w:i/>
          <w:sz w:val="20"/>
        </w:rPr>
      </w:pPr>
    </w:p>
    <w:p w14:paraId="23A1269F" w14:textId="77777777" w:rsidR="00CE1199" w:rsidRDefault="00CE1199">
      <w:pPr>
        <w:spacing w:before="40" w:after="80" w:line="300" w:lineRule="exact"/>
        <w:rPr>
          <w:i/>
          <w:sz w:val="20"/>
        </w:rPr>
      </w:pPr>
    </w:p>
    <w:p w14:paraId="332A321B" w14:textId="77777777" w:rsidR="00CE1199" w:rsidRDefault="00CE1199">
      <w:pPr>
        <w:spacing w:before="40" w:after="80" w:line="300" w:lineRule="exact"/>
        <w:rPr>
          <w:i/>
          <w:sz w:val="20"/>
        </w:rPr>
      </w:pPr>
    </w:p>
    <w:p w14:paraId="105B471F" w14:textId="77777777" w:rsidR="00CE1199" w:rsidRDefault="00CE1199">
      <w:pPr>
        <w:spacing w:before="40" w:after="80" w:line="300" w:lineRule="exact"/>
        <w:rPr>
          <w:i/>
          <w:sz w:val="20"/>
        </w:rPr>
      </w:pPr>
    </w:p>
    <w:p w14:paraId="39A1440E" w14:textId="77777777" w:rsidR="00CE1199" w:rsidRDefault="00CE1199">
      <w:pPr>
        <w:spacing w:before="40" w:after="80" w:line="300" w:lineRule="exact"/>
        <w:rPr>
          <w:i/>
          <w:sz w:val="20"/>
        </w:rPr>
      </w:pPr>
    </w:p>
    <w:p w14:paraId="305CFACA" w14:textId="77777777" w:rsidR="00CE1199" w:rsidRDefault="00CE1199">
      <w:pPr>
        <w:spacing w:before="40" w:after="80" w:line="300" w:lineRule="exact"/>
        <w:rPr>
          <w:i/>
          <w:sz w:val="20"/>
        </w:rPr>
      </w:pPr>
    </w:p>
    <w:p w14:paraId="048CE224" w14:textId="16213F7D" w:rsidR="00CE1199" w:rsidRDefault="00FE3FED" w:rsidP="00FE3FED">
      <w:pPr>
        <w:tabs>
          <w:tab w:val="left" w:pos="4032"/>
        </w:tabs>
        <w:spacing w:before="40" w:after="80" w:line="300" w:lineRule="exact"/>
        <w:rPr>
          <w:i/>
          <w:sz w:val="20"/>
        </w:rPr>
      </w:pPr>
      <w:r>
        <w:rPr>
          <w:i/>
          <w:sz w:val="20"/>
        </w:rPr>
        <w:tab/>
      </w:r>
    </w:p>
    <w:p w14:paraId="258F85EB" w14:textId="77777777" w:rsidR="00CE1199" w:rsidRDefault="00CE1199" w:rsidP="00FE3FED">
      <w:pPr>
        <w:spacing w:before="40" w:after="80" w:line="300" w:lineRule="exact"/>
        <w:jc w:val="center"/>
        <w:rPr>
          <w:i/>
          <w:sz w:val="20"/>
        </w:rPr>
      </w:pPr>
    </w:p>
    <w:p w14:paraId="5399C4CF" w14:textId="148D5F87" w:rsidR="00CE1199" w:rsidRDefault="00FE3FED" w:rsidP="00FE3FED">
      <w:pPr>
        <w:tabs>
          <w:tab w:val="left" w:pos="8040"/>
        </w:tabs>
        <w:spacing w:before="40" w:after="80" w:line="300" w:lineRule="exact"/>
      </w:pPr>
      <w:r>
        <w:tab/>
      </w:r>
    </w:p>
    <w:p w14:paraId="641F65F0" w14:textId="77777777" w:rsidR="00CE1199" w:rsidRDefault="00CE1199">
      <w:pPr>
        <w:spacing w:before="40" w:after="80" w:line="300" w:lineRule="exact"/>
      </w:pPr>
    </w:p>
    <w:p w14:paraId="643FE796" w14:textId="4E6E78F2" w:rsidR="00CE1199" w:rsidRDefault="00FE3FED">
      <w:pPr>
        <w:spacing w:before="40" w:after="80" w:line="300" w:lineRule="exact"/>
      </w:pPr>
      <w:r>
        <w:rPr>
          <w:noProof/>
        </w:rPr>
        <mc:AlternateContent>
          <mc:Choice Requires="wps">
            <w:drawing>
              <wp:anchor distT="0" distB="0" distL="114300" distR="114300" simplePos="0" relativeHeight="251621888" behindDoc="1" locked="0" layoutInCell="1" allowOverlap="1" wp14:anchorId="4C29F24C" wp14:editId="20AFF179">
                <wp:simplePos x="0" y="0"/>
                <wp:positionH relativeFrom="column">
                  <wp:posOffset>0</wp:posOffset>
                </wp:positionH>
                <wp:positionV relativeFrom="paragraph">
                  <wp:posOffset>205105</wp:posOffset>
                </wp:positionV>
                <wp:extent cx="6515100" cy="635"/>
                <wp:effectExtent l="0" t="0" r="0" b="8255"/>
                <wp:wrapNone/>
                <wp:docPr id="294155402" name="Text Box 1"/>
                <wp:cNvGraphicFramePr/>
                <a:graphic xmlns:a="http://schemas.openxmlformats.org/drawingml/2006/main">
                  <a:graphicData uri="http://schemas.microsoft.com/office/word/2010/wordprocessingShape">
                    <wps:wsp>
                      <wps:cNvSpPr txBox="1"/>
                      <wps:spPr>
                        <a:xfrm>
                          <a:off x="0" y="0"/>
                          <a:ext cx="6515100" cy="635"/>
                        </a:xfrm>
                        <a:prstGeom prst="rect">
                          <a:avLst/>
                        </a:prstGeom>
                        <a:solidFill>
                          <a:prstClr val="white"/>
                        </a:solidFill>
                        <a:ln>
                          <a:noFill/>
                        </a:ln>
                      </wps:spPr>
                      <wps:txbx>
                        <w:txbxContent>
                          <w:p w14:paraId="019D392D" w14:textId="2D6EE2B0" w:rsidR="00FE3FED" w:rsidRPr="00A94779" w:rsidRDefault="00FE3FED" w:rsidP="00FE3FED">
                            <w:pPr>
                              <w:pStyle w:val="Caption"/>
                              <w:jc w:val="center"/>
                              <w:rPr>
                                <w:noProof/>
                                <w:szCs w:val="22"/>
                              </w:rPr>
                            </w:pPr>
                            <w:bookmarkStart w:id="7" w:name="_Toc227887992"/>
                            <w:r>
                              <w:t xml:space="preserve">Figure </w:t>
                            </w:r>
                            <w:fldSimple w:instr=" SEQ Figure \* ARABIC ">
                              <w:r w:rsidR="00053944">
                                <w:rPr>
                                  <w:noProof/>
                                </w:rPr>
                                <w:t>3</w:t>
                              </w:r>
                            </w:fldSimple>
                            <w:r>
                              <w:t xml:space="preserve"> </w:t>
                            </w:r>
                            <w:r w:rsidRPr="00E85616">
                              <w:t>Peer Comparison - Hyundai vs KIA vs Honda (FY2024)</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C29F24C" id="_x0000_t202" coordsize="21600,21600" o:spt="202" path="m,l,21600r21600,l21600,xe">
                <v:stroke joinstyle="miter"/>
                <v:path gradientshapeok="t" o:connecttype="rect"/>
              </v:shapetype>
              <v:shape id="Text Box 1" o:spid="_x0000_s1026" type="#_x0000_t202" style="position:absolute;left:0;text-align:left;margin-left:0;margin-top:16.15pt;width:513pt;height:.05pt;z-index:-251694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" stroked="f">
                <v:textbox style="mso-fit-shape-to-text:t" inset="0,0,0,0">
                  <w:txbxContent>
                    <w:p w14:paraId="019D392D" w14:textId="2D6EE2B0" w:rsidR="00FE3FED" w:rsidRPr="00A94779" w:rsidRDefault="00FE3FED" w:rsidP="00FE3FED">
                      <w:pPr>
                        <w:pStyle w:val="Caption"/>
                        <w:jc w:val="center"/>
                        <w:rPr>
                          <w:noProof/>
                          <w:szCs w:val="22"/>
                        </w:rPr>
                      </w:pPr>
                      <w:bookmarkStart w:id="8" w:name="_Toc227887992"/>
                      <w:r>
                        <w:t xml:space="preserve">Figure </w:t>
                      </w:r>
                      <w:fldSimple w:instr=" SEQ Figure \* ARABIC ">
                        <w:r w:rsidR="00053944">
                          <w:rPr>
                            <w:noProof/>
                          </w:rPr>
                          <w:t>3</w:t>
                        </w:r>
                      </w:fldSimple>
                      <w:r>
                        <w:t xml:space="preserve"> </w:t>
                      </w:r>
                      <w:r w:rsidRPr="00E85616">
                        <w:t>Peer Comparison - Hyundai vs KIA vs Honda (FY2024)</w:t>
                      </w:r>
                      <w:bookmarkEnd w:id="8"/>
                    </w:p>
                  </w:txbxContent>
                </v:textbox>
              </v:shape>
            </w:pict>
          </mc:Fallback>
        </mc:AlternateContent>
      </w:r>
    </w:p>
    <w:p w14:paraId="0F137FC6" w14:textId="710478EC" w:rsidR="00FE3FED" w:rsidRDefault="00FE3FED" w:rsidP="00FE3FED">
      <w:pPr>
        <w:spacing w:before="40" w:after="160" w:line="300" w:lineRule="exact"/>
        <w:rPr>
          <w:i/>
          <w:color w:val="595959"/>
          <w:sz w:val="20"/>
        </w:rPr>
      </w:pPr>
    </w:p>
    <w:p w14:paraId="0F07782C" w14:textId="4C08F7B4" w:rsidR="00C11EA6" w:rsidRDefault="00000000">
      <w:pPr>
        <w:spacing w:before="40" w:after="160" w:line="300" w:lineRule="exact"/>
        <w:jc w:val="center"/>
        <w:rPr>
          <w:i/>
          <w:color w:val="595959"/>
          <w:sz w:val="20"/>
        </w:rPr>
      </w:pPr>
      <w:r>
        <w:rPr>
          <w:i/>
          <w:color w:val="595959"/>
          <w:sz w:val="20"/>
        </w:rPr>
        <w:t>Sources: Company Annual Reports; StockAnalysis.com (2025)</w:t>
      </w:r>
    </w:p>
    <w:p w14:paraId="7172A0FB" w14:textId="77777777" w:rsidR="00FE3FED" w:rsidRDefault="00FE3FED">
      <w:pPr>
        <w:spacing w:before="40" w:after="160" w:line="300" w:lineRule="exact"/>
        <w:jc w:val="center"/>
        <w:rPr>
          <w:i/>
          <w:color w:val="595959"/>
          <w:sz w:val="20"/>
        </w:rPr>
      </w:pPr>
    </w:p>
    <w:p w14:paraId="11DE1CDF" w14:textId="77777777" w:rsidR="00FE3FED" w:rsidRDefault="00FE3FED">
      <w:pPr>
        <w:spacing w:before="40" w:after="160" w:line="300" w:lineRule="exact"/>
        <w:jc w:val="center"/>
      </w:pPr>
    </w:p>
    <w:p w14:paraId="2C99EAE1" w14:textId="77777777" w:rsidR="002F23F6" w:rsidRDefault="00000000" w:rsidP="00937AB4">
      <w:pPr>
        <w:pStyle w:val="Heading2"/>
      </w:pPr>
      <w:bookmarkStart w:id="9" w:name="_Toc227888381"/>
      <w:r>
        <w:lastRenderedPageBreak/>
        <w:t>2.2 Liquidity Analysis</w:t>
      </w:r>
      <w:bookmarkEnd w:id="9"/>
    </w:p>
    <w:p w14:paraId="42EEAA84" w14:textId="787C7842" w:rsidR="00FE3FED" w:rsidRDefault="00FE3FED" w:rsidP="00FE3FED">
      <w:pPr>
        <w:pStyle w:val="Caption"/>
        <w:keepNext/>
        <w:jc w:val="center"/>
      </w:pPr>
      <w:bookmarkStart w:id="10" w:name="_Toc227888000"/>
      <w:r>
        <w:t xml:space="preserve">Table </w:t>
      </w:r>
      <w:fldSimple w:instr=" SEQ Table \* ARABIC ">
        <w:r w:rsidR="00053944">
          <w:rPr>
            <w:noProof/>
          </w:rPr>
          <w:t>3</w:t>
        </w:r>
      </w:fldSimple>
      <w:r>
        <w:t xml:space="preserve"> </w:t>
      </w:r>
      <w:r w:rsidRPr="00646755">
        <w:t xml:space="preserve">Hyundai Motor Company </w:t>
      </w:r>
      <w:r w:rsidR="009E1D76">
        <w:t>-</w:t>
      </w:r>
      <w:r w:rsidRPr="00646755">
        <w:t xml:space="preserve"> Liquidity and Gearing Ratios, FY2020–FY2024</w:t>
      </w:r>
      <w:bookmarkEnd w:id="10"/>
    </w:p>
    <w:tbl>
      <w:tblPr>
        <w:tblStyle w:val="TableGrid"/>
        <w:tblW w:w="0" w:type="auto"/>
        <w:jc w:val="center"/>
        <w:tblLook w:val="04A0" w:firstRow="1" w:lastRow="0" w:firstColumn="1" w:lastColumn="0" w:noHBand="0" w:noVBand="1"/>
      </w:tblPr>
      <w:tblGrid>
        <w:gridCol w:w="2880"/>
        <w:gridCol w:w="1152"/>
        <w:gridCol w:w="1152"/>
        <w:gridCol w:w="1152"/>
        <w:gridCol w:w="1152"/>
        <w:gridCol w:w="1152"/>
      </w:tblGrid>
      <w:tr w:rsidR="002F23F6" w14:paraId="1CB13F9F" w14:textId="77777777" w:rsidTr="00FE3FED">
        <w:trPr>
          <w:jc w:val="center"/>
        </w:trPr>
        <w:tc>
          <w:tcPr>
            <w:tcW w:w="2880" w:type="dxa"/>
            <w:shd w:val="clear" w:color="auto" w:fill="1F497D"/>
          </w:tcPr>
          <w:p w14:paraId="1FDB35B3" w14:textId="77777777" w:rsidR="002F23F6" w:rsidRDefault="00000000">
            <w:pPr>
              <w:jc w:val="center"/>
            </w:pPr>
            <w:r>
              <w:rPr>
                <w:b/>
                <w:color w:val="FFFFFF"/>
                <w:sz w:val="20"/>
              </w:rPr>
              <w:t>Metric</w:t>
            </w:r>
          </w:p>
        </w:tc>
        <w:tc>
          <w:tcPr>
            <w:tcW w:w="1152" w:type="dxa"/>
            <w:shd w:val="clear" w:color="auto" w:fill="1F497D"/>
          </w:tcPr>
          <w:p w14:paraId="37A7E0FB" w14:textId="77777777" w:rsidR="002F23F6" w:rsidRDefault="00000000">
            <w:pPr>
              <w:jc w:val="center"/>
            </w:pPr>
            <w:r>
              <w:rPr>
                <w:b/>
                <w:color w:val="FFFFFF"/>
                <w:sz w:val="20"/>
              </w:rPr>
              <w:t>FY2020</w:t>
            </w:r>
          </w:p>
        </w:tc>
        <w:tc>
          <w:tcPr>
            <w:tcW w:w="1152" w:type="dxa"/>
            <w:shd w:val="clear" w:color="auto" w:fill="1F497D"/>
          </w:tcPr>
          <w:p w14:paraId="3E6EC591" w14:textId="77777777" w:rsidR="002F23F6" w:rsidRDefault="00000000">
            <w:pPr>
              <w:jc w:val="center"/>
            </w:pPr>
            <w:r>
              <w:rPr>
                <w:b/>
                <w:color w:val="FFFFFF"/>
                <w:sz w:val="20"/>
              </w:rPr>
              <w:t>FY2021</w:t>
            </w:r>
          </w:p>
        </w:tc>
        <w:tc>
          <w:tcPr>
            <w:tcW w:w="1152" w:type="dxa"/>
            <w:shd w:val="clear" w:color="auto" w:fill="1F497D"/>
          </w:tcPr>
          <w:p w14:paraId="3A9E10FC" w14:textId="77777777" w:rsidR="002F23F6" w:rsidRDefault="00000000">
            <w:pPr>
              <w:jc w:val="center"/>
            </w:pPr>
            <w:r>
              <w:rPr>
                <w:b/>
                <w:color w:val="FFFFFF"/>
                <w:sz w:val="20"/>
              </w:rPr>
              <w:t>FY2022</w:t>
            </w:r>
          </w:p>
        </w:tc>
        <w:tc>
          <w:tcPr>
            <w:tcW w:w="1152" w:type="dxa"/>
            <w:shd w:val="clear" w:color="auto" w:fill="1F497D"/>
          </w:tcPr>
          <w:p w14:paraId="5CFE6E0F" w14:textId="77777777" w:rsidR="002F23F6" w:rsidRDefault="00000000">
            <w:pPr>
              <w:jc w:val="center"/>
            </w:pPr>
            <w:r>
              <w:rPr>
                <w:b/>
                <w:color w:val="FFFFFF"/>
                <w:sz w:val="20"/>
              </w:rPr>
              <w:t>FY2023</w:t>
            </w:r>
          </w:p>
        </w:tc>
        <w:tc>
          <w:tcPr>
            <w:tcW w:w="1152" w:type="dxa"/>
            <w:shd w:val="clear" w:color="auto" w:fill="1F497D"/>
          </w:tcPr>
          <w:p w14:paraId="27D11F79" w14:textId="77777777" w:rsidR="002F23F6" w:rsidRDefault="00000000">
            <w:pPr>
              <w:jc w:val="center"/>
            </w:pPr>
            <w:r>
              <w:rPr>
                <w:b/>
                <w:color w:val="FFFFFF"/>
                <w:sz w:val="20"/>
              </w:rPr>
              <w:t>FY2024</w:t>
            </w:r>
          </w:p>
        </w:tc>
      </w:tr>
      <w:tr w:rsidR="002F23F6" w14:paraId="3287B64C" w14:textId="77777777" w:rsidTr="00FE3FED">
        <w:trPr>
          <w:jc w:val="center"/>
        </w:trPr>
        <w:tc>
          <w:tcPr>
            <w:tcW w:w="2880" w:type="dxa"/>
            <w:shd w:val="clear" w:color="auto" w:fill="FFFFFF"/>
          </w:tcPr>
          <w:p w14:paraId="56E2885C" w14:textId="77777777" w:rsidR="002F23F6" w:rsidRDefault="00000000">
            <w:r>
              <w:rPr>
                <w:sz w:val="20"/>
              </w:rPr>
              <w:t>Current Ratio</w:t>
            </w:r>
          </w:p>
        </w:tc>
        <w:tc>
          <w:tcPr>
            <w:tcW w:w="1152" w:type="dxa"/>
            <w:shd w:val="clear" w:color="auto" w:fill="FFFFFF"/>
          </w:tcPr>
          <w:p w14:paraId="4B9603D8" w14:textId="77777777" w:rsidR="002F23F6" w:rsidRDefault="00000000">
            <w:pPr>
              <w:jc w:val="center"/>
            </w:pPr>
            <w:r>
              <w:rPr>
                <w:sz w:val="20"/>
              </w:rPr>
              <w:t>1.41</w:t>
            </w:r>
          </w:p>
        </w:tc>
        <w:tc>
          <w:tcPr>
            <w:tcW w:w="1152" w:type="dxa"/>
            <w:shd w:val="clear" w:color="auto" w:fill="FFFFFF"/>
          </w:tcPr>
          <w:p w14:paraId="551E47D0" w14:textId="77777777" w:rsidR="002F23F6" w:rsidRDefault="00000000">
            <w:pPr>
              <w:jc w:val="center"/>
            </w:pPr>
            <w:r>
              <w:rPr>
                <w:sz w:val="20"/>
              </w:rPr>
              <w:t>1.38</w:t>
            </w:r>
          </w:p>
        </w:tc>
        <w:tc>
          <w:tcPr>
            <w:tcW w:w="1152" w:type="dxa"/>
            <w:shd w:val="clear" w:color="auto" w:fill="FFFFFF"/>
          </w:tcPr>
          <w:p w14:paraId="05B5E84F" w14:textId="77777777" w:rsidR="002F23F6" w:rsidRDefault="00000000">
            <w:pPr>
              <w:jc w:val="center"/>
            </w:pPr>
            <w:r>
              <w:rPr>
                <w:sz w:val="20"/>
              </w:rPr>
              <w:t>1.30</w:t>
            </w:r>
          </w:p>
        </w:tc>
        <w:tc>
          <w:tcPr>
            <w:tcW w:w="1152" w:type="dxa"/>
            <w:shd w:val="clear" w:color="auto" w:fill="FFFFFF"/>
          </w:tcPr>
          <w:p w14:paraId="2E9DC7D6" w14:textId="77777777" w:rsidR="002F23F6" w:rsidRDefault="00000000">
            <w:pPr>
              <w:jc w:val="center"/>
            </w:pPr>
            <w:r>
              <w:rPr>
                <w:sz w:val="20"/>
              </w:rPr>
              <w:t>1.39</w:t>
            </w:r>
          </w:p>
        </w:tc>
        <w:tc>
          <w:tcPr>
            <w:tcW w:w="1152" w:type="dxa"/>
            <w:shd w:val="clear" w:color="auto" w:fill="FFFFFF"/>
          </w:tcPr>
          <w:p w14:paraId="76082BDD" w14:textId="77777777" w:rsidR="002F23F6" w:rsidRDefault="00000000">
            <w:pPr>
              <w:jc w:val="center"/>
            </w:pPr>
            <w:r>
              <w:rPr>
                <w:sz w:val="20"/>
              </w:rPr>
              <w:t>1.46</w:t>
            </w:r>
          </w:p>
        </w:tc>
      </w:tr>
      <w:tr w:rsidR="002F23F6" w14:paraId="7B403331" w14:textId="77777777" w:rsidTr="00FE3FED">
        <w:trPr>
          <w:jc w:val="center"/>
        </w:trPr>
        <w:tc>
          <w:tcPr>
            <w:tcW w:w="2880" w:type="dxa"/>
            <w:shd w:val="clear" w:color="auto" w:fill="DCE6F1"/>
          </w:tcPr>
          <w:p w14:paraId="1B694293" w14:textId="77777777" w:rsidR="002F23F6" w:rsidRDefault="00000000">
            <w:r>
              <w:rPr>
                <w:sz w:val="20"/>
              </w:rPr>
              <w:t>Quick Ratio</w:t>
            </w:r>
          </w:p>
        </w:tc>
        <w:tc>
          <w:tcPr>
            <w:tcW w:w="1152" w:type="dxa"/>
            <w:shd w:val="clear" w:color="auto" w:fill="DCE6F1"/>
          </w:tcPr>
          <w:p w14:paraId="302BC763" w14:textId="77777777" w:rsidR="002F23F6" w:rsidRDefault="00000000">
            <w:pPr>
              <w:jc w:val="center"/>
            </w:pPr>
            <w:r>
              <w:rPr>
                <w:sz w:val="20"/>
              </w:rPr>
              <w:t>1.22</w:t>
            </w:r>
          </w:p>
        </w:tc>
        <w:tc>
          <w:tcPr>
            <w:tcW w:w="1152" w:type="dxa"/>
            <w:shd w:val="clear" w:color="auto" w:fill="DCE6F1"/>
          </w:tcPr>
          <w:p w14:paraId="1A8CED78" w14:textId="77777777" w:rsidR="002F23F6" w:rsidRDefault="00000000">
            <w:pPr>
              <w:jc w:val="center"/>
            </w:pPr>
            <w:r>
              <w:rPr>
                <w:sz w:val="20"/>
              </w:rPr>
              <w:t>1.20</w:t>
            </w:r>
          </w:p>
        </w:tc>
        <w:tc>
          <w:tcPr>
            <w:tcW w:w="1152" w:type="dxa"/>
            <w:shd w:val="clear" w:color="auto" w:fill="DCE6F1"/>
          </w:tcPr>
          <w:p w14:paraId="2B7ED988" w14:textId="77777777" w:rsidR="002F23F6" w:rsidRDefault="00000000">
            <w:pPr>
              <w:jc w:val="center"/>
            </w:pPr>
            <w:r>
              <w:rPr>
                <w:sz w:val="20"/>
              </w:rPr>
              <w:t>1.11</w:t>
            </w:r>
          </w:p>
        </w:tc>
        <w:tc>
          <w:tcPr>
            <w:tcW w:w="1152" w:type="dxa"/>
            <w:shd w:val="clear" w:color="auto" w:fill="DCE6F1"/>
          </w:tcPr>
          <w:p w14:paraId="3C6BEE14" w14:textId="77777777" w:rsidR="002F23F6" w:rsidRDefault="00000000">
            <w:pPr>
              <w:jc w:val="center"/>
            </w:pPr>
            <w:r>
              <w:rPr>
                <w:sz w:val="20"/>
              </w:rPr>
              <w:t>1.15</w:t>
            </w:r>
          </w:p>
        </w:tc>
        <w:tc>
          <w:tcPr>
            <w:tcW w:w="1152" w:type="dxa"/>
            <w:shd w:val="clear" w:color="auto" w:fill="DCE6F1"/>
          </w:tcPr>
          <w:p w14:paraId="13994D89" w14:textId="77777777" w:rsidR="002F23F6" w:rsidRDefault="00000000">
            <w:pPr>
              <w:jc w:val="center"/>
            </w:pPr>
            <w:r>
              <w:rPr>
                <w:sz w:val="20"/>
              </w:rPr>
              <w:t>1.21</w:t>
            </w:r>
          </w:p>
        </w:tc>
      </w:tr>
      <w:tr w:rsidR="002F23F6" w14:paraId="61F872A6" w14:textId="77777777" w:rsidTr="00FE3FED">
        <w:trPr>
          <w:jc w:val="center"/>
        </w:trPr>
        <w:tc>
          <w:tcPr>
            <w:tcW w:w="2880" w:type="dxa"/>
            <w:shd w:val="clear" w:color="auto" w:fill="FFFFFF"/>
          </w:tcPr>
          <w:p w14:paraId="68F8E85E" w14:textId="77777777" w:rsidR="002F23F6" w:rsidRDefault="00000000">
            <w:r>
              <w:rPr>
                <w:sz w:val="20"/>
              </w:rPr>
              <w:t>Cash Ratio</w:t>
            </w:r>
          </w:p>
        </w:tc>
        <w:tc>
          <w:tcPr>
            <w:tcW w:w="1152" w:type="dxa"/>
            <w:shd w:val="clear" w:color="auto" w:fill="FFFFFF"/>
          </w:tcPr>
          <w:p w14:paraId="2FF74ADF" w14:textId="77777777" w:rsidR="002F23F6" w:rsidRDefault="00000000">
            <w:pPr>
              <w:jc w:val="center"/>
            </w:pPr>
            <w:r>
              <w:rPr>
                <w:sz w:val="20"/>
              </w:rPr>
              <w:t>0.17</w:t>
            </w:r>
          </w:p>
        </w:tc>
        <w:tc>
          <w:tcPr>
            <w:tcW w:w="1152" w:type="dxa"/>
            <w:shd w:val="clear" w:color="auto" w:fill="FFFFFF"/>
          </w:tcPr>
          <w:p w14:paraId="3D0015FE" w14:textId="77777777" w:rsidR="002F23F6" w:rsidRDefault="00000000">
            <w:pPr>
              <w:jc w:val="center"/>
            </w:pPr>
            <w:r>
              <w:rPr>
                <w:sz w:val="20"/>
              </w:rPr>
              <w:t>0.20</w:t>
            </w:r>
          </w:p>
        </w:tc>
        <w:tc>
          <w:tcPr>
            <w:tcW w:w="1152" w:type="dxa"/>
            <w:shd w:val="clear" w:color="auto" w:fill="FFFFFF"/>
          </w:tcPr>
          <w:p w14:paraId="475887F7" w14:textId="77777777" w:rsidR="002F23F6" w:rsidRDefault="00000000">
            <w:pPr>
              <w:jc w:val="center"/>
            </w:pPr>
            <w:r>
              <w:rPr>
                <w:sz w:val="20"/>
              </w:rPr>
              <w:t>0.28</w:t>
            </w:r>
          </w:p>
        </w:tc>
        <w:tc>
          <w:tcPr>
            <w:tcW w:w="1152" w:type="dxa"/>
            <w:shd w:val="clear" w:color="auto" w:fill="FFFFFF"/>
          </w:tcPr>
          <w:p w14:paraId="2A64EEA4" w14:textId="77777777" w:rsidR="002F23F6" w:rsidRDefault="00000000">
            <w:pPr>
              <w:jc w:val="center"/>
            </w:pPr>
            <w:r>
              <w:rPr>
                <w:sz w:val="20"/>
              </w:rPr>
              <w:t>0.26</w:t>
            </w:r>
          </w:p>
        </w:tc>
        <w:tc>
          <w:tcPr>
            <w:tcW w:w="1152" w:type="dxa"/>
            <w:shd w:val="clear" w:color="auto" w:fill="FFFFFF"/>
          </w:tcPr>
          <w:p w14:paraId="7D23D03B" w14:textId="77777777" w:rsidR="002F23F6" w:rsidRDefault="00000000">
            <w:pPr>
              <w:jc w:val="center"/>
            </w:pPr>
            <w:r>
              <w:rPr>
                <w:sz w:val="20"/>
              </w:rPr>
              <w:t>0.24</w:t>
            </w:r>
          </w:p>
        </w:tc>
      </w:tr>
      <w:tr w:rsidR="002F23F6" w14:paraId="0B421710" w14:textId="77777777" w:rsidTr="00FE3FED">
        <w:trPr>
          <w:jc w:val="center"/>
        </w:trPr>
        <w:tc>
          <w:tcPr>
            <w:tcW w:w="2880" w:type="dxa"/>
            <w:shd w:val="clear" w:color="auto" w:fill="DCE6F1"/>
          </w:tcPr>
          <w:p w14:paraId="13533707" w14:textId="77777777" w:rsidR="002F23F6" w:rsidRDefault="00000000">
            <w:r>
              <w:rPr>
                <w:sz w:val="20"/>
              </w:rPr>
              <w:t>Debt-to-Equity</w:t>
            </w:r>
          </w:p>
        </w:tc>
        <w:tc>
          <w:tcPr>
            <w:tcW w:w="1152" w:type="dxa"/>
            <w:shd w:val="clear" w:color="auto" w:fill="DCE6F1"/>
          </w:tcPr>
          <w:p w14:paraId="7A72D085" w14:textId="77777777" w:rsidR="002F23F6" w:rsidRDefault="00000000">
            <w:pPr>
              <w:jc w:val="center"/>
            </w:pPr>
            <w:r>
              <w:rPr>
                <w:sz w:val="20"/>
              </w:rPr>
              <w:t>1.21</w:t>
            </w:r>
          </w:p>
        </w:tc>
        <w:tc>
          <w:tcPr>
            <w:tcW w:w="1152" w:type="dxa"/>
            <w:shd w:val="clear" w:color="auto" w:fill="DCE6F1"/>
          </w:tcPr>
          <w:p w14:paraId="21B67B60" w14:textId="77777777" w:rsidR="002F23F6" w:rsidRDefault="00000000">
            <w:pPr>
              <w:jc w:val="center"/>
            </w:pPr>
            <w:r>
              <w:rPr>
                <w:sz w:val="20"/>
              </w:rPr>
              <w:t>1.32</w:t>
            </w:r>
          </w:p>
        </w:tc>
        <w:tc>
          <w:tcPr>
            <w:tcW w:w="1152" w:type="dxa"/>
            <w:shd w:val="clear" w:color="auto" w:fill="DCE6F1"/>
          </w:tcPr>
          <w:p w14:paraId="70A7CB7E" w14:textId="77777777" w:rsidR="002F23F6" w:rsidRDefault="00000000">
            <w:pPr>
              <w:jc w:val="center"/>
            </w:pPr>
            <w:r>
              <w:rPr>
                <w:sz w:val="20"/>
              </w:rPr>
              <w:t>1.25</w:t>
            </w:r>
          </w:p>
        </w:tc>
        <w:tc>
          <w:tcPr>
            <w:tcW w:w="1152" w:type="dxa"/>
            <w:shd w:val="clear" w:color="auto" w:fill="DCE6F1"/>
          </w:tcPr>
          <w:p w14:paraId="703694C3" w14:textId="77777777" w:rsidR="002F23F6" w:rsidRDefault="00000000">
            <w:pPr>
              <w:jc w:val="center"/>
            </w:pPr>
            <w:r>
              <w:rPr>
                <w:sz w:val="20"/>
              </w:rPr>
              <w:t>1.24</w:t>
            </w:r>
          </w:p>
        </w:tc>
        <w:tc>
          <w:tcPr>
            <w:tcW w:w="1152" w:type="dxa"/>
            <w:shd w:val="clear" w:color="auto" w:fill="DCE6F1"/>
          </w:tcPr>
          <w:p w14:paraId="78F5DD92" w14:textId="77777777" w:rsidR="002F23F6" w:rsidRDefault="00000000">
            <w:pPr>
              <w:jc w:val="center"/>
            </w:pPr>
            <w:r>
              <w:rPr>
                <w:sz w:val="20"/>
              </w:rPr>
              <w:t>1.31</w:t>
            </w:r>
          </w:p>
        </w:tc>
      </w:tr>
      <w:tr w:rsidR="002F23F6" w14:paraId="290329D6" w14:textId="77777777" w:rsidTr="00FE3FED">
        <w:trPr>
          <w:jc w:val="center"/>
        </w:trPr>
        <w:tc>
          <w:tcPr>
            <w:tcW w:w="2880" w:type="dxa"/>
            <w:shd w:val="clear" w:color="auto" w:fill="FFFFFF"/>
          </w:tcPr>
          <w:p w14:paraId="017B7F62" w14:textId="77777777" w:rsidR="002F23F6" w:rsidRDefault="00000000">
            <w:r>
              <w:rPr>
                <w:sz w:val="20"/>
              </w:rPr>
              <w:t>Debt-to-Assets</w:t>
            </w:r>
          </w:p>
        </w:tc>
        <w:tc>
          <w:tcPr>
            <w:tcW w:w="1152" w:type="dxa"/>
            <w:shd w:val="clear" w:color="auto" w:fill="FFFFFF"/>
          </w:tcPr>
          <w:p w14:paraId="79D27969" w14:textId="77777777" w:rsidR="002F23F6" w:rsidRDefault="00000000">
            <w:pPr>
              <w:jc w:val="center"/>
            </w:pPr>
            <w:r>
              <w:rPr>
                <w:sz w:val="20"/>
              </w:rPr>
              <w:t>0.44</w:t>
            </w:r>
          </w:p>
        </w:tc>
        <w:tc>
          <w:tcPr>
            <w:tcW w:w="1152" w:type="dxa"/>
            <w:shd w:val="clear" w:color="auto" w:fill="FFFFFF"/>
          </w:tcPr>
          <w:p w14:paraId="1A88B4CC" w14:textId="77777777" w:rsidR="002F23F6" w:rsidRDefault="00000000">
            <w:pPr>
              <w:jc w:val="center"/>
            </w:pPr>
            <w:r>
              <w:rPr>
                <w:sz w:val="20"/>
              </w:rPr>
              <w:t>0.46</w:t>
            </w:r>
          </w:p>
        </w:tc>
        <w:tc>
          <w:tcPr>
            <w:tcW w:w="1152" w:type="dxa"/>
            <w:shd w:val="clear" w:color="auto" w:fill="FFFFFF"/>
          </w:tcPr>
          <w:p w14:paraId="098CBAAC" w14:textId="77777777" w:rsidR="002F23F6" w:rsidRDefault="00000000">
            <w:pPr>
              <w:jc w:val="center"/>
            </w:pPr>
            <w:r>
              <w:rPr>
                <w:sz w:val="20"/>
              </w:rPr>
              <w:t>0.44</w:t>
            </w:r>
          </w:p>
        </w:tc>
        <w:tc>
          <w:tcPr>
            <w:tcW w:w="1152" w:type="dxa"/>
            <w:shd w:val="clear" w:color="auto" w:fill="FFFFFF"/>
          </w:tcPr>
          <w:p w14:paraId="76E213AD" w14:textId="77777777" w:rsidR="002F23F6" w:rsidRDefault="00000000">
            <w:pPr>
              <w:jc w:val="center"/>
            </w:pPr>
            <w:r>
              <w:rPr>
                <w:sz w:val="20"/>
              </w:rPr>
              <w:t>0.45</w:t>
            </w:r>
          </w:p>
        </w:tc>
        <w:tc>
          <w:tcPr>
            <w:tcW w:w="1152" w:type="dxa"/>
            <w:shd w:val="clear" w:color="auto" w:fill="FFFFFF"/>
          </w:tcPr>
          <w:p w14:paraId="5A19C0B8" w14:textId="77777777" w:rsidR="002F23F6" w:rsidRDefault="00000000">
            <w:pPr>
              <w:jc w:val="center"/>
            </w:pPr>
            <w:r>
              <w:rPr>
                <w:sz w:val="20"/>
              </w:rPr>
              <w:t>0.46</w:t>
            </w:r>
          </w:p>
        </w:tc>
      </w:tr>
      <w:tr w:rsidR="002F23F6" w14:paraId="72CA050D" w14:textId="77777777" w:rsidTr="00FE3FED">
        <w:trPr>
          <w:jc w:val="center"/>
        </w:trPr>
        <w:tc>
          <w:tcPr>
            <w:tcW w:w="2880" w:type="dxa"/>
            <w:shd w:val="clear" w:color="auto" w:fill="DCE6F1"/>
          </w:tcPr>
          <w:p w14:paraId="7968CC28" w14:textId="77777777" w:rsidR="002F23F6" w:rsidRDefault="00000000">
            <w:r>
              <w:rPr>
                <w:sz w:val="20"/>
              </w:rPr>
              <w:t>Interest Cover (x)</w:t>
            </w:r>
          </w:p>
        </w:tc>
        <w:tc>
          <w:tcPr>
            <w:tcW w:w="1152" w:type="dxa"/>
            <w:shd w:val="clear" w:color="auto" w:fill="DCE6F1"/>
          </w:tcPr>
          <w:p w14:paraId="446D1D6E" w14:textId="77777777" w:rsidR="002F23F6" w:rsidRDefault="00000000">
            <w:pPr>
              <w:jc w:val="center"/>
            </w:pPr>
            <w:r>
              <w:rPr>
                <w:sz w:val="20"/>
              </w:rPr>
              <w:t>6.6x</w:t>
            </w:r>
          </w:p>
        </w:tc>
        <w:tc>
          <w:tcPr>
            <w:tcW w:w="1152" w:type="dxa"/>
            <w:shd w:val="clear" w:color="auto" w:fill="DCE6F1"/>
          </w:tcPr>
          <w:p w14:paraId="290EEB64" w14:textId="77777777" w:rsidR="002F23F6" w:rsidRDefault="00000000">
            <w:pPr>
              <w:jc w:val="center"/>
            </w:pPr>
            <w:r>
              <w:rPr>
                <w:sz w:val="20"/>
              </w:rPr>
              <w:t>21.9x</w:t>
            </w:r>
          </w:p>
        </w:tc>
        <w:tc>
          <w:tcPr>
            <w:tcW w:w="1152" w:type="dxa"/>
            <w:shd w:val="clear" w:color="auto" w:fill="DCE6F1"/>
          </w:tcPr>
          <w:p w14:paraId="3C691A6B" w14:textId="77777777" w:rsidR="002F23F6" w:rsidRDefault="00000000">
            <w:pPr>
              <w:jc w:val="center"/>
            </w:pPr>
            <w:r>
              <w:rPr>
                <w:sz w:val="20"/>
              </w:rPr>
              <w:t>18.8x</w:t>
            </w:r>
          </w:p>
        </w:tc>
        <w:tc>
          <w:tcPr>
            <w:tcW w:w="1152" w:type="dxa"/>
            <w:shd w:val="clear" w:color="auto" w:fill="DCE6F1"/>
          </w:tcPr>
          <w:p w14:paraId="27275277" w14:textId="77777777" w:rsidR="002F23F6" w:rsidRDefault="00000000">
            <w:pPr>
              <w:jc w:val="center"/>
            </w:pPr>
            <w:r>
              <w:rPr>
                <w:sz w:val="20"/>
              </w:rPr>
              <w:t>27.1x</w:t>
            </w:r>
          </w:p>
        </w:tc>
        <w:tc>
          <w:tcPr>
            <w:tcW w:w="1152" w:type="dxa"/>
            <w:shd w:val="clear" w:color="auto" w:fill="DCE6F1"/>
          </w:tcPr>
          <w:p w14:paraId="2A935FAC" w14:textId="77777777" w:rsidR="002F23F6" w:rsidRDefault="00000000">
            <w:pPr>
              <w:jc w:val="center"/>
            </w:pPr>
            <w:r>
              <w:rPr>
                <w:sz w:val="20"/>
              </w:rPr>
              <w:t>31.5x</w:t>
            </w:r>
          </w:p>
        </w:tc>
      </w:tr>
    </w:tbl>
    <w:p w14:paraId="4B30AD12" w14:textId="77777777" w:rsidR="002F23F6" w:rsidRDefault="00000000" w:rsidP="00FE3FED">
      <w:pPr>
        <w:spacing w:before="60" w:after="120" w:line="360" w:lineRule="exact"/>
        <w:jc w:val="center"/>
      </w:pPr>
      <w:r>
        <w:rPr>
          <w:sz w:val="18"/>
        </w:rPr>
        <w:t>Source: Hyundai Motor Company (2024); Hyundai Motor Company (2025)</w:t>
      </w:r>
    </w:p>
    <w:p w14:paraId="256C745E" w14:textId="51DFFEE4" w:rsidR="00C11EA6" w:rsidRDefault="00000000">
      <w:pPr>
        <w:spacing w:before="40" w:after="80" w:line="300" w:lineRule="exact"/>
      </w:pPr>
      <w:r w:rsidRPr="00FE3FED">
        <w:t xml:space="preserve">Table </w:t>
      </w:r>
      <w:r w:rsidR="00FE3FED" w:rsidRPr="00FE3FED">
        <w:t>3</w:t>
      </w:r>
      <w:r w:rsidRPr="00FE3FED">
        <w:t xml:space="preserve"> reveals that liquidity remained stable throughout the period with current ratio between 1.30 and 1.46, while the dramatic improvement in interest cover (6.6x to 31.5x) signals that earnings growth has outpaced debt accumulation, conferring strong financial resilience despite higher absolute leverage levels.</w:t>
      </w:r>
    </w:p>
    <w:p w14:paraId="4CB8F20B" w14:textId="77777777" w:rsidR="001C5774" w:rsidRDefault="001C5774">
      <w:pPr>
        <w:spacing w:before="60" w:after="120" w:line="360" w:lineRule="exact"/>
      </w:pPr>
      <w:r>
        <w:t>The liquidity of Hyundai has generally remained the same over the period. The current ratio was between 1.30 and 1.46 and final FY2024 was at its five-year high. It means that the company will be able to fulfill the short-term obligations without any problems, but the ratios are not high which is quite characteristic of an OEM that is highly active in working capital use, and does not stash cascades of idle money (Brealey, Myers and Allen, 2023). The fact that even after deduction of inventories, the current ratio of 1.21 in FY2024 indicates that even with the disclosure of inventories, there is enough liquidity to take care of current liabilities which rules out fears of overrelying on inventory convertibility.</w:t>
      </w:r>
    </w:p>
    <w:p w14:paraId="6E2A7D2A" w14:textId="77777777" w:rsidR="002F23F6" w:rsidRDefault="001C5774">
      <w:pPr>
        <w:spacing w:before="60" w:after="120" w:line="360" w:lineRule="exact"/>
      </w:pPr>
      <w:r>
        <w:t>The interest cover ratio is probably the most encouraging figure in this section as it shows that the earnings increase is much higher than that of interests: the 6.6x in FY2020 are increased to 31.5x in FY2024. The debt burden is comfortably serviced in spite of the fact that total debt has increased almost two-fold in nominal terms. This is a very important counterbalance to leverage ratios and must have a substantial weight in any financial risk evaluation (Brealey, Myers and Allen, 2023).</w:t>
      </w:r>
    </w:p>
    <w:p w14:paraId="6CE55BB0" w14:textId="27D589D8" w:rsidR="002F23F6" w:rsidRDefault="00000000" w:rsidP="00FE3FED">
      <w:pPr>
        <w:pStyle w:val="Heading2"/>
      </w:pPr>
      <w:bookmarkStart w:id="11" w:name="_Toc227888382"/>
      <w:r>
        <w:t>2.3 Efficiency Analysis</w:t>
      </w:r>
      <w:bookmarkEnd w:id="11"/>
    </w:p>
    <w:p w14:paraId="72F78BAC" w14:textId="5085AD4F" w:rsidR="00FE3FED" w:rsidRDefault="00FE3FED" w:rsidP="00FE3FED">
      <w:pPr>
        <w:pStyle w:val="Caption"/>
        <w:keepNext/>
      </w:pPr>
      <w:bookmarkStart w:id="12" w:name="_Toc227888001"/>
      <w:r>
        <w:t xml:space="preserve">Table </w:t>
      </w:r>
      <w:fldSimple w:instr=" SEQ Table \* ARABIC ">
        <w:r w:rsidR="00053944">
          <w:rPr>
            <w:noProof/>
          </w:rPr>
          <w:t>4</w:t>
        </w:r>
      </w:fldSimple>
      <w:r>
        <w:t xml:space="preserve"> </w:t>
      </w:r>
      <w:r w:rsidRPr="00354E9E">
        <w:t xml:space="preserve">Hyundai Motor Company </w:t>
      </w:r>
      <w:r>
        <w:t>-</w:t>
      </w:r>
      <w:r w:rsidRPr="00354E9E">
        <w:t xml:space="preserve"> Efficiency Ratios, FY2020–FY2024</w:t>
      </w:r>
      <w:bookmarkEnd w:id="12"/>
    </w:p>
    <w:tbl>
      <w:tblPr>
        <w:tblStyle w:val="TableGrid"/>
        <w:tblW w:w="0" w:type="auto"/>
        <w:tblLook w:val="04A0" w:firstRow="1" w:lastRow="0" w:firstColumn="1" w:lastColumn="0" w:noHBand="0" w:noVBand="1"/>
      </w:tblPr>
      <w:tblGrid>
        <w:gridCol w:w="2880"/>
        <w:gridCol w:w="1152"/>
        <w:gridCol w:w="1152"/>
        <w:gridCol w:w="1152"/>
        <w:gridCol w:w="1152"/>
        <w:gridCol w:w="1152"/>
      </w:tblGrid>
      <w:tr w:rsidR="002F23F6" w14:paraId="215C27E3" w14:textId="77777777">
        <w:tc>
          <w:tcPr>
            <w:tcW w:w="2880" w:type="dxa"/>
            <w:shd w:val="clear" w:color="auto" w:fill="1F497D"/>
          </w:tcPr>
          <w:p w14:paraId="35FB512B" w14:textId="77777777" w:rsidR="002F23F6" w:rsidRDefault="00000000">
            <w:pPr>
              <w:jc w:val="center"/>
            </w:pPr>
            <w:r>
              <w:rPr>
                <w:b/>
                <w:color w:val="FFFFFF"/>
                <w:sz w:val="20"/>
              </w:rPr>
              <w:t>Metric</w:t>
            </w:r>
          </w:p>
        </w:tc>
        <w:tc>
          <w:tcPr>
            <w:tcW w:w="1152" w:type="dxa"/>
            <w:shd w:val="clear" w:color="auto" w:fill="1F497D"/>
          </w:tcPr>
          <w:p w14:paraId="0565BD8F" w14:textId="77777777" w:rsidR="002F23F6" w:rsidRDefault="00000000">
            <w:pPr>
              <w:jc w:val="center"/>
            </w:pPr>
            <w:r>
              <w:rPr>
                <w:b/>
                <w:color w:val="FFFFFF"/>
                <w:sz w:val="20"/>
              </w:rPr>
              <w:t>FY2020</w:t>
            </w:r>
          </w:p>
        </w:tc>
        <w:tc>
          <w:tcPr>
            <w:tcW w:w="1152" w:type="dxa"/>
            <w:shd w:val="clear" w:color="auto" w:fill="1F497D"/>
          </w:tcPr>
          <w:p w14:paraId="2B25CFBF" w14:textId="77777777" w:rsidR="002F23F6" w:rsidRDefault="00000000">
            <w:pPr>
              <w:jc w:val="center"/>
            </w:pPr>
            <w:r>
              <w:rPr>
                <w:b/>
                <w:color w:val="FFFFFF"/>
                <w:sz w:val="20"/>
              </w:rPr>
              <w:t>FY2021</w:t>
            </w:r>
          </w:p>
        </w:tc>
        <w:tc>
          <w:tcPr>
            <w:tcW w:w="1152" w:type="dxa"/>
            <w:shd w:val="clear" w:color="auto" w:fill="1F497D"/>
          </w:tcPr>
          <w:p w14:paraId="649FA016" w14:textId="77777777" w:rsidR="002F23F6" w:rsidRDefault="00000000">
            <w:pPr>
              <w:jc w:val="center"/>
            </w:pPr>
            <w:r>
              <w:rPr>
                <w:b/>
                <w:color w:val="FFFFFF"/>
                <w:sz w:val="20"/>
              </w:rPr>
              <w:t>FY2022</w:t>
            </w:r>
          </w:p>
        </w:tc>
        <w:tc>
          <w:tcPr>
            <w:tcW w:w="1152" w:type="dxa"/>
            <w:shd w:val="clear" w:color="auto" w:fill="1F497D"/>
          </w:tcPr>
          <w:p w14:paraId="5ACD53B1" w14:textId="77777777" w:rsidR="002F23F6" w:rsidRDefault="00000000">
            <w:pPr>
              <w:jc w:val="center"/>
            </w:pPr>
            <w:r>
              <w:rPr>
                <w:b/>
                <w:color w:val="FFFFFF"/>
                <w:sz w:val="20"/>
              </w:rPr>
              <w:t>FY2023</w:t>
            </w:r>
          </w:p>
        </w:tc>
        <w:tc>
          <w:tcPr>
            <w:tcW w:w="1152" w:type="dxa"/>
            <w:shd w:val="clear" w:color="auto" w:fill="1F497D"/>
          </w:tcPr>
          <w:p w14:paraId="12109621" w14:textId="77777777" w:rsidR="002F23F6" w:rsidRDefault="00000000">
            <w:pPr>
              <w:jc w:val="center"/>
            </w:pPr>
            <w:r>
              <w:rPr>
                <w:b/>
                <w:color w:val="FFFFFF"/>
                <w:sz w:val="20"/>
              </w:rPr>
              <w:t>FY2024</w:t>
            </w:r>
          </w:p>
        </w:tc>
      </w:tr>
      <w:tr w:rsidR="002F23F6" w14:paraId="1C8DA9A2" w14:textId="77777777">
        <w:tc>
          <w:tcPr>
            <w:tcW w:w="2880" w:type="dxa"/>
            <w:shd w:val="clear" w:color="auto" w:fill="FFFFFF"/>
          </w:tcPr>
          <w:p w14:paraId="6772F645" w14:textId="77777777" w:rsidR="002F23F6" w:rsidRDefault="00000000">
            <w:r>
              <w:rPr>
                <w:sz w:val="20"/>
              </w:rPr>
              <w:t>Inventory Days (DIO)</w:t>
            </w:r>
          </w:p>
        </w:tc>
        <w:tc>
          <w:tcPr>
            <w:tcW w:w="1152" w:type="dxa"/>
            <w:shd w:val="clear" w:color="auto" w:fill="FFFFFF"/>
          </w:tcPr>
          <w:p w14:paraId="405EA7DB" w14:textId="77777777" w:rsidR="002F23F6" w:rsidRDefault="00000000">
            <w:pPr>
              <w:jc w:val="center"/>
            </w:pPr>
            <w:r>
              <w:rPr>
                <w:sz w:val="20"/>
              </w:rPr>
              <w:t>48.4</w:t>
            </w:r>
          </w:p>
        </w:tc>
        <w:tc>
          <w:tcPr>
            <w:tcW w:w="1152" w:type="dxa"/>
            <w:shd w:val="clear" w:color="auto" w:fill="FFFFFF"/>
          </w:tcPr>
          <w:p w14:paraId="0A5A60E4" w14:textId="77777777" w:rsidR="002F23F6" w:rsidRDefault="00000000">
            <w:pPr>
              <w:jc w:val="center"/>
            </w:pPr>
            <w:r>
              <w:rPr>
                <w:sz w:val="20"/>
              </w:rPr>
              <w:t>44.4</w:t>
            </w:r>
          </w:p>
        </w:tc>
        <w:tc>
          <w:tcPr>
            <w:tcW w:w="1152" w:type="dxa"/>
            <w:shd w:val="clear" w:color="auto" w:fill="FFFFFF"/>
          </w:tcPr>
          <w:p w14:paraId="4843C69F" w14:textId="77777777" w:rsidR="002F23F6" w:rsidRDefault="00000000">
            <w:pPr>
              <w:jc w:val="center"/>
            </w:pPr>
            <w:r>
              <w:rPr>
                <w:sz w:val="20"/>
              </w:rPr>
              <w:t>45.8</w:t>
            </w:r>
          </w:p>
        </w:tc>
        <w:tc>
          <w:tcPr>
            <w:tcW w:w="1152" w:type="dxa"/>
            <w:shd w:val="clear" w:color="auto" w:fill="FFFFFF"/>
          </w:tcPr>
          <w:p w14:paraId="6B2799A6" w14:textId="77777777" w:rsidR="002F23F6" w:rsidRDefault="00000000">
            <w:pPr>
              <w:jc w:val="center"/>
            </w:pPr>
            <w:r>
              <w:rPr>
                <w:sz w:val="20"/>
              </w:rPr>
              <w:t>49.2</w:t>
            </w:r>
          </w:p>
        </w:tc>
        <w:tc>
          <w:tcPr>
            <w:tcW w:w="1152" w:type="dxa"/>
            <w:shd w:val="clear" w:color="auto" w:fill="FFFFFF"/>
          </w:tcPr>
          <w:p w14:paraId="693E77FA" w14:textId="77777777" w:rsidR="002F23F6" w:rsidRDefault="00000000">
            <w:pPr>
              <w:jc w:val="center"/>
            </w:pPr>
            <w:r>
              <w:rPr>
                <w:sz w:val="20"/>
              </w:rPr>
              <w:t>51.8</w:t>
            </w:r>
          </w:p>
        </w:tc>
      </w:tr>
      <w:tr w:rsidR="002F23F6" w14:paraId="022828C4" w14:textId="77777777">
        <w:tc>
          <w:tcPr>
            <w:tcW w:w="2880" w:type="dxa"/>
            <w:shd w:val="clear" w:color="auto" w:fill="DCE6F1"/>
          </w:tcPr>
          <w:p w14:paraId="01B17057" w14:textId="77777777" w:rsidR="002F23F6" w:rsidRDefault="00000000">
            <w:r>
              <w:rPr>
                <w:sz w:val="20"/>
              </w:rPr>
              <w:t>Receivables Days (DSO)</w:t>
            </w:r>
          </w:p>
        </w:tc>
        <w:tc>
          <w:tcPr>
            <w:tcW w:w="1152" w:type="dxa"/>
            <w:shd w:val="clear" w:color="auto" w:fill="DCE6F1"/>
          </w:tcPr>
          <w:p w14:paraId="0F2F6DD5" w14:textId="77777777" w:rsidR="002F23F6" w:rsidRDefault="00000000">
            <w:pPr>
              <w:jc w:val="center"/>
            </w:pPr>
            <w:r>
              <w:rPr>
                <w:sz w:val="20"/>
              </w:rPr>
              <w:t>27.2</w:t>
            </w:r>
          </w:p>
        </w:tc>
        <w:tc>
          <w:tcPr>
            <w:tcW w:w="1152" w:type="dxa"/>
            <w:shd w:val="clear" w:color="auto" w:fill="DCE6F1"/>
          </w:tcPr>
          <w:p w14:paraId="29954F03" w14:textId="77777777" w:rsidR="002F23F6" w:rsidRDefault="00000000">
            <w:pPr>
              <w:jc w:val="center"/>
            </w:pPr>
            <w:r>
              <w:rPr>
                <w:sz w:val="20"/>
              </w:rPr>
              <w:t>24.0</w:t>
            </w:r>
          </w:p>
        </w:tc>
        <w:tc>
          <w:tcPr>
            <w:tcW w:w="1152" w:type="dxa"/>
            <w:shd w:val="clear" w:color="auto" w:fill="DCE6F1"/>
          </w:tcPr>
          <w:p w14:paraId="6004ED45" w14:textId="77777777" w:rsidR="002F23F6" w:rsidRDefault="00000000">
            <w:pPr>
              <w:jc w:val="center"/>
            </w:pPr>
            <w:r>
              <w:rPr>
                <w:sz w:val="20"/>
              </w:rPr>
              <w:t>23.8</w:t>
            </w:r>
          </w:p>
        </w:tc>
        <w:tc>
          <w:tcPr>
            <w:tcW w:w="1152" w:type="dxa"/>
            <w:shd w:val="clear" w:color="auto" w:fill="DCE6F1"/>
          </w:tcPr>
          <w:p w14:paraId="380F5F56" w14:textId="77777777" w:rsidR="002F23F6" w:rsidRDefault="00000000">
            <w:pPr>
              <w:jc w:val="center"/>
            </w:pPr>
            <w:r>
              <w:rPr>
                <w:sz w:val="20"/>
              </w:rPr>
              <w:t>20.1</w:t>
            </w:r>
          </w:p>
        </w:tc>
        <w:tc>
          <w:tcPr>
            <w:tcW w:w="1152" w:type="dxa"/>
            <w:shd w:val="clear" w:color="auto" w:fill="DCE6F1"/>
          </w:tcPr>
          <w:p w14:paraId="40C935F7" w14:textId="77777777" w:rsidR="002F23F6" w:rsidRDefault="00000000">
            <w:pPr>
              <w:jc w:val="center"/>
            </w:pPr>
            <w:r>
              <w:rPr>
                <w:sz w:val="20"/>
              </w:rPr>
              <w:t>22.0</w:t>
            </w:r>
          </w:p>
        </w:tc>
      </w:tr>
      <w:tr w:rsidR="002F23F6" w14:paraId="66DFE134" w14:textId="77777777">
        <w:tc>
          <w:tcPr>
            <w:tcW w:w="2880" w:type="dxa"/>
            <w:shd w:val="clear" w:color="auto" w:fill="FFFFFF"/>
          </w:tcPr>
          <w:p w14:paraId="59B0871F" w14:textId="77777777" w:rsidR="002F23F6" w:rsidRDefault="00000000">
            <w:r>
              <w:rPr>
                <w:sz w:val="20"/>
              </w:rPr>
              <w:t>Payables Days (DPO)</w:t>
            </w:r>
          </w:p>
        </w:tc>
        <w:tc>
          <w:tcPr>
            <w:tcW w:w="1152" w:type="dxa"/>
            <w:shd w:val="clear" w:color="auto" w:fill="FFFFFF"/>
          </w:tcPr>
          <w:p w14:paraId="643C98A3" w14:textId="77777777" w:rsidR="002F23F6" w:rsidRDefault="00000000">
            <w:pPr>
              <w:jc w:val="center"/>
            </w:pPr>
            <w:r>
              <w:rPr>
                <w:sz w:val="20"/>
              </w:rPr>
              <w:t>37.5</w:t>
            </w:r>
          </w:p>
        </w:tc>
        <w:tc>
          <w:tcPr>
            <w:tcW w:w="1152" w:type="dxa"/>
            <w:shd w:val="clear" w:color="auto" w:fill="FFFFFF"/>
          </w:tcPr>
          <w:p w14:paraId="03B89709" w14:textId="77777777" w:rsidR="002F23F6" w:rsidRDefault="00000000">
            <w:pPr>
              <w:jc w:val="center"/>
            </w:pPr>
            <w:r>
              <w:rPr>
                <w:sz w:val="20"/>
              </w:rPr>
              <w:t>34.9</w:t>
            </w:r>
          </w:p>
        </w:tc>
        <w:tc>
          <w:tcPr>
            <w:tcW w:w="1152" w:type="dxa"/>
            <w:shd w:val="clear" w:color="auto" w:fill="FFFFFF"/>
          </w:tcPr>
          <w:p w14:paraId="5B86E45F" w14:textId="77777777" w:rsidR="002F23F6" w:rsidRDefault="00000000">
            <w:pPr>
              <w:jc w:val="center"/>
            </w:pPr>
            <w:r>
              <w:rPr>
                <w:sz w:val="20"/>
              </w:rPr>
              <w:t>34.6</w:t>
            </w:r>
          </w:p>
        </w:tc>
        <w:tc>
          <w:tcPr>
            <w:tcW w:w="1152" w:type="dxa"/>
            <w:shd w:val="clear" w:color="auto" w:fill="FFFFFF"/>
          </w:tcPr>
          <w:p w14:paraId="60F401E0" w14:textId="77777777" w:rsidR="002F23F6" w:rsidRDefault="00000000">
            <w:pPr>
              <w:jc w:val="center"/>
            </w:pPr>
            <w:r>
              <w:rPr>
                <w:sz w:val="20"/>
              </w:rPr>
              <w:t>31.0</w:t>
            </w:r>
          </w:p>
        </w:tc>
        <w:tc>
          <w:tcPr>
            <w:tcW w:w="1152" w:type="dxa"/>
            <w:shd w:val="clear" w:color="auto" w:fill="FFFFFF"/>
          </w:tcPr>
          <w:p w14:paraId="0BF8E7C3" w14:textId="77777777" w:rsidR="002F23F6" w:rsidRDefault="00000000">
            <w:pPr>
              <w:jc w:val="center"/>
            </w:pPr>
            <w:r>
              <w:rPr>
                <w:sz w:val="20"/>
              </w:rPr>
              <w:t>32.8</w:t>
            </w:r>
          </w:p>
        </w:tc>
      </w:tr>
      <w:tr w:rsidR="002F23F6" w14:paraId="3353FFE7" w14:textId="77777777">
        <w:tc>
          <w:tcPr>
            <w:tcW w:w="2880" w:type="dxa"/>
            <w:shd w:val="clear" w:color="auto" w:fill="DCE6F1"/>
          </w:tcPr>
          <w:p w14:paraId="35CF7F07" w14:textId="77777777" w:rsidR="002F23F6" w:rsidRDefault="00000000">
            <w:r>
              <w:rPr>
                <w:sz w:val="20"/>
              </w:rPr>
              <w:t>Asset Turnover (x)</w:t>
            </w:r>
          </w:p>
        </w:tc>
        <w:tc>
          <w:tcPr>
            <w:tcW w:w="1152" w:type="dxa"/>
            <w:shd w:val="clear" w:color="auto" w:fill="DCE6F1"/>
          </w:tcPr>
          <w:p w14:paraId="74490209" w14:textId="77777777" w:rsidR="002F23F6" w:rsidRDefault="00000000">
            <w:pPr>
              <w:jc w:val="center"/>
            </w:pPr>
            <w:r>
              <w:rPr>
                <w:sz w:val="20"/>
              </w:rPr>
              <w:t>0.50</w:t>
            </w:r>
          </w:p>
        </w:tc>
        <w:tc>
          <w:tcPr>
            <w:tcW w:w="1152" w:type="dxa"/>
            <w:shd w:val="clear" w:color="auto" w:fill="DCE6F1"/>
          </w:tcPr>
          <w:p w14:paraId="2FE012F3" w14:textId="77777777" w:rsidR="002F23F6" w:rsidRDefault="00000000">
            <w:pPr>
              <w:jc w:val="center"/>
            </w:pPr>
            <w:r>
              <w:rPr>
                <w:sz w:val="20"/>
              </w:rPr>
              <w:t>0.50</w:t>
            </w:r>
          </w:p>
        </w:tc>
        <w:tc>
          <w:tcPr>
            <w:tcW w:w="1152" w:type="dxa"/>
            <w:shd w:val="clear" w:color="auto" w:fill="DCE6F1"/>
          </w:tcPr>
          <w:p w14:paraId="4243BB89" w14:textId="77777777" w:rsidR="002F23F6" w:rsidRDefault="00000000">
            <w:pPr>
              <w:jc w:val="center"/>
            </w:pPr>
            <w:r>
              <w:rPr>
                <w:sz w:val="20"/>
              </w:rPr>
              <w:t>0.56</w:t>
            </w:r>
          </w:p>
        </w:tc>
        <w:tc>
          <w:tcPr>
            <w:tcW w:w="1152" w:type="dxa"/>
            <w:shd w:val="clear" w:color="auto" w:fill="DCE6F1"/>
          </w:tcPr>
          <w:p w14:paraId="3B7E46A5" w14:textId="77777777" w:rsidR="002F23F6" w:rsidRDefault="00000000">
            <w:pPr>
              <w:jc w:val="center"/>
            </w:pPr>
            <w:r>
              <w:rPr>
                <w:sz w:val="20"/>
              </w:rPr>
              <w:t>0.58</w:t>
            </w:r>
          </w:p>
        </w:tc>
        <w:tc>
          <w:tcPr>
            <w:tcW w:w="1152" w:type="dxa"/>
            <w:shd w:val="clear" w:color="auto" w:fill="DCE6F1"/>
          </w:tcPr>
          <w:p w14:paraId="7668F38B" w14:textId="77777777" w:rsidR="002F23F6" w:rsidRDefault="00000000">
            <w:pPr>
              <w:jc w:val="center"/>
            </w:pPr>
            <w:r>
              <w:rPr>
                <w:sz w:val="20"/>
              </w:rPr>
              <w:t>0.52</w:t>
            </w:r>
          </w:p>
        </w:tc>
      </w:tr>
      <w:tr w:rsidR="002F23F6" w14:paraId="412B159F" w14:textId="77777777">
        <w:tc>
          <w:tcPr>
            <w:tcW w:w="2880" w:type="dxa"/>
            <w:shd w:val="clear" w:color="auto" w:fill="FFFFFF"/>
          </w:tcPr>
          <w:p w14:paraId="388D03AE" w14:textId="77777777" w:rsidR="002F23F6" w:rsidRDefault="00000000">
            <w:r>
              <w:rPr>
                <w:sz w:val="20"/>
              </w:rPr>
              <w:t>Inventory Turnover (x)</w:t>
            </w:r>
          </w:p>
        </w:tc>
        <w:tc>
          <w:tcPr>
            <w:tcW w:w="1152" w:type="dxa"/>
            <w:shd w:val="clear" w:color="auto" w:fill="FFFFFF"/>
          </w:tcPr>
          <w:p w14:paraId="14D2FDFC" w14:textId="77777777" w:rsidR="002F23F6" w:rsidRDefault="00000000">
            <w:pPr>
              <w:jc w:val="center"/>
            </w:pPr>
            <w:r>
              <w:rPr>
                <w:sz w:val="20"/>
              </w:rPr>
              <w:t>7.55</w:t>
            </w:r>
          </w:p>
        </w:tc>
        <w:tc>
          <w:tcPr>
            <w:tcW w:w="1152" w:type="dxa"/>
            <w:shd w:val="clear" w:color="auto" w:fill="FFFFFF"/>
          </w:tcPr>
          <w:p w14:paraId="7D6662DE" w14:textId="77777777" w:rsidR="002F23F6" w:rsidRDefault="00000000">
            <w:pPr>
              <w:jc w:val="center"/>
            </w:pPr>
            <w:r>
              <w:rPr>
                <w:sz w:val="20"/>
              </w:rPr>
              <w:t>8.22</w:t>
            </w:r>
          </w:p>
        </w:tc>
        <w:tc>
          <w:tcPr>
            <w:tcW w:w="1152" w:type="dxa"/>
            <w:shd w:val="clear" w:color="auto" w:fill="FFFFFF"/>
          </w:tcPr>
          <w:p w14:paraId="5BEBD2F0" w14:textId="77777777" w:rsidR="002F23F6" w:rsidRDefault="00000000">
            <w:pPr>
              <w:jc w:val="center"/>
            </w:pPr>
            <w:r>
              <w:rPr>
                <w:sz w:val="20"/>
              </w:rPr>
              <w:t>7.97</w:t>
            </w:r>
          </w:p>
        </w:tc>
        <w:tc>
          <w:tcPr>
            <w:tcW w:w="1152" w:type="dxa"/>
            <w:shd w:val="clear" w:color="auto" w:fill="FFFFFF"/>
          </w:tcPr>
          <w:p w14:paraId="0108176F" w14:textId="77777777" w:rsidR="002F23F6" w:rsidRDefault="00000000">
            <w:pPr>
              <w:jc w:val="center"/>
            </w:pPr>
            <w:r>
              <w:rPr>
                <w:sz w:val="20"/>
              </w:rPr>
              <w:t>7.42</w:t>
            </w:r>
          </w:p>
        </w:tc>
        <w:tc>
          <w:tcPr>
            <w:tcW w:w="1152" w:type="dxa"/>
            <w:shd w:val="clear" w:color="auto" w:fill="FFFFFF"/>
          </w:tcPr>
          <w:p w14:paraId="2E77B36D" w14:textId="77777777" w:rsidR="002F23F6" w:rsidRDefault="00000000">
            <w:pPr>
              <w:jc w:val="center"/>
            </w:pPr>
            <w:r>
              <w:rPr>
                <w:sz w:val="20"/>
              </w:rPr>
              <w:t>7.05</w:t>
            </w:r>
          </w:p>
        </w:tc>
      </w:tr>
      <w:tr w:rsidR="002F23F6" w14:paraId="6C346E87" w14:textId="77777777">
        <w:tc>
          <w:tcPr>
            <w:tcW w:w="2880" w:type="dxa"/>
            <w:shd w:val="clear" w:color="auto" w:fill="DCE6F1"/>
          </w:tcPr>
          <w:p w14:paraId="2CE93C82" w14:textId="77777777" w:rsidR="002F23F6" w:rsidRDefault="00000000">
            <w:r>
              <w:rPr>
                <w:sz w:val="20"/>
              </w:rPr>
              <w:t>Fixed Asset Turnover (x)</w:t>
            </w:r>
          </w:p>
        </w:tc>
        <w:tc>
          <w:tcPr>
            <w:tcW w:w="1152" w:type="dxa"/>
            <w:shd w:val="clear" w:color="auto" w:fill="DCE6F1"/>
          </w:tcPr>
          <w:p w14:paraId="0AC30AD1" w14:textId="77777777" w:rsidR="002F23F6" w:rsidRDefault="00000000">
            <w:pPr>
              <w:jc w:val="center"/>
            </w:pPr>
            <w:r>
              <w:rPr>
                <w:sz w:val="20"/>
              </w:rPr>
              <w:t>1.88</w:t>
            </w:r>
          </w:p>
        </w:tc>
        <w:tc>
          <w:tcPr>
            <w:tcW w:w="1152" w:type="dxa"/>
            <w:shd w:val="clear" w:color="auto" w:fill="DCE6F1"/>
          </w:tcPr>
          <w:p w14:paraId="7782A141" w14:textId="77777777" w:rsidR="002F23F6" w:rsidRDefault="00000000">
            <w:pPr>
              <w:jc w:val="center"/>
            </w:pPr>
            <w:r>
              <w:rPr>
                <w:sz w:val="20"/>
              </w:rPr>
              <w:t>1.87</w:t>
            </w:r>
          </w:p>
        </w:tc>
        <w:tc>
          <w:tcPr>
            <w:tcW w:w="1152" w:type="dxa"/>
            <w:shd w:val="clear" w:color="auto" w:fill="DCE6F1"/>
          </w:tcPr>
          <w:p w14:paraId="697136B1" w14:textId="77777777" w:rsidR="002F23F6" w:rsidRDefault="00000000">
            <w:pPr>
              <w:jc w:val="center"/>
            </w:pPr>
            <w:r>
              <w:rPr>
                <w:sz w:val="20"/>
              </w:rPr>
              <w:t>2.19</w:t>
            </w:r>
          </w:p>
        </w:tc>
        <w:tc>
          <w:tcPr>
            <w:tcW w:w="1152" w:type="dxa"/>
            <w:shd w:val="clear" w:color="auto" w:fill="DCE6F1"/>
          </w:tcPr>
          <w:p w14:paraId="374C1CB6" w14:textId="77777777" w:rsidR="002F23F6" w:rsidRDefault="00000000">
            <w:pPr>
              <w:jc w:val="center"/>
            </w:pPr>
            <w:r>
              <w:rPr>
                <w:sz w:val="20"/>
              </w:rPr>
              <w:t>2.34</w:t>
            </w:r>
          </w:p>
        </w:tc>
        <w:tc>
          <w:tcPr>
            <w:tcW w:w="1152" w:type="dxa"/>
            <w:shd w:val="clear" w:color="auto" w:fill="DCE6F1"/>
          </w:tcPr>
          <w:p w14:paraId="7DF647FB" w14:textId="77777777" w:rsidR="002F23F6" w:rsidRDefault="00000000">
            <w:pPr>
              <w:jc w:val="center"/>
            </w:pPr>
            <w:r>
              <w:rPr>
                <w:sz w:val="20"/>
              </w:rPr>
              <w:t>1.97</w:t>
            </w:r>
          </w:p>
        </w:tc>
      </w:tr>
    </w:tbl>
    <w:p w14:paraId="3281251C" w14:textId="77777777" w:rsidR="002F23F6" w:rsidRDefault="00000000">
      <w:pPr>
        <w:spacing w:before="60" w:after="120" w:line="360" w:lineRule="exact"/>
      </w:pPr>
      <w:r>
        <w:rPr>
          <w:sz w:val="18"/>
        </w:rPr>
        <w:lastRenderedPageBreak/>
        <w:t>Source: Hyundai Motor Company (2024)</w:t>
      </w:r>
    </w:p>
    <w:p w14:paraId="1F796496" w14:textId="1C66A915" w:rsidR="00C11EA6" w:rsidRDefault="00000000">
      <w:pPr>
        <w:spacing w:before="40" w:after="80" w:line="300" w:lineRule="exact"/>
      </w:pPr>
      <w:r w:rsidRPr="00FE3FED">
        <w:t xml:space="preserve">Table </w:t>
      </w:r>
      <w:r w:rsidR="00FE3FED" w:rsidRPr="00FE3FED">
        <w:t>4</w:t>
      </w:r>
      <w:r w:rsidRPr="00FE3FED">
        <w:t xml:space="preserve"> illustrates a mixed efficiency picture: while receivables collection improved materially (DSO falling 5.2 days), rising inventory days (+3.4) and shorter supplier payment terms (−4.7 days) together widened the cash operating cycle, indicating that supply-chain resilience is being prioritised over working capital optimisation.</w:t>
      </w:r>
    </w:p>
    <w:p w14:paraId="0F1497ED" w14:textId="77777777" w:rsidR="002F23F6" w:rsidRDefault="001C5774">
      <w:pPr>
        <w:spacing w:before="60" w:after="120" w:line="360" w:lineRule="exact"/>
      </w:pPr>
      <w:r>
        <w:t>Inventory days rose from 48.4 to 51.8 days between FY2020 and FY2024. This represents an intentional move to hold on to larger stocks of safety, considering the disastrous semiconductor limitation constrained output in 2021 and 2022, though it also indicates an increase pressure of slower EV stock rotation in markets where consumers have yet to take in greater quantities (Arnold, 2023). Receivables days decreased to 22.0 to 27.2 days - a true efficiency improvement that indicates better dealer credit conditions with increased cash collection. Payables days have however decreased to 32.8 days as compared to 37.5 days indicating that Hyundai is paying its suppliers sooner and is practically subsidizing the supply chain at the cost of its working capital position.</w:t>
      </w:r>
    </w:p>
    <w:p w14:paraId="241512E0" w14:textId="28A7347D" w:rsidR="00856118" w:rsidRDefault="00A351CF">
      <w:pPr>
        <w:spacing w:before="60" w:after="120" w:line="360" w:lineRule="exact"/>
      </w:pPr>
      <w:r w:rsidRPr="00A351CF">
        <w:t>The trend in working capital indicates Hyundai has a trend of conservative, albeit inefficient operations. Increasing inventory days imply resilience planning in times of supply disruption, but consumes capital. Enhanced receivables is a boost to cash flow, whereas cut down payables undermine supplier financing. Generally, inventory accumulation and a reduction in payables periods balance out collection gains (Arnold, 2023).</w:t>
      </w:r>
    </w:p>
    <w:p w14:paraId="5781E28E" w14:textId="77777777" w:rsidR="002F23F6" w:rsidRDefault="00000000" w:rsidP="00937AB4">
      <w:pPr>
        <w:pStyle w:val="Heading2"/>
      </w:pPr>
      <w:bookmarkStart w:id="13" w:name="_Toc227888383"/>
      <w:r>
        <w:t>2.4 Gearing and Cash Flow Analysis</w:t>
      </w:r>
      <w:bookmarkEnd w:id="13"/>
    </w:p>
    <w:p w14:paraId="2CDD50DB" w14:textId="77777777" w:rsidR="001C5774" w:rsidRDefault="001C5774">
      <w:pPr>
        <w:spacing w:before="60" w:after="120" w:line="360" w:lineRule="exact"/>
      </w:pPr>
      <w:r>
        <w:t>The total debt grew between FY2020 and FY2024 by almost 2 times in absolute terms KRW 92.2 trillion into KRW 157.8 trillion. The critical context is Hyundai Capital Services; Hyundai Company that has a fully consolidated captive finance service (HCS) whose consumer auto loan originations pass through the balance sheet and operating cash flows. Much of this reported debt is used to finance buyers of vehicles, as opposed to operating borrowing - a form familiar to worldwide OEMs with internal financial services units (Hyundai Motor Company, 2024). These loan originations reported operating cash flow are thus grossly undervalued and should not be taken to mean that they lack operational cash generation ability in the absence of this provision.</w:t>
      </w:r>
    </w:p>
    <w:p w14:paraId="4173B148" w14:textId="77777777" w:rsidR="002F23F6" w:rsidRDefault="001C5774">
      <w:pPr>
        <w:spacing w:before="60" w:after="120" w:line="360" w:lineRule="exact"/>
      </w:pPr>
      <w:r>
        <w:t xml:space="preserve">A question mark arises when it comes to free cash flow: it is negative in four of the five years under consideration where it only became positive in the FY2022 (KRW 6.6 trillion), but since then, it has moved to negative amounting to KRW 8.1 trillion capital </w:t>
      </w:r>
      <w:r>
        <w:lastRenderedPageBreak/>
        <w:t>expenditure. It is indicative of a highly capital-intensive phase of investment as Hyundai goes electric and increases the production capacity globally. This is a tactical decision and not an indicator of financial strains, although, it limits financial flexibility in the short-term and should be followed closely (Damodaran, 2021).</w:t>
      </w:r>
    </w:p>
    <w:p w14:paraId="0E64FB30" w14:textId="17E02E92" w:rsidR="002F23F6" w:rsidRDefault="00A351CF">
      <w:r w:rsidRPr="00A351CF">
        <w:t>The negative free cash flow of Hyundai is nothing but a strategic investment, and not a weakness. This is supported by strong growth in profitability limiting the risk in the short term. Sustained capital expenditure can however be an issue in terms of financial flexibility when EV and expansion investments do not contribute effectively in terms of returns and as a result shareholder value may be affected despite increasing profits (Damodaran, 2021).</w:t>
      </w:r>
    </w:p>
    <w:p w14:paraId="530526B8" w14:textId="77777777" w:rsidR="00C11EA6" w:rsidRDefault="00000000">
      <w:pPr>
        <w:spacing w:before="60" w:after="120" w:line="360" w:lineRule="exact"/>
      </w:pPr>
      <w:r>
        <w:t>Cash flow ratios provide critical insight into the quality of Hyundai’s earnings and the sustainability of its EV investment programme. Table 9 and Figure 6 below analyse key cash flow metrics as a percentage of revenue and total debt across FY2020–FY2024.</w:t>
      </w:r>
    </w:p>
    <w:p w14:paraId="59AB8805" w14:textId="1637402A" w:rsidR="00FE3FED" w:rsidRDefault="00FE3FED" w:rsidP="00FE3FED">
      <w:pPr>
        <w:pStyle w:val="Caption"/>
        <w:keepNext/>
        <w:jc w:val="center"/>
      </w:pPr>
      <w:bookmarkStart w:id="14" w:name="_Toc227888002"/>
      <w:r>
        <w:t xml:space="preserve">Table </w:t>
      </w:r>
      <w:fldSimple w:instr=" SEQ Table \* ARABIC ">
        <w:r w:rsidR="00053944">
          <w:rPr>
            <w:noProof/>
          </w:rPr>
          <w:t>5</w:t>
        </w:r>
      </w:fldSimple>
      <w:r>
        <w:t xml:space="preserve"> </w:t>
      </w:r>
      <w:r w:rsidRPr="0012510A">
        <w:t xml:space="preserve">Hyundai Motor Company </w:t>
      </w:r>
      <w:r w:rsidR="00D00A5D">
        <w:t>-</w:t>
      </w:r>
      <w:r w:rsidRPr="0012510A">
        <w:t xml:space="preserve"> Cash Flow Ratios, FY2020–FY2024</w:t>
      </w:r>
      <w:bookmarkEnd w:id="14"/>
    </w:p>
    <w:tbl>
      <w:tblPr>
        <w:tblStyle w:val="TableGrid"/>
        <w:tblW w:w="9360" w:type="dxa"/>
        <w:jc w:val="center"/>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Look w:val="04A0" w:firstRow="1" w:lastRow="0" w:firstColumn="1" w:lastColumn="0" w:noHBand="0" w:noVBand="1"/>
      </w:tblPr>
      <w:tblGrid>
        <w:gridCol w:w="3120"/>
        <w:gridCol w:w="1248"/>
        <w:gridCol w:w="1248"/>
        <w:gridCol w:w="1248"/>
        <w:gridCol w:w="1248"/>
        <w:gridCol w:w="1248"/>
      </w:tblGrid>
      <w:tr w:rsidR="002F23F6" w14:paraId="127909D9" w14:textId="77777777" w:rsidTr="00FE3FED">
        <w:trPr>
          <w:jc w:val="center"/>
        </w:trPr>
        <w:tc>
          <w:tcPr>
            <w:tcW w:w="2880" w:type="dxa"/>
            <w:shd w:val="clear" w:color="auto" w:fill="1F5C99"/>
          </w:tcPr>
          <w:p w14:paraId="5124C428" w14:textId="77777777" w:rsidR="002F23F6" w:rsidRDefault="00000000">
            <w:pPr>
              <w:jc w:val="center"/>
            </w:pPr>
            <w:r>
              <w:rPr>
                <w:b/>
                <w:color w:val="FFFFFF"/>
                <w:sz w:val="20"/>
              </w:rPr>
              <w:t>Metric</w:t>
            </w:r>
          </w:p>
        </w:tc>
        <w:tc>
          <w:tcPr>
            <w:tcW w:w="1152" w:type="dxa"/>
            <w:shd w:val="clear" w:color="auto" w:fill="1F5C99"/>
          </w:tcPr>
          <w:p w14:paraId="0A861212" w14:textId="77777777" w:rsidR="002F23F6" w:rsidRDefault="00000000">
            <w:pPr>
              <w:jc w:val="center"/>
            </w:pPr>
            <w:r>
              <w:rPr>
                <w:b/>
                <w:color w:val="FFFFFF"/>
                <w:sz w:val="20"/>
              </w:rPr>
              <w:t>FY2020</w:t>
            </w:r>
          </w:p>
        </w:tc>
        <w:tc>
          <w:tcPr>
            <w:tcW w:w="1152" w:type="dxa"/>
            <w:shd w:val="clear" w:color="auto" w:fill="1F5C99"/>
          </w:tcPr>
          <w:p w14:paraId="546FE05B" w14:textId="77777777" w:rsidR="002F23F6" w:rsidRDefault="00000000">
            <w:pPr>
              <w:jc w:val="center"/>
            </w:pPr>
            <w:r>
              <w:rPr>
                <w:b/>
                <w:color w:val="FFFFFF"/>
                <w:sz w:val="20"/>
              </w:rPr>
              <w:t>FY2021</w:t>
            </w:r>
          </w:p>
        </w:tc>
        <w:tc>
          <w:tcPr>
            <w:tcW w:w="1152" w:type="dxa"/>
            <w:shd w:val="clear" w:color="auto" w:fill="1F5C99"/>
          </w:tcPr>
          <w:p w14:paraId="62FED627" w14:textId="77777777" w:rsidR="002F23F6" w:rsidRDefault="00000000">
            <w:pPr>
              <w:jc w:val="center"/>
            </w:pPr>
            <w:r>
              <w:rPr>
                <w:b/>
                <w:color w:val="FFFFFF"/>
                <w:sz w:val="20"/>
              </w:rPr>
              <w:t>FY2022</w:t>
            </w:r>
          </w:p>
        </w:tc>
        <w:tc>
          <w:tcPr>
            <w:tcW w:w="1152" w:type="dxa"/>
            <w:shd w:val="clear" w:color="auto" w:fill="1F5C99"/>
          </w:tcPr>
          <w:p w14:paraId="656A80DD" w14:textId="77777777" w:rsidR="002F23F6" w:rsidRDefault="00000000">
            <w:pPr>
              <w:jc w:val="center"/>
            </w:pPr>
            <w:r>
              <w:rPr>
                <w:b/>
                <w:color w:val="FFFFFF"/>
                <w:sz w:val="20"/>
              </w:rPr>
              <w:t>FY2023</w:t>
            </w:r>
          </w:p>
        </w:tc>
        <w:tc>
          <w:tcPr>
            <w:tcW w:w="1152" w:type="dxa"/>
            <w:shd w:val="clear" w:color="auto" w:fill="1F5C99"/>
          </w:tcPr>
          <w:p w14:paraId="41DE914D" w14:textId="77777777" w:rsidR="002F23F6" w:rsidRDefault="00000000">
            <w:pPr>
              <w:jc w:val="center"/>
            </w:pPr>
            <w:r>
              <w:rPr>
                <w:b/>
                <w:color w:val="FFFFFF"/>
                <w:sz w:val="20"/>
              </w:rPr>
              <w:t>FY2024</w:t>
            </w:r>
          </w:p>
        </w:tc>
      </w:tr>
      <w:tr w:rsidR="002F23F6" w14:paraId="2D5CEC9F" w14:textId="77777777" w:rsidTr="00FE3FED">
        <w:trPr>
          <w:jc w:val="center"/>
        </w:trPr>
        <w:tc>
          <w:tcPr>
            <w:tcW w:w="2880" w:type="dxa"/>
            <w:shd w:val="clear" w:color="auto" w:fill="FFFFFF"/>
          </w:tcPr>
          <w:p w14:paraId="487B7943" w14:textId="77777777" w:rsidR="002F23F6" w:rsidRDefault="00000000">
            <w:r>
              <w:rPr>
                <w:sz w:val="20"/>
              </w:rPr>
              <w:t>OCF / Revenue (%)</w:t>
            </w:r>
          </w:p>
        </w:tc>
        <w:tc>
          <w:tcPr>
            <w:tcW w:w="1152" w:type="dxa"/>
            <w:shd w:val="clear" w:color="auto" w:fill="FFFFFF"/>
          </w:tcPr>
          <w:p w14:paraId="43E7D85B" w14:textId="77777777" w:rsidR="002F23F6" w:rsidRDefault="00000000">
            <w:pPr>
              <w:jc w:val="center"/>
            </w:pPr>
            <w:r>
              <w:rPr>
                <w:sz w:val="20"/>
              </w:rPr>
              <w:t>−0.4%</w:t>
            </w:r>
          </w:p>
        </w:tc>
        <w:tc>
          <w:tcPr>
            <w:tcW w:w="1152" w:type="dxa"/>
            <w:shd w:val="clear" w:color="auto" w:fill="FFFFFF"/>
          </w:tcPr>
          <w:p w14:paraId="3063ECCE" w14:textId="77777777" w:rsidR="002F23F6" w:rsidRDefault="00000000">
            <w:pPr>
              <w:jc w:val="center"/>
            </w:pPr>
            <w:r>
              <w:rPr>
                <w:sz w:val="20"/>
              </w:rPr>
              <w:t>−1.0%</w:t>
            </w:r>
          </w:p>
        </w:tc>
        <w:tc>
          <w:tcPr>
            <w:tcW w:w="1152" w:type="dxa"/>
            <w:shd w:val="clear" w:color="auto" w:fill="FFFFFF"/>
          </w:tcPr>
          <w:p w14:paraId="04807B33" w14:textId="77777777" w:rsidR="002F23F6" w:rsidRDefault="00000000">
            <w:pPr>
              <w:jc w:val="center"/>
            </w:pPr>
            <w:r>
              <w:rPr>
                <w:sz w:val="20"/>
              </w:rPr>
              <w:t>7.5%</w:t>
            </w:r>
          </w:p>
        </w:tc>
        <w:tc>
          <w:tcPr>
            <w:tcW w:w="1152" w:type="dxa"/>
            <w:shd w:val="clear" w:color="auto" w:fill="FFFFFF"/>
          </w:tcPr>
          <w:p w14:paraId="5002F744" w14:textId="77777777" w:rsidR="002F23F6" w:rsidRDefault="00000000">
            <w:pPr>
              <w:jc w:val="center"/>
            </w:pPr>
            <w:r>
              <w:rPr>
                <w:sz w:val="20"/>
              </w:rPr>
              <w:t>−1.5%</w:t>
            </w:r>
          </w:p>
        </w:tc>
        <w:tc>
          <w:tcPr>
            <w:tcW w:w="1152" w:type="dxa"/>
            <w:shd w:val="clear" w:color="auto" w:fill="FFFFFF"/>
          </w:tcPr>
          <w:p w14:paraId="1CD4DE32" w14:textId="77777777" w:rsidR="002F23F6" w:rsidRDefault="00000000">
            <w:pPr>
              <w:jc w:val="center"/>
            </w:pPr>
            <w:r>
              <w:rPr>
                <w:sz w:val="20"/>
              </w:rPr>
              <w:t>−3.2%</w:t>
            </w:r>
          </w:p>
        </w:tc>
      </w:tr>
      <w:tr w:rsidR="002F23F6" w14:paraId="683E9C67" w14:textId="77777777" w:rsidTr="00FE3FED">
        <w:trPr>
          <w:jc w:val="center"/>
        </w:trPr>
        <w:tc>
          <w:tcPr>
            <w:tcW w:w="2880" w:type="dxa"/>
            <w:shd w:val="clear" w:color="auto" w:fill="DCE6F1"/>
          </w:tcPr>
          <w:p w14:paraId="60EE5C09" w14:textId="77777777" w:rsidR="002F23F6" w:rsidRDefault="00000000">
            <w:r>
              <w:rPr>
                <w:sz w:val="20"/>
              </w:rPr>
              <w:t>OCF / Total Debt (%)</w:t>
            </w:r>
          </w:p>
        </w:tc>
        <w:tc>
          <w:tcPr>
            <w:tcW w:w="1152" w:type="dxa"/>
            <w:shd w:val="clear" w:color="auto" w:fill="DCE6F1"/>
          </w:tcPr>
          <w:p w14:paraId="334DC207" w14:textId="77777777" w:rsidR="002F23F6" w:rsidRDefault="00000000">
            <w:pPr>
              <w:jc w:val="center"/>
            </w:pPr>
            <w:r>
              <w:rPr>
                <w:sz w:val="20"/>
              </w:rPr>
              <w:t>−0.4%</w:t>
            </w:r>
          </w:p>
        </w:tc>
        <w:tc>
          <w:tcPr>
            <w:tcW w:w="1152" w:type="dxa"/>
            <w:shd w:val="clear" w:color="auto" w:fill="DCE6F1"/>
          </w:tcPr>
          <w:p w14:paraId="49194A94" w14:textId="77777777" w:rsidR="002F23F6" w:rsidRDefault="00000000">
            <w:pPr>
              <w:jc w:val="center"/>
            </w:pPr>
            <w:r>
              <w:rPr>
                <w:sz w:val="20"/>
              </w:rPr>
              <w:t>−1.1%</w:t>
            </w:r>
          </w:p>
        </w:tc>
        <w:tc>
          <w:tcPr>
            <w:tcW w:w="1152" w:type="dxa"/>
            <w:shd w:val="clear" w:color="auto" w:fill="DCE6F1"/>
          </w:tcPr>
          <w:p w14:paraId="6A4EE6E8" w14:textId="77777777" w:rsidR="002F23F6" w:rsidRDefault="00000000">
            <w:pPr>
              <w:jc w:val="center"/>
            </w:pPr>
            <w:r>
              <w:rPr>
                <w:sz w:val="20"/>
              </w:rPr>
              <w:t>9.4%</w:t>
            </w:r>
          </w:p>
        </w:tc>
        <w:tc>
          <w:tcPr>
            <w:tcW w:w="1152" w:type="dxa"/>
            <w:shd w:val="clear" w:color="auto" w:fill="DCE6F1"/>
          </w:tcPr>
          <w:p w14:paraId="6FFD35A2" w14:textId="77777777" w:rsidR="002F23F6" w:rsidRDefault="00000000">
            <w:pPr>
              <w:jc w:val="center"/>
            </w:pPr>
            <w:r>
              <w:rPr>
                <w:sz w:val="20"/>
              </w:rPr>
              <w:t>−2.0%</w:t>
            </w:r>
          </w:p>
        </w:tc>
        <w:tc>
          <w:tcPr>
            <w:tcW w:w="1152" w:type="dxa"/>
            <w:shd w:val="clear" w:color="auto" w:fill="DCE6F1"/>
          </w:tcPr>
          <w:p w14:paraId="5FFF8282" w14:textId="77777777" w:rsidR="002F23F6" w:rsidRDefault="00000000">
            <w:pPr>
              <w:jc w:val="center"/>
            </w:pPr>
            <w:r>
              <w:rPr>
                <w:sz w:val="20"/>
              </w:rPr>
              <w:t>−3.6%</w:t>
            </w:r>
          </w:p>
        </w:tc>
      </w:tr>
      <w:tr w:rsidR="002F23F6" w14:paraId="279E651D" w14:textId="77777777" w:rsidTr="00FE3FED">
        <w:trPr>
          <w:jc w:val="center"/>
        </w:trPr>
        <w:tc>
          <w:tcPr>
            <w:tcW w:w="2880" w:type="dxa"/>
            <w:shd w:val="clear" w:color="auto" w:fill="FFFFFF"/>
          </w:tcPr>
          <w:p w14:paraId="4502F9D4" w14:textId="77777777" w:rsidR="002F23F6" w:rsidRDefault="00000000">
            <w:r>
              <w:rPr>
                <w:sz w:val="20"/>
              </w:rPr>
              <w:t>CapEx / Revenue (%)</w:t>
            </w:r>
          </w:p>
        </w:tc>
        <w:tc>
          <w:tcPr>
            <w:tcW w:w="1152" w:type="dxa"/>
            <w:shd w:val="clear" w:color="auto" w:fill="FFFFFF"/>
          </w:tcPr>
          <w:p w14:paraId="1E370EC3" w14:textId="77777777" w:rsidR="002F23F6" w:rsidRDefault="00000000">
            <w:pPr>
              <w:jc w:val="center"/>
            </w:pPr>
            <w:r>
              <w:rPr>
                <w:sz w:val="20"/>
              </w:rPr>
              <w:t>4.5%</w:t>
            </w:r>
          </w:p>
        </w:tc>
        <w:tc>
          <w:tcPr>
            <w:tcW w:w="1152" w:type="dxa"/>
            <w:shd w:val="clear" w:color="auto" w:fill="FFFFFF"/>
          </w:tcPr>
          <w:p w14:paraId="413E1306" w14:textId="77777777" w:rsidR="002F23F6" w:rsidRDefault="00000000">
            <w:pPr>
              <w:jc w:val="center"/>
            </w:pPr>
            <w:r>
              <w:rPr>
                <w:sz w:val="20"/>
              </w:rPr>
              <w:t>3.7%</w:t>
            </w:r>
          </w:p>
        </w:tc>
        <w:tc>
          <w:tcPr>
            <w:tcW w:w="1152" w:type="dxa"/>
            <w:shd w:val="clear" w:color="auto" w:fill="FFFFFF"/>
          </w:tcPr>
          <w:p w14:paraId="056CB243" w14:textId="77777777" w:rsidR="002F23F6" w:rsidRDefault="00000000">
            <w:pPr>
              <w:jc w:val="center"/>
            </w:pPr>
            <w:r>
              <w:rPr>
                <w:sz w:val="20"/>
              </w:rPr>
              <w:t>2.8%</w:t>
            </w:r>
          </w:p>
        </w:tc>
        <w:tc>
          <w:tcPr>
            <w:tcW w:w="1152" w:type="dxa"/>
            <w:shd w:val="clear" w:color="auto" w:fill="FFFFFF"/>
          </w:tcPr>
          <w:p w14:paraId="35FF6917" w14:textId="77777777" w:rsidR="002F23F6" w:rsidRDefault="00000000">
            <w:pPr>
              <w:jc w:val="center"/>
            </w:pPr>
            <w:r>
              <w:rPr>
                <w:sz w:val="20"/>
              </w:rPr>
              <w:t>4.3%</w:t>
            </w:r>
          </w:p>
        </w:tc>
        <w:tc>
          <w:tcPr>
            <w:tcW w:w="1152" w:type="dxa"/>
            <w:shd w:val="clear" w:color="auto" w:fill="FFFFFF"/>
          </w:tcPr>
          <w:p w14:paraId="226F6C67" w14:textId="77777777" w:rsidR="002F23F6" w:rsidRDefault="00000000">
            <w:pPr>
              <w:jc w:val="center"/>
            </w:pPr>
            <w:r>
              <w:rPr>
                <w:sz w:val="20"/>
              </w:rPr>
              <w:t>4.6%</w:t>
            </w:r>
          </w:p>
        </w:tc>
      </w:tr>
      <w:tr w:rsidR="002F23F6" w14:paraId="634FE022" w14:textId="77777777" w:rsidTr="00FE3FED">
        <w:trPr>
          <w:jc w:val="center"/>
        </w:trPr>
        <w:tc>
          <w:tcPr>
            <w:tcW w:w="2880" w:type="dxa"/>
            <w:shd w:val="clear" w:color="auto" w:fill="DCE6F1"/>
          </w:tcPr>
          <w:p w14:paraId="0299DE22" w14:textId="77777777" w:rsidR="002F23F6" w:rsidRDefault="00000000">
            <w:r>
              <w:rPr>
                <w:sz w:val="20"/>
              </w:rPr>
              <w:t>Free CF / Revenue (%)</w:t>
            </w:r>
          </w:p>
        </w:tc>
        <w:tc>
          <w:tcPr>
            <w:tcW w:w="1152" w:type="dxa"/>
            <w:shd w:val="clear" w:color="auto" w:fill="DCE6F1"/>
          </w:tcPr>
          <w:p w14:paraId="63EB7499" w14:textId="635993C4" w:rsidR="002F23F6" w:rsidRDefault="00000000">
            <w:pPr>
              <w:jc w:val="center"/>
            </w:pPr>
            <w:r>
              <w:rPr>
                <w:sz w:val="20"/>
              </w:rPr>
              <w:t>−4.9%</w:t>
            </w:r>
          </w:p>
        </w:tc>
        <w:tc>
          <w:tcPr>
            <w:tcW w:w="1152" w:type="dxa"/>
            <w:shd w:val="clear" w:color="auto" w:fill="DCE6F1"/>
          </w:tcPr>
          <w:p w14:paraId="5AE4FEE7" w14:textId="77777777" w:rsidR="002F23F6" w:rsidRDefault="00000000">
            <w:pPr>
              <w:jc w:val="center"/>
            </w:pPr>
            <w:r>
              <w:rPr>
                <w:sz w:val="20"/>
              </w:rPr>
              <w:t>−4.7%</w:t>
            </w:r>
          </w:p>
        </w:tc>
        <w:tc>
          <w:tcPr>
            <w:tcW w:w="1152" w:type="dxa"/>
            <w:shd w:val="clear" w:color="auto" w:fill="DCE6F1"/>
          </w:tcPr>
          <w:p w14:paraId="1E13D549" w14:textId="77777777" w:rsidR="002F23F6" w:rsidRDefault="00000000">
            <w:pPr>
              <w:jc w:val="center"/>
            </w:pPr>
            <w:r>
              <w:rPr>
                <w:sz w:val="20"/>
              </w:rPr>
              <w:t>4.7%</w:t>
            </w:r>
          </w:p>
        </w:tc>
        <w:tc>
          <w:tcPr>
            <w:tcW w:w="1152" w:type="dxa"/>
            <w:shd w:val="clear" w:color="auto" w:fill="DCE6F1"/>
          </w:tcPr>
          <w:p w14:paraId="79EA2489" w14:textId="77777777" w:rsidR="002F23F6" w:rsidRDefault="00000000">
            <w:pPr>
              <w:jc w:val="center"/>
            </w:pPr>
            <w:r>
              <w:rPr>
                <w:sz w:val="20"/>
              </w:rPr>
              <w:t>−5.9%</w:t>
            </w:r>
          </w:p>
        </w:tc>
        <w:tc>
          <w:tcPr>
            <w:tcW w:w="1152" w:type="dxa"/>
            <w:shd w:val="clear" w:color="auto" w:fill="DCE6F1"/>
          </w:tcPr>
          <w:p w14:paraId="2688A5DD" w14:textId="77777777" w:rsidR="002F23F6" w:rsidRDefault="00000000">
            <w:pPr>
              <w:jc w:val="center"/>
            </w:pPr>
            <w:r>
              <w:rPr>
                <w:sz w:val="20"/>
              </w:rPr>
              <w:t>−7.8%</w:t>
            </w:r>
          </w:p>
        </w:tc>
      </w:tr>
    </w:tbl>
    <w:p w14:paraId="0A5651D2" w14:textId="5112F990" w:rsidR="00C11EA6" w:rsidRDefault="00000000">
      <w:pPr>
        <w:spacing w:before="40" w:after="60" w:line="280" w:lineRule="exact"/>
      </w:pPr>
      <w:r>
        <w:rPr>
          <w:sz w:val="18"/>
        </w:rPr>
        <w:t>Source: Hyundai Motor Company (2024); Hyundai Motor Company (2025)</w:t>
      </w:r>
    </w:p>
    <w:p w14:paraId="2C8D941F" w14:textId="6DA063D9" w:rsidR="00C11EA6" w:rsidRDefault="00D00A5D">
      <w:pPr>
        <w:spacing w:before="40" w:after="80" w:line="300" w:lineRule="exact"/>
      </w:pPr>
      <w:r>
        <w:rPr>
          <w:noProof/>
        </w:rPr>
        <w:drawing>
          <wp:anchor distT="0" distB="0" distL="114300" distR="114300" simplePos="0" relativeHeight="251632128" behindDoc="0" locked="0" layoutInCell="1" allowOverlap="1" wp14:anchorId="669A4D57" wp14:editId="75E42E81">
            <wp:simplePos x="0" y="0"/>
            <wp:positionH relativeFrom="column">
              <wp:posOffset>358140</wp:posOffset>
            </wp:positionH>
            <wp:positionV relativeFrom="paragraph">
              <wp:posOffset>1268730</wp:posOffset>
            </wp:positionV>
            <wp:extent cx="5462905" cy="3032125"/>
            <wp:effectExtent l="0" t="0" r="4445" b="0"/>
            <wp:wrapTopAndBottom/>
            <wp:docPr id="2505" name="img2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png"/>
                    <pic:cNvPicPr>
                      <a:picLocks noChangeAspect="1" noChangeArrowheads="1"/>
                    </pic:cNvPicPr>
                  </pic:nvPicPr>
                  <pic:blipFill rotWithShape="1">
                    <a:blip r:embed="rId10"/>
                    <a:srcRect t="5239"/>
                    <a:stretch>
                      <a:fillRect/>
                    </a:stretch>
                  </pic:blipFill>
                  <pic:spPr bwMode="auto">
                    <a:xfrm>
                      <a:off x="0" y="0"/>
                      <a:ext cx="5462905" cy="30321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mc:AlternateContent>
          <mc:Choice Requires="wps">
            <w:drawing>
              <wp:anchor distT="0" distB="0" distL="114300" distR="114300" simplePos="0" relativeHeight="251642368" behindDoc="0" locked="0" layoutInCell="1" allowOverlap="1" wp14:anchorId="424BDC1F" wp14:editId="3D235FDD">
                <wp:simplePos x="0" y="0"/>
                <wp:positionH relativeFrom="column">
                  <wp:posOffset>358140</wp:posOffset>
                </wp:positionH>
                <wp:positionV relativeFrom="paragraph">
                  <wp:posOffset>4358005</wp:posOffset>
                </wp:positionV>
                <wp:extent cx="5463540" cy="635"/>
                <wp:effectExtent l="0" t="0" r="0" b="0"/>
                <wp:wrapTopAndBottom/>
                <wp:docPr id="1706545010" name="Text Box 1"/>
                <wp:cNvGraphicFramePr/>
                <a:graphic xmlns:a="http://schemas.openxmlformats.org/drawingml/2006/main">
                  <a:graphicData uri="http://schemas.microsoft.com/office/word/2010/wordprocessingShape">
                    <wps:wsp>
                      <wps:cNvSpPr txBox="1"/>
                      <wps:spPr>
                        <a:xfrm>
                          <a:off x="0" y="0"/>
                          <a:ext cx="5463540" cy="635"/>
                        </a:xfrm>
                        <a:prstGeom prst="rect">
                          <a:avLst/>
                        </a:prstGeom>
                        <a:solidFill>
                          <a:prstClr val="white"/>
                        </a:solidFill>
                        <a:ln>
                          <a:noFill/>
                        </a:ln>
                      </wps:spPr>
                      <wps:txbx>
                        <w:txbxContent>
                          <w:p w14:paraId="0C41CFB5" w14:textId="12C250D5" w:rsidR="00D00A5D" w:rsidRPr="00BF185F" w:rsidRDefault="00D00A5D" w:rsidP="00D00A5D">
                            <w:pPr>
                              <w:pStyle w:val="Caption"/>
                              <w:jc w:val="center"/>
                              <w:rPr>
                                <w:noProof/>
                                <w:szCs w:val="22"/>
                              </w:rPr>
                            </w:pPr>
                            <w:bookmarkStart w:id="15" w:name="_Toc227887993"/>
                            <w:r>
                              <w:t xml:space="preserve">Figure </w:t>
                            </w:r>
                            <w:fldSimple w:instr=" SEQ Figure \* ARABIC ">
                              <w:r w:rsidR="00053944">
                                <w:rPr>
                                  <w:noProof/>
                                </w:rPr>
                                <w:t>4</w:t>
                              </w:r>
                            </w:fldSimple>
                            <w:r>
                              <w:t xml:space="preserve"> </w:t>
                            </w:r>
                            <w:r w:rsidRPr="009D777F">
                              <w:t>Cash Flow Ratios, FY2020–FY2024</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4BDC1F" id="_x0000_s1027" type="#_x0000_t202" style="position:absolute;left:0;text-align:left;margin-left:28.2pt;margin-top:343.15pt;width:430.2pt;height:.05pt;z-index:251642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" stroked="f">
                <v:textbox style="mso-fit-shape-to-text:t" inset="0,0,0,0">
                  <w:txbxContent>
                    <w:p w14:paraId="0C41CFB5" w14:textId="12C250D5" w:rsidR="00D00A5D" w:rsidRPr="00BF185F" w:rsidRDefault="00D00A5D" w:rsidP="00D00A5D">
                      <w:pPr>
                        <w:pStyle w:val="Caption"/>
                        <w:jc w:val="center"/>
                        <w:rPr>
                          <w:noProof/>
                          <w:szCs w:val="22"/>
                        </w:rPr>
                      </w:pPr>
                      <w:bookmarkStart w:id="16" w:name="_Toc227887993"/>
                      <w:r>
                        <w:t xml:space="preserve">Figure </w:t>
                      </w:r>
                      <w:fldSimple w:instr=" SEQ Figure \* ARABIC ">
                        <w:r w:rsidR="00053944">
                          <w:rPr>
                            <w:noProof/>
                          </w:rPr>
                          <w:t>4</w:t>
                        </w:r>
                      </w:fldSimple>
                      <w:r>
                        <w:t xml:space="preserve"> </w:t>
                      </w:r>
                      <w:r w:rsidRPr="009D777F">
                        <w:t>Cash Flow Ratios, FY2020–FY2024</w:t>
                      </w:r>
                      <w:bookmarkEnd w:id="16"/>
                    </w:p>
                  </w:txbxContent>
                </v:textbox>
                <w10:wrap type="topAndBottom"/>
              </v:shape>
            </w:pict>
          </mc:Fallback>
        </mc:AlternateContent>
      </w:r>
      <w:r w:rsidRPr="00FE3FED">
        <w:t xml:space="preserve">Table </w:t>
      </w:r>
      <w:r w:rsidR="00FE3FED" w:rsidRPr="00FE3FED">
        <w:t>5</w:t>
      </w:r>
      <w:r w:rsidRPr="00FE3FED">
        <w:t xml:space="preserve"> highlights that negative operating and free cash flow in four of five years is substantially attributable to Hyundai Capital Services’ loan originations flowing through operating activities; CapEx averaging 4.1% of revenue underscores the capital intensity of EV platform investment, constraining near-term free cash flow while positioning for scale advantages from FY2026 onwards (Damodaran, 2021).</w:t>
      </w:r>
    </w:p>
    <w:p w14:paraId="73F88D8A" w14:textId="5240C226" w:rsidR="00C11EA6" w:rsidRDefault="00000000" w:rsidP="00D00A5D">
      <w:pPr>
        <w:spacing w:before="40" w:after="160" w:line="300" w:lineRule="exact"/>
        <w:jc w:val="center"/>
      </w:pPr>
      <w:r>
        <w:rPr>
          <w:i/>
          <w:color w:val="595959"/>
          <w:sz w:val="20"/>
        </w:rPr>
        <w:lastRenderedPageBreak/>
        <w:t>Source: Hyundai Motor Company Annual Reports</w:t>
      </w:r>
    </w:p>
    <w:p w14:paraId="37F0B9FD" w14:textId="18F2B0B8" w:rsidR="00C11EA6" w:rsidRDefault="00000000" w:rsidP="00D00A5D">
      <w:pPr>
        <w:spacing w:before="60" w:after="120" w:line="360" w:lineRule="exact"/>
      </w:pPr>
      <w:r>
        <w:t xml:space="preserve">Investment ratios reflect the value generated for equity holders and signal market confidence in Hyundai’s earnings trajectory. Table </w:t>
      </w:r>
      <w:r w:rsidR="00D00A5D">
        <w:t>6</w:t>
      </w:r>
      <w:r>
        <w:t xml:space="preserve"> and Figure </w:t>
      </w:r>
      <w:r w:rsidR="00D00A5D">
        <w:t>5</w:t>
      </w:r>
      <w:r>
        <w:t xml:space="preserve"> below present key investment metrics across FY2020–FY2024, demonstrating the exceptional shareholder value creation achieved over the five-year period.</w:t>
      </w:r>
    </w:p>
    <w:p w14:paraId="5E287A3A" w14:textId="2CF341E2" w:rsidR="00D00A5D" w:rsidRDefault="00D00A5D" w:rsidP="00D00A5D">
      <w:pPr>
        <w:pStyle w:val="Caption"/>
        <w:keepNext/>
        <w:jc w:val="center"/>
      </w:pPr>
      <w:bookmarkStart w:id="17" w:name="_Toc227888003"/>
      <w:r>
        <w:t xml:space="preserve">Table </w:t>
      </w:r>
      <w:fldSimple w:instr=" SEQ Table \* ARABIC ">
        <w:r w:rsidR="00053944">
          <w:rPr>
            <w:noProof/>
          </w:rPr>
          <w:t>6</w:t>
        </w:r>
      </w:fldSimple>
      <w:r>
        <w:t xml:space="preserve"> </w:t>
      </w:r>
      <w:r w:rsidRPr="00513234">
        <w:t>Hyundai Motor Company - Investment Ratios, FY2020–FY2024</w:t>
      </w:r>
      <w:bookmarkEnd w:id="17"/>
    </w:p>
    <w:tbl>
      <w:tblPr>
        <w:tblStyle w:val="TableGrid"/>
        <w:tblW w:w="9360" w:type="dxa"/>
        <w:jc w:val="center"/>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Look w:val="04A0" w:firstRow="1" w:lastRow="0" w:firstColumn="1" w:lastColumn="0" w:noHBand="0" w:noVBand="1"/>
      </w:tblPr>
      <w:tblGrid>
        <w:gridCol w:w="3120"/>
        <w:gridCol w:w="1248"/>
        <w:gridCol w:w="1248"/>
        <w:gridCol w:w="1248"/>
        <w:gridCol w:w="1248"/>
        <w:gridCol w:w="1248"/>
      </w:tblGrid>
      <w:tr w:rsidR="002F23F6" w14:paraId="01801B9A" w14:textId="77777777" w:rsidTr="00D00A5D">
        <w:trPr>
          <w:jc w:val="center"/>
        </w:trPr>
        <w:tc>
          <w:tcPr>
            <w:tcW w:w="2880" w:type="dxa"/>
            <w:shd w:val="clear" w:color="auto" w:fill="1F5C99"/>
          </w:tcPr>
          <w:p w14:paraId="291BDE00" w14:textId="77777777" w:rsidR="002F23F6" w:rsidRDefault="00000000">
            <w:pPr>
              <w:jc w:val="center"/>
            </w:pPr>
            <w:r>
              <w:rPr>
                <w:b/>
                <w:color w:val="FFFFFF"/>
                <w:sz w:val="20"/>
              </w:rPr>
              <w:t>Metric</w:t>
            </w:r>
          </w:p>
        </w:tc>
        <w:tc>
          <w:tcPr>
            <w:tcW w:w="1152" w:type="dxa"/>
            <w:shd w:val="clear" w:color="auto" w:fill="1F5C99"/>
          </w:tcPr>
          <w:p w14:paraId="2D207D98" w14:textId="77777777" w:rsidR="002F23F6" w:rsidRDefault="00000000">
            <w:pPr>
              <w:jc w:val="center"/>
            </w:pPr>
            <w:r>
              <w:rPr>
                <w:b/>
                <w:color w:val="FFFFFF"/>
                <w:sz w:val="20"/>
              </w:rPr>
              <w:t>FY2020</w:t>
            </w:r>
          </w:p>
        </w:tc>
        <w:tc>
          <w:tcPr>
            <w:tcW w:w="1152" w:type="dxa"/>
            <w:shd w:val="clear" w:color="auto" w:fill="1F5C99"/>
          </w:tcPr>
          <w:p w14:paraId="527EF0A8" w14:textId="77777777" w:rsidR="002F23F6" w:rsidRDefault="00000000">
            <w:pPr>
              <w:jc w:val="center"/>
            </w:pPr>
            <w:r>
              <w:rPr>
                <w:b/>
                <w:color w:val="FFFFFF"/>
                <w:sz w:val="20"/>
              </w:rPr>
              <w:t>FY2021</w:t>
            </w:r>
          </w:p>
        </w:tc>
        <w:tc>
          <w:tcPr>
            <w:tcW w:w="1152" w:type="dxa"/>
            <w:shd w:val="clear" w:color="auto" w:fill="1F5C99"/>
          </w:tcPr>
          <w:p w14:paraId="6AE33EF6" w14:textId="77777777" w:rsidR="002F23F6" w:rsidRDefault="00000000">
            <w:pPr>
              <w:jc w:val="center"/>
            </w:pPr>
            <w:r>
              <w:rPr>
                <w:b/>
                <w:color w:val="FFFFFF"/>
                <w:sz w:val="20"/>
              </w:rPr>
              <w:t>FY2022</w:t>
            </w:r>
          </w:p>
        </w:tc>
        <w:tc>
          <w:tcPr>
            <w:tcW w:w="1152" w:type="dxa"/>
            <w:shd w:val="clear" w:color="auto" w:fill="1F5C99"/>
          </w:tcPr>
          <w:p w14:paraId="2AF34CB8" w14:textId="77777777" w:rsidR="002F23F6" w:rsidRDefault="00000000">
            <w:pPr>
              <w:jc w:val="center"/>
            </w:pPr>
            <w:r>
              <w:rPr>
                <w:b/>
                <w:color w:val="FFFFFF"/>
                <w:sz w:val="20"/>
              </w:rPr>
              <w:t>FY2023</w:t>
            </w:r>
          </w:p>
        </w:tc>
        <w:tc>
          <w:tcPr>
            <w:tcW w:w="1152" w:type="dxa"/>
            <w:shd w:val="clear" w:color="auto" w:fill="1F5C99"/>
          </w:tcPr>
          <w:p w14:paraId="52D2F14E" w14:textId="77777777" w:rsidR="002F23F6" w:rsidRDefault="00000000">
            <w:pPr>
              <w:jc w:val="center"/>
            </w:pPr>
            <w:r>
              <w:rPr>
                <w:b/>
                <w:color w:val="FFFFFF"/>
                <w:sz w:val="20"/>
              </w:rPr>
              <w:t>FY2024</w:t>
            </w:r>
          </w:p>
        </w:tc>
      </w:tr>
      <w:tr w:rsidR="002F23F6" w14:paraId="5B03BFC1" w14:textId="77777777" w:rsidTr="00D00A5D">
        <w:trPr>
          <w:jc w:val="center"/>
        </w:trPr>
        <w:tc>
          <w:tcPr>
            <w:tcW w:w="2880" w:type="dxa"/>
            <w:shd w:val="clear" w:color="auto" w:fill="FFFFFF"/>
          </w:tcPr>
          <w:p w14:paraId="2AAF8364" w14:textId="77777777" w:rsidR="002F23F6" w:rsidRDefault="00000000">
            <w:r>
              <w:rPr>
                <w:sz w:val="20"/>
              </w:rPr>
              <w:t>EPS (KRW)</w:t>
            </w:r>
          </w:p>
        </w:tc>
        <w:tc>
          <w:tcPr>
            <w:tcW w:w="1152" w:type="dxa"/>
            <w:shd w:val="clear" w:color="auto" w:fill="FFFFFF"/>
          </w:tcPr>
          <w:p w14:paraId="2A505FC2" w14:textId="77777777" w:rsidR="002F23F6" w:rsidRDefault="00000000">
            <w:pPr>
              <w:jc w:val="center"/>
            </w:pPr>
            <w:r>
              <w:rPr>
                <w:sz w:val="20"/>
              </w:rPr>
              <w:t>5,458</w:t>
            </w:r>
          </w:p>
        </w:tc>
        <w:tc>
          <w:tcPr>
            <w:tcW w:w="1152" w:type="dxa"/>
            <w:shd w:val="clear" w:color="auto" w:fill="FFFFFF"/>
          </w:tcPr>
          <w:p w14:paraId="68765EF1" w14:textId="77777777" w:rsidR="002F23F6" w:rsidRDefault="00000000">
            <w:pPr>
              <w:jc w:val="center"/>
            </w:pPr>
            <w:r>
              <w:rPr>
                <w:sz w:val="20"/>
              </w:rPr>
              <w:t>18,981</w:t>
            </w:r>
          </w:p>
        </w:tc>
        <w:tc>
          <w:tcPr>
            <w:tcW w:w="1152" w:type="dxa"/>
            <w:shd w:val="clear" w:color="auto" w:fill="FFFFFF"/>
          </w:tcPr>
          <w:p w14:paraId="2025345C" w14:textId="77777777" w:rsidR="002F23F6" w:rsidRDefault="00000000">
            <w:pPr>
              <w:jc w:val="center"/>
            </w:pPr>
            <w:r>
              <w:rPr>
                <w:sz w:val="20"/>
              </w:rPr>
              <w:t>28,490</w:t>
            </w:r>
          </w:p>
        </w:tc>
        <w:tc>
          <w:tcPr>
            <w:tcW w:w="1152" w:type="dxa"/>
            <w:shd w:val="clear" w:color="auto" w:fill="FFFFFF"/>
          </w:tcPr>
          <w:p w14:paraId="4E565F53" w14:textId="77777777" w:rsidR="002F23F6" w:rsidRDefault="00000000">
            <w:pPr>
              <w:jc w:val="center"/>
            </w:pPr>
            <w:r>
              <w:rPr>
                <w:sz w:val="20"/>
              </w:rPr>
              <w:t>45,687</w:t>
            </w:r>
          </w:p>
        </w:tc>
        <w:tc>
          <w:tcPr>
            <w:tcW w:w="1152" w:type="dxa"/>
            <w:shd w:val="clear" w:color="auto" w:fill="FFFFFF"/>
          </w:tcPr>
          <w:p w14:paraId="6293CBF1" w14:textId="77777777" w:rsidR="002F23F6" w:rsidRDefault="00000000">
            <w:pPr>
              <w:jc w:val="center"/>
            </w:pPr>
            <w:r>
              <w:rPr>
                <w:sz w:val="20"/>
              </w:rPr>
              <w:t>47,591</w:t>
            </w:r>
          </w:p>
        </w:tc>
      </w:tr>
      <w:tr w:rsidR="002F23F6" w14:paraId="532E6EFF" w14:textId="77777777" w:rsidTr="00D00A5D">
        <w:trPr>
          <w:jc w:val="center"/>
        </w:trPr>
        <w:tc>
          <w:tcPr>
            <w:tcW w:w="2880" w:type="dxa"/>
            <w:shd w:val="clear" w:color="auto" w:fill="DCE6F1"/>
          </w:tcPr>
          <w:p w14:paraId="39E03BD6" w14:textId="77777777" w:rsidR="002F23F6" w:rsidRDefault="00000000">
            <w:r>
              <w:rPr>
                <w:sz w:val="20"/>
              </w:rPr>
              <w:t>DPS (KRW)</w:t>
            </w:r>
          </w:p>
        </w:tc>
        <w:tc>
          <w:tcPr>
            <w:tcW w:w="1152" w:type="dxa"/>
            <w:shd w:val="clear" w:color="auto" w:fill="DCE6F1"/>
          </w:tcPr>
          <w:p w14:paraId="6A6449B8" w14:textId="77777777" w:rsidR="002F23F6" w:rsidRDefault="00000000">
            <w:pPr>
              <w:jc w:val="center"/>
            </w:pPr>
            <w:r>
              <w:rPr>
                <w:sz w:val="20"/>
              </w:rPr>
              <w:t>3,000</w:t>
            </w:r>
          </w:p>
        </w:tc>
        <w:tc>
          <w:tcPr>
            <w:tcW w:w="1152" w:type="dxa"/>
            <w:shd w:val="clear" w:color="auto" w:fill="DCE6F1"/>
          </w:tcPr>
          <w:p w14:paraId="246D14E7" w14:textId="77777777" w:rsidR="002F23F6" w:rsidRDefault="00000000">
            <w:pPr>
              <w:jc w:val="center"/>
            </w:pPr>
            <w:r>
              <w:rPr>
                <w:sz w:val="20"/>
              </w:rPr>
              <w:t>5,000</w:t>
            </w:r>
          </w:p>
        </w:tc>
        <w:tc>
          <w:tcPr>
            <w:tcW w:w="1152" w:type="dxa"/>
            <w:shd w:val="clear" w:color="auto" w:fill="DCE6F1"/>
          </w:tcPr>
          <w:p w14:paraId="07C79B77" w14:textId="77777777" w:rsidR="002F23F6" w:rsidRDefault="00000000">
            <w:pPr>
              <w:jc w:val="center"/>
            </w:pPr>
            <w:r>
              <w:rPr>
                <w:sz w:val="20"/>
              </w:rPr>
              <w:t>7,000</w:t>
            </w:r>
          </w:p>
        </w:tc>
        <w:tc>
          <w:tcPr>
            <w:tcW w:w="1152" w:type="dxa"/>
            <w:shd w:val="clear" w:color="auto" w:fill="DCE6F1"/>
          </w:tcPr>
          <w:p w14:paraId="0FA3EAE4" w14:textId="77777777" w:rsidR="002F23F6" w:rsidRDefault="00000000">
            <w:pPr>
              <w:jc w:val="center"/>
            </w:pPr>
            <w:r>
              <w:rPr>
                <w:sz w:val="20"/>
              </w:rPr>
              <w:t>11,400</w:t>
            </w:r>
          </w:p>
        </w:tc>
        <w:tc>
          <w:tcPr>
            <w:tcW w:w="1152" w:type="dxa"/>
            <w:shd w:val="clear" w:color="auto" w:fill="DCE6F1"/>
          </w:tcPr>
          <w:p w14:paraId="1E76EB52" w14:textId="77777777" w:rsidR="002F23F6" w:rsidRDefault="00000000">
            <w:pPr>
              <w:jc w:val="center"/>
            </w:pPr>
            <w:r>
              <w:rPr>
                <w:sz w:val="20"/>
              </w:rPr>
              <w:t>12,000</w:t>
            </w:r>
          </w:p>
        </w:tc>
      </w:tr>
      <w:tr w:rsidR="002F23F6" w14:paraId="4E8599C2" w14:textId="77777777" w:rsidTr="00D00A5D">
        <w:trPr>
          <w:jc w:val="center"/>
        </w:trPr>
        <w:tc>
          <w:tcPr>
            <w:tcW w:w="2880" w:type="dxa"/>
            <w:shd w:val="clear" w:color="auto" w:fill="FFFFFF"/>
          </w:tcPr>
          <w:p w14:paraId="37650E0B" w14:textId="77777777" w:rsidR="002F23F6" w:rsidRDefault="00000000">
            <w:r>
              <w:rPr>
                <w:sz w:val="20"/>
              </w:rPr>
              <w:t>P/E Ratio (x)</w:t>
            </w:r>
          </w:p>
        </w:tc>
        <w:tc>
          <w:tcPr>
            <w:tcW w:w="1152" w:type="dxa"/>
            <w:shd w:val="clear" w:color="auto" w:fill="FFFFFF"/>
          </w:tcPr>
          <w:p w14:paraId="3AD89AEE" w14:textId="77777777" w:rsidR="002F23F6" w:rsidRDefault="00000000">
            <w:pPr>
              <w:jc w:val="center"/>
            </w:pPr>
            <w:r>
              <w:rPr>
                <w:sz w:val="20"/>
              </w:rPr>
              <w:t>35.0x</w:t>
            </w:r>
          </w:p>
        </w:tc>
        <w:tc>
          <w:tcPr>
            <w:tcW w:w="1152" w:type="dxa"/>
            <w:shd w:val="clear" w:color="auto" w:fill="FFFFFF"/>
          </w:tcPr>
          <w:p w14:paraId="22BC7B9F" w14:textId="77777777" w:rsidR="002F23F6" w:rsidRDefault="00000000">
            <w:pPr>
              <w:jc w:val="center"/>
            </w:pPr>
            <w:r>
              <w:rPr>
                <w:sz w:val="20"/>
              </w:rPr>
              <w:t>11.0x</w:t>
            </w:r>
          </w:p>
        </w:tc>
        <w:tc>
          <w:tcPr>
            <w:tcW w:w="1152" w:type="dxa"/>
            <w:shd w:val="clear" w:color="auto" w:fill="FFFFFF"/>
          </w:tcPr>
          <w:p w14:paraId="33DF5077" w14:textId="77777777" w:rsidR="002F23F6" w:rsidRDefault="00000000">
            <w:pPr>
              <w:jc w:val="center"/>
            </w:pPr>
            <w:r>
              <w:rPr>
                <w:sz w:val="20"/>
              </w:rPr>
              <w:t>5.3x</w:t>
            </w:r>
          </w:p>
        </w:tc>
        <w:tc>
          <w:tcPr>
            <w:tcW w:w="1152" w:type="dxa"/>
            <w:shd w:val="clear" w:color="auto" w:fill="FFFFFF"/>
          </w:tcPr>
          <w:p w14:paraId="191EA692" w14:textId="77777777" w:rsidR="002F23F6" w:rsidRDefault="00000000">
            <w:pPr>
              <w:jc w:val="center"/>
            </w:pPr>
            <w:r>
              <w:rPr>
                <w:sz w:val="20"/>
              </w:rPr>
              <w:t>5.5x</w:t>
            </w:r>
          </w:p>
        </w:tc>
        <w:tc>
          <w:tcPr>
            <w:tcW w:w="1152" w:type="dxa"/>
            <w:shd w:val="clear" w:color="auto" w:fill="FFFFFF"/>
          </w:tcPr>
          <w:p w14:paraId="47E8F180" w14:textId="77777777" w:rsidR="002F23F6" w:rsidRDefault="00000000">
            <w:pPr>
              <w:jc w:val="center"/>
            </w:pPr>
            <w:r>
              <w:rPr>
                <w:sz w:val="20"/>
              </w:rPr>
              <w:t>4.5x</w:t>
            </w:r>
          </w:p>
        </w:tc>
      </w:tr>
      <w:tr w:rsidR="002F23F6" w14:paraId="6B1B00F3" w14:textId="77777777" w:rsidTr="00D00A5D">
        <w:trPr>
          <w:jc w:val="center"/>
        </w:trPr>
        <w:tc>
          <w:tcPr>
            <w:tcW w:w="2880" w:type="dxa"/>
            <w:shd w:val="clear" w:color="auto" w:fill="DCE6F1"/>
          </w:tcPr>
          <w:p w14:paraId="766894A5" w14:textId="77777777" w:rsidR="002F23F6" w:rsidRDefault="00000000">
            <w:r>
              <w:rPr>
                <w:sz w:val="20"/>
              </w:rPr>
              <w:t>Dividend Yield (%)</w:t>
            </w:r>
          </w:p>
        </w:tc>
        <w:tc>
          <w:tcPr>
            <w:tcW w:w="1152" w:type="dxa"/>
            <w:shd w:val="clear" w:color="auto" w:fill="DCE6F1"/>
          </w:tcPr>
          <w:p w14:paraId="251B70BC" w14:textId="77777777" w:rsidR="002F23F6" w:rsidRDefault="00000000">
            <w:pPr>
              <w:jc w:val="center"/>
            </w:pPr>
            <w:r>
              <w:rPr>
                <w:sz w:val="20"/>
              </w:rPr>
              <w:t>1.6%</w:t>
            </w:r>
          </w:p>
        </w:tc>
        <w:tc>
          <w:tcPr>
            <w:tcW w:w="1152" w:type="dxa"/>
            <w:shd w:val="clear" w:color="auto" w:fill="DCE6F1"/>
          </w:tcPr>
          <w:p w14:paraId="28C09A44" w14:textId="77777777" w:rsidR="002F23F6" w:rsidRDefault="00000000">
            <w:pPr>
              <w:jc w:val="center"/>
            </w:pPr>
            <w:r>
              <w:rPr>
                <w:sz w:val="20"/>
              </w:rPr>
              <w:t>2.4%</w:t>
            </w:r>
          </w:p>
        </w:tc>
        <w:tc>
          <w:tcPr>
            <w:tcW w:w="1152" w:type="dxa"/>
            <w:shd w:val="clear" w:color="auto" w:fill="DCE6F1"/>
          </w:tcPr>
          <w:p w14:paraId="7FEADE7E" w14:textId="77777777" w:rsidR="002F23F6" w:rsidRDefault="00000000">
            <w:pPr>
              <w:jc w:val="center"/>
            </w:pPr>
            <w:r>
              <w:rPr>
                <w:sz w:val="20"/>
              </w:rPr>
              <w:t>4.6%</w:t>
            </w:r>
          </w:p>
        </w:tc>
        <w:tc>
          <w:tcPr>
            <w:tcW w:w="1152" w:type="dxa"/>
            <w:shd w:val="clear" w:color="auto" w:fill="DCE6F1"/>
          </w:tcPr>
          <w:p w14:paraId="70668606" w14:textId="77777777" w:rsidR="002F23F6" w:rsidRDefault="00000000">
            <w:pPr>
              <w:jc w:val="center"/>
            </w:pPr>
            <w:r>
              <w:rPr>
                <w:sz w:val="20"/>
              </w:rPr>
              <w:t>4.5%</w:t>
            </w:r>
          </w:p>
        </w:tc>
        <w:tc>
          <w:tcPr>
            <w:tcW w:w="1152" w:type="dxa"/>
            <w:shd w:val="clear" w:color="auto" w:fill="DCE6F1"/>
          </w:tcPr>
          <w:p w14:paraId="283096EE" w14:textId="77777777" w:rsidR="002F23F6" w:rsidRDefault="00000000">
            <w:pPr>
              <w:jc w:val="center"/>
            </w:pPr>
            <w:r>
              <w:rPr>
                <w:sz w:val="20"/>
              </w:rPr>
              <w:t>5.6%</w:t>
            </w:r>
          </w:p>
        </w:tc>
      </w:tr>
      <w:tr w:rsidR="002F23F6" w14:paraId="2D42F81C" w14:textId="77777777" w:rsidTr="00D00A5D">
        <w:trPr>
          <w:jc w:val="center"/>
        </w:trPr>
        <w:tc>
          <w:tcPr>
            <w:tcW w:w="2880" w:type="dxa"/>
            <w:shd w:val="clear" w:color="auto" w:fill="FFFFFF"/>
          </w:tcPr>
          <w:p w14:paraId="060057FA" w14:textId="77777777" w:rsidR="002F23F6" w:rsidRDefault="00000000">
            <w:r>
              <w:rPr>
                <w:sz w:val="20"/>
              </w:rPr>
              <w:t>Dividend Cover (x)</w:t>
            </w:r>
          </w:p>
        </w:tc>
        <w:tc>
          <w:tcPr>
            <w:tcW w:w="1152" w:type="dxa"/>
            <w:shd w:val="clear" w:color="auto" w:fill="FFFFFF"/>
          </w:tcPr>
          <w:p w14:paraId="563BC24C" w14:textId="77777777" w:rsidR="002F23F6" w:rsidRDefault="00000000">
            <w:pPr>
              <w:jc w:val="center"/>
            </w:pPr>
            <w:r>
              <w:rPr>
                <w:sz w:val="20"/>
              </w:rPr>
              <w:t>1.82x</w:t>
            </w:r>
          </w:p>
        </w:tc>
        <w:tc>
          <w:tcPr>
            <w:tcW w:w="1152" w:type="dxa"/>
            <w:shd w:val="clear" w:color="auto" w:fill="FFFFFF"/>
          </w:tcPr>
          <w:p w14:paraId="4D99CB74" w14:textId="77777777" w:rsidR="002F23F6" w:rsidRDefault="00000000">
            <w:pPr>
              <w:jc w:val="center"/>
            </w:pPr>
            <w:r>
              <w:rPr>
                <w:sz w:val="20"/>
              </w:rPr>
              <w:t>3.80x</w:t>
            </w:r>
          </w:p>
        </w:tc>
        <w:tc>
          <w:tcPr>
            <w:tcW w:w="1152" w:type="dxa"/>
            <w:shd w:val="clear" w:color="auto" w:fill="FFFFFF"/>
          </w:tcPr>
          <w:p w14:paraId="201F05EC" w14:textId="77777777" w:rsidR="002F23F6" w:rsidRDefault="00000000">
            <w:pPr>
              <w:jc w:val="center"/>
            </w:pPr>
            <w:r>
              <w:rPr>
                <w:sz w:val="20"/>
              </w:rPr>
              <w:t>4.07x</w:t>
            </w:r>
          </w:p>
        </w:tc>
        <w:tc>
          <w:tcPr>
            <w:tcW w:w="1152" w:type="dxa"/>
            <w:shd w:val="clear" w:color="auto" w:fill="FFFFFF"/>
          </w:tcPr>
          <w:p w14:paraId="6132EDF9" w14:textId="77777777" w:rsidR="002F23F6" w:rsidRDefault="00000000">
            <w:pPr>
              <w:jc w:val="center"/>
            </w:pPr>
            <w:r>
              <w:rPr>
                <w:sz w:val="20"/>
              </w:rPr>
              <w:t>4.01x</w:t>
            </w:r>
          </w:p>
        </w:tc>
        <w:tc>
          <w:tcPr>
            <w:tcW w:w="1152" w:type="dxa"/>
            <w:shd w:val="clear" w:color="auto" w:fill="FFFFFF"/>
          </w:tcPr>
          <w:p w14:paraId="79E04EFB" w14:textId="77777777" w:rsidR="002F23F6" w:rsidRDefault="00000000">
            <w:pPr>
              <w:jc w:val="center"/>
            </w:pPr>
            <w:r>
              <w:rPr>
                <w:sz w:val="20"/>
              </w:rPr>
              <w:t>3.97x</w:t>
            </w:r>
          </w:p>
        </w:tc>
      </w:tr>
      <w:tr w:rsidR="002F23F6" w14:paraId="33E328D3" w14:textId="77777777" w:rsidTr="00D00A5D">
        <w:trPr>
          <w:jc w:val="center"/>
        </w:trPr>
        <w:tc>
          <w:tcPr>
            <w:tcW w:w="2880" w:type="dxa"/>
            <w:shd w:val="clear" w:color="auto" w:fill="DCE6F1"/>
          </w:tcPr>
          <w:p w14:paraId="7D3506A3" w14:textId="77777777" w:rsidR="002F23F6" w:rsidRDefault="00000000">
            <w:r>
              <w:rPr>
                <w:sz w:val="20"/>
              </w:rPr>
              <w:t>Dividend Payout (%)</w:t>
            </w:r>
          </w:p>
        </w:tc>
        <w:tc>
          <w:tcPr>
            <w:tcW w:w="1152" w:type="dxa"/>
            <w:shd w:val="clear" w:color="auto" w:fill="DCE6F1"/>
          </w:tcPr>
          <w:p w14:paraId="764C8B74" w14:textId="77777777" w:rsidR="002F23F6" w:rsidRDefault="00000000">
            <w:pPr>
              <w:jc w:val="center"/>
            </w:pPr>
            <w:r>
              <w:rPr>
                <w:sz w:val="20"/>
              </w:rPr>
              <w:t>55.0%</w:t>
            </w:r>
          </w:p>
        </w:tc>
        <w:tc>
          <w:tcPr>
            <w:tcW w:w="1152" w:type="dxa"/>
            <w:shd w:val="clear" w:color="auto" w:fill="DCE6F1"/>
          </w:tcPr>
          <w:p w14:paraId="718EE53D" w14:textId="77777777" w:rsidR="002F23F6" w:rsidRDefault="00000000">
            <w:pPr>
              <w:jc w:val="center"/>
            </w:pPr>
            <w:r>
              <w:rPr>
                <w:sz w:val="20"/>
              </w:rPr>
              <w:t>26.3%</w:t>
            </w:r>
          </w:p>
        </w:tc>
        <w:tc>
          <w:tcPr>
            <w:tcW w:w="1152" w:type="dxa"/>
            <w:shd w:val="clear" w:color="auto" w:fill="DCE6F1"/>
          </w:tcPr>
          <w:p w14:paraId="11FD37FE" w14:textId="77777777" w:rsidR="002F23F6" w:rsidRDefault="00000000">
            <w:pPr>
              <w:jc w:val="center"/>
            </w:pPr>
            <w:r>
              <w:rPr>
                <w:sz w:val="20"/>
              </w:rPr>
              <w:t>24.6%</w:t>
            </w:r>
          </w:p>
        </w:tc>
        <w:tc>
          <w:tcPr>
            <w:tcW w:w="1152" w:type="dxa"/>
            <w:shd w:val="clear" w:color="auto" w:fill="DCE6F1"/>
          </w:tcPr>
          <w:p w14:paraId="3A59D53A" w14:textId="77777777" w:rsidR="002F23F6" w:rsidRDefault="00000000">
            <w:pPr>
              <w:jc w:val="center"/>
            </w:pPr>
            <w:r>
              <w:rPr>
                <w:sz w:val="20"/>
              </w:rPr>
              <w:t>25.0%</w:t>
            </w:r>
          </w:p>
        </w:tc>
        <w:tc>
          <w:tcPr>
            <w:tcW w:w="1152" w:type="dxa"/>
            <w:shd w:val="clear" w:color="auto" w:fill="DCE6F1"/>
          </w:tcPr>
          <w:p w14:paraId="2355F6A0" w14:textId="77777777" w:rsidR="002F23F6" w:rsidRDefault="00000000">
            <w:pPr>
              <w:jc w:val="center"/>
            </w:pPr>
            <w:r>
              <w:rPr>
                <w:sz w:val="20"/>
              </w:rPr>
              <w:t>25.2%</w:t>
            </w:r>
          </w:p>
        </w:tc>
      </w:tr>
    </w:tbl>
    <w:p w14:paraId="2CA1F22E" w14:textId="77777777" w:rsidR="00C11EA6" w:rsidRDefault="00000000">
      <w:pPr>
        <w:spacing w:before="40" w:after="60" w:line="280" w:lineRule="exact"/>
      </w:pPr>
      <w:r>
        <w:rPr>
          <w:sz w:val="18"/>
        </w:rPr>
        <w:t>Source: Hyundai Motor Company (2025); StockAnalysis.com (2025)</w:t>
      </w:r>
    </w:p>
    <w:p w14:paraId="5BD4AC25" w14:textId="285B5FEE" w:rsidR="00C11EA6" w:rsidRDefault="00895802">
      <w:pPr>
        <w:spacing w:before="40" w:after="80" w:line="300" w:lineRule="exact"/>
      </w:pPr>
      <w:r>
        <w:rPr>
          <w:noProof/>
        </w:rPr>
        <mc:AlternateContent>
          <mc:Choice Requires="wps">
            <w:drawing>
              <wp:anchor distT="0" distB="0" distL="114300" distR="114300" simplePos="0" relativeHeight="251667968" behindDoc="0" locked="0" layoutInCell="1" allowOverlap="1" wp14:anchorId="3B844A5C" wp14:editId="09976EA5">
                <wp:simplePos x="0" y="0"/>
                <wp:positionH relativeFrom="column">
                  <wp:posOffset>8255</wp:posOffset>
                </wp:positionH>
                <wp:positionV relativeFrom="paragraph">
                  <wp:posOffset>3584575</wp:posOffset>
                </wp:positionV>
                <wp:extent cx="6171565" cy="635"/>
                <wp:effectExtent l="0" t="0" r="635" b="8255"/>
                <wp:wrapTopAndBottom/>
                <wp:docPr id="1595981155" name="Text Box 1"/>
                <wp:cNvGraphicFramePr/>
                <a:graphic xmlns:a="http://schemas.openxmlformats.org/drawingml/2006/main">
                  <a:graphicData uri="http://schemas.microsoft.com/office/word/2010/wordprocessingShape">
                    <wps:wsp>
                      <wps:cNvSpPr txBox="1"/>
                      <wps:spPr>
                        <a:xfrm>
                          <a:off x="0" y="0"/>
                          <a:ext cx="6171565" cy="635"/>
                        </a:xfrm>
                        <a:prstGeom prst="rect">
                          <a:avLst/>
                        </a:prstGeom>
                        <a:solidFill>
                          <a:prstClr val="white"/>
                        </a:solidFill>
                        <a:ln>
                          <a:noFill/>
                        </a:ln>
                      </wps:spPr>
                      <wps:txbx>
                        <w:txbxContent>
                          <w:p w14:paraId="3E67A9AB" w14:textId="1907E8D0" w:rsidR="00D00A5D" w:rsidRPr="00706D7B" w:rsidRDefault="00D00A5D" w:rsidP="00D00A5D">
                            <w:pPr>
                              <w:pStyle w:val="Caption"/>
                              <w:jc w:val="center"/>
                              <w:rPr>
                                <w:noProof/>
                                <w:szCs w:val="22"/>
                              </w:rPr>
                            </w:pPr>
                            <w:bookmarkStart w:id="18" w:name="_Toc227887994"/>
                            <w:r>
                              <w:t xml:space="preserve">Figure </w:t>
                            </w:r>
                            <w:fldSimple w:instr=" SEQ Figure \* ARABIC ">
                              <w:r w:rsidR="00053944">
                                <w:rPr>
                                  <w:noProof/>
                                </w:rPr>
                                <w:t>5</w:t>
                              </w:r>
                            </w:fldSimple>
                            <w:r>
                              <w:t xml:space="preserve"> </w:t>
                            </w:r>
                            <w:r w:rsidRPr="00340805">
                              <w:t>Investment Ratios - EPS, DPS, and P/E Trend, FY2020–FY2024</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844A5C" id="_x0000_s1028" type="#_x0000_t202" style="position:absolute;left:0;text-align:left;margin-left:.65pt;margin-top:282.25pt;width:485.95pt;height:.05pt;z-index:251667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n3uGgIAAD8EAAAOAAAAZHJzL2Uyb0RvYy54bWysU1GP2jAMfp+0/xDlfRSYYF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" stroked="f">
                <v:textbox style="mso-fit-shape-to-text:t" inset="0,0,0,0">
                  <w:txbxContent>
                    <w:p w14:paraId="3E67A9AB" w14:textId="1907E8D0" w:rsidR="00D00A5D" w:rsidRPr="00706D7B" w:rsidRDefault="00D00A5D" w:rsidP="00D00A5D">
                      <w:pPr>
                        <w:pStyle w:val="Caption"/>
                        <w:jc w:val="center"/>
                        <w:rPr>
                          <w:noProof/>
                          <w:szCs w:val="22"/>
                        </w:rPr>
                      </w:pPr>
                      <w:bookmarkStart w:id="19" w:name="_Toc227887994"/>
                      <w:r>
                        <w:t xml:space="preserve">Figure </w:t>
                      </w:r>
                      <w:fldSimple w:instr=" SEQ Figure \* ARABIC ">
                        <w:r w:rsidR="00053944">
                          <w:rPr>
                            <w:noProof/>
                          </w:rPr>
                          <w:t>5</w:t>
                        </w:r>
                      </w:fldSimple>
                      <w:r>
                        <w:t xml:space="preserve"> </w:t>
                      </w:r>
                      <w:r w:rsidRPr="00340805">
                        <w:t>Investment Ratios - EPS, DPS, and P/E Trend, FY2020–FY2024</w:t>
                      </w:r>
                      <w:bookmarkEnd w:id="19"/>
                    </w:p>
                  </w:txbxContent>
                </v:textbox>
                <w10:wrap type="topAndBottom"/>
              </v:shape>
            </w:pict>
          </mc:Fallback>
        </mc:AlternateContent>
      </w:r>
      <w:r w:rsidR="00D00A5D">
        <w:rPr>
          <w:noProof/>
        </w:rPr>
        <w:drawing>
          <wp:anchor distT="0" distB="0" distL="114300" distR="114300" simplePos="0" relativeHeight="251655680" behindDoc="0" locked="0" layoutInCell="1" allowOverlap="1" wp14:anchorId="3A85888C" wp14:editId="4BFA7C0D">
            <wp:simplePos x="0" y="0"/>
            <wp:positionH relativeFrom="column">
              <wp:posOffset>525780</wp:posOffset>
            </wp:positionH>
            <wp:positionV relativeFrom="paragraph">
              <wp:posOffset>853440</wp:posOffset>
            </wp:positionV>
            <wp:extent cx="5652135" cy="2644775"/>
            <wp:effectExtent l="0" t="0" r="5715" b="3175"/>
            <wp:wrapTopAndBottom/>
            <wp:docPr id="8846" name="img8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png"/>
                    <pic:cNvPicPr>
                      <a:picLocks noChangeAspect="1" noChangeArrowheads="1"/>
                    </pic:cNvPicPr>
                  </pic:nvPicPr>
                  <pic:blipFill rotWithShape="1">
                    <a:blip r:embed="rId11"/>
                    <a:srcRect t="6421"/>
                    <a:stretch>
                      <a:fillRect/>
                    </a:stretch>
                  </pic:blipFill>
                  <pic:spPr bwMode="auto">
                    <a:xfrm>
                      <a:off x="0" y="0"/>
                      <a:ext cx="5652135" cy="26447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E1D76">
        <w:t xml:space="preserve">Table </w:t>
      </w:r>
      <w:r w:rsidR="00D00A5D" w:rsidRPr="009E1D76">
        <w:t>6</w:t>
      </w:r>
      <w:r w:rsidRPr="009E1D76">
        <w:t xml:space="preserve"> confirms that EPS grew by 772% from KRW 5,458 to KRW 47,591 and DPS quadrupled over the period; the declining P/E ratio (35.0x to 4.5x) suggests the market has re-rated Hyundai to value-stock territory, potentially under-pricing the company’s EV growth optionality (Palepu, Healy and Peek, 2019).</w:t>
      </w:r>
    </w:p>
    <w:p w14:paraId="1FA3D756" w14:textId="1B7310E2" w:rsidR="00C11EA6" w:rsidRDefault="00000000">
      <w:pPr>
        <w:spacing w:before="40" w:after="160" w:line="300" w:lineRule="exact"/>
        <w:jc w:val="center"/>
      </w:pPr>
      <w:r>
        <w:rPr>
          <w:i/>
          <w:color w:val="595959"/>
          <w:sz w:val="20"/>
        </w:rPr>
        <w:lastRenderedPageBreak/>
        <w:t>Source: Hyundai Motor Company Annual Reports</w:t>
      </w:r>
    </w:p>
    <w:p w14:paraId="6B88B816" w14:textId="77777777" w:rsidR="002F23F6" w:rsidRDefault="00000000" w:rsidP="00937AB4">
      <w:pPr>
        <w:pStyle w:val="Heading1"/>
      </w:pPr>
      <w:bookmarkStart w:id="20" w:name="_Toc227888384"/>
      <w:r>
        <w:t>3. Working Capital Management Analysis</w:t>
      </w:r>
      <w:bookmarkEnd w:id="20"/>
    </w:p>
    <w:p w14:paraId="770B0685" w14:textId="77777777" w:rsidR="002F23F6" w:rsidRDefault="00000000" w:rsidP="00937AB4">
      <w:pPr>
        <w:pStyle w:val="Heading2"/>
      </w:pPr>
      <w:bookmarkStart w:id="21" w:name="_Toc227888385"/>
      <w:r>
        <w:t>3.1 Cash Operating Cycle Assessment</w:t>
      </w:r>
      <w:bookmarkEnd w:id="21"/>
    </w:p>
    <w:p w14:paraId="6DB1F55F" w14:textId="7D9E711F" w:rsidR="002F23F6" w:rsidRDefault="001C5774">
      <w:pPr>
        <w:spacing w:before="60" w:after="120" w:line="360" w:lineRule="exact"/>
      </w:pPr>
      <w:r>
        <w:t>Cash operating cycle (COC) refers to the amount of time it has taken the company to use up its cash in its operations between the payment of its suppliers and receipt of cash that it gets after sales. It is obtained by the following equation: COC = DIO + DSO-DPO. The advantage of this formula is that it reflects a net timing error between inventory outbursements and sales inflows and therefore is among the most relevant diagnostics that a CFO has when evaluating the health of short-term liquidity (Pike and Neale, 2018).</w:t>
      </w:r>
    </w:p>
    <w:p w14:paraId="3B819650" w14:textId="5F385AE7" w:rsidR="00F05F82" w:rsidRDefault="00F05F82" w:rsidP="00F05F82">
      <w:pPr>
        <w:pStyle w:val="Caption"/>
        <w:keepNext/>
        <w:jc w:val="center"/>
      </w:pPr>
      <w:bookmarkStart w:id="22" w:name="_Toc227888004"/>
      <w:r>
        <w:t xml:space="preserve">Table </w:t>
      </w:r>
      <w:fldSimple w:instr=" SEQ Table \* ARABIC ">
        <w:r w:rsidR="00053944">
          <w:rPr>
            <w:noProof/>
          </w:rPr>
          <w:t>7</w:t>
        </w:r>
      </w:fldSimple>
      <w:r>
        <w:t xml:space="preserve"> </w:t>
      </w:r>
      <w:r w:rsidRPr="00D67B4B">
        <w:t xml:space="preserve">Hyundai </w:t>
      </w:r>
      <w:r w:rsidR="009E1D76">
        <w:t>-</w:t>
      </w:r>
      <w:r w:rsidRPr="00D67B4B">
        <w:t xml:space="preserve"> Cash Operating Cycle, FY2020–FY2024</w:t>
      </w:r>
      <w:bookmarkEnd w:id="22"/>
    </w:p>
    <w:tbl>
      <w:tblPr>
        <w:tblStyle w:val="TableGrid"/>
        <w:tblW w:w="0" w:type="auto"/>
        <w:jc w:val="center"/>
        <w:tblLook w:val="04A0" w:firstRow="1" w:lastRow="0" w:firstColumn="1" w:lastColumn="0" w:noHBand="0" w:noVBand="1"/>
      </w:tblPr>
      <w:tblGrid>
        <w:gridCol w:w="3168"/>
        <w:gridCol w:w="1080"/>
        <w:gridCol w:w="1080"/>
        <w:gridCol w:w="1080"/>
        <w:gridCol w:w="1080"/>
        <w:gridCol w:w="1080"/>
      </w:tblGrid>
      <w:tr w:rsidR="002F23F6" w14:paraId="7099FA9B" w14:textId="77777777" w:rsidTr="00F05F82">
        <w:trPr>
          <w:jc w:val="center"/>
        </w:trPr>
        <w:tc>
          <w:tcPr>
            <w:tcW w:w="3168" w:type="dxa"/>
            <w:shd w:val="clear" w:color="auto" w:fill="1F497D"/>
          </w:tcPr>
          <w:p w14:paraId="5F1F3A1E" w14:textId="77777777" w:rsidR="002F23F6" w:rsidRDefault="00000000">
            <w:pPr>
              <w:jc w:val="center"/>
            </w:pPr>
            <w:r>
              <w:rPr>
                <w:b/>
                <w:color w:val="FFFFFF"/>
                <w:sz w:val="20"/>
              </w:rPr>
              <w:t>Component</w:t>
            </w:r>
          </w:p>
        </w:tc>
        <w:tc>
          <w:tcPr>
            <w:tcW w:w="1080" w:type="dxa"/>
            <w:shd w:val="clear" w:color="auto" w:fill="1F497D"/>
          </w:tcPr>
          <w:p w14:paraId="4C056D6F" w14:textId="77777777" w:rsidR="002F23F6" w:rsidRDefault="00000000">
            <w:pPr>
              <w:jc w:val="center"/>
            </w:pPr>
            <w:r>
              <w:rPr>
                <w:b/>
                <w:color w:val="FFFFFF"/>
                <w:sz w:val="20"/>
              </w:rPr>
              <w:t>FY2020</w:t>
            </w:r>
          </w:p>
        </w:tc>
        <w:tc>
          <w:tcPr>
            <w:tcW w:w="1080" w:type="dxa"/>
            <w:shd w:val="clear" w:color="auto" w:fill="1F497D"/>
          </w:tcPr>
          <w:p w14:paraId="074421AE" w14:textId="77777777" w:rsidR="002F23F6" w:rsidRDefault="00000000">
            <w:pPr>
              <w:jc w:val="center"/>
            </w:pPr>
            <w:r>
              <w:rPr>
                <w:b/>
                <w:color w:val="FFFFFF"/>
                <w:sz w:val="20"/>
              </w:rPr>
              <w:t>FY2021</w:t>
            </w:r>
          </w:p>
        </w:tc>
        <w:tc>
          <w:tcPr>
            <w:tcW w:w="1080" w:type="dxa"/>
            <w:shd w:val="clear" w:color="auto" w:fill="1F497D"/>
          </w:tcPr>
          <w:p w14:paraId="5BCCC855" w14:textId="77777777" w:rsidR="002F23F6" w:rsidRDefault="00000000">
            <w:pPr>
              <w:jc w:val="center"/>
            </w:pPr>
            <w:r>
              <w:rPr>
                <w:b/>
                <w:color w:val="FFFFFF"/>
                <w:sz w:val="20"/>
              </w:rPr>
              <w:t>FY2022</w:t>
            </w:r>
          </w:p>
        </w:tc>
        <w:tc>
          <w:tcPr>
            <w:tcW w:w="1080" w:type="dxa"/>
            <w:shd w:val="clear" w:color="auto" w:fill="1F497D"/>
          </w:tcPr>
          <w:p w14:paraId="5A2E4097" w14:textId="77777777" w:rsidR="002F23F6" w:rsidRDefault="00000000">
            <w:pPr>
              <w:jc w:val="center"/>
            </w:pPr>
            <w:r>
              <w:rPr>
                <w:b/>
                <w:color w:val="FFFFFF"/>
                <w:sz w:val="20"/>
              </w:rPr>
              <w:t>FY2023</w:t>
            </w:r>
          </w:p>
        </w:tc>
        <w:tc>
          <w:tcPr>
            <w:tcW w:w="1080" w:type="dxa"/>
            <w:shd w:val="clear" w:color="auto" w:fill="1F497D"/>
          </w:tcPr>
          <w:p w14:paraId="3B70C748" w14:textId="77777777" w:rsidR="002F23F6" w:rsidRDefault="00000000">
            <w:pPr>
              <w:jc w:val="center"/>
            </w:pPr>
            <w:r>
              <w:rPr>
                <w:b/>
                <w:color w:val="FFFFFF"/>
                <w:sz w:val="20"/>
              </w:rPr>
              <w:t>FY2024</w:t>
            </w:r>
          </w:p>
        </w:tc>
      </w:tr>
      <w:tr w:rsidR="002F23F6" w14:paraId="28B56F50" w14:textId="77777777" w:rsidTr="00F05F82">
        <w:trPr>
          <w:jc w:val="center"/>
        </w:trPr>
        <w:tc>
          <w:tcPr>
            <w:tcW w:w="3168" w:type="dxa"/>
            <w:shd w:val="clear" w:color="auto" w:fill="FFFFFF"/>
          </w:tcPr>
          <w:p w14:paraId="5E300A43" w14:textId="77777777" w:rsidR="002F23F6" w:rsidRDefault="00000000">
            <w:r>
              <w:rPr>
                <w:sz w:val="20"/>
              </w:rPr>
              <w:t>Inventory Days (DIO)</w:t>
            </w:r>
          </w:p>
        </w:tc>
        <w:tc>
          <w:tcPr>
            <w:tcW w:w="1080" w:type="dxa"/>
            <w:shd w:val="clear" w:color="auto" w:fill="FFFFFF"/>
          </w:tcPr>
          <w:p w14:paraId="74069337" w14:textId="77777777" w:rsidR="002F23F6" w:rsidRDefault="00000000">
            <w:pPr>
              <w:jc w:val="center"/>
            </w:pPr>
            <w:r>
              <w:rPr>
                <w:sz w:val="20"/>
              </w:rPr>
              <w:t>48.4</w:t>
            </w:r>
          </w:p>
        </w:tc>
        <w:tc>
          <w:tcPr>
            <w:tcW w:w="1080" w:type="dxa"/>
            <w:shd w:val="clear" w:color="auto" w:fill="FFFFFF"/>
          </w:tcPr>
          <w:p w14:paraId="3B4A8DE1" w14:textId="77777777" w:rsidR="002F23F6" w:rsidRDefault="00000000">
            <w:pPr>
              <w:jc w:val="center"/>
            </w:pPr>
            <w:r>
              <w:rPr>
                <w:sz w:val="20"/>
              </w:rPr>
              <w:t>44.4</w:t>
            </w:r>
          </w:p>
        </w:tc>
        <w:tc>
          <w:tcPr>
            <w:tcW w:w="1080" w:type="dxa"/>
            <w:shd w:val="clear" w:color="auto" w:fill="FFFFFF"/>
          </w:tcPr>
          <w:p w14:paraId="3631D5F8" w14:textId="77777777" w:rsidR="002F23F6" w:rsidRDefault="00000000">
            <w:pPr>
              <w:jc w:val="center"/>
            </w:pPr>
            <w:r>
              <w:rPr>
                <w:sz w:val="20"/>
              </w:rPr>
              <w:t>45.8</w:t>
            </w:r>
          </w:p>
        </w:tc>
        <w:tc>
          <w:tcPr>
            <w:tcW w:w="1080" w:type="dxa"/>
            <w:shd w:val="clear" w:color="auto" w:fill="FFFFFF"/>
          </w:tcPr>
          <w:p w14:paraId="30EA4DC8" w14:textId="77777777" w:rsidR="002F23F6" w:rsidRDefault="00000000">
            <w:pPr>
              <w:jc w:val="center"/>
            </w:pPr>
            <w:r>
              <w:rPr>
                <w:sz w:val="20"/>
              </w:rPr>
              <w:t>49.2</w:t>
            </w:r>
          </w:p>
        </w:tc>
        <w:tc>
          <w:tcPr>
            <w:tcW w:w="1080" w:type="dxa"/>
            <w:shd w:val="clear" w:color="auto" w:fill="FFFFFF"/>
          </w:tcPr>
          <w:p w14:paraId="27B6BE76" w14:textId="77777777" w:rsidR="002F23F6" w:rsidRDefault="00000000">
            <w:pPr>
              <w:jc w:val="center"/>
            </w:pPr>
            <w:r>
              <w:rPr>
                <w:sz w:val="20"/>
              </w:rPr>
              <w:t>51.8</w:t>
            </w:r>
          </w:p>
        </w:tc>
      </w:tr>
      <w:tr w:rsidR="002F23F6" w14:paraId="34B6B679" w14:textId="77777777" w:rsidTr="00F05F82">
        <w:trPr>
          <w:jc w:val="center"/>
        </w:trPr>
        <w:tc>
          <w:tcPr>
            <w:tcW w:w="3168" w:type="dxa"/>
            <w:shd w:val="clear" w:color="auto" w:fill="DCE6F1"/>
          </w:tcPr>
          <w:p w14:paraId="537C1D9D" w14:textId="77777777" w:rsidR="002F23F6" w:rsidRDefault="00000000">
            <w:r>
              <w:rPr>
                <w:sz w:val="20"/>
              </w:rPr>
              <w:t>Receivables Days (DSO)</w:t>
            </w:r>
          </w:p>
        </w:tc>
        <w:tc>
          <w:tcPr>
            <w:tcW w:w="1080" w:type="dxa"/>
            <w:shd w:val="clear" w:color="auto" w:fill="DCE6F1"/>
          </w:tcPr>
          <w:p w14:paraId="5B88E9CC" w14:textId="77777777" w:rsidR="002F23F6" w:rsidRDefault="00000000">
            <w:pPr>
              <w:jc w:val="center"/>
            </w:pPr>
            <w:r>
              <w:rPr>
                <w:sz w:val="20"/>
              </w:rPr>
              <w:t>27.2</w:t>
            </w:r>
          </w:p>
        </w:tc>
        <w:tc>
          <w:tcPr>
            <w:tcW w:w="1080" w:type="dxa"/>
            <w:shd w:val="clear" w:color="auto" w:fill="DCE6F1"/>
          </w:tcPr>
          <w:p w14:paraId="2E7E282D" w14:textId="77777777" w:rsidR="002F23F6" w:rsidRDefault="00000000">
            <w:pPr>
              <w:jc w:val="center"/>
            </w:pPr>
            <w:r>
              <w:rPr>
                <w:sz w:val="20"/>
              </w:rPr>
              <w:t>24.0</w:t>
            </w:r>
          </w:p>
        </w:tc>
        <w:tc>
          <w:tcPr>
            <w:tcW w:w="1080" w:type="dxa"/>
            <w:shd w:val="clear" w:color="auto" w:fill="DCE6F1"/>
          </w:tcPr>
          <w:p w14:paraId="38D823DC" w14:textId="77777777" w:rsidR="002F23F6" w:rsidRDefault="00000000">
            <w:pPr>
              <w:jc w:val="center"/>
            </w:pPr>
            <w:r>
              <w:rPr>
                <w:sz w:val="20"/>
              </w:rPr>
              <w:t>23.8</w:t>
            </w:r>
          </w:p>
        </w:tc>
        <w:tc>
          <w:tcPr>
            <w:tcW w:w="1080" w:type="dxa"/>
            <w:shd w:val="clear" w:color="auto" w:fill="DCE6F1"/>
          </w:tcPr>
          <w:p w14:paraId="56E47CC5" w14:textId="77777777" w:rsidR="002F23F6" w:rsidRDefault="00000000">
            <w:pPr>
              <w:jc w:val="center"/>
            </w:pPr>
            <w:r>
              <w:rPr>
                <w:sz w:val="20"/>
              </w:rPr>
              <w:t>20.1</w:t>
            </w:r>
          </w:p>
        </w:tc>
        <w:tc>
          <w:tcPr>
            <w:tcW w:w="1080" w:type="dxa"/>
            <w:shd w:val="clear" w:color="auto" w:fill="DCE6F1"/>
          </w:tcPr>
          <w:p w14:paraId="16938735" w14:textId="77777777" w:rsidR="002F23F6" w:rsidRDefault="00000000">
            <w:pPr>
              <w:jc w:val="center"/>
            </w:pPr>
            <w:r>
              <w:rPr>
                <w:sz w:val="20"/>
              </w:rPr>
              <w:t>22.0</w:t>
            </w:r>
          </w:p>
        </w:tc>
      </w:tr>
      <w:tr w:rsidR="002F23F6" w14:paraId="412A17D3" w14:textId="77777777" w:rsidTr="00F05F82">
        <w:trPr>
          <w:jc w:val="center"/>
        </w:trPr>
        <w:tc>
          <w:tcPr>
            <w:tcW w:w="3168" w:type="dxa"/>
            <w:shd w:val="clear" w:color="auto" w:fill="FFFFFF"/>
          </w:tcPr>
          <w:p w14:paraId="60831EF7" w14:textId="77777777" w:rsidR="002F23F6" w:rsidRDefault="00000000">
            <w:r>
              <w:rPr>
                <w:sz w:val="20"/>
              </w:rPr>
              <w:t>Payables Days (DPO)</w:t>
            </w:r>
          </w:p>
        </w:tc>
        <w:tc>
          <w:tcPr>
            <w:tcW w:w="1080" w:type="dxa"/>
            <w:shd w:val="clear" w:color="auto" w:fill="FFFFFF"/>
          </w:tcPr>
          <w:p w14:paraId="2147CFDC" w14:textId="77777777" w:rsidR="002F23F6" w:rsidRDefault="00000000">
            <w:pPr>
              <w:jc w:val="center"/>
            </w:pPr>
            <w:r>
              <w:rPr>
                <w:sz w:val="20"/>
              </w:rPr>
              <w:t>37.5</w:t>
            </w:r>
          </w:p>
        </w:tc>
        <w:tc>
          <w:tcPr>
            <w:tcW w:w="1080" w:type="dxa"/>
            <w:shd w:val="clear" w:color="auto" w:fill="FFFFFF"/>
          </w:tcPr>
          <w:p w14:paraId="5AFDF480" w14:textId="77777777" w:rsidR="002F23F6" w:rsidRDefault="00000000">
            <w:pPr>
              <w:jc w:val="center"/>
            </w:pPr>
            <w:r>
              <w:rPr>
                <w:sz w:val="20"/>
              </w:rPr>
              <w:t>34.9</w:t>
            </w:r>
          </w:p>
        </w:tc>
        <w:tc>
          <w:tcPr>
            <w:tcW w:w="1080" w:type="dxa"/>
            <w:shd w:val="clear" w:color="auto" w:fill="FFFFFF"/>
          </w:tcPr>
          <w:p w14:paraId="5B99BA93" w14:textId="77777777" w:rsidR="002F23F6" w:rsidRDefault="00000000">
            <w:pPr>
              <w:jc w:val="center"/>
            </w:pPr>
            <w:r>
              <w:rPr>
                <w:sz w:val="20"/>
              </w:rPr>
              <w:t>34.6</w:t>
            </w:r>
          </w:p>
        </w:tc>
        <w:tc>
          <w:tcPr>
            <w:tcW w:w="1080" w:type="dxa"/>
            <w:shd w:val="clear" w:color="auto" w:fill="FFFFFF"/>
          </w:tcPr>
          <w:p w14:paraId="33977EB5" w14:textId="77777777" w:rsidR="002F23F6" w:rsidRDefault="00000000">
            <w:pPr>
              <w:jc w:val="center"/>
            </w:pPr>
            <w:r>
              <w:rPr>
                <w:sz w:val="20"/>
              </w:rPr>
              <w:t>31.0</w:t>
            </w:r>
          </w:p>
        </w:tc>
        <w:tc>
          <w:tcPr>
            <w:tcW w:w="1080" w:type="dxa"/>
            <w:shd w:val="clear" w:color="auto" w:fill="FFFFFF"/>
          </w:tcPr>
          <w:p w14:paraId="55E4AF68" w14:textId="77777777" w:rsidR="002F23F6" w:rsidRDefault="00000000">
            <w:pPr>
              <w:jc w:val="center"/>
            </w:pPr>
            <w:r>
              <w:rPr>
                <w:sz w:val="20"/>
              </w:rPr>
              <w:t>32.8</w:t>
            </w:r>
          </w:p>
        </w:tc>
      </w:tr>
      <w:tr w:rsidR="002F23F6" w14:paraId="6D51EEE3" w14:textId="77777777" w:rsidTr="00F05F82">
        <w:trPr>
          <w:jc w:val="center"/>
        </w:trPr>
        <w:tc>
          <w:tcPr>
            <w:tcW w:w="3168" w:type="dxa"/>
            <w:shd w:val="clear" w:color="auto" w:fill="DCE6F1"/>
          </w:tcPr>
          <w:p w14:paraId="06E0DAD7" w14:textId="77777777" w:rsidR="002F23F6" w:rsidRDefault="00000000">
            <w:r>
              <w:rPr>
                <w:b/>
                <w:sz w:val="20"/>
              </w:rPr>
              <w:t>Cash Operating Cycle (days)</w:t>
            </w:r>
          </w:p>
        </w:tc>
        <w:tc>
          <w:tcPr>
            <w:tcW w:w="1080" w:type="dxa"/>
            <w:shd w:val="clear" w:color="auto" w:fill="DCE6F1"/>
          </w:tcPr>
          <w:p w14:paraId="7B380DC5" w14:textId="77777777" w:rsidR="002F23F6" w:rsidRDefault="00000000">
            <w:pPr>
              <w:jc w:val="center"/>
            </w:pPr>
            <w:r>
              <w:rPr>
                <w:b/>
                <w:sz w:val="20"/>
              </w:rPr>
              <w:t>38.0</w:t>
            </w:r>
          </w:p>
        </w:tc>
        <w:tc>
          <w:tcPr>
            <w:tcW w:w="1080" w:type="dxa"/>
            <w:shd w:val="clear" w:color="auto" w:fill="DCE6F1"/>
          </w:tcPr>
          <w:p w14:paraId="30752A17" w14:textId="77777777" w:rsidR="002F23F6" w:rsidRDefault="00000000">
            <w:pPr>
              <w:jc w:val="center"/>
            </w:pPr>
            <w:r>
              <w:rPr>
                <w:b/>
                <w:sz w:val="20"/>
              </w:rPr>
              <w:t>33.5</w:t>
            </w:r>
          </w:p>
        </w:tc>
        <w:tc>
          <w:tcPr>
            <w:tcW w:w="1080" w:type="dxa"/>
            <w:shd w:val="clear" w:color="auto" w:fill="DCE6F1"/>
          </w:tcPr>
          <w:p w14:paraId="19DC8103" w14:textId="77777777" w:rsidR="002F23F6" w:rsidRDefault="00000000">
            <w:pPr>
              <w:jc w:val="center"/>
            </w:pPr>
            <w:r>
              <w:rPr>
                <w:b/>
                <w:sz w:val="20"/>
              </w:rPr>
              <w:t>35.0</w:t>
            </w:r>
          </w:p>
        </w:tc>
        <w:tc>
          <w:tcPr>
            <w:tcW w:w="1080" w:type="dxa"/>
            <w:shd w:val="clear" w:color="auto" w:fill="DCE6F1"/>
          </w:tcPr>
          <w:p w14:paraId="3B4DFC99" w14:textId="77777777" w:rsidR="002F23F6" w:rsidRDefault="00000000">
            <w:pPr>
              <w:jc w:val="center"/>
            </w:pPr>
            <w:r>
              <w:rPr>
                <w:b/>
                <w:sz w:val="20"/>
              </w:rPr>
              <w:t>38.3</w:t>
            </w:r>
          </w:p>
        </w:tc>
        <w:tc>
          <w:tcPr>
            <w:tcW w:w="1080" w:type="dxa"/>
            <w:shd w:val="clear" w:color="auto" w:fill="DCE6F1"/>
          </w:tcPr>
          <w:p w14:paraId="39E04F60" w14:textId="77777777" w:rsidR="002F23F6" w:rsidRDefault="00000000">
            <w:pPr>
              <w:jc w:val="center"/>
            </w:pPr>
            <w:r>
              <w:rPr>
                <w:b/>
                <w:sz w:val="20"/>
              </w:rPr>
              <w:t>40.9</w:t>
            </w:r>
          </w:p>
        </w:tc>
      </w:tr>
      <w:tr w:rsidR="002F23F6" w14:paraId="370CB044" w14:textId="77777777" w:rsidTr="00F05F82">
        <w:trPr>
          <w:jc w:val="center"/>
        </w:trPr>
        <w:tc>
          <w:tcPr>
            <w:tcW w:w="3168" w:type="dxa"/>
            <w:shd w:val="clear" w:color="auto" w:fill="FFFFFF"/>
          </w:tcPr>
          <w:p w14:paraId="7B467292" w14:textId="77777777" w:rsidR="002F23F6" w:rsidRDefault="00000000">
            <w:r>
              <w:rPr>
                <w:sz w:val="20"/>
              </w:rPr>
              <w:t>Net Working Capital (KRW bn)</w:t>
            </w:r>
          </w:p>
        </w:tc>
        <w:tc>
          <w:tcPr>
            <w:tcW w:w="1080" w:type="dxa"/>
            <w:shd w:val="clear" w:color="auto" w:fill="FFFFFF"/>
          </w:tcPr>
          <w:p w14:paraId="58A651D5" w14:textId="77777777" w:rsidR="002F23F6" w:rsidRDefault="00000000">
            <w:pPr>
              <w:jc w:val="center"/>
            </w:pPr>
            <w:r>
              <w:rPr>
                <w:sz w:val="20"/>
              </w:rPr>
              <w:t>24,227</w:t>
            </w:r>
          </w:p>
        </w:tc>
        <w:tc>
          <w:tcPr>
            <w:tcW w:w="1080" w:type="dxa"/>
            <w:shd w:val="clear" w:color="auto" w:fill="FFFFFF"/>
          </w:tcPr>
          <w:p w14:paraId="7F9E4FE3" w14:textId="77777777" w:rsidR="002F23F6" w:rsidRDefault="00000000">
            <w:pPr>
              <w:jc w:val="center"/>
            </w:pPr>
            <w:r>
              <w:rPr>
                <w:sz w:val="20"/>
              </w:rPr>
              <w:t>24,329</w:t>
            </w:r>
          </w:p>
        </w:tc>
        <w:tc>
          <w:tcPr>
            <w:tcW w:w="1080" w:type="dxa"/>
            <w:shd w:val="clear" w:color="auto" w:fill="FFFFFF"/>
          </w:tcPr>
          <w:p w14:paraId="776BACCD" w14:textId="77777777" w:rsidR="002F23F6" w:rsidRDefault="00000000">
            <w:pPr>
              <w:jc w:val="center"/>
            </w:pPr>
            <w:r>
              <w:rPr>
                <w:sz w:val="20"/>
              </w:rPr>
              <w:t>22,153</w:t>
            </w:r>
          </w:p>
        </w:tc>
        <w:tc>
          <w:tcPr>
            <w:tcW w:w="1080" w:type="dxa"/>
            <w:shd w:val="clear" w:color="auto" w:fill="FFFFFF"/>
          </w:tcPr>
          <w:p w14:paraId="78D11FB1" w14:textId="77777777" w:rsidR="002F23F6" w:rsidRDefault="00000000">
            <w:pPr>
              <w:jc w:val="center"/>
            </w:pPr>
            <w:r>
              <w:rPr>
                <w:sz w:val="20"/>
              </w:rPr>
              <w:t>28,363</w:t>
            </w:r>
          </w:p>
        </w:tc>
        <w:tc>
          <w:tcPr>
            <w:tcW w:w="1080" w:type="dxa"/>
            <w:shd w:val="clear" w:color="auto" w:fill="FFFFFF"/>
          </w:tcPr>
          <w:p w14:paraId="09B9C6CF" w14:textId="77777777" w:rsidR="002F23F6" w:rsidRDefault="00000000">
            <w:pPr>
              <w:jc w:val="center"/>
            </w:pPr>
            <w:r>
              <w:rPr>
                <w:sz w:val="20"/>
              </w:rPr>
              <w:t>36,255</w:t>
            </w:r>
          </w:p>
        </w:tc>
      </w:tr>
    </w:tbl>
    <w:p w14:paraId="7CD2FBF6" w14:textId="77777777" w:rsidR="002F23F6" w:rsidRDefault="00000000" w:rsidP="00F05F82">
      <w:pPr>
        <w:spacing w:before="60" w:after="120" w:line="360" w:lineRule="exact"/>
        <w:jc w:val="center"/>
      </w:pPr>
      <w:r>
        <w:rPr>
          <w:sz w:val="18"/>
        </w:rPr>
        <w:t>Source: Hyundai Motor Company (2024)</w:t>
      </w:r>
    </w:p>
    <w:p w14:paraId="451915B6" w14:textId="02511D7C" w:rsidR="00C11EA6" w:rsidRDefault="00000000">
      <w:pPr>
        <w:spacing w:before="40" w:after="80" w:line="300" w:lineRule="exact"/>
      </w:pPr>
      <w:r w:rsidRPr="00895802">
        <w:t xml:space="preserve">Table </w:t>
      </w:r>
      <w:r w:rsidR="00F05F82" w:rsidRPr="00895802">
        <w:t>7</w:t>
      </w:r>
      <w:r w:rsidRPr="00895802">
        <w:t xml:space="preserve"> shows that the cash operating cycle expanded from 38.0 to 40.9 days, tying up an additional estimated KRW 1.4 trillion of working capital at FY2024 revenue scale  a direct financial cost of inventory build-up that warrants targeted management action.</w:t>
      </w:r>
    </w:p>
    <w:p w14:paraId="03BE50EF" w14:textId="77777777" w:rsidR="00F05F82" w:rsidRDefault="00AB3B2D" w:rsidP="00F05F82">
      <w:pPr>
        <w:keepNext/>
        <w:jc w:val="center"/>
      </w:pPr>
      <w:r>
        <w:rPr>
          <w:noProof/>
        </w:rPr>
        <w:drawing>
          <wp:inline distT="0" distB="0" distL="0" distR="0" wp14:anchorId="04BCC73B" wp14:editId="503355C9">
            <wp:extent cx="3990264" cy="2520461"/>
            <wp:effectExtent l="0" t="0" r="0" b="0"/>
            <wp:docPr id="9574165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2">
                      <a:extLst>
                        <a:ext uri="{28A0092B-C50C-407E-A947-70E740481C1C}">
                          <a14:useLocalDpi xmlns:a14="http://schemas.microsoft.com/office/drawing/2010/main" val="0"/>
                        </a:ext>
                      </a:extLst>
                    </a:blip>
                    <a:srcRect t="5252"/>
                    <a:stretch>
                      <a:fillRect/>
                    </a:stretch>
                  </pic:blipFill>
                  <pic:spPr bwMode="auto">
                    <a:xfrm>
                      <a:off x="0" y="0"/>
                      <a:ext cx="4013471" cy="2535120"/>
                    </a:xfrm>
                    <a:prstGeom prst="rect">
                      <a:avLst/>
                    </a:prstGeom>
                    <a:noFill/>
                    <a:ln>
                      <a:noFill/>
                    </a:ln>
                    <a:extLst>
                      <a:ext uri="{53640926-AAD7-44D8-BBD7-CCE9431645EC}">
                        <a14:shadowObscured xmlns:a14="http://schemas.microsoft.com/office/drawing/2010/main"/>
                      </a:ext>
                    </a:extLst>
                  </pic:spPr>
                </pic:pic>
              </a:graphicData>
            </a:graphic>
          </wp:inline>
        </w:drawing>
      </w:r>
    </w:p>
    <w:p w14:paraId="6E62BF01" w14:textId="154B374C" w:rsidR="002F23F6" w:rsidRDefault="00F05F82" w:rsidP="00F05F82">
      <w:pPr>
        <w:pStyle w:val="Caption"/>
        <w:jc w:val="center"/>
      </w:pPr>
      <w:bookmarkStart w:id="23" w:name="_Toc227887995"/>
      <w:r>
        <w:t xml:space="preserve">Figure </w:t>
      </w:r>
      <w:fldSimple w:instr=" SEQ Figure \* ARABIC ">
        <w:r w:rsidR="00053944">
          <w:rPr>
            <w:noProof/>
          </w:rPr>
          <w:t>6</w:t>
        </w:r>
      </w:fldSimple>
      <w:r>
        <w:t xml:space="preserve"> </w:t>
      </w:r>
      <w:r w:rsidRPr="00754832">
        <w:t>Cash Operating Cycle Components, FY2020–FY2024</w:t>
      </w:r>
      <w:bookmarkEnd w:id="23"/>
    </w:p>
    <w:p w14:paraId="5D468C09" w14:textId="72E0162D" w:rsidR="002F23F6" w:rsidRDefault="00000000">
      <w:pPr>
        <w:spacing w:after="240"/>
        <w:jc w:val="center"/>
      </w:pPr>
      <w:r>
        <w:rPr>
          <w:i/>
          <w:color w:val="595959"/>
          <w:sz w:val="20"/>
        </w:rPr>
        <w:t>Source: Hyundai Motor Company Annual Reports</w:t>
      </w:r>
    </w:p>
    <w:p w14:paraId="76772D14" w14:textId="77777777" w:rsidR="002F23F6" w:rsidRDefault="001C5774">
      <w:pPr>
        <w:spacing w:before="60" w:after="120" w:line="360" w:lineRule="exact"/>
      </w:pPr>
      <w:r>
        <w:lastRenderedPageBreak/>
        <w:t>The COC increased during FY2024 to 40.9 days over FY2020, representing an overall negative change of just under three days. This is important since each extra day in the cash cycle would tie up about KRW 480 billion (at FY2024 revenue) of cash, i.e. working capital position would end up consuming an estimated KRW 1.4 trillion of cash in FY2024 (compared to similar cash operations in FY2020) had the cash cycle been one additional day shorter). The net working capital also increased by 49.8 percent between KRW 24.2 and KRW 36.3 trillion in the period, an increase that is not alarming but also worthy of consideration as a directional indicator as compared to the increase in revenue by 68.5 percent. The main reason is increasing inventory (DIO +3.4 days), partly compensated by the fact that the receivables collection is improving (DSO -5.2 days). Most of the DSO gain is eliminated through the negative change in payables days (−4.7 days).</w:t>
      </w:r>
    </w:p>
    <w:p w14:paraId="5509431D" w14:textId="77777777" w:rsidR="002F23F6" w:rsidRDefault="00000000" w:rsidP="00937AB4">
      <w:pPr>
        <w:pStyle w:val="Heading2"/>
      </w:pPr>
      <w:bookmarkStart w:id="24" w:name="_Toc227888386"/>
      <w:r>
        <w:t>3.2 Strategies to Improve Liquidity</w:t>
      </w:r>
      <w:bookmarkEnd w:id="24"/>
    </w:p>
    <w:p w14:paraId="5F608A46" w14:textId="77777777" w:rsidR="001C5774" w:rsidRDefault="001C5774">
      <w:pPr>
        <w:spacing w:before="60" w:after="120" w:line="360" w:lineRule="exact"/>
      </w:pPr>
      <w:r>
        <w:t>The three reforms that could be attended to in practical ways to gain Hyundai a better working capital would go a long way. First, the integral production timetable based on the need to utilize demand and to improve the integration between requirements and the functions of the distributor might have a realistic possibility to reduce DIO to 51.8 to 45-46 days. According to Ross, Westerfield and Jordan (2022), in the case of Hyundai, which is a company of such scope, the impact of reducing the DIO by just a single day releases hundreds of millions of dollars. This ought to be offset by supply-chain buffering lessons of the semiconductor crisis, but the level of inventory at hand seems excessive based upon real sales velocity.</w:t>
      </w:r>
    </w:p>
    <w:p w14:paraId="15A577FF" w14:textId="5C6ECEFE" w:rsidR="001C5774" w:rsidRDefault="001C5774">
      <w:pPr>
        <w:spacing w:before="60" w:after="120" w:line="360" w:lineRule="exact"/>
      </w:pPr>
      <w:r>
        <w:t>Second, it should extend its payables terms via an established supplier finance programme. Moving DPO back to 38</w:t>
      </w:r>
      <w:r w:rsidR="00A351CF">
        <w:t>-</w:t>
      </w:r>
      <w:r>
        <w:t>40 day range (where it was in FY2020) through a reverse factoring arrangement to enable suppliers to get early settlement at favourable rates through a bank agent would not damage the relationship with the supply chain (Pike and Neale, 2018). This practice is popular among Toyota and BMW and this is consistent with best-practice working capital management.</w:t>
      </w:r>
    </w:p>
    <w:p w14:paraId="07F93FF1" w14:textId="77777777" w:rsidR="002F23F6" w:rsidRDefault="001C5774">
      <w:pPr>
        <w:spacing w:before="60" w:after="120" w:line="360" w:lineRule="exact"/>
      </w:pPr>
      <w:r>
        <w:t>Third, further tightening of the receivables management can be achieved by dynamic discounting, which offers dealers incentives of settling their bills early, especially in high-inflation markets where time value of the receivables is of significant concern. Even a one-day drop in DSO will free about KRW 480 billion- a gain that is convincing over comparatively low costs of process enhancements.</w:t>
      </w:r>
    </w:p>
    <w:p w14:paraId="0016ACEA" w14:textId="77777777" w:rsidR="002F23F6" w:rsidRDefault="00000000" w:rsidP="00937AB4">
      <w:pPr>
        <w:pStyle w:val="Heading2"/>
      </w:pPr>
      <w:bookmarkStart w:id="25" w:name="_Toc227888387"/>
      <w:r>
        <w:lastRenderedPageBreak/>
        <w:t>3.3 Short-Term versus Long-Term Financing</w:t>
      </w:r>
      <w:bookmarkEnd w:id="25"/>
    </w:p>
    <w:p w14:paraId="00F42E81" w14:textId="28B100D9" w:rsidR="001C5774" w:rsidRDefault="001C5774">
      <w:pPr>
        <w:spacing w:before="60" w:after="120" w:line="360" w:lineRule="exact"/>
      </w:pPr>
      <w:r>
        <w:t>To meet the short</w:t>
      </w:r>
      <w:r w:rsidR="00F05F82">
        <w:t xml:space="preserve"> </w:t>
      </w:r>
      <w:r>
        <w:t>term liquidity needs, seasonal increases in production, working capital need revolving credit facilities and commercial paper issued by Hyundai Capital Services are viable and convenient. The appraisal of Hyundai has good ratings in investment credit that enables it to price such instruments lowly. Nonetheless, short-term debt is used to finance structural working capital needs, putting the company at risk of rollover when credit quality declines, as was experienced in the world in 2022-2023 (Brealey, Myers and Allen, 2023).</w:t>
      </w:r>
    </w:p>
    <w:p w14:paraId="32A8C5C2" w14:textId="527B4D1A" w:rsidR="002F23F6" w:rsidRDefault="001C5774">
      <w:pPr>
        <w:spacing w:before="60" w:after="120" w:line="360" w:lineRule="exact"/>
      </w:pPr>
      <w:r>
        <w:t>The long-term funding will be more suitable to fund the long</w:t>
      </w:r>
      <w:r w:rsidR="00F05F82">
        <w:t xml:space="preserve"> </w:t>
      </w:r>
      <w:r>
        <w:t>term investment programme that is being conducted by Hyundai. EV-specific green bonds include a twofold advantage as they are priced competitively by ESG-driven institutional investors and the reputational strength that supports the sustainability pledges of Hyundai. Major markets may have interest rates that may be cyclically high and therefore this is a strategic idea to lock in long-term rates. Short-term debt as a proportion of total borrowings should not exceed 25% and should be a target structure because it will minimize the risk associated with refinancing and will afford more predictability in the balance sheet.</w:t>
      </w:r>
    </w:p>
    <w:p w14:paraId="0FB78222" w14:textId="1DE56150" w:rsidR="002F23F6" w:rsidRDefault="00A351CF">
      <w:r w:rsidRPr="00A351CF">
        <w:t>Long-term financing of EV infrastructure should be a priority since Hyundai needs to finance the strategy in line with the asset life. The use of short-term debt increases the risk of refinancing and the credit risk. Bonds and green finance are long-term alternatives that can boost the stability and sustainability of capital structure, which can be used to efficiently finance mass strategic change (Brealey, Myers and Allen, 2023).</w:t>
      </w:r>
      <w:r w:rsidR="00BB073C">
        <w:br w:type="page"/>
      </w:r>
    </w:p>
    <w:p w14:paraId="0E08024F" w14:textId="77777777" w:rsidR="002F23F6" w:rsidRDefault="00000000" w:rsidP="00937AB4">
      <w:pPr>
        <w:pStyle w:val="Heading1"/>
      </w:pPr>
      <w:bookmarkStart w:id="26" w:name="_Toc227888388"/>
      <w:r>
        <w:lastRenderedPageBreak/>
        <w:t>4. Strategic Financial Restructuring Plan</w:t>
      </w:r>
      <w:bookmarkEnd w:id="26"/>
    </w:p>
    <w:p w14:paraId="644D4DC4" w14:textId="77777777" w:rsidR="002F23F6" w:rsidRDefault="00000000" w:rsidP="00937AB4">
      <w:pPr>
        <w:pStyle w:val="Heading2"/>
      </w:pPr>
      <w:bookmarkStart w:id="27" w:name="_Toc227888389"/>
      <w:r>
        <w:t>4.1 Recommended Restructuring Options</w:t>
      </w:r>
      <w:bookmarkEnd w:id="27"/>
    </w:p>
    <w:p w14:paraId="04AD3378" w14:textId="77777777" w:rsidR="002F23F6" w:rsidRDefault="001C5774">
      <w:pPr>
        <w:spacing w:before="60" w:after="120" w:line="360" w:lineRule="exact"/>
      </w:pPr>
      <w:r>
        <w:t>There are three restructuring strategies that should be given a serious consideration in the context of Hyundai recent financial profile when it has high earnings, its debts are on the rise and its free cash is continuously negative.</w:t>
      </w:r>
    </w:p>
    <w:p w14:paraId="039C3F37" w14:textId="77777777" w:rsidR="002F23F6" w:rsidRDefault="001C5774">
      <w:pPr>
        <w:spacing w:before="60" w:after="120" w:line="360" w:lineRule="exact"/>
      </w:pPr>
      <w:r>
        <w:t>The initial solution is a specific sale of non-core assets. The FY2024 balance sheet has long-term investments and other non-current assets of KRW 40.4 trillion and KRW 94.6 trillion, respectively. An organized review to determine underperforming equity ownerships, superfluous real estate, or historic business units that are out of the core EV and mobility plan would create high proceeds. The 2024 sale of the Russian manufacturing plant (HMMR) evidences that Hyundai already mindset to rationalise its portfolio, and additional strict divestiture would produce cash to pay off the debt or invest in EVs that offer a better payoff (Damodaran, 2021). It has always been the case among investors in capital-intensive sectors that a company will be rewarded upon exhibiting a focus as compared to diversifying.</w:t>
      </w:r>
    </w:p>
    <w:p w14:paraId="1C31D270" w14:textId="77777777" w:rsidR="002F23F6" w:rsidRDefault="001C5774">
      <w:pPr>
        <w:spacing w:before="60" w:after="120" w:line="360" w:lineRule="exact"/>
      </w:pPr>
      <w:r>
        <w:t>The second suggestion is a green equity injection by means of a rights issue or convertible bond. Considering the upward trend in Hyundai EPS, which goes up to KRW 5,458 in FY2020 and to KRW 47,591 in FY2024, and increasing profitability, the equity market might be ready to accept that capital raise, organized based on certain EV milestones. This would lower the debt to equity ratio of 1.31, and dilute exposure to refinance. The most critical risk is EPS dilution in the short term, which needs to be addressed via effective investor communication that demonstrates that increased capital would lead to returns greater than the cost of equity in a reasonable time (Brealey, Myers and Allen, 2023).</w:t>
      </w:r>
    </w:p>
    <w:p w14:paraId="3E62C1AB" w14:textId="77777777" w:rsidR="002F23F6" w:rsidRDefault="001C5774">
      <w:pPr>
        <w:spacing w:before="60" w:after="120" w:line="360" w:lineRule="exact"/>
      </w:pPr>
      <w:r>
        <w:t>The third is recommendation is the deepening of battery technology joint venture. Hyundai already has an EV battery joint-venture with LG Energy Solution. The extension of similar geographic plans into new geographies, especially North America, where the Inflation Reduction Act provides incentives to produce batteries in the domestic market would enable Hyundai to contribute to key supply chain assets without fully assuming capital risk. This is also a natural hedge against the largest single cost variable in EV manufacturing of battery cells (Arnold, 2023).</w:t>
      </w:r>
    </w:p>
    <w:p w14:paraId="6DAC92B0" w14:textId="77777777" w:rsidR="001C5774" w:rsidRDefault="001C5774">
      <w:pPr>
        <w:spacing w:before="60" w:after="120" w:line="360" w:lineRule="exact"/>
      </w:pPr>
    </w:p>
    <w:p w14:paraId="1084546A" w14:textId="77777777" w:rsidR="002F23F6" w:rsidRDefault="00000000" w:rsidP="00937AB4">
      <w:pPr>
        <w:pStyle w:val="Heading2"/>
      </w:pPr>
      <w:bookmarkStart w:id="28" w:name="_Toc227888390"/>
      <w:r>
        <w:lastRenderedPageBreak/>
        <w:t>4.2 Impact on Shareholder Value and Debt Structure</w:t>
      </w:r>
      <w:bookmarkEnd w:id="28"/>
    </w:p>
    <w:p w14:paraId="3FA71E54" w14:textId="77777777" w:rsidR="002F23F6" w:rsidRDefault="001C5774">
      <w:pPr>
        <w:spacing w:before="60" w:after="120" w:line="360" w:lineRule="exact"/>
      </w:pPr>
      <w:r>
        <w:t>Sales that are made at or above the book price enhance the ratio of returns in the short term - assets returning less than optimal returns will be excluded in the denominator of both ROA and ROE, increasing the ratio. The net proceeds which could be used to settle debt would reduce the total debt liability in the KRW 157.8 trillion and will cut the payable interest. A 10 percent cut in total debt would help save around KRW 451 billion in yearly interest on current average borrowing rates, enhancing the net profit margins. The most realistic three-year debt-to-equity ratio of 1.10-1.15, which could be achieved through a mixture of retained earnings growth and the targeted sale of some assets, would place Hyundai into an area close to the benchmarks of the peer companies among the premium OEMs (Palepu, Healy and Peek, 2019).</w:t>
      </w:r>
    </w:p>
    <w:p w14:paraId="094362B9" w14:textId="77777777" w:rsidR="00BB073C" w:rsidRDefault="00BB073C">
      <w:pPr>
        <w:spacing w:before="60" w:after="120" w:line="360" w:lineRule="exact"/>
      </w:pPr>
      <w:r>
        <w:t>A trade-off that is also within the restructuring decision is lessening financial risk but retaining shareholder returns. Although reducing debt enhances financial stability and cuts down on remittances on interest, equity increases would cut earnings per share in the short run. Investors can tolerate such dilution when the extra capital is obviously tied to high-paying projects especially in the EV side where the potential of growth is high in future. Thus, any equity-based restructuring can only work if a company can prove that new investments will yield higher returns than the cost of capital. Half way, a combination of internal debt financing, selective sales and light equity issues will be more viable to retain the investor and enhance the general financial architecture (Palepu, Healy and Peek, 2019).</w:t>
      </w:r>
    </w:p>
    <w:p w14:paraId="792EFD63" w14:textId="77777777" w:rsidR="002F23F6" w:rsidRDefault="001C5774">
      <w:pPr>
        <w:spacing w:before="60" w:after="120" w:line="360" w:lineRule="exact"/>
      </w:pPr>
      <w:r>
        <w:t>The issuance of equity dilutes the existing shareholders in the short run but when combined with specific guidance on the capital allocation enhances the value of the shares over the long term. The current dividend cover of about 4.0x (FY2024) implies that the dividend programme is highly secured and it would not have to reduce the dividend programme in case of equity raise and this is a positive reassurance to retail investors. Growth in EPS between KRW 5,458 and KRW 47,591 over the past five years offers the earning platform that can carefully digest dilution before it causes shareholder panic.</w:t>
      </w:r>
    </w:p>
    <w:p w14:paraId="1ABBC949" w14:textId="77777777" w:rsidR="002F23F6" w:rsidRDefault="00000000" w:rsidP="00937AB4">
      <w:pPr>
        <w:pStyle w:val="Heading2"/>
      </w:pPr>
      <w:bookmarkStart w:id="29" w:name="_Toc227888391"/>
      <w:r>
        <w:t>4.3 International and Ethical Considerations</w:t>
      </w:r>
      <w:bookmarkEnd w:id="29"/>
    </w:p>
    <w:p w14:paraId="3125B4FC" w14:textId="77777777" w:rsidR="002F23F6" w:rsidRDefault="001C5774">
      <w:pPr>
        <w:spacing w:before="60" w:after="120" w:line="360" w:lineRule="exact"/>
      </w:pPr>
      <w:r>
        <w:t xml:space="preserve">The most apparent international financial risk to Hyundai is currency risk. The company makes revenues in various currency zones and administrates in Korean Won. The weakening of KRW in 2024 both raised the price of imported parts, in USD and EUR, </w:t>
      </w:r>
      <w:r>
        <w:lastRenderedPageBreak/>
        <w:t>and generated translation losses on foreign income. A structured hedging policy (80% or more material currency exposures) with 12-month rolling forward contracts and cross-currency swaps is a company norm among the world OEMs, and ought to be embedded into the Hyundai treasury (Pike and Neale, 2018).</w:t>
      </w:r>
    </w:p>
    <w:p w14:paraId="0E9CFB9F" w14:textId="77777777" w:rsidR="002F23F6" w:rsidRDefault="001C5774">
      <w:pPr>
        <w:spacing w:before="60" w:after="120" w:line="360" w:lineRule="exact"/>
      </w:pPr>
      <w:r>
        <w:t>The OECD 15% global minimum corporate tax (Pillar Two) will restrict ability to tax-efficiently organize the structure of Hyundai among its international subsidiaries, but present an opportunity to simplify the legal entity structure in more tax-intensive countries, leading to a decrease in compliance costs (OECD, 2023). CSR and ethical implications Hyundai has made a commitment to a carbon neutral company by 2045, which implies all decisions, such as disposing assets and making new investments, need to be vetted on environmental impact rather than financial profits. Making carbon-intensive assets available to less responsible acquirers is not considered a responsible decarbonisation measure, and would mean that Hyundai would be exposed to reputational risk among ESG-aware investors and regulators (Carroll, 2021).</w:t>
      </w:r>
    </w:p>
    <w:p w14:paraId="376DAE98" w14:textId="77777777" w:rsidR="002F23F6" w:rsidRDefault="00000000">
      <w:r>
        <w:br w:type="page"/>
      </w:r>
    </w:p>
    <w:p w14:paraId="05CFE107" w14:textId="77777777" w:rsidR="002F23F6" w:rsidRDefault="00000000" w:rsidP="00937AB4">
      <w:pPr>
        <w:pStyle w:val="Heading1"/>
      </w:pPr>
      <w:bookmarkStart w:id="30" w:name="_Toc227888392"/>
      <w:r>
        <w:lastRenderedPageBreak/>
        <w:t>5. Investment Appraisal and Capital Budgeting</w:t>
      </w:r>
      <w:bookmarkEnd w:id="30"/>
    </w:p>
    <w:p w14:paraId="12F87AEC" w14:textId="77777777" w:rsidR="002F23F6" w:rsidRDefault="00000000" w:rsidP="00937AB4">
      <w:pPr>
        <w:pStyle w:val="Heading2"/>
      </w:pPr>
      <w:bookmarkStart w:id="31" w:name="_Toc227888393"/>
      <w:r>
        <w:t>5.1 Project Overview and Assumptions</w:t>
      </w:r>
      <w:bookmarkEnd w:id="31"/>
    </w:p>
    <w:p w14:paraId="7F42D1DC" w14:textId="36249AB2" w:rsidR="002F23F6" w:rsidRDefault="001C5774">
      <w:pPr>
        <w:spacing w:before="60" w:after="120" w:line="360" w:lineRule="exact"/>
      </w:pPr>
      <w:r>
        <w:t>They are in the evaluation of three investment projects that would entail an initial investment of £50 million and the cash inflows during a period of five years. Linear depreciation brings an asset down to nothing after project life thereby depreciating the asset every year by £10 million. The discount rate (cost of capital) =10 percent. Such an assumption is in line with the standard capital budgeting of a company of this size as the weighted average cost of capital is a reflection of both the equity risk and debt obligations (Drury, 2018).</w:t>
      </w:r>
    </w:p>
    <w:p w14:paraId="0A8DE2BC" w14:textId="3C39FA52" w:rsidR="00F05F82" w:rsidRDefault="00F05F82" w:rsidP="00F05F82">
      <w:pPr>
        <w:pStyle w:val="Caption"/>
        <w:keepNext/>
        <w:jc w:val="center"/>
      </w:pPr>
      <w:bookmarkStart w:id="32" w:name="_Toc227888005"/>
      <w:r>
        <w:t xml:space="preserve">Table </w:t>
      </w:r>
      <w:fldSimple w:instr=" SEQ Table \* ARABIC ">
        <w:r w:rsidR="00053944">
          <w:rPr>
            <w:noProof/>
          </w:rPr>
          <w:t>8</w:t>
        </w:r>
      </w:fldSimple>
      <w:r>
        <w:t xml:space="preserve"> </w:t>
      </w:r>
      <w:r w:rsidRPr="005070F2">
        <w:t>Investment Project Cash Flows (£ million)</w:t>
      </w:r>
      <w:bookmarkEnd w:id="32"/>
    </w:p>
    <w:tbl>
      <w:tblPr>
        <w:tblStyle w:val="TableGrid"/>
        <w:tblW w:w="0" w:type="auto"/>
        <w:jc w:val="center"/>
        <w:tblLook w:val="04A0" w:firstRow="1" w:lastRow="0" w:firstColumn="1" w:lastColumn="0" w:noHBand="0" w:noVBand="1"/>
      </w:tblPr>
      <w:tblGrid>
        <w:gridCol w:w="794"/>
        <w:gridCol w:w="1224"/>
        <w:gridCol w:w="1224"/>
        <w:gridCol w:w="1224"/>
        <w:gridCol w:w="1296"/>
        <w:gridCol w:w="1152"/>
        <w:gridCol w:w="1152"/>
        <w:gridCol w:w="1152"/>
      </w:tblGrid>
      <w:tr w:rsidR="002F23F6" w14:paraId="7AE69500" w14:textId="77777777" w:rsidTr="00F05F82">
        <w:trPr>
          <w:jc w:val="center"/>
        </w:trPr>
        <w:tc>
          <w:tcPr>
            <w:tcW w:w="648" w:type="dxa"/>
            <w:shd w:val="clear" w:color="auto" w:fill="1F497D"/>
          </w:tcPr>
          <w:p w14:paraId="4179CF05" w14:textId="77777777" w:rsidR="002F23F6" w:rsidRDefault="00000000">
            <w:pPr>
              <w:jc w:val="center"/>
            </w:pPr>
            <w:r>
              <w:rPr>
                <w:b/>
                <w:color w:val="FFFFFF"/>
                <w:sz w:val="20"/>
              </w:rPr>
              <w:t>Year</w:t>
            </w:r>
          </w:p>
        </w:tc>
        <w:tc>
          <w:tcPr>
            <w:tcW w:w="1224" w:type="dxa"/>
            <w:shd w:val="clear" w:color="auto" w:fill="1F497D"/>
          </w:tcPr>
          <w:p w14:paraId="7907D472" w14:textId="77777777" w:rsidR="002F23F6" w:rsidRDefault="00000000">
            <w:pPr>
              <w:jc w:val="center"/>
            </w:pPr>
            <w:r>
              <w:rPr>
                <w:b/>
                <w:color w:val="FFFFFF"/>
                <w:sz w:val="20"/>
              </w:rPr>
              <w:t>Project A (£m)</w:t>
            </w:r>
          </w:p>
        </w:tc>
        <w:tc>
          <w:tcPr>
            <w:tcW w:w="1224" w:type="dxa"/>
            <w:shd w:val="clear" w:color="auto" w:fill="1F497D"/>
          </w:tcPr>
          <w:p w14:paraId="3C6E0D41" w14:textId="77777777" w:rsidR="002F23F6" w:rsidRDefault="00000000">
            <w:pPr>
              <w:jc w:val="center"/>
            </w:pPr>
            <w:r>
              <w:rPr>
                <w:b/>
                <w:color w:val="FFFFFF"/>
                <w:sz w:val="20"/>
              </w:rPr>
              <w:t>Project B (£m)</w:t>
            </w:r>
          </w:p>
        </w:tc>
        <w:tc>
          <w:tcPr>
            <w:tcW w:w="1224" w:type="dxa"/>
            <w:shd w:val="clear" w:color="auto" w:fill="1F497D"/>
          </w:tcPr>
          <w:p w14:paraId="64FF498F" w14:textId="77777777" w:rsidR="002F23F6" w:rsidRDefault="00000000">
            <w:pPr>
              <w:jc w:val="center"/>
            </w:pPr>
            <w:r>
              <w:rPr>
                <w:b/>
                <w:color w:val="FFFFFF"/>
                <w:sz w:val="20"/>
              </w:rPr>
              <w:t>Project C (£m)</w:t>
            </w:r>
          </w:p>
        </w:tc>
        <w:tc>
          <w:tcPr>
            <w:tcW w:w="1296" w:type="dxa"/>
            <w:shd w:val="clear" w:color="auto" w:fill="1F497D"/>
          </w:tcPr>
          <w:p w14:paraId="30B5CFB6" w14:textId="77777777" w:rsidR="002F23F6" w:rsidRDefault="00000000">
            <w:pPr>
              <w:jc w:val="center"/>
            </w:pPr>
            <w:r>
              <w:rPr>
                <w:b/>
                <w:color w:val="FFFFFF"/>
                <w:sz w:val="20"/>
              </w:rPr>
              <w:t>Disc. Factor @10%</w:t>
            </w:r>
          </w:p>
        </w:tc>
        <w:tc>
          <w:tcPr>
            <w:tcW w:w="1152" w:type="dxa"/>
            <w:shd w:val="clear" w:color="auto" w:fill="1F497D"/>
          </w:tcPr>
          <w:p w14:paraId="49EE4E03" w14:textId="77777777" w:rsidR="002F23F6" w:rsidRDefault="00000000">
            <w:pPr>
              <w:jc w:val="center"/>
            </w:pPr>
            <w:r>
              <w:rPr>
                <w:b/>
                <w:color w:val="FFFFFF"/>
                <w:sz w:val="20"/>
              </w:rPr>
              <w:t>PV — A (£m)</w:t>
            </w:r>
          </w:p>
        </w:tc>
        <w:tc>
          <w:tcPr>
            <w:tcW w:w="1152" w:type="dxa"/>
            <w:shd w:val="clear" w:color="auto" w:fill="1F497D"/>
          </w:tcPr>
          <w:p w14:paraId="56339B36" w14:textId="77777777" w:rsidR="002F23F6" w:rsidRDefault="00000000">
            <w:pPr>
              <w:jc w:val="center"/>
            </w:pPr>
            <w:r>
              <w:rPr>
                <w:b/>
                <w:color w:val="FFFFFF"/>
                <w:sz w:val="20"/>
              </w:rPr>
              <w:t>PV — B (£m)</w:t>
            </w:r>
          </w:p>
        </w:tc>
        <w:tc>
          <w:tcPr>
            <w:tcW w:w="1152" w:type="dxa"/>
            <w:shd w:val="clear" w:color="auto" w:fill="1F497D"/>
          </w:tcPr>
          <w:p w14:paraId="14D64375" w14:textId="77777777" w:rsidR="002F23F6" w:rsidRDefault="00000000">
            <w:pPr>
              <w:jc w:val="center"/>
            </w:pPr>
            <w:r>
              <w:rPr>
                <w:b/>
                <w:color w:val="FFFFFF"/>
                <w:sz w:val="20"/>
              </w:rPr>
              <w:t>PV — C (£m)</w:t>
            </w:r>
          </w:p>
        </w:tc>
      </w:tr>
      <w:tr w:rsidR="002F23F6" w14:paraId="16551F27" w14:textId="77777777" w:rsidTr="00F05F82">
        <w:trPr>
          <w:jc w:val="center"/>
        </w:trPr>
        <w:tc>
          <w:tcPr>
            <w:tcW w:w="648" w:type="dxa"/>
            <w:shd w:val="clear" w:color="auto" w:fill="FFFFFF"/>
          </w:tcPr>
          <w:p w14:paraId="7AEF155C" w14:textId="77777777" w:rsidR="002F23F6" w:rsidRDefault="00000000">
            <w:r>
              <w:rPr>
                <w:sz w:val="20"/>
              </w:rPr>
              <w:t>0</w:t>
            </w:r>
          </w:p>
        </w:tc>
        <w:tc>
          <w:tcPr>
            <w:tcW w:w="1224" w:type="dxa"/>
            <w:shd w:val="clear" w:color="auto" w:fill="FFFFFF"/>
          </w:tcPr>
          <w:p w14:paraId="41136E12" w14:textId="77777777" w:rsidR="002F23F6" w:rsidRDefault="00000000">
            <w:pPr>
              <w:jc w:val="center"/>
            </w:pPr>
            <w:r>
              <w:rPr>
                <w:sz w:val="20"/>
              </w:rPr>
              <w:t>(50.00)</w:t>
            </w:r>
          </w:p>
        </w:tc>
        <w:tc>
          <w:tcPr>
            <w:tcW w:w="1224" w:type="dxa"/>
            <w:shd w:val="clear" w:color="auto" w:fill="FFFFFF"/>
          </w:tcPr>
          <w:p w14:paraId="217287ED" w14:textId="77777777" w:rsidR="002F23F6" w:rsidRDefault="00000000">
            <w:pPr>
              <w:jc w:val="center"/>
            </w:pPr>
            <w:r>
              <w:rPr>
                <w:sz w:val="20"/>
              </w:rPr>
              <w:t>(50.00)</w:t>
            </w:r>
          </w:p>
        </w:tc>
        <w:tc>
          <w:tcPr>
            <w:tcW w:w="1224" w:type="dxa"/>
            <w:shd w:val="clear" w:color="auto" w:fill="FFFFFF"/>
          </w:tcPr>
          <w:p w14:paraId="41D54B57" w14:textId="77777777" w:rsidR="002F23F6" w:rsidRDefault="00000000">
            <w:pPr>
              <w:jc w:val="center"/>
            </w:pPr>
            <w:r>
              <w:rPr>
                <w:sz w:val="20"/>
              </w:rPr>
              <w:t>(50.00)</w:t>
            </w:r>
          </w:p>
        </w:tc>
        <w:tc>
          <w:tcPr>
            <w:tcW w:w="1296" w:type="dxa"/>
            <w:shd w:val="clear" w:color="auto" w:fill="FFFFFF"/>
          </w:tcPr>
          <w:p w14:paraId="2EB823F2" w14:textId="77777777" w:rsidR="002F23F6" w:rsidRDefault="00000000">
            <w:pPr>
              <w:jc w:val="center"/>
            </w:pPr>
            <w:r>
              <w:rPr>
                <w:sz w:val="20"/>
              </w:rPr>
              <w:t>1.000</w:t>
            </w:r>
          </w:p>
        </w:tc>
        <w:tc>
          <w:tcPr>
            <w:tcW w:w="1152" w:type="dxa"/>
            <w:shd w:val="clear" w:color="auto" w:fill="FFFFFF"/>
          </w:tcPr>
          <w:p w14:paraId="6947BE7F" w14:textId="77777777" w:rsidR="002F23F6" w:rsidRDefault="00000000">
            <w:pPr>
              <w:jc w:val="center"/>
            </w:pPr>
            <w:r>
              <w:rPr>
                <w:sz w:val="20"/>
              </w:rPr>
              <w:t>(50.00)</w:t>
            </w:r>
          </w:p>
        </w:tc>
        <w:tc>
          <w:tcPr>
            <w:tcW w:w="1152" w:type="dxa"/>
            <w:shd w:val="clear" w:color="auto" w:fill="FFFFFF"/>
          </w:tcPr>
          <w:p w14:paraId="00640833" w14:textId="77777777" w:rsidR="002F23F6" w:rsidRDefault="00000000">
            <w:pPr>
              <w:jc w:val="center"/>
            </w:pPr>
            <w:r>
              <w:rPr>
                <w:sz w:val="20"/>
              </w:rPr>
              <w:t>(50.00)</w:t>
            </w:r>
          </w:p>
        </w:tc>
        <w:tc>
          <w:tcPr>
            <w:tcW w:w="1152" w:type="dxa"/>
            <w:shd w:val="clear" w:color="auto" w:fill="FFFFFF"/>
          </w:tcPr>
          <w:p w14:paraId="189B3BE2" w14:textId="77777777" w:rsidR="002F23F6" w:rsidRDefault="00000000">
            <w:pPr>
              <w:jc w:val="center"/>
            </w:pPr>
            <w:r>
              <w:rPr>
                <w:sz w:val="20"/>
              </w:rPr>
              <w:t>(50.00)</w:t>
            </w:r>
          </w:p>
        </w:tc>
      </w:tr>
      <w:tr w:rsidR="002F23F6" w14:paraId="429F65EC" w14:textId="77777777" w:rsidTr="00F05F82">
        <w:trPr>
          <w:jc w:val="center"/>
        </w:trPr>
        <w:tc>
          <w:tcPr>
            <w:tcW w:w="648" w:type="dxa"/>
            <w:shd w:val="clear" w:color="auto" w:fill="DCE6F1"/>
          </w:tcPr>
          <w:p w14:paraId="5A98D90A" w14:textId="77777777" w:rsidR="002F23F6" w:rsidRDefault="00000000">
            <w:r>
              <w:rPr>
                <w:sz w:val="20"/>
              </w:rPr>
              <w:t>1</w:t>
            </w:r>
          </w:p>
        </w:tc>
        <w:tc>
          <w:tcPr>
            <w:tcW w:w="1224" w:type="dxa"/>
            <w:shd w:val="clear" w:color="auto" w:fill="DCE6F1"/>
          </w:tcPr>
          <w:p w14:paraId="34CB37AC" w14:textId="77777777" w:rsidR="002F23F6" w:rsidRDefault="00000000">
            <w:pPr>
              <w:jc w:val="center"/>
            </w:pPr>
            <w:r>
              <w:rPr>
                <w:sz w:val="20"/>
              </w:rPr>
              <w:t>10.00</w:t>
            </w:r>
          </w:p>
        </w:tc>
        <w:tc>
          <w:tcPr>
            <w:tcW w:w="1224" w:type="dxa"/>
            <w:shd w:val="clear" w:color="auto" w:fill="DCE6F1"/>
          </w:tcPr>
          <w:p w14:paraId="732381C5" w14:textId="77777777" w:rsidR="002F23F6" w:rsidRDefault="00000000">
            <w:pPr>
              <w:jc w:val="center"/>
            </w:pPr>
            <w:r>
              <w:rPr>
                <w:sz w:val="20"/>
              </w:rPr>
              <w:t>11.00</w:t>
            </w:r>
          </w:p>
        </w:tc>
        <w:tc>
          <w:tcPr>
            <w:tcW w:w="1224" w:type="dxa"/>
            <w:shd w:val="clear" w:color="auto" w:fill="DCE6F1"/>
          </w:tcPr>
          <w:p w14:paraId="34365CED" w14:textId="77777777" w:rsidR="002F23F6" w:rsidRDefault="00000000">
            <w:pPr>
              <w:jc w:val="center"/>
            </w:pPr>
            <w:r>
              <w:rPr>
                <w:sz w:val="20"/>
              </w:rPr>
              <w:t>5.00</w:t>
            </w:r>
          </w:p>
        </w:tc>
        <w:tc>
          <w:tcPr>
            <w:tcW w:w="1296" w:type="dxa"/>
            <w:shd w:val="clear" w:color="auto" w:fill="DCE6F1"/>
          </w:tcPr>
          <w:p w14:paraId="2497BB67" w14:textId="77777777" w:rsidR="002F23F6" w:rsidRDefault="00000000">
            <w:pPr>
              <w:jc w:val="center"/>
            </w:pPr>
            <w:r>
              <w:rPr>
                <w:sz w:val="20"/>
              </w:rPr>
              <w:t>0.909</w:t>
            </w:r>
          </w:p>
        </w:tc>
        <w:tc>
          <w:tcPr>
            <w:tcW w:w="1152" w:type="dxa"/>
            <w:shd w:val="clear" w:color="auto" w:fill="DCE6F1"/>
          </w:tcPr>
          <w:p w14:paraId="6BFD26F2" w14:textId="77777777" w:rsidR="002F23F6" w:rsidRDefault="00000000">
            <w:pPr>
              <w:jc w:val="center"/>
            </w:pPr>
            <w:r>
              <w:rPr>
                <w:sz w:val="20"/>
              </w:rPr>
              <w:t>9.09</w:t>
            </w:r>
          </w:p>
        </w:tc>
        <w:tc>
          <w:tcPr>
            <w:tcW w:w="1152" w:type="dxa"/>
            <w:shd w:val="clear" w:color="auto" w:fill="DCE6F1"/>
          </w:tcPr>
          <w:p w14:paraId="69CC0B85" w14:textId="77777777" w:rsidR="002F23F6" w:rsidRDefault="00000000">
            <w:pPr>
              <w:jc w:val="center"/>
            </w:pPr>
            <w:r>
              <w:rPr>
                <w:sz w:val="20"/>
              </w:rPr>
              <w:t>10.00</w:t>
            </w:r>
          </w:p>
        </w:tc>
        <w:tc>
          <w:tcPr>
            <w:tcW w:w="1152" w:type="dxa"/>
            <w:shd w:val="clear" w:color="auto" w:fill="DCE6F1"/>
          </w:tcPr>
          <w:p w14:paraId="53E2E606" w14:textId="77777777" w:rsidR="002F23F6" w:rsidRDefault="00000000">
            <w:pPr>
              <w:jc w:val="center"/>
            </w:pPr>
            <w:r>
              <w:rPr>
                <w:sz w:val="20"/>
              </w:rPr>
              <w:t>4.55</w:t>
            </w:r>
          </w:p>
        </w:tc>
      </w:tr>
      <w:tr w:rsidR="002F23F6" w14:paraId="3E7B73AE" w14:textId="77777777" w:rsidTr="00F05F82">
        <w:trPr>
          <w:jc w:val="center"/>
        </w:trPr>
        <w:tc>
          <w:tcPr>
            <w:tcW w:w="648" w:type="dxa"/>
            <w:shd w:val="clear" w:color="auto" w:fill="FFFFFF"/>
          </w:tcPr>
          <w:p w14:paraId="7815DE3B" w14:textId="77777777" w:rsidR="002F23F6" w:rsidRDefault="00000000">
            <w:r>
              <w:rPr>
                <w:sz w:val="20"/>
              </w:rPr>
              <w:t>2</w:t>
            </w:r>
          </w:p>
        </w:tc>
        <w:tc>
          <w:tcPr>
            <w:tcW w:w="1224" w:type="dxa"/>
            <w:shd w:val="clear" w:color="auto" w:fill="FFFFFF"/>
          </w:tcPr>
          <w:p w14:paraId="79FB72EB" w14:textId="77777777" w:rsidR="002F23F6" w:rsidRDefault="00000000">
            <w:pPr>
              <w:jc w:val="center"/>
            </w:pPr>
            <w:r>
              <w:rPr>
                <w:sz w:val="20"/>
              </w:rPr>
              <w:t>12.00</w:t>
            </w:r>
          </w:p>
        </w:tc>
        <w:tc>
          <w:tcPr>
            <w:tcW w:w="1224" w:type="dxa"/>
            <w:shd w:val="clear" w:color="auto" w:fill="FFFFFF"/>
          </w:tcPr>
          <w:p w14:paraId="3E749A61" w14:textId="77777777" w:rsidR="002F23F6" w:rsidRDefault="00000000">
            <w:pPr>
              <w:jc w:val="center"/>
            </w:pPr>
            <w:r>
              <w:rPr>
                <w:sz w:val="20"/>
              </w:rPr>
              <w:t>11.00</w:t>
            </w:r>
          </w:p>
        </w:tc>
        <w:tc>
          <w:tcPr>
            <w:tcW w:w="1224" w:type="dxa"/>
            <w:shd w:val="clear" w:color="auto" w:fill="FFFFFF"/>
          </w:tcPr>
          <w:p w14:paraId="1A536291" w14:textId="77777777" w:rsidR="002F23F6" w:rsidRDefault="00000000">
            <w:pPr>
              <w:jc w:val="center"/>
            </w:pPr>
            <w:r>
              <w:rPr>
                <w:sz w:val="20"/>
              </w:rPr>
              <w:t>10.00</w:t>
            </w:r>
          </w:p>
        </w:tc>
        <w:tc>
          <w:tcPr>
            <w:tcW w:w="1296" w:type="dxa"/>
            <w:shd w:val="clear" w:color="auto" w:fill="FFFFFF"/>
          </w:tcPr>
          <w:p w14:paraId="0BF91AAA" w14:textId="77777777" w:rsidR="002F23F6" w:rsidRDefault="00000000">
            <w:pPr>
              <w:jc w:val="center"/>
            </w:pPr>
            <w:r>
              <w:rPr>
                <w:sz w:val="20"/>
              </w:rPr>
              <w:t>0.826</w:t>
            </w:r>
          </w:p>
        </w:tc>
        <w:tc>
          <w:tcPr>
            <w:tcW w:w="1152" w:type="dxa"/>
            <w:shd w:val="clear" w:color="auto" w:fill="FFFFFF"/>
          </w:tcPr>
          <w:p w14:paraId="6E8091E5" w14:textId="77777777" w:rsidR="002F23F6" w:rsidRDefault="00000000">
            <w:pPr>
              <w:jc w:val="center"/>
            </w:pPr>
            <w:r>
              <w:rPr>
                <w:sz w:val="20"/>
              </w:rPr>
              <w:t>9.92</w:t>
            </w:r>
          </w:p>
        </w:tc>
        <w:tc>
          <w:tcPr>
            <w:tcW w:w="1152" w:type="dxa"/>
            <w:shd w:val="clear" w:color="auto" w:fill="FFFFFF"/>
          </w:tcPr>
          <w:p w14:paraId="5569E97D" w14:textId="77777777" w:rsidR="002F23F6" w:rsidRDefault="00000000">
            <w:pPr>
              <w:jc w:val="center"/>
            </w:pPr>
            <w:r>
              <w:rPr>
                <w:sz w:val="20"/>
              </w:rPr>
              <w:t>9.09</w:t>
            </w:r>
          </w:p>
        </w:tc>
        <w:tc>
          <w:tcPr>
            <w:tcW w:w="1152" w:type="dxa"/>
            <w:shd w:val="clear" w:color="auto" w:fill="FFFFFF"/>
          </w:tcPr>
          <w:p w14:paraId="5B2F3E72" w14:textId="77777777" w:rsidR="002F23F6" w:rsidRDefault="00000000">
            <w:pPr>
              <w:jc w:val="center"/>
            </w:pPr>
            <w:r>
              <w:rPr>
                <w:sz w:val="20"/>
              </w:rPr>
              <w:t>8.26</w:t>
            </w:r>
          </w:p>
        </w:tc>
      </w:tr>
      <w:tr w:rsidR="002F23F6" w14:paraId="0DCA162C" w14:textId="77777777" w:rsidTr="00F05F82">
        <w:trPr>
          <w:jc w:val="center"/>
        </w:trPr>
        <w:tc>
          <w:tcPr>
            <w:tcW w:w="648" w:type="dxa"/>
            <w:shd w:val="clear" w:color="auto" w:fill="DCE6F1"/>
          </w:tcPr>
          <w:p w14:paraId="2111B301" w14:textId="77777777" w:rsidR="002F23F6" w:rsidRDefault="00000000">
            <w:r>
              <w:rPr>
                <w:sz w:val="20"/>
              </w:rPr>
              <w:t>3</w:t>
            </w:r>
          </w:p>
        </w:tc>
        <w:tc>
          <w:tcPr>
            <w:tcW w:w="1224" w:type="dxa"/>
            <w:shd w:val="clear" w:color="auto" w:fill="DCE6F1"/>
          </w:tcPr>
          <w:p w14:paraId="3F0CEA35" w14:textId="77777777" w:rsidR="002F23F6" w:rsidRDefault="00000000">
            <w:pPr>
              <w:jc w:val="center"/>
            </w:pPr>
            <w:r>
              <w:rPr>
                <w:sz w:val="20"/>
              </w:rPr>
              <w:t>14.00</w:t>
            </w:r>
          </w:p>
        </w:tc>
        <w:tc>
          <w:tcPr>
            <w:tcW w:w="1224" w:type="dxa"/>
            <w:shd w:val="clear" w:color="auto" w:fill="DCE6F1"/>
          </w:tcPr>
          <w:p w14:paraId="6D81B99C" w14:textId="77777777" w:rsidR="002F23F6" w:rsidRDefault="00000000">
            <w:pPr>
              <w:jc w:val="center"/>
            </w:pPr>
            <w:r>
              <w:rPr>
                <w:sz w:val="20"/>
              </w:rPr>
              <w:t>11.00</w:t>
            </w:r>
          </w:p>
        </w:tc>
        <w:tc>
          <w:tcPr>
            <w:tcW w:w="1224" w:type="dxa"/>
            <w:shd w:val="clear" w:color="auto" w:fill="DCE6F1"/>
          </w:tcPr>
          <w:p w14:paraId="24BA8504" w14:textId="77777777" w:rsidR="002F23F6" w:rsidRDefault="00000000">
            <w:pPr>
              <w:jc w:val="center"/>
            </w:pPr>
            <w:r>
              <w:rPr>
                <w:sz w:val="20"/>
              </w:rPr>
              <w:t>20.00</w:t>
            </w:r>
          </w:p>
        </w:tc>
        <w:tc>
          <w:tcPr>
            <w:tcW w:w="1296" w:type="dxa"/>
            <w:shd w:val="clear" w:color="auto" w:fill="DCE6F1"/>
          </w:tcPr>
          <w:p w14:paraId="228DC14C" w14:textId="77777777" w:rsidR="002F23F6" w:rsidRDefault="00000000">
            <w:pPr>
              <w:jc w:val="center"/>
            </w:pPr>
            <w:r>
              <w:rPr>
                <w:sz w:val="20"/>
              </w:rPr>
              <w:t>0.751</w:t>
            </w:r>
          </w:p>
        </w:tc>
        <w:tc>
          <w:tcPr>
            <w:tcW w:w="1152" w:type="dxa"/>
            <w:shd w:val="clear" w:color="auto" w:fill="DCE6F1"/>
          </w:tcPr>
          <w:p w14:paraId="333D4818" w14:textId="77777777" w:rsidR="002F23F6" w:rsidRDefault="00000000">
            <w:pPr>
              <w:jc w:val="center"/>
            </w:pPr>
            <w:r>
              <w:rPr>
                <w:sz w:val="20"/>
              </w:rPr>
              <w:t>10.52</w:t>
            </w:r>
          </w:p>
        </w:tc>
        <w:tc>
          <w:tcPr>
            <w:tcW w:w="1152" w:type="dxa"/>
            <w:shd w:val="clear" w:color="auto" w:fill="DCE6F1"/>
          </w:tcPr>
          <w:p w14:paraId="51037F22" w14:textId="77777777" w:rsidR="002F23F6" w:rsidRDefault="00000000">
            <w:pPr>
              <w:jc w:val="center"/>
            </w:pPr>
            <w:r>
              <w:rPr>
                <w:sz w:val="20"/>
              </w:rPr>
              <w:t>8.26</w:t>
            </w:r>
          </w:p>
        </w:tc>
        <w:tc>
          <w:tcPr>
            <w:tcW w:w="1152" w:type="dxa"/>
            <w:shd w:val="clear" w:color="auto" w:fill="DCE6F1"/>
          </w:tcPr>
          <w:p w14:paraId="0E3120F5" w14:textId="77777777" w:rsidR="002F23F6" w:rsidRDefault="00000000">
            <w:pPr>
              <w:jc w:val="center"/>
            </w:pPr>
            <w:r>
              <w:rPr>
                <w:sz w:val="20"/>
              </w:rPr>
              <w:t>15.03</w:t>
            </w:r>
          </w:p>
        </w:tc>
      </w:tr>
      <w:tr w:rsidR="002F23F6" w14:paraId="5ABE7ECA" w14:textId="77777777" w:rsidTr="00F05F82">
        <w:trPr>
          <w:jc w:val="center"/>
        </w:trPr>
        <w:tc>
          <w:tcPr>
            <w:tcW w:w="648" w:type="dxa"/>
            <w:shd w:val="clear" w:color="auto" w:fill="FFFFFF"/>
          </w:tcPr>
          <w:p w14:paraId="1CC14E2F" w14:textId="77777777" w:rsidR="002F23F6" w:rsidRDefault="00000000">
            <w:r>
              <w:rPr>
                <w:sz w:val="20"/>
              </w:rPr>
              <w:t>4</w:t>
            </w:r>
          </w:p>
        </w:tc>
        <w:tc>
          <w:tcPr>
            <w:tcW w:w="1224" w:type="dxa"/>
            <w:shd w:val="clear" w:color="auto" w:fill="FFFFFF"/>
          </w:tcPr>
          <w:p w14:paraId="3EE11D64" w14:textId="77777777" w:rsidR="002F23F6" w:rsidRDefault="00000000">
            <w:pPr>
              <w:jc w:val="center"/>
            </w:pPr>
            <w:r>
              <w:rPr>
                <w:sz w:val="20"/>
              </w:rPr>
              <w:t>10.00</w:t>
            </w:r>
          </w:p>
        </w:tc>
        <w:tc>
          <w:tcPr>
            <w:tcW w:w="1224" w:type="dxa"/>
            <w:shd w:val="clear" w:color="auto" w:fill="FFFFFF"/>
          </w:tcPr>
          <w:p w14:paraId="5D3167A2" w14:textId="77777777" w:rsidR="002F23F6" w:rsidRDefault="00000000">
            <w:pPr>
              <w:jc w:val="center"/>
            </w:pPr>
            <w:r>
              <w:rPr>
                <w:sz w:val="20"/>
              </w:rPr>
              <w:t>11.00</w:t>
            </w:r>
          </w:p>
        </w:tc>
        <w:tc>
          <w:tcPr>
            <w:tcW w:w="1224" w:type="dxa"/>
            <w:shd w:val="clear" w:color="auto" w:fill="FFFFFF"/>
          </w:tcPr>
          <w:p w14:paraId="4B6197AE" w14:textId="77777777" w:rsidR="002F23F6" w:rsidRDefault="00000000">
            <w:pPr>
              <w:jc w:val="center"/>
            </w:pPr>
            <w:r>
              <w:rPr>
                <w:sz w:val="20"/>
              </w:rPr>
              <w:t>25.00</w:t>
            </w:r>
          </w:p>
        </w:tc>
        <w:tc>
          <w:tcPr>
            <w:tcW w:w="1296" w:type="dxa"/>
            <w:shd w:val="clear" w:color="auto" w:fill="FFFFFF"/>
          </w:tcPr>
          <w:p w14:paraId="7A04C247" w14:textId="77777777" w:rsidR="002F23F6" w:rsidRDefault="00000000">
            <w:pPr>
              <w:jc w:val="center"/>
            </w:pPr>
            <w:r>
              <w:rPr>
                <w:sz w:val="20"/>
              </w:rPr>
              <w:t>0.683</w:t>
            </w:r>
          </w:p>
        </w:tc>
        <w:tc>
          <w:tcPr>
            <w:tcW w:w="1152" w:type="dxa"/>
            <w:shd w:val="clear" w:color="auto" w:fill="FFFFFF"/>
          </w:tcPr>
          <w:p w14:paraId="239E165B" w14:textId="77777777" w:rsidR="002F23F6" w:rsidRDefault="00000000">
            <w:pPr>
              <w:jc w:val="center"/>
            </w:pPr>
            <w:r>
              <w:rPr>
                <w:sz w:val="20"/>
              </w:rPr>
              <w:t>6.83</w:t>
            </w:r>
          </w:p>
        </w:tc>
        <w:tc>
          <w:tcPr>
            <w:tcW w:w="1152" w:type="dxa"/>
            <w:shd w:val="clear" w:color="auto" w:fill="FFFFFF"/>
          </w:tcPr>
          <w:p w14:paraId="02CC5E94" w14:textId="77777777" w:rsidR="002F23F6" w:rsidRDefault="00000000">
            <w:pPr>
              <w:jc w:val="center"/>
            </w:pPr>
            <w:r>
              <w:rPr>
                <w:sz w:val="20"/>
              </w:rPr>
              <w:t>7.51</w:t>
            </w:r>
          </w:p>
        </w:tc>
        <w:tc>
          <w:tcPr>
            <w:tcW w:w="1152" w:type="dxa"/>
            <w:shd w:val="clear" w:color="auto" w:fill="FFFFFF"/>
          </w:tcPr>
          <w:p w14:paraId="75550C1C" w14:textId="77777777" w:rsidR="002F23F6" w:rsidRDefault="00000000">
            <w:pPr>
              <w:jc w:val="center"/>
            </w:pPr>
            <w:r>
              <w:rPr>
                <w:sz w:val="20"/>
              </w:rPr>
              <w:t>17.08</w:t>
            </w:r>
          </w:p>
        </w:tc>
      </w:tr>
      <w:tr w:rsidR="002F23F6" w14:paraId="7FF09ACC" w14:textId="77777777" w:rsidTr="00F05F82">
        <w:trPr>
          <w:jc w:val="center"/>
        </w:trPr>
        <w:tc>
          <w:tcPr>
            <w:tcW w:w="648" w:type="dxa"/>
            <w:shd w:val="clear" w:color="auto" w:fill="DCE6F1"/>
          </w:tcPr>
          <w:p w14:paraId="5912FC73" w14:textId="77777777" w:rsidR="002F23F6" w:rsidRDefault="00000000">
            <w:r>
              <w:rPr>
                <w:sz w:val="20"/>
              </w:rPr>
              <w:t>5</w:t>
            </w:r>
          </w:p>
        </w:tc>
        <w:tc>
          <w:tcPr>
            <w:tcW w:w="1224" w:type="dxa"/>
            <w:shd w:val="clear" w:color="auto" w:fill="DCE6F1"/>
          </w:tcPr>
          <w:p w14:paraId="486BA54A" w14:textId="77777777" w:rsidR="002F23F6" w:rsidRDefault="00000000">
            <w:pPr>
              <w:jc w:val="center"/>
            </w:pPr>
            <w:r>
              <w:rPr>
                <w:sz w:val="20"/>
              </w:rPr>
              <w:t>8.00</w:t>
            </w:r>
          </w:p>
        </w:tc>
        <w:tc>
          <w:tcPr>
            <w:tcW w:w="1224" w:type="dxa"/>
            <w:shd w:val="clear" w:color="auto" w:fill="DCE6F1"/>
          </w:tcPr>
          <w:p w14:paraId="64B0D5BB" w14:textId="77777777" w:rsidR="002F23F6" w:rsidRDefault="00000000">
            <w:pPr>
              <w:jc w:val="center"/>
            </w:pPr>
            <w:r>
              <w:rPr>
                <w:sz w:val="20"/>
              </w:rPr>
              <w:t>11.00</w:t>
            </w:r>
          </w:p>
        </w:tc>
        <w:tc>
          <w:tcPr>
            <w:tcW w:w="1224" w:type="dxa"/>
            <w:shd w:val="clear" w:color="auto" w:fill="DCE6F1"/>
          </w:tcPr>
          <w:p w14:paraId="6F045C92" w14:textId="77777777" w:rsidR="002F23F6" w:rsidRDefault="00000000">
            <w:pPr>
              <w:jc w:val="center"/>
            </w:pPr>
            <w:r>
              <w:rPr>
                <w:sz w:val="20"/>
              </w:rPr>
              <w:t>5.00</w:t>
            </w:r>
          </w:p>
        </w:tc>
        <w:tc>
          <w:tcPr>
            <w:tcW w:w="1296" w:type="dxa"/>
            <w:shd w:val="clear" w:color="auto" w:fill="DCE6F1"/>
          </w:tcPr>
          <w:p w14:paraId="15602DA0" w14:textId="77777777" w:rsidR="002F23F6" w:rsidRDefault="00000000">
            <w:pPr>
              <w:jc w:val="center"/>
            </w:pPr>
            <w:r>
              <w:rPr>
                <w:sz w:val="20"/>
              </w:rPr>
              <w:t>0.621</w:t>
            </w:r>
          </w:p>
        </w:tc>
        <w:tc>
          <w:tcPr>
            <w:tcW w:w="1152" w:type="dxa"/>
            <w:shd w:val="clear" w:color="auto" w:fill="DCE6F1"/>
          </w:tcPr>
          <w:p w14:paraId="25C30BD9" w14:textId="77777777" w:rsidR="002F23F6" w:rsidRDefault="00000000">
            <w:pPr>
              <w:jc w:val="center"/>
            </w:pPr>
            <w:r>
              <w:rPr>
                <w:sz w:val="20"/>
              </w:rPr>
              <w:t>4.97</w:t>
            </w:r>
          </w:p>
        </w:tc>
        <w:tc>
          <w:tcPr>
            <w:tcW w:w="1152" w:type="dxa"/>
            <w:shd w:val="clear" w:color="auto" w:fill="DCE6F1"/>
          </w:tcPr>
          <w:p w14:paraId="46AA4A90" w14:textId="77777777" w:rsidR="002F23F6" w:rsidRDefault="00000000">
            <w:pPr>
              <w:jc w:val="center"/>
            </w:pPr>
            <w:r>
              <w:rPr>
                <w:sz w:val="20"/>
              </w:rPr>
              <w:t>6.83</w:t>
            </w:r>
          </w:p>
        </w:tc>
        <w:tc>
          <w:tcPr>
            <w:tcW w:w="1152" w:type="dxa"/>
            <w:shd w:val="clear" w:color="auto" w:fill="DCE6F1"/>
          </w:tcPr>
          <w:p w14:paraId="0DFB6223" w14:textId="77777777" w:rsidR="002F23F6" w:rsidRDefault="00000000">
            <w:pPr>
              <w:jc w:val="center"/>
            </w:pPr>
            <w:r>
              <w:rPr>
                <w:sz w:val="20"/>
              </w:rPr>
              <w:t>3.10</w:t>
            </w:r>
          </w:p>
        </w:tc>
      </w:tr>
      <w:tr w:rsidR="002F23F6" w14:paraId="29274E4E" w14:textId="77777777" w:rsidTr="00F05F82">
        <w:trPr>
          <w:jc w:val="center"/>
        </w:trPr>
        <w:tc>
          <w:tcPr>
            <w:tcW w:w="648" w:type="dxa"/>
            <w:shd w:val="clear" w:color="auto" w:fill="FFFFFF"/>
          </w:tcPr>
          <w:p w14:paraId="4C6F8C41" w14:textId="77777777" w:rsidR="002F23F6" w:rsidRDefault="00000000">
            <w:r>
              <w:rPr>
                <w:b/>
                <w:sz w:val="20"/>
              </w:rPr>
              <w:t>Total Inflow</w:t>
            </w:r>
          </w:p>
        </w:tc>
        <w:tc>
          <w:tcPr>
            <w:tcW w:w="1224" w:type="dxa"/>
            <w:shd w:val="clear" w:color="auto" w:fill="FFFFFF"/>
          </w:tcPr>
          <w:p w14:paraId="6E647519" w14:textId="77777777" w:rsidR="002F23F6" w:rsidRDefault="00000000">
            <w:pPr>
              <w:jc w:val="center"/>
            </w:pPr>
            <w:r>
              <w:rPr>
                <w:b/>
                <w:sz w:val="20"/>
              </w:rPr>
              <w:t>54.00</w:t>
            </w:r>
          </w:p>
        </w:tc>
        <w:tc>
          <w:tcPr>
            <w:tcW w:w="1224" w:type="dxa"/>
            <w:shd w:val="clear" w:color="auto" w:fill="FFFFFF"/>
          </w:tcPr>
          <w:p w14:paraId="1EED37F8" w14:textId="77777777" w:rsidR="002F23F6" w:rsidRDefault="00000000">
            <w:pPr>
              <w:jc w:val="center"/>
            </w:pPr>
            <w:r>
              <w:rPr>
                <w:b/>
                <w:sz w:val="20"/>
              </w:rPr>
              <w:t>55.00</w:t>
            </w:r>
          </w:p>
        </w:tc>
        <w:tc>
          <w:tcPr>
            <w:tcW w:w="1224" w:type="dxa"/>
            <w:shd w:val="clear" w:color="auto" w:fill="FFFFFF"/>
          </w:tcPr>
          <w:p w14:paraId="0D88F08D" w14:textId="77777777" w:rsidR="002F23F6" w:rsidRDefault="00000000">
            <w:pPr>
              <w:jc w:val="center"/>
            </w:pPr>
            <w:r>
              <w:rPr>
                <w:b/>
                <w:sz w:val="20"/>
              </w:rPr>
              <w:t>65.00</w:t>
            </w:r>
          </w:p>
        </w:tc>
        <w:tc>
          <w:tcPr>
            <w:tcW w:w="1296" w:type="dxa"/>
            <w:shd w:val="clear" w:color="auto" w:fill="FFFFFF"/>
          </w:tcPr>
          <w:p w14:paraId="59810153" w14:textId="77777777" w:rsidR="002F23F6" w:rsidRDefault="00000000">
            <w:pPr>
              <w:jc w:val="center"/>
            </w:pPr>
            <w:r>
              <w:rPr>
                <w:b/>
                <w:sz w:val="20"/>
              </w:rPr>
              <w:t>—</w:t>
            </w:r>
          </w:p>
        </w:tc>
        <w:tc>
          <w:tcPr>
            <w:tcW w:w="1152" w:type="dxa"/>
            <w:shd w:val="clear" w:color="auto" w:fill="FFFFFF"/>
          </w:tcPr>
          <w:p w14:paraId="451CBE85" w14:textId="77777777" w:rsidR="002F23F6" w:rsidRDefault="00000000">
            <w:pPr>
              <w:jc w:val="center"/>
            </w:pPr>
            <w:r>
              <w:rPr>
                <w:b/>
                <w:sz w:val="20"/>
              </w:rPr>
              <w:t>41.33</w:t>
            </w:r>
          </w:p>
        </w:tc>
        <w:tc>
          <w:tcPr>
            <w:tcW w:w="1152" w:type="dxa"/>
            <w:shd w:val="clear" w:color="auto" w:fill="FFFFFF"/>
          </w:tcPr>
          <w:p w14:paraId="7AC5C755" w14:textId="77777777" w:rsidR="002F23F6" w:rsidRDefault="00000000">
            <w:pPr>
              <w:jc w:val="center"/>
            </w:pPr>
            <w:r>
              <w:rPr>
                <w:b/>
                <w:sz w:val="20"/>
              </w:rPr>
              <w:t>41.70</w:t>
            </w:r>
          </w:p>
        </w:tc>
        <w:tc>
          <w:tcPr>
            <w:tcW w:w="1152" w:type="dxa"/>
            <w:shd w:val="clear" w:color="auto" w:fill="FFFFFF"/>
          </w:tcPr>
          <w:p w14:paraId="107D11FA" w14:textId="77777777" w:rsidR="002F23F6" w:rsidRDefault="00000000">
            <w:pPr>
              <w:jc w:val="center"/>
            </w:pPr>
            <w:r>
              <w:rPr>
                <w:b/>
                <w:sz w:val="20"/>
              </w:rPr>
              <w:t>48.02</w:t>
            </w:r>
          </w:p>
        </w:tc>
      </w:tr>
    </w:tbl>
    <w:p w14:paraId="63F3DFCC" w14:textId="77777777" w:rsidR="002F23F6" w:rsidRDefault="00000000">
      <w:pPr>
        <w:spacing w:before="60" w:after="120" w:line="360" w:lineRule="exact"/>
      </w:pPr>
      <w:r>
        <w:rPr>
          <w:sz w:val="18"/>
        </w:rPr>
        <w:t>Source: LCMB7002 Assessment Brief (2026)</w:t>
      </w:r>
    </w:p>
    <w:p w14:paraId="1DDD90AB" w14:textId="12831F70" w:rsidR="00C11EA6" w:rsidRDefault="00000000">
      <w:pPr>
        <w:spacing w:before="40" w:after="80" w:line="300" w:lineRule="exact"/>
      </w:pPr>
      <w:r w:rsidRPr="00895802">
        <w:t xml:space="preserve">Table </w:t>
      </w:r>
      <w:r w:rsidR="00F05F82" w:rsidRPr="00895802">
        <w:t>8</w:t>
      </w:r>
      <w:r w:rsidRPr="00895802">
        <w:t xml:space="preserve"> presents the five-year discounted cash flow profiles at the 10% hurdle rate, showing Project C’s back-loaded profile peaks in Years 3</w:t>
      </w:r>
      <w:r w:rsidR="00F05F82" w:rsidRPr="00895802">
        <w:t>-</w:t>
      </w:r>
      <w:r w:rsidRPr="00895802">
        <w:t>4 (£45m combined) while Project B’s even £11m annual inflows provide greater early certainty and Project A falls between the two in both quantum and timing.</w:t>
      </w:r>
    </w:p>
    <w:p w14:paraId="5803B7C0" w14:textId="77777777" w:rsidR="002F23F6" w:rsidRDefault="00000000" w:rsidP="00937AB4">
      <w:pPr>
        <w:pStyle w:val="Heading2"/>
      </w:pPr>
      <w:bookmarkStart w:id="33" w:name="_Toc227888394"/>
      <w:r>
        <w:t>5.2 Payback Period</w:t>
      </w:r>
      <w:bookmarkEnd w:id="33"/>
    </w:p>
    <w:p w14:paraId="21AD3378" w14:textId="77777777" w:rsidR="002F23F6" w:rsidRDefault="001C5774">
      <w:pPr>
        <w:spacing w:before="60" w:after="120" w:line="360" w:lineRule="exact"/>
      </w:pPr>
      <w:r>
        <w:t>The payback period (PBP) is used to determine the speed at which the cumulative cash inflows will settle the initial investment. It is a popular screening instrument because of its simplicity and implicit favoring liquidity and early capital recovery. Its major shortcoming is its lack of consideration of cash flows after the payback date and the time value of money, thus it should always be coupled with discount methods (Drury, 2018).</w:t>
      </w:r>
    </w:p>
    <w:p w14:paraId="0C9C3998" w14:textId="77777777" w:rsidR="002F23F6" w:rsidRDefault="001C5774">
      <w:pPr>
        <w:spacing w:before="60" w:after="120" w:line="360" w:lineRule="exact"/>
      </w:pPr>
      <w:r>
        <w:t xml:space="preserve">The cumulative cash flow analysis gives the following payback years: Project A recovers at year 4 + (4/8) = 4.50 years, Project B recovers at year 4 + (6/11) = 4.55 years and Project C recovers at year 3 + (15/25) = 3.60 years. The ability of Project C to </w:t>
      </w:r>
      <w:r>
        <w:lastRenderedPageBreak/>
        <w:t>recoup the investment at least a year sooner than either A or B has a practical strategic implication in the Hyundai current cash crunch context in the FY2024 environment (FNY) in which FCF is negative) that goes beyond the practical nature of each or any individual appraisal measure.</w:t>
      </w:r>
    </w:p>
    <w:p w14:paraId="7536BC1F" w14:textId="77777777" w:rsidR="00053944" w:rsidRDefault="008F21EC" w:rsidP="00053944">
      <w:pPr>
        <w:keepNext/>
        <w:jc w:val="center"/>
      </w:pPr>
      <w:r>
        <w:rPr>
          <w:noProof/>
        </w:rPr>
        <w:drawing>
          <wp:inline distT="0" distB="0" distL="0" distR="0" wp14:anchorId="6F43C2EE" wp14:editId="2632729C">
            <wp:extent cx="5943600" cy="3726180"/>
            <wp:effectExtent l="0" t="0" r="0" b="7620"/>
            <wp:docPr id="10944511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3">
                      <a:extLst>
                        <a:ext uri="{28A0092B-C50C-407E-A947-70E740481C1C}">
                          <a14:useLocalDpi xmlns:a14="http://schemas.microsoft.com/office/drawing/2010/main" val="0"/>
                        </a:ext>
                      </a:extLst>
                    </a:blip>
                    <a:srcRect t="5962"/>
                    <a:stretch>
                      <a:fillRect/>
                    </a:stretch>
                  </pic:blipFill>
                  <pic:spPr bwMode="auto">
                    <a:xfrm>
                      <a:off x="0" y="0"/>
                      <a:ext cx="5943600" cy="3726180"/>
                    </a:xfrm>
                    <a:prstGeom prst="rect">
                      <a:avLst/>
                    </a:prstGeom>
                    <a:noFill/>
                    <a:ln>
                      <a:noFill/>
                    </a:ln>
                    <a:extLst>
                      <a:ext uri="{53640926-AAD7-44D8-BBD7-CCE9431645EC}">
                        <a14:shadowObscured xmlns:a14="http://schemas.microsoft.com/office/drawing/2010/main"/>
                      </a:ext>
                    </a:extLst>
                  </pic:spPr>
                </pic:pic>
              </a:graphicData>
            </a:graphic>
          </wp:inline>
        </w:drawing>
      </w:r>
    </w:p>
    <w:p w14:paraId="00C1BBDF" w14:textId="75D28488" w:rsidR="002F23F6" w:rsidRDefault="00053944" w:rsidP="00053944">
      <w:pPr>
        <w:pStyle w:val="Caption"/>
        <w:jc w:val="center"/>
      </w:pPr>
      <w:bookmarkStart w:id="34" w:name="_Toc227887996"/>
      <w:r>
        <w:t xml:space="preserve">Figure </w:t>
      </w:r>
      <w:fldSimple w:instr=" SEQ Figure \* ARABIC ">
        <w:r>
          <w:rPr>
            <w:noProof/>
          </w:rPr>
          <w:t>7</w:t>
        </w:r>
      </w:fldSimple>
      <w:r>
        <w:t xml:space="preserve"> </w:t>
      </w:r>
      <w:r w:rsidRPr="00DF4C38">
        <w:t xml:space="preserve">Cumulative Cash Flows </w:t>
      </w:r>
      <w:r>
        <w:t>-</w:t>
      </w:r>
      <w:r w:rsidRPr="00DF4C38">
        <w:t xml:space="preserve"> Projects A, B, C (Year 0–5)</w:t>
      </w:r>
      <w:bookmarkEnd w:id="34"/>
      <w:r>
        <w:rPr>
          <w:i/>
          <w:color w:val="595959"/>
          <w:sz w:val="20"/>
        </w:rPr>
        <w:br/>
      </w:r>
    </w:p>
    <w:p w14:paraId="2351137C" w14:textId="77777777" w:rsidR="002F23F6" w:rsidRDefault="00000000" w:rsidP="00937AB4">
      <w:pPr>
        <w:pStyle w:val="Heading2"/>
      </w:pPr>
      <w:bookmarkStart w:id="35" w:name="_Toc227888395"/>
      <w:r>
        <w:t>5.3 Accounting Rate of Return</w:t>
      </w:r>
      <w:bookmarkEnd w:id="35"/>
    </w:p>
    <w:p w14:paraId="78653BBC" w14:textId="77777777" w:rsidR="002F23F6" w:rsidRDefault="001C5774">
      <w:pPr>
        <w:spacing w:before="60" w:after="120" w:line="360" w:lineRule="exact"/>
      </w:pPr>
      <w:r>
        <w:t>ARR is the ratio between average annual accounting profit and average investment. The annual average investment with straight-line depreciation to zero is 25 million (50м/2). Calculations yield: Project A - average cash flow £10.8m, average profit £0.8m, ARR = 3.2%; Project B - average cash flow £11.0m, average profit £1.0m, ARR = 4.0%; Project C - average cash flow £13.0m, average profit £3.0m, ARR = 12.0%.</w:t>
      </w:r>
    </w:p>
    <w:p w14:paraId="5EB18FC5" w14:textId="77777777" w:rsidR="002F23F6" w:rsidRDefault="001C5774">
      <w:pPr>
        <w:spacing w:before="60" w:after="120" w:line="360" w:lineRule="exact"/>
      </w:pPr>
      <w:r>
        <w:t>ARR has a weakness in that it does not consider the timing of cash flows: Year 1 cash is viewed the same way as Year 5 cash (Ross, Westerfield and Jordan, 2022). Project C has an ARR of 12.0% that is three times higher than that of project B and almost 4 times higher than project A. However, even such a methodological shortcoming does not cause the ARR difference between Project C and its variations to be decision-relevant, and the 12.0% value is comfortably above the current ROE rate of 10.4.</w:t>
      </w:r>
    </w:p>
    <w:p w14:paraId="30F99461" w14:textId="543371CF" w:rsidR="00053944" w:rsidRDefault="00053944" w:rsidP="00053944">
      <w:pPr>
        <w:pStyle w:val="Caption"/>
        <w:keepNext/>
        <w:jc w:val="center"/>
      </w:pPr>
      <w:bookmarkStart w:id="36" w:name="_Toc227888006"/>
      <w:r>
        <w:lastRenderedPageBreak/>
        <w:t xml:space="preserve">Table </w:t>
      </w:r>
      <w:fldSimple w:instr=" SEQ Table \* ARABIC ">
        <w:r>
          <w:rPr>
            <w:noProof/>
          </w:rPr>
          <w:t>9</w:t>
        </w:r>
      </w:fldSimple>
      <w:r>
        <w:t xml:space="preserve"> </w:t>
      </w:r>
      <w:r w:rsidRPr="000823A3">
        <w:t>ARR Calculation Summary - Projects A, B, C</w:t>
      </w:r>
      <w:bookmarkEnd w:id="36"/>
    </w:p>
    <w:tbl>
      <w:tblPr>
        <w:tblStyle w:val="TableGrid"/>
        <w:tblW w:w="9360" w:type="dxa"/>
        <w:jc w:val="center"/>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Look w:val="04A0" w:firstRow="1" w:lastRow="0" w:firstColumn="1" w:lastColumn="0" w:noHBand="0" w:noVBand="1"/>
      </w:tblPr>
      <w:tblGrid>
        <w:gridCol w:w="4320"/>
        <w:gridCol w:w="1680"/>
        <w:gridCol w:w="1680"/>
        <w:gridCol w:w="1680"/>
      </w:tblGrid>
      <w:tr w:rsidR="002F23F6" w14:paraId="3172E3AD" w14:textId="77777777" w:rsidTr="00053944">
        <w:trPr>
          <w:jc w:val="center"/>
        </w:trPr>
        <w:tc>
          <w:tcPr>
            <w:tcW w:w="4320" w:type="dxa"/>
            <w:shd w:val="clear" w:color="auto" w:fill="1F5C99"/>
          </w:tcPr>
          <w:p w14:paraId="698DB84A" w14:textId="77777777" w:rsidR="002F23F6" w:rsidRDefault="00000000">
            <w:pPr>
              <w:jc w:val="center"/>
            </w:pPr>
            <w:r>
              <w:rPr>
                <w:b/>
                <w:color w:val="FFFFFF"/>
                <w:sz w:val="20"/>
              </w:rPr>
              <w:t>Metric</w:t>
            </w:r>
          </w:p>
        </w:tc>
        <w:tc>
          <w:tcPr>
            <w:tcW w:w="1680" w:type="dxa"/>
            <w:shd w:val="clear" w:color="auto" w:fill="1F5C99"/>
          </w:tcPr>
          <w:p w14:paraId="7CE3DC33" w14:textId="77777777" w:rsidR="002F23F6" w:rsidRDefault="00000000">
            <w:pPr>
              <w:jc w:val="center"/>
            </w:pPr>
            <w:r>
              <w:rPr>
                <w:b/>
                <w:color w:val="FFFFFF"/>
                <w:sz w:val="20"/>
              </w:rPr>
              <w:t>Project A</w:t>
            </w:r>
          </w:p>
        </w:tc>
        <w:tc>
          <w:tcPr>
            <w:tcW w:w="1680" w:type="dxa"/>
            <w:shd w:val="clear" w:color="auto" w:fill="1F5C99"/>
          </w:tcPr>
          <w:p w14:paraId="4C839141" w14:textId="77777777" w:rsidR="002F23F6" w:rsidRDefault="00000000">
            <w:pPr>
              <w:jc w:val="center"/>
            </w:pPr>
            <w:r>
              <w:rPr>
                <w:b/>
                <w:color w:val="FFFFFF"/>
                <w:sz w:val="20"/>
              </w:rPr>
              <w:t>Project B</w:t>
            </w:r>
          </w:p>
        </w:tc>
        <w:tc>
          <w:tcPr>
            <w:tcW w:w="1680" w:type="dxa"/>
            <w:shd w:val="clear" w:color="auto" w:fill="1F5C99"/>
          </w:tcPr>
          <w:p w14:paraId="6E6846D9" w14:textId="77777777" w:rsidR="002F23F6" w:rsidRDefault="00000000">
            <w:pPr>
              <w:jc w:val="center"/>
            </w:pPr>
            <w:r>
              <w:rPr>
                <w:b/>
                <w:color w:val="FFFFFF"/>
                <w:sz w:val="20"/>
              </w:rPr>
              <w:t>Project C</w:t>
            </w:r>
          </w:p>
        </w:tc>
      </w:tr>
      <w:tr w:rsidR="002F23F6" w14:paraId="1BBDAB42" w14:textId="77777777" w:rsidTr="00053944">
        <w:trPr>
          <w:jc w:val="center"/>
        </w:trPr>
        <w:tc>
          <w:tcPr>
            <w:tcW w:w="4320" w:type="dxa"/>
            <w:shd w:val="clear" w:color="auto" w:fill="FFFFFF"/>
          </w:tcPr>
          <w:p w14:paraId="1F952C9B" w14:textId="471A636A" w:rsidR="002F23F6" w:rsidRDefault="00000000">
            <w:r>
              <w:rPr>
                <w:sz w:val="20"/>
              </w:rPr>
              <w:t>Initial Investment (£m)</w:t>
            </w:r>
          </w:p>
        </w:tc>
        <w:tc>
          <w:tcPr>
            <w:tcW w:w="1680" w:type="dxa"/>
            <w:shd w:val="clear" w:color="auto" w:fill="FFFFFF"/>
          </w:tcPr>
          <w:p w14:paraId="38DCF819" w14:textId="77777777" w:rsidR="002F23F6" w:rsidRDefault="00000000">
            <w:pPr>
              <w:jc w:val="center"/>
            </w:pPr>
            <w:r>
              <w:rPr>
                <w:sz w:val="20"/>
              </w:rPr>
              <w:t>50.00</w:t>
            </w:r>
          </w:p>
        </w:tc>
        <w:tc>
          <w:tcPr>
            <w:tcW w:w="1680" w:type="dxa"/>
            <w:shd w:val="clear" w:color="auto" w:fill="FFFFFF"/>
          </w:tcPr>
          <w:p w14:paraId="10269CFE" w14:textId="77777777" w:rsidR="002F23F6" w:rsidRDefault="00000000">
            <w:pPr>
              <w:jc w:val="center"/>
            </w:pPr>
            <w:r>
              <w:rPr>
                <w:sz w:val="20"/>
              </w:rPr>
              <w:t>50.00</w:t>
            </w:r>
          </w:p>
        </w:tc>
        <w:tc>
          <w:tcPr>
            <w:tcW w:w="1680" w:type="dxa"/>
            <w:shd w:val="clear" w:color="auto" w:fill="FFFFFF"/>
          </w:tcPr>
          <w:p w14:paraId="346181CF" w14:textId="77777777" w:rsidR="002F23F6" w:rsidRDefault="00000000">
            <w:pPr>
              <w:jc w:val="center"/>
            </w:pPr>
            <w:r>
              <w:rPr>
                <w:sz w:val="20"/>
              </w:rPr>
              <w:t>50.00</w:t>
            </w:r>
          </w:p>
        </w:tc>
      </w:tr>
      <w:tr w:rsidR="002F23F6" w14:paraId="616BD738" w14:textId="77777777" w:rsidTr="00053944">
        <w:trPr>
          <w:jc w:val="center"/>
        </w:trPr>
        <w:tc>
          <w:tcPr>
            <w:tcW w:w="4320" w:type="dxa"/>
            <w:shd w:val="clear" w:color="auto" w:fill="DCE6F1"/>
          </w:tcPr>
          <w:p w14:paraId="565FBA46" w14:textId="3F471192" w:rsidR="002F23F6" w:rsidRDefault="00000000">
            <w:r>
              <w:rPr>
                <w:sz w:val="20"/>
              </w:rPr>
              <w:t>Annual Depreciation (£m)</w:t>
            </w:r>
          </w:p>
        </w:tc>
        <w:tc>
          <w:tcPr>
            <w:tcW w:w="1680" w:type="dxa"/>
            <w:shd w:val="clear" w:color="auto" w:fill="DCE6F1"/>
          </w:tcPr>
          <w:p w14:paraId="3179EB38" w14:textId="77777777" w:rsidR="002F23F6" w:rsidRDefault="00000000">
            <w:pPr>
              <w:jc w:val="center"/>
            </w:pPr>
            <w:r>
              <w:rPr>
                <w:sz w:val="20"/>
              </w:rPr>
              <w:t>10.00</w:t>
            </w:r>
          </w:p>
        </w:tc>
        <w:tc>
          <w:tcPr>
            <w:tcW w:w="1680" w:type="dxa"/>
            <w:shd w:val="clear" w:color="auto" w:fill="DCE6F1"/>
          </w:tcPr>
          <w:p w14:paraId="2D418A61" w14:textId="77777777" w:rsidR="002F23F6" w:rsidRDefault="00000000">
            <w:pPr>
              <w:jc w:val="center"/>
            </w:pPr>
            <w:r>
              <w:rPr>
                <w:sz w:val="20"/>
              </w:rPr>
              <w:t>10.00</w:t>
            </w:r>
          </w:p>
        </w:tc>
        <w:tc>
          <w:tcPr>
            <w:tcW w:w="1680" w:type="dxa"/>
            <w:shd w:val="clear" w:color="auto" w:fill="DCE6F1"/>
          </w:tcPr>
          <w:p w14:paraId="46666635" w14:textId="77777777" w:rsidR="002F23F6" w:rsidRDefault="00000000">
            <w:pPr>
              <w:jc w:val="center"/>
            </w:pPr>
            <w:r>
              <w:rPr>
                <w:sz w:val="20"/>
              </w:rPr>
              <w:t>10.00</w:t>
            </w:r>
          </w:p>
        </w:tc>
      </w:tr>
      <w:tr w:rsidR="002F23F6" w14:paraId="57AE43AC" w14:textId="77777777" w:rsidTr="00053944">
        <w:trPr>
          <w:jc w:val="center"/>
        </w:trPr>
        <w:tc>
          <w:tcPr>
            <w:tcW w:w="4320" w:type="dxa"/>
            <w:shd w:val="clear" w:color="auto" w:fill="FFFFFF"/>
          </w:tcPr>
          <w:p w14:paraId="012C62A1" w14:textId="7ED0872A" w:rsidR="002F23F6" w:rsidRDefault="00000000">
            <w:r>
              <w:rPr>
                <w:sz w:val="20"/>
              </w:rPr>
              <w:t>Avg Annual Cash Flow (£m)</w:t>
            </w:r>
          </w:p>
        </w:tc>
        <w:tc>
          <w:tcPr>
            <w:tcW w:w="1680" w:type="dxa"/>
            <w:shd w:val="clear" w:color="auto" w:fill="FFFFFF"/>
          </w:tcPr>
          <w:p w14:paraId="1ED06174" w14:textId="77777777" w:rsidR="002F23F6" w:rsidRDefault="00000000">
            <w:pPr>
              <w:jc w:val="center"/>
            </w:pPr>
            <w:r>
              <w:rPr>
                <w:sz w:val="20"/>
              </w:rPr>
              <w:t>10.80</w:t>
            </w:r>
          </w:p>
        </w:tc>
        <w:tc>
          <w:tcPr>
            <w:tcW w:w="1680" w:type="dxa"/>
            <w:shd w:val="clear" w:color="auto" w:fill="FFFFFF"/>
          </w:tcPr>
          <w:p w14:paraId="3B376400" w14:textId="77777777" w:rsidR="002F23F6" w:rsidRDefault="00000000">
            <w:pPr>
              <w:jc w:val="center"/>
            </w:pPr>
            <w:r>
              <w:rPr>
                <w:sz w:val="20"/>
              </w:rPr>
              <w:t>11.00</w:t>
            </w:r>
          </w:p>
        </w:tc>
        <w:tc>
          <w:tcPr>
            <w:tcW w:w="1680" w:type="dxa"/>
            <w:shd w:val="clear" w:color="auto" w:fill="FFFFFF"/>
          </w:tcPr>
          <w:p w14:paraId="57043691" w14:textId="77777777" w:rsidR="002F23F6" w:rsidRDefault="00000000">
            <w:pPr>
              <w:jc w:val="center"/>
            </w:pPr>
            <w:r>
              <w:rPr>
                <w:sz w:val="20"/>
              </w:rPr>
              <w:t>13.00</w:t>
            </w:r>
          </w:p>
        </w:tc>
      </w:tr>
      <w:tr w:rsidR="002F23F6" w14:paraId="13EB82C9" w14:textId="77777777" w:rsidTr="00053944">
        <w:trPr>
          <w:jc w:val="center"/>
        </w:trPr>
        <w:tc>
          <w:tcPr>
            <w:tcW w:w="4320" w:type="dxa"/>
            <w:shd w:val="clear" w:color="auto" w:fill="DCE6F1"/>
          </w:tcPr>
          <w:p w14:paraId="53670602" w14:textId="5D973BD3" w:rsidR="002F23F6" w:rsidRDefault="00000000">
            <w:r>
              <w:rPr>
                <w:sz w:val="20"/>
              </w:rPr>
              <w:t>Avg Annual Accounting Profit (£m)</w:t>
            </w:r>
          </w:p>
        </w:tc>
        <w:tc>
          <w:tcPr>
            <w:tcW w:w="1680" w:type="dxa"/>
            <w:shd w:val="clear" w:color="auto" w:fill="DCE6F1"/>
          </w:tcPr>
          <w:p w14:paraId="325E637A" w14:textId="77777777" w:rsidR="002F23F6" w:rsidRDefault="00000000">
            <w:pPr>
              <w:jc w:val="center"/>
            </w:pPr>
            <w:r>
              <w:rPr>
                <w:sz w:val="20"/>
              </w:rPr>
              <w:t>0.80</w:t>
            </w:r>
          </w:p>
        </w:tc>
        <w:tc>
          <w:tcPr>
            <w:tcW w:w="1680" w:type="dxa"/>
            <w:shd w:val="clear" w:color="auto" w:fill="DCE6F1"/>
          </w:tcPr>
          <w:p w14:paraId="6A1B169C" w14:textId="77777777" w:rsidR="002F23F6" w:rsidRDefault="00000000">
            <w:pPr>
              <w:jc w:val="center"/>
            </w:pPr>
            <w:r>
              <w:rPr>
                <w:sz w:val="20"/>
              </w:rPr>
              <w:t>1.00</w:t>
            </w:r>
          </w:p>
        </w:tc>
        <w:tc>
          <w:tcPr>
            <w:tcW w:w="1680" w:type="dxa"/>
            <w:shd w:val="clear" w:color="auto" w:fill="DCE6F1"/>
          </w:tcPr>
          <w:p w14:paraId="2C3F4FF7" w14:textId="77777777" w:rsidR="002F23F6" w:rsidRDefault="00000000">
            <w:pPr>
              <w:jc w:val="center"/>
            </w:pPr>
            <w:r>
              <w:rPr>
                <w:sz w:val="20"/>
              </w:rPr>
              <w:t>3.00</w:t>
            </w:r>
          </w:p>
        </w:tc>
      </w:tr>
      <w:tr w:rsidR="002F23F6" w14:paraId="1857ED63" w14:textId="77777777" w:rsidTr="00053944">
        <w:trPr>
          <w:jc w:val="center"/>
        </w:trPr>
        <w:tc>
          <w:tcPr>
            <w:tcW w:w="4320" w:type="dxa"/>
            <w:shd w:val="clear" w:color="auto" w:fill="FFFFFF"/>
          </w:tcPr>
          <w:p w14:paraId="4D051A82" w14:textId="1C3D43FF" w:rsidR="002F23F6" w:rsidRDefault="00000000">
            <w:r>
              <w:rPr>
                <w:sz w:val="20"/>
              </w:rPr>
              <w:t>Average Investment (£m)</w:t>
            </w:r>
          </w:p>
        </w:tc>
        <w:tc>
          <w:tcPr>
            <w:tcW w:w="1680" w:type="dxa"/>
            <w:shd w:val="clear" w:color="auto" w:fill="FFFFFF"/>
          </w:tcPr>
          <w:p w14:paraId="57D6BDA0" w14:textId="77777777" w:rsidR="002F23F6" w:rsidRDefault="00000000">
            <w:pPr>
              <w:jc w:val="center"/>
            </w:pPr>
            <w:r>
              <w:rPr>
                <w:sz w:val="20"/>
              </w:rPr>
              <w:t>25.00</w:t>
            </w:r>
          </w:p>
        </w:tc>
        <w:tc>
          <w:tcPr>
            <w:tcW w:w="1680" w:type="dxa"/>
            <w:shd w:val="clear" w:color="auto" w:fill="FFFFFF"/>
          </w:tcPr>
          <w:p w14:paraId="64357924" w14:textId="77777777" w:rsidR="002F23F6" w:rsidRDefault="00000000">
            <w:pPr>
              <w:jc w:val="center"/>
            </w:pPr>
            <w:r>
              <w:rPr>
                <w:sz w:val="20"/>
              </w:rPr>
              <w:t>25.00</w:t>
            </w:r>
          </w:p>
        </w:tc>
        <w:tc>
          <w:tcPr>
            <w:tcW w:w="1680" w:type="dxa"/>
            <w:shd w:val="clear" w:color="auto" w:fill="FFFFFF"/>
          </w:tcPr>
          <w:p w14:paraId="727547FF" w14:textId="77777777" w:rsidR="002F23F6" w:rsidRDefault="00000000">
            <w:pPr>
              <w:jc w:val="center"/>
            </w:pPr>
            <w:r>
              <w:rPr>
                <w:sz w:val="20"/>
              </w:rPr>
              <w:t>25.00</w:t>
            </w:r>
          </w:p>
        </w:tc>
      </w:tr>
      <w:tr w:rsidR="002F23F6" w14:paraId="39ADC980" w14:textId="77777777" w:rsidTr="00053944">
        <w:trPr>
          <w:jc w:val="center"/>
        </w:trPr>
        <w:tc>
          <w:tcPr>
            <w:tcW w:w="4320" w:type="dxa"/>
            <w:shd w:val="clear" w:color="auto" w:fill="DCE6F1"/>
          </w:tcPr>
          <w:p w14:paraId="003AAA3D" w14:textId="0E694C83" w:rsidR="002F23F6" w:rsidRDefault="00000000">
            <w:r>
              <w:rPr>
                <w:sz w:val="20"/>
              </w:rPr>
              <w:t>ARR (%)</w:t>
            </w:r>
          </w:p>
        </w:tc>
        <w:tc>
          <w:tcPr>
            <w:tcW w:w="1680" w:type="dxa"/>
            <w:shd w:val="clear" w:color="auto" w:fill="DCE6F1"/>
          </w:tcPr>
          <w:p w14:paraId="65A18D45" w14:textId="77777777" w:rsidR="002F23F6" w:rsidRDefault="00000000">
            <w:pPr>
              <w:jc w:val="center"/>
            </w:pPr>
            <w:r>
              <w:rPr>
                <w:sz w:val="20"/>
              </w:rPr>
              <w:t>3.2%</w:t>
            </w:r>
          </w:p>
        </w:tc>
        <w:tc>
          <w:tcPr>
            <w:tcW w:w="1680" w:type="dxa"/>
            <w:shd w:val="clear" w:color="auto" w:fill="DCE6F1"/>
          </w:tcPr>
          <w:p w14:paraId="01B5893B" w14:textId="77777777" w:rsidR="002F23F6" w:rsidRDefault="00000000">
            <w:pPr>
              <w:jc w:val="center"/>
            </w:pPr>
            <w:r>
              <w:rPr>
                <w:sz w:val="20"/>
              </w:rPr>
              <w:t>4.0%</w:t>
            </w:r>
          </w:p>
        </w:tc>
        <w:tc>
          <w:tcPr>
            <w:tcW w:w="1680" w:type="dxa"/>
            <w:shd w:val="clear" w:color="auto" w:fill="DCE6F1"/>
          </w:tcPr>
          <w:p w14:paraId="2C5E5348" w14:textId="77777777" w:rsidR="002F23F6" w:rsidRDefault="00000000">
            <w:pPr>
              <w:jc w:val="center"/>
            </w:pPr>
            <w:r>
              <w:rPr>
                <w:sz w:val="20"/>
              </w:rPr>
              <w:t>12.0%</w:t>
            </w:r>
          </w:p>
        </w:tc>
      </w:tr>
      <w:tr w:rsidR="002F23F6" w14:paraId="678B3361" w14:textId="77777777" w:rsidTr="00053944">
        <w:trPr>
          <w:jc w:val="center"/>
        </w:trPr>
        <w:tc>
          <w:tcPr>
            <w:tcW w:w="4320" w:type="dxa"/>
            <w:shd w:val="clear" w:color="auto" w:fill="FFFFFF"/>
          </w:tcPr>
          <w:p w14:paraId="5B1803E6" w14:textId="70AD4467" w:rsidR="002F23F6" w:rsidRDefault="00000000">
            <w:r>
              <w:rPr>
                <w:sz w:val="20"/>
              </w:rPr>
              <w:t>vs ROE Benchmark (10.4%)</w:t>
            </w:r>
          </w:p>
        </w:tc>
        <w:tc>
          <w:tcPr>
            <w:tcW w:w="1680" w:type="dxa"/>
            <w:shd w:val="clear" w:color="auto" w:fill="FFFFFF"/>
          </w:tcPr>
          <w:p w14:paraId="435A6493" w14:textId="77777777" w:rsidR="002F23F6" w:rsidRDefault="00000000">
            <w:pPr>
              <w:jc w:val="center"/>
            </w:pPr>
            <w:r>
              <w:rPr>
                <w:sz w:val="20"/>
              </w:rPr>
              <w:t>Below</w:t>
            </w:r>
          </w:p>
        </w:tc>
        <w:tc>
          <w:tcPr>
            <w:tcW w:w="1680" w:type="dxa"/>
            <w:shd w:val="clear" w:color="auto" w:fill="FFFFFF"/>
          </w:tcPr>
          <w:p w14:paraId="7DD122F5" w14:textId="77777777" w:rsidR="002F23F6" w:rsidRDefault="00000000">
            <w:pPr>
              <w:jc w:val="center"/>
            </w:pPr>
            <w:r>
              <w:rPr>
                <w:sz w:val="20"/>
              </w:rPr>
              <w:t>Below</w:t>
            </w:r>
          </w:p>
        </w:tc>
        <w:tc>
          <w:tcPr>
            <w:tcW w:w="1680" w:type="dxa"/>
            <w:shd w:val="clear" w:color="auto" w:fill="FFFFFF"/>
          </w:tcPr>
          <w:p w14:paraId="5B36FCC0" w14:textId="77777777" w:rsidR="002F23F6" w:rsidRDefault="00000000">
            <w:pPr>
              <w:jc w:val="center"/>
            </w:pPr>
            <w:r>
              <w:rPr>
                <w:sz w:val="20"/>
              </w:rPr>
              <w:t>Above ✓</w:t>
            </w:r>
          </w:p>
        </w:tc>
      </w:tr>
    </w:tbl>
    <w:p w14:paraId="623F0413" w14:textId="77777777" w:rsidR="00C11EA6" w:rsidRDefault="00000000">
      <w:pPr>
        <w:spacing w:before="40" w:after="60" w:line="280" w:lineRule="exact"/>
      </w:pPr>
      <w:r>
        <w:rPr>
          <w:sz w:val="18"/>
        </w:rPr>
        <w:t>Source: LCMB7002 Assessment Brief (2026). Avg profit = Avg CF − Annual Depreciation; Avg Investment = £50m ÷ 2 = £25m.</w:t>
      </w:r>
    </w:p>
    <w:p w14:paraId="4E636224" w14:textId="6824A2E8" w:rsidR="001C5774" w:rsidRPr="00053944" w:rsidRDefault="005D2812" w:rsidP="00053944">
      <w:pPr>
        <w:spacing w:before="40" w:after="80" w:line="300" w:lineRule="exact"/>
      </w:pPr>
      <w:r>
        <w:rPr>
          <w:noProof/>
        </w:rPr>
        <mc:AlternateContent>
          <mc:Choice Requires="wps">
            <w:drawing>
              <wp:anchor distT="0" distB="0" distL="114300" distR="114300" simplePos="0" relativeHeight="251716096" behindDoc="0" locked="0" layoutInCell="1" allowOverlap="1" wp14:anchorId="39CE7F13" wp14:editId="7224E8E8">
                <wp:simplePos x="0" y="0"/>
                <wp:positionH relativeFrom="column">
                  <wp:posOffset>83820</wp:posOffset>
                </wp:positionH>
                <wp:positionV relativeFrom="paragraph">
                  <wp:posOffset>3927475</wp:posOffset>
                </wp:positionV>
                <wp:extent cx="5745480" cy="635"/>
                <wp:effectExtent l="0" t="0" r="0" b="0"/>
                <wp:wrapTopAndBottom/>
                <wp:docPr id="2069808297" name="Text Box 1"/>
                <wp:cNvGraphicFramePr/>
                <a:graphic xmlns:a="http://schemas.openxmlformats.org/drawingml/2006/main">
                  <a:graphicData uri="http://schemas.microsoft.com/office/word/2010/wordprocessingShape">
                    <wps:wsp>
                      <wps:cNvSpPr txBox="1"/>
                      <wps:spPr>
                        <a:xfrm>
                          <a:off x="0" y="0"/>
                          <a:ext cx="5745480" cy="635"/>
                        </a:xfrm>
                        <a:prstGeom prst="rect">
                          <a:avLst/>
                        </a:prstGeom>
                        <a:solidFill>
                          <a:prstClr val="white"/>
                        </a:solidFill>
                        <a:ln>
                          <a:noFill/>
                        </a:ln>
                      </wps:spPr>
                      <wps:txbx>
                        <w:txbxContent>
                          <w:p w14:paraId="0D1FB78E" w14:textId="0C021942" w:rsidR="00053944" w:rsidRPr="009823D9" w:rsidRDefault="00053944" w:rsidP="00053944">
                            <w:pPr>
                              <w:pStyle w:val="Caption"/>
                              <w:jc w:val="center"/>
                              <w:rPr>
                                <w:noProof/>
                                <w:szCs w:val="22"/>
                              </w:rPr>
                            </w:pPr>
                            <w:bookmarkStart w:id="37" w:name="_Toc227887997"/>
                            <w:r>
                              <w:t xml:space="preserve">Figure </w:t>
                            </w:r>
                            <w:fldSimple w:instr=" SEQ Figure \* ARABIC ">
                              <w:r>
                                <w:rPr>
                                  <w:noProof/>
                                </w:rPr>
                                <w:t>8</w:t>
                              </w:r>
                            </w:fldSimple>
                            <w:r>
                              <w:t xml:space="preserve"> </w:t>
                            </w:r>
                            <w:r w:rsidRPr="00740083">
                              <w:t xml:space="preserve">Accounting Rate of Return </w:t>
                            </w:r>
                            <w:r w:rsidR="009E1D76">
                              <w:t>-</w:t>
                            </w:r>
                            <w:r w:rsidRPr="00740083">
                              <w:t xml:space="preserve"> Projects A, B, C</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CE7F13" id="_x0000_s1029" type="#_x0000_t202" style="position:absolute;left:0;text-align:left;margin-left:6.6pt;margin-top:309.25pt;width:452.4pt;height:.05pt;z-index:251716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" stroked="f">
                <v:textbox style="mso-fit-shape-to-text:t" inset="0,0,0,0">
                  <w:txbxContent>
                    <w:p w14:paraId="0D1FB78E" w14:textId="0C021942" w:rsidR="00053944" w:rsidRPr="009823D9" w:rsidRDefault="00053944" w:rsidP="00053944">
                      <w:pPr>
                        <w:pStyle w:val="Caption"/>
                        <w:jc w:val="center"/>
                        <w:rPr>
                          <w:noProof/>
                          <w:szCs w:val="22"/>
                        </w:rPr>
                      </w:pPr>
                      <w:bookmarkStart w:id="38" w:name="_Toc227887997"/>
                      <w:r>
                        <w:t xml:space="preserve">Figure </w:t>
                      </w:r>
                      <w:fldSimple w:instr=" SEQ Figure \* ARABIC ">
                        <w:r>
                          <w:rPr>
                            <w:noProof/>
                          </w:rPr>
                          <w:t>8</w:t>
                        </w:r>
                      </w:fldSimple>
                      <w:r>
                        <w:t xml:space="preserve"> </w:t>
                      </w:r>
                      <w:r w:rsidRPr="00740083">
                        <w:t xml:space="preserve">Accounting Rate of Return </w:t>
                      </w:r>
                      <w:r w:rsidR="009E1D76">
                        <w:t>-</w:t>
                      </w:r>
                      <w:r w:rsidRPr="00740083">
                        <w:t xml:space="preserve"> Projects A, B, C</w:t>
                      </w:r>
                      <w:bookmarkEnd w:id="38"/>
                    </w:p>
                  </w:txbxContent>
                </v:textbox>
                <w10:wrap type="topAndBottom"/>
              </v:shape>
            </w:pict>
          </mc:Fallback>
        </mc:AlternateContent>
      </w:r>
      <w:r>
        <w:rPr>
          <w:noProof/>
        </w:rPr>
        <w:drawing>
          <wp:anchor distT="0" distB="0" distL="114300" distR="114300" simplePos="0" relativeHeight="251693568" behindDoc="0" locked="0" layoutInCell="1" allowOverlap="1" wp14:anchorId="7C2F3070" wp14:editId="2A23AA6B">
            <wp:simplePos x="0" y="0"/>
            <wp:positionH relativeFrom="column">
              <wp:posOffset>609600</wp:posOffset>
            </wp:positionH>
            <wp:positionV relativeFrom="paragraph">
              <wp:posOffset>885825</wp:posOffset>
            </wp:positionV>
            <wp:extent cx="4853940" cy="2971800"/>
            <wp:effectExtent l="0" t="0" r="3810" b="0"/>
            <wp:wrapTopAndBottom/>
            <wp:docPr id="4393" name="img4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png"/>
                    <pic:cNvPicPr>
                      <a:picLocks noChangeAspect="1" noChangeArrowheads="1"/>
                    </pic:cNvPicPr>
                  </pic:nvPicPr>
                  <pic:blipFill rotWithShape="1">
                    <a:blip r:embed="rId14"/>
                    <a:srcRect t="6669"/>
                    <a:stretch>
                      <a:fillRect/>
                    </a:stretch>
                  </pic:blipFill>
                  <pic:spPr bwMode="auto">
                    <a:xfrm>
                      <a:off x="0" y="0"/>
                      <a:ext cx="4853940" cy="2971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D2812">
        <w:t xml:space="preserve">Table </w:t>
      </w:r>
      <w:r w:rsidR="00053944" w:rsidRPr="005D2812">
        <w:t>9</w:t>
      </w:r>
      <w:r w:rsidRPr="005D2812">
        <w:t xml:space="preserve"> confirms that Project C is the only investment whose ARR (12.0%) exceeds Hyundai’s FY2024 ROE benchmark of 10.4%; Projects A (3.2%) and B (4.0%) fall substantially below this threshold, reinforcing their inferior ranking across all appraisal dimensions.</w:t>
      </w:r>
    </w:p>
    <w:p w14:paraId="55B8E9ED" w14:textId="0D6087E1" w:rsidR="002F23F6" w:rsidRDefault="00000000" w:rsidP="00937AB4">
      <w:pPr>
        <w:pStyle w:val="Heading2"/>
      </w:pPr>
      <w:bookmarkStart w:id="39" w:name="_Toc227888396"/>
      <w:r>
        <w:t>5.4 NPV, Profitability Index, and IRR</w:t>
      </w:r>
      <w:bookmarkEnd w:id="39"/>
    </w:p>
    <w:p w14:paraId="008AB66D" w14:textId="662E7DB1" w:rsidR="00053944" w:rsidRDefault="00053944" w:rsidP="00053944">
      <w:pPr>
        <w:pStyle w:val="Caption"/>
        <w:keepNext/>
      </w:pPr>
      <w:bookmarkStart w:id="40" w:name="_Toc227888007"/>
      <w:r>
        <w:t xml:space="preserve">Table </w:t>
      </w:r>
      <w:fldSimple w:instr=" SEQ Table \* ARABIC ">
        <w:r>
          <w:rPr>
            <w:noProof/>
          </w:rPr>
          <w:t>10</w:t>
        </w:r>
      </w:fldSimple>
      <w:r>
        <w:t xml:space="preserve"> </w:t>
      </w:r>
      <w:r w:rsidRPr="00AC646F">
        <w:t>Investment Appraisal Summary</w:t>
      </w:r>
      <w:bookmarkEnd w:id="40"/>
    </w:p>
    <w:tbl>
      <w:tblPr>
        <w:tblStyle w:val="TableGrid"/>
        <w:tblW w:w="0" w:type="auto"/>
        <w:tblLook w:val="04A0" w:firstRow="1" w:lastRow="0" w:firstColumn="1" w:lastColumn="0" w:noHBand="0" w:noVBand="1"/>
      </w:tblPr>
      <w:tblGrid>
        <w:gridCol w:w="3744"/>
        <w:gridCol w:w="1872"/>
        <w:gridCol w:w="1872"/>
        <w:gridCol w:w="1872"/>
      </w:tblGrid>
      <w:tr w:rsidR="002F23F6" w14:paraId="549C8A55" w14:textId="77777777">
        <w:tc>
          <w:tcPr>
            <w:tcW w:w="3744" w:type="dxa"/>
            <w:shd w:val="clear" w:color="auto" w:fill="1F497D"/>
          </w:tcPr>
          <w:p w14:paraId="52E14191" w14:textId="77777777" w:rsidR="002F23F6" w:rsidRDefault="00000000">
            <w:pPr>
              <w:jc w:val="center"/>
            </w:pPr>
            <w:r>
              <w:rPr>
                <w:b/>
                <w:color w:val="FFFFFF"/>
                <w:sz w:val="20"/>
              </w:rPr>
              <w:t>Metric</w:t>
            </w:r>
          </w:p>
        </w:tc>
        <w:tc>
          <w:tcPr>
            <w:tcW w:w="1872" w:type="dxa"/>
            <w:shd w:val="clear" w:color="auto" w:fill="1F497D"/>
          </w:tcPr>
          <w:p w14:paraId="269D2E38" w14:textId="77777777" w:rsidR="002F23F6" w:rsidRDefault="00000000">
            <w:pPr>
              <w:jc w:val="center"/>
            </w:pPr>
            <w:r>
              <w:rPr>
                <w:b/>
                <w:color w:val="FFFFFF"/>
                <w:sz w:val="20"/>
              </w:rPr>
              <w:t>Project A</w:t>
            </w:r>
          </w:p>
        </w:tc>
        <w:tc>
          <w:tcPr>
            <w:tcW w:w="1872" w:type="dxa"/>
            <w:shd w:val="clear" w:color="auto" w:fill="1F497D"/>
          </w:tcPr>
          <w:p w14:paraId="7702EC50" w14:textId="77777777" w:rsidR="002F23F6" w:rsidRDefault="00000000">
            <w:pPr>
              <w:jc w:val="center"/>
            </w:pPr>
            <w:r>
              <w:rPr>
                <w:b/>
                <w:color w:val="FFFFFF"/>
                <w:sz w:val="20"/>
              </w:rPr>
              <w:t>Project B</w:t>
            </w:r>
          </w:p>
        </w:tc>
        <w:tc>
          <w:tcPr>
            <w:tcW w:w="1872" w:type="dxa"/>
            <w:shd w:val="clear" w:color="auto" w:fill="1F497D"/>
          </w:tcPr>
          <w:p w14:paraId="4630AE53" w14:textId="77777777" w:rsidR="002F23F6" w:rsidRDefault="00000000">
            <w:pPr>
              <w:jc w:val="center"/>
            </w:pPr>
            <w:r>
              <w:rPr>
                <w:b/>
                <w:color w:val="FFFFFF"/>
                <w:sz w:val="20"/>
              </w:rPr>
              <w:t>Project C</w:t>
            </w:r>
          </w:p>
        </w:tc>
      </w:tr>
      <w:tr w:rsidR="002F23F6" w14:paraId="24010C52" w14:textId="77777777">
        <w:tc>
          <w:tcPr>
            <w:tcW w:w="3744" w:type="dxa"/>
            <w:shd w:val="clear" w:color="auto" w:fill="FFFFFF"/>
          </w:tcPr>
          <w:p w14:paraId="1473B31A" w14:textId="77777777" w:rsidR="002F23F6" w:rsidRDefault="00000000">
            <w:r>
              <w:rPr>
                <w:sz w:val="20"/>
              </w:rPr>
              <w:t>Total Cash Inflows (£m)</w:t>
            </w:r>
          </w:p>
        </w:tc>
        <w:tc>
          <w:tcPr>
            <w:tcW w:w="1872" w:type="dxa"/>
            <w:shd w:val="clear" w:color="auto" w:fill="FFFFFF"/>
          </w:tcPr>
          <w:p w14:paraId="35AAA637" w14:textId="77777777" w:rsidR="002F23F6" w:rsidRDefault="00000000">
            <w:pPr>
              <w:jc w:val="center"/>
            </w:pPr>
            <w:r>
              <w:rPr>
                <w:sz w:val="20"/>
              </w:rPr>
              <w:t>54.00</w:t>
            </w:r>
          </w:p>
        </w:tc>
        <w:tc>
          <w:tcPr>
            <w:tcW w:w="1872" w:type="dxa"/>
            <w:shd w:val="clear" w:color="auto" w:fill="FFFFFF"/>
          </w:tcPr>
          <w:p w14:paraId="6EB7678A" w14:textId="77777777" w:rsidR="002F23F6" w:rsidRDefault="00000000">
            <w:pPr>
              <w:jc w:val="center"/>
            </w:pPr>
            <w:r>
              <w:rPr>
                <w:sz w:val="20"/>
              </w:rPr>
              <w:t>55.00</w:t>
            </w:r>
          </w:p>
        </w:tc>
        <w:tc>
          <w:tcPr>
            <w:tcW w:w="1872" w:type="dxa"/>
            <w:shd w:val="clear" w:color="auto" w:fill="FFFFFF"/>
          </w:tcPr>
          <w:p w14:paraId="0D0C17FD" w14:textId="77777777" w:rsidR="002F23F6" w:rsidRDefault="00000000">
            <w:pPr>
              <w:jc w:val="center"/>
            </w:pPr>
            <w:r>
              <w:rPr>
                <w:b/>
                <w:sz w:val="20"/>
              </w:rPr>
              <w:t>65.00</w:t>
            </w:r>
          </w:p>
        </w:tc>
      </w:tr>
      <w:tr w:rsidR="002F23F6" w14:paraId="193621C6" w14:textId="77777777">
        <w:tc>
          <w:tcPr>
            <w:tcW w:w="3744" w:type="dxa"/>
            <w:shd w:val="clear" w:color="auto" w:fill="DCE6F1"/>
          </w:tcPr>
          <w:p w14:paraId="57425D3C" w14:textId="77777777" w:rsidR="002F23F6" w:rsidRDefault="00000000">
            <w:r>
              <w:rPr>
                <w:sz w:val="20"/>
              </w:rPr>
              <w:t>Payback Period (years)</w:t>
            </w:r>
          </w:p>
        </w:tc>
        <w:tc>
          <w:tcPr>
            <w:tcW w:w="1872" w:type="dxa"/>
            <w:shd w:val="clear" w:color="auto" w:fill="DCE6F1"/>
          </w:tcPr>
          <w:p w14:paraId="27FFB086" w14:textId="77777777" w:rsidR="002F23F6" w:rsidRDefault="00000000">
            <w:pPr>
              <w:jc w:val="center"/>
            </w:pPr>
            <w:r>
              <w:rPr>
                <w:sz w:val="20"/>
              </w:rPr>
              <w:t>4.50</w:t>
            </w:r>
          </w:p>
        </w:tc>
        <w:tc>
          <w:tcPr>
            <w:tcW w:w="1872" w:type="dxa"/>
            <w:shd w:val="clear" w:color="auto" w:fill="DCE6F1"/>
          </w:tcPr>
          <w:p w14:paraId="1723C379" w14:textId="77777777" w:rsidR="002F23F6" w:rsidRDefault="00000000">
            <w:pPr>
              <w:jc w:val="center"/>
            </w:pPr>
            <w:r>
              <w:rPr>
                <w:sz w:val="20"/>
              </w:rPr>
              <w:t>4.55</w:t>
            </w:r>
          </w:p>
        </w:tc>
        <w:tc>
          <w:tcPr>
            <w:tcW w:w="1872" w:type="dxa"/>
            <w:shd w:val="clear" w:color="auto" w:fill="DCE6F1"/>
          </w:tcPr>
          <w:p w14:paraId="520EB4AD" w14:textId="77777777" w:rsidR="002F23F6" w:rsidRDefault="00000000">
            <w:pPr>
              <w:jc w:val="center"/>
            </w:pPr>
            <w:r>
              <w:rPr>
                <w:b/>
                <w:sz w:val="20"/>
              </w:rPr>
              <w:t>3.60</w:t>
            </w:r>
          </w:p>
        </w:tc>
      </w:tr>
      <w:tr w:rsidR="002F23F6" w14:paraId="07F1A014" w14:textId="77777777">
        <w:tc>
          <w:tcPr>
            <w:tcW w:w="3744" w:type="dxa"/>
            <w:shd w:val="clear" w:color="auto" w:fill="FFFFFF"/>
          </w:tcPr>
          <w:p w14:paraId="4CBA6300" w14:textId="77777777" w:rsidR="002F23F6" w:rsidRDefault="00000000">
            <w:r>
              <w:rPr>
                <w:sz w:val="20"/>
              </w:rPr>
              <w:t>ARR</w:t>
            </w:r>
          </w:p>
        </w:tc>
        <w:tc>
          <w:tcPr>
            <w:tcW w:w="1872" w:type="dxa"/>
            <w:shd w:val="clear" w:color="auto" w:fill="FFFFFF"/>
          </w:tcPr>
          <w:p w14:paraId="2574C813" w14:textId="77777777" w:rsidR="002F23F6" w:rsidRDefault="00000000">
            <w:pPr>
              <w:jc w:val="center"/>
            </w:pPr>
            <w:r>
              <w:rPr>
                <w:sz w:val="20"/>
              </w:rPr>
              <w:t>3.2%</w:t>
            </w:r>
          </w:p>
        </w:tc>
        <w:tc>
          <w:tcPr>
            <w:tcW w:w="1872" w:type="dxa"/>
            <w:shd w:val="clear" w:color="auto" w:fill="FFFFFF"/>
          </w:tcPr>
          <w:p w14:paraId="0C2C48E9" w14:textId="77777777" w:rsidR="002F23F6" w:rsidRDefault="00000000">
            <w:pPr>
              <w:jc w:val="center"/>
            </w:pPr>
            <w:r>
              <w:rPr>
                <w:sz w:val="20"/>
              </w:rPr>
              <w:t>4.0%</w:t>
            </w:r>
          </w:p>
        </w:tc>
        <w:tc>
          <w:tcPr>
            <w:tcW w:w="1872" w:type="dxa"/>
            <w:shd w:val="clear" w:color="auto" w:fill="FFFFFF"/>
          </w:tcPr>
          <w:p w14:paraId="19F5DB7A" w14:textId="77777777" w:rsidR="002F23F6" w:rsidRDefault="00000000">
            <w:pPr>
              <w:jc w:val="center"/>
            </w:pPr>
            <w:r>
              <w:rPr>
                <w:b/>
                <w:sz w:val="20"/>
              </w:rPr>
              <w:t>12.0%</w:t>
            </w:r>
          </w:p>
        </w:tc>
      </w:tr>
      <w:tr w:rsidR="002F23F6" w14:paraId="0E017D4C" w14:textId="77777777">
        <w:tc>
          <w:tcPr>
            <w:tcW w:w="3744" w:type="dxa"/>
            <w:shd w:val="clear" w:color="auto" w:fill="DCE6F1"/>
          </w:tcPr>
          <w:p w14:paraId="5B96E10D" w14:textId="77777777" w:rsidR="002F23F6" w:rsidRDefault="00000000">
            <w:r>
              <w:rPr>
                <w:sz w:val="20"/>
              </w:rPr>
              <w:t>NPV (£m)</w:t>
            </w:r>
          </w:p>
        </w:tc>
        <w:tc>
          <w:tcPr>
            <w:tcW w:w="1872" w:type="dxa"/>
            <w:shd w:val="clear" w:color="auto" w:fill="DCE6F1"/>
          </w:tcPr>
          <w:p w14:paraId="46449BFE" w14:textId="77777777" w:rsidR="002F23F6" w:rsidRDefault="00000000">
            <w:pPr>
              <w:jc w:val="center"/>
            </w:pPr>
            <w:r>
              <w:rPr>
                <w:sz w:val="20"/>
              </w:rPr>
              <w:t>−8.68</w:t>
            </w:r>
          </w:p>
        </w:tc>
        <w:tc>
          <w:tcPr>
            <w:tcW w:w="1872" w:type="dxa"/>
            <w:shd w:val="clear" w:color="auto" w:fill="DCE6F1"/>
          </w:tcPr>
          <w:p w14:paraId="51214B2B" w14:textId="77777777" w:rsidR="002F23F6" w:rsidRDefault="00000000">
            <w:pPr>
              <w:jc w:val="center"/>
            </w:pPr>
            <w:r>
              <w:rPr>
                <w:sz w:val="20"/>
              </w:rPr>
              <w:t>−8.30</w:t>
            </w:r>
          </w:p>
        </w:tc>
        <w:tc>
          <w:tcPr>
            <w:tcW w:w="1872" w:type="dxa"/>
            <w:shd w:val="clear" w:color="auto" w:fill="DCE6F1"/>
          </w:tcPr>
          <w:p w14:paraId="054DA00B" w14:textId="77777777" w:rsidR="002F23F6" w:rsidRDefault="00000000">
            <w:pPr>
              <w:jc w:val="center"/>
            </w:pPr>
            <w:r>
              <w:rPr>
                <w:b/>
                <w:sz w:val="20"/>
              </w:rPr>
              <w:t>−1.98</w:t>
            </w:r>
          </w:p>
        </w:tc>
      </w:tr>
      <w:tr w:rsidR="002F23F6" w14:paraId="1F8B9A41" w14:textId="77777777">
        <w:tc>
          <w:tcPr>
            <w:tcW w:w="3744" w:type="dxa"/>
            <w:shd w:val="clear" w:color="auto" w:fill="FFFFFF"/>
          </w:tcPr>
          <w:p w14:paraId="6A308208" w14:textId="77777777" w:rsidR="002F23F6" w:rsidRDefault="00000000">
            <w:r>
              <w:rPr>
                <w:sz w:val="20"/>
              </w:rPr>
              <w:t>Profitability Index (PI)</w:t>
            </w:r>
          </w:p>
        </w:tc>
        <w:tc>
          <w:tcPr>
            <w:tcW w:w="1872" w:type="dxa"/>
            <w:shd w:val="clear" w:color="auto" w:fill="FFFFFF"/>
          </w:tcPr>
          <w:p w14:paraId="61F95A4D" w14:textId="77777777" w:rsidR="002F23F6" w:rsidRDefault="00000000">
            <w:pPr>
              <w:jc w:val="center"/>
            </w:pPr>
            <w:r>
              <w:rPr>
                <w:sz w:val="20"/>
              </w:rPr>
              <w:t>0.826</w:t>
            </w:r>
          </w:p>
        </w:tc>
        <w:tc>
          <w:tcPr>
            <w:tcW w:w="1872" w:type="dxa"/>
            <w:shd w:val="clear" w:color="auto" w:fill="FFFFFF"/>
          </w:tcPr>
          <w:p w14:paraId="360A1D4E" w14:textId="77777777" w:rsidR="002F23F6" w:rsidRDefault="00000000">
            <w:pPr>
              <w:jc w:val="center"/>
            </w:pPr>
            <w:r>
              <w:rPr>
                <w:sz w:val="20"/>
              </w:rPr>
              <w:t>0.834</w:t>
            </w:r>
          </w:p>
        </w:tc>
        <w:tc>
          <w:tcPr>
            <w:tcW w:w="1872" w:type="dxa"/>
            <w:shd w:val="clear" w:color="auto" w:fill="FFFFFF"/>
          </w:tcPr>
          <w:p w14:paraId="3D13114D" w14:textId="77777777" w:rsidR="002F23F6" w:rsidRDefault="00000000">
            <w:pPr>
              <w:jc w:val="center"/>
            </w:pPr>
            <w:r>
              <w:rPr>
                <w:b/>
                <w:sz w:val="20"/>
              </w:rPr>
              <w:t>0.960</w:t>
            </w:r>
          </w:p>
        </w:tc>
      </w:tr>
      <w:tr w:rsidR="002F23F6" w14:paraId="6F9EB3C7" w14:textId="77777777">
        <w:tc>
          <w:tcPr>
            <w:tcW w:w="3744" w:type="dxa"/>
            <w:shd w:val="clear" w:color="auto" w:fill="DCE6F1"/>
          </w:tcPr>
          <w:p w14:paraId="49A97CF0" w14:textId="77777777" w:rsidR="002F23F6" w:rsidRDefault="00000000">
            <w:r>
              <w:rPr>
                <w:sz w:val="20"/>
              </w:rPr>
              <w:t>IRR</w:t>
            </w:r>
          </w:p>
        </w:tc>
        <w:tc>
          <w:tcPr>
            <w:tcW w:w="1872" w:type="dxa"/>
            <w:shd w:val="clear" w:color="auto" w:fill="DCE6F1"/>
          </w:tcPr>
          <w:p w14:paraId="062AEE6A" w14:textId="77777777" w:rsidR="002F23F6" w:rsidRDefault="00000000">
            <w:pPr>
              <w:jc w:val="center"/>
            </w:pPr>
            <w:r>
              <w:rPr>
                <w:sz w:val="20"/>
              </w:rPr>
              <w:t>2.72%</w:t>
            </w:r>
          </w:p>
        </w:tc>
        <w:tc>
          <w:tcPr>
            <w:tcW w:w="1872" w:type="dxa"/>
            <w:shd w:val="clear" w:color="auto" w:fill="DCE6F1"/>
          </w:tcPr>
          <w:p w14:paraId="38090936" w14:textId="77777777" w:rsidR="002F23F6" w:rsidRDefault="00000000">
            <w:pPr>
              <w:jc w:val="center"/>
            </w:pPr>
            <w:r>
              <w:rPr>
                <w:sz w:val="20"/>
              </w:rPr>
              <w:t>3.26%</w:t>
            </w:r>
          </w:p>
        </w:tc>
        <w:tc>
          <w:tcPr>
            <w:tcW w:w="1872" w:type="dxa"/>
            <w:shd w:val="clear" w:color="auto" w:fill="DCE6F1"/>
          </w:tcPr>
          <w:p w14:paraId="4DB33901" w14:textId="77777777" w:rsidR="002F23F6" w:rsidRDefault="00000000">
            <w:pPr>
              <w:jc w:val="center"/>
            </w:pPr>
            <w:r>
              <w:rPr>
                <w:b/>
                <w:sz w:val="20"/>
              </w:rPr>
              <w:t>8.59%</w:t>
            </w:r>
          </w:p>
        </w:tc>
      </w:tr>
    </w:tbl>
    <w:p w14:paraId="2BCA5ADB" w14:textId="43AA65E1" w:rsidR="00C11EA6" w:rsidRDefault="00000000">
      <w:pPr>
        <w:spacing w:before="40" w:after="80" w:line="300" w:lineRule="exact"/>
      </w:pPr>
      <w:r w:rsidRPr="005D2812">
        <w:lastRenderedPageBreak/>
        <w:t xml:space="preserve">Table </w:t>
      </w:r>
      <w:r w:rsidR="00053944" w:rsidRPr="005D2812">
        <w:t>10</w:t>
      </w:r>
      <w:r w:rsidRPr="005D2812">
        <w:t xml:space="preserve"> confirms that Project C is the superior single investment on every metric: shortest payback (3.60 years), highest ARR (12.0%), least value loss (NPV −£1.98m), highest PI (0.960), and highest IRR (8.59%), making it the unambiguous recommended choice under a single-project decision framework.</w:t>
      </w:r>
    </w:p>
    <w:p w14:paraId="0D0C51A3" w14:textId="77777777" w:rsidR="002F23F6" w:rsidRDefault="001C5774">
      <w:pPr>
        <w:spacing w:before="60" w:after="120" w:line="360" w:lineRule="exact"/>
      </w:pPr>
      <w:r>
        <w:t>The NPVs of all three projects are negative at 10 percent discount rate implying that none of them will clear the hurdle at the hurdle rate = a critical observation that should be clearly noted in the recommendation. Project C however, with an NPV of -1.98m is significantly less destructive than Project A (-8.68m) and Project B (-8.30m). Its PI of 0.960 implies 96 pence of discounted value will be recovered every pound invested, as compared to 82.6 pence, in A, and 83.4 pence in B. With an IRR of 8.59% which is the highest of the three and nearest to the 10% of the hurdle, only a slight difference in the project performance assumptions is required to make it a positive-NPV one (Brealey, Myers and Allen, 2023).</w:t>
      </w:r>
    </w:p>
    <w:p w14:paraId="2CA49808" w14:textId="77777777" w:rsidR="002F23F6" w:rsidRDefault="001C5774">
      <w:pPr>
        <w:spacing w:before="60" w:after="120" w:line="360" w:lineRule="exact"/>
      </w:pPr>
      <w:r>
        <w:t>It is that back-loaded cash flow structure of Project C, which has the highest inflows in Years 3 (£20m) and 4 (£25m) that propels its high discounted performance even given its poor Year 1 inflow of only £5m. This profile typical of infrastructure-type EV investments, where initial capital investments are used to facilitate platform development which gains accelerating returns as the market matures and economies of scale are achieved (Arnold, 2023).</w:t>
      </w:r>
    </w:p>
    <w:p w14:paraId="41693F20" w14:textId="77777777" w:rsidR="002F23F6" w:rsidRDefault="00000000" w:rsidP="00937AB4">
      <w:pPr>
        <w:pStyle w:val="Heading2"/>
      </w:pPr>
      <w:bookmarkStart w:id="41" w:name="_Toc227888397"/>
      <w:r>
        <w:t>5.5 Project Recommendation</w:t>
      </w:r>
      <w:bookmarkEnd w:id="41"/>
    </w:p>
    <w:p w14:paraId="7DA78EC1" w14:textId="77777777" w:rsidR="002F23F6" w:rsidRDefault="001C5774">
      <w:pPr>
        <w:spacing w:before="60" w:after="120" w:line="360" w:lineRule="exact"/>
      </w:pPr>
      <w:r>
        <w:t>The investment that should be made is project C. The case is based on four pillars. First, it delivers the maximum total cash return (£65m compared to London and Birmingham, 54m and 55m) this gap is not insignificant (range of 10-11m). Second, it generates the lowest amount of value destruction at a discounted level as NPV of it is -1.98m versus -8.68m and-8.30m with the alternatives. Third, its 3.6-year payback offers the quickest capital payback, directly responding to the liquidity stresses that Hyundai is currently facing. Fourth, it has the ARR of 12.0 percent indicating that in terms of the accounting measurements most popular in internal performance management Project C generates returns that are indeed competitive.</w:t>
      </w:r>
    </w:p>
    <w:p w14:paraId="201C840B" w14:textId="77777777" w:rsidR="002F23F6" w:rsidRDefault="001C5774">
      <w:pPr>
        <w:spacing w:before="60" w:after="120" w:line="360" w:lineRule="exact"/>
      </w:pPr>
      <w:r>
        <w:t xml:space="preserve">The suggestion is reinforced by non-financial considerations. The cash flow profile of Project C that is growth-oriented, back loaded coincides with the strategic positioning of the EV transition at the Hyundai company. The tariffs to be put in place in the US in 20242025 have a material effect on the North American margins of Hyundai (Hyundai Motor Company, 2026) and any project with a large exposure to North American </w:t>
      </w:r>
      <w:r>
        <w:lastRenderedPageBreak/>
        <w:t>manufacturing has a high political risk. Loyalty of customers - The increasing IONIQ brand equity and the concurrent market share in major EV markets will grant Hyundai a structural competitive edge that cannot be judged by non-financial risk measurements alongside the figures (Damodaran, 2021). Projects A and B, having IRR of 2.72 per cent and 3.26 per cent respectively, would need some ground breaking changes in the performance assumptions to be viable based on the discounted criteria, alone.</w:t>
      </w:r>
    </w:p>
    <w:p w14:paraId="01024C47" w14:textId="77777777" w:rsidR="002F23F6" w:rsidRDefault="00000000" w:rsidP="00937AB4">
      <w:pPr>
        <w:pStyle w:val="Heading2"/>
      </w:pPr>
      <w:bookmarkStart w:id="42" w:name="_Toc227888398"/>
      <w:r>
        <w:t>5.6 Capital Rationing - Optimal Project Combination</w:t>
      </w:r>
      <w:bookmarkEnd w:id="42"/>
    </w:p>
    <w:p w14:paraId="5034EEB3" w14:textId="144FC21D" w:rsidR="002F23F6" w:rsidRDefault="001C5774">
      <w:pPr>
        <w:spacing w:before="60" w:after="120" w:line="360" w:lineRule="exact"/>
      </w:pPr>
      <w:r>
        <w:t xml:space="preserve">There are three indivisible projects whose costs are in the range of £50 million and the maximum investment budget can be considered as 100 million pounds, so it is possible to choose exactly two projects. Table </w:t>
      </w:r>
      <w:r w:rsidR="005D2812">
        <w:t>11</w:t>
      </w:r>
      <w:r>
        <w:t xml:space="preserve"> shows the three combinations with the financial results.</w:t>
      </w:r>
    </w:p>
    <w:p w14:paraId="2F4E00B0" w14:textId="0CAC93ED" w:rsidR="00053944" w:rsidRDefault="00053944" w:rsidP="00053944">
      <w:pPr>
        <w:pStyle w:val="Caption"/>
        <w:keepNext/>
      </w:pPr>
      <w:bookmarkStart w:id="43" w:name="_Toc227888008"/>
      <w:r>
        <w:t xml:space="preserve">Table </w:t>
      </w:r>
      <w:fldSimple w:instr=" SEQ Table \* ARABIC ">
        <w:r>
          <w:rPr>
            <w:noProof/>
          </w:rPr>
          <w:t>11</w:t>
        </w:r>
      </w:fldSimple>
      <w:r>
        <w:t xml:space="preserve"> </w:t>
      </w:r>
      <w:r w:rsidRPr="00EF574F">
        <w:t>Capital Rationing Analysis (Budget = £100 million)</w:t>
      </w:r>
      <w:bookmarkEnd w:id="43"/>
    </w:p>
    <w:tbl>
      <w:tblPr>
        <w:tblStyle w:val="TableGrid"/>
        <w:tblW w:w="0" w:type="auto"/>
        <w:jc w:val="center"/>
        <w:tblLook w:val="04A0" w:firstRow="1" w:lastRow="0" w:firstColumn="1" w:lastColumn="0" w:noHBand="0" w:noVBand="1"/>
      </w:tblPr>
      <w:tblGrid>
        <w:gridCol w:w="2288"/>
        <w:gridCol w:w="2143"/>
        <w:gridCol w:w="2142"/>
        <w:gridCol w:w="1859"/>
        <w:gridCol w:w="1144"/>
      </w:tblGrid>
      <w:tr w:rsidR="002F23F6" w14:paraId="573C3571" w14:textId="77777777" w:rsidTr="008150ED">
        <w:trPr>
          <w:jc w:val="center"/>
        </w:trPr>
        <w:tc>
          <w:tcPr>
            <w:tcW w:w="2288" w:type="dxa"/>
            <w:shd w:val="clear" w:color="auto" w:fill="1F497D"/>
          </w:tcPr>
          <w:p w14:paraId="79B54F2E" w14:textId="77777777" w:rsidR="002F23F6" w:rsidRDefault="00000000">
            <w:pPr>
              <w:jc w:val="center"/>
            </w:pPr>
            <w:r>
              <w:rPr>
                <w:b/>
                <w:color w:val="FFFFFF"/>
                <w:sz w:val="20"/>
              </w:rPr>
              <w:t>Combination</w:t>
            </w:r>
          </w:p>
        </w:tc>
        <w:tc>
          <w:tcPr>
            <w:tcW w:w="2143" w:type="dxa"/>
            <w:shd w:val="clear" w:color="auto" w:fill="1F497D"/>
          </w:tcPr>
          <w:p w14:paraId="3BAB93CB" w14:textId="77777777" w:rsidR="002F23F6" w:rsidRDefault="00000000">
            <w:pPr>
              <w:jc w:val="center"/>
            </w:pPr>
            <w:r>
              <w:rPr>
                <w:b/>
                <w:color w:val="FFFFFF"/>
                <w:sz w:val="20"/>
              </w:rPr>
              <w:t>Total Investment (£m)</w:t>
            </w:r>
          </w:p>
        </w:tc>
        <w:tc>
          <w:tcPr>
            <w:tcW w:w="2142" w:type="dxa"/>
            <w:shd w:val="clear" w:color="auto" w:fill="1F497D"/>
          </w:tcPr>
          <w:p w14:paraId="4051A4CB" w14:textId="77777777" w:rsidR="002F23F6" w:rsidRDefault="00000000">
            <w:pPr>
              <w:jc w:val="center"/>
            </w:pPr>
            <w:r>
              <w:rPr>
                <w:b/>
                <w:color w:val="FFFFFF"/>
                <w:sz w:val="20"/>
              </w:rPr>
              <w:t>Combined NPV (£m)</w:t>
            </w:r>
          </w:p>
        </w:tc>
        <w:tc>
          <w:tcPr>
            <w:tcW w:w="1859" w:type="dxa"/>
            <w:shd w:val="clear" w:color="auto" w:fill="1F497D"/>
          </w:tcPr>
          <w:p w14:paraId="172BD59E" w14:textId="77777777" w:rsidR="002F23F6" w:rsidRDefault="00000000">
            <w:pPr>
              <w:jc w:val="center"/>
            </w:pPr>
            <w:r>
              <w:rPr>
                <w:b/>
                <w:color w:val="FFFFFF"/>
                <w:sz w:val="20"/>
              </w:rPr>
              <w:t>Combined PI</w:t>
            </w:r>
          </w:p>
        </w:tc>
        <w:tc>
          <w:tcPr>
            <w:tcW w:w="1144" w:type="dxa"/>
            <w:shd w:val="clear" w:color="auto" w:fill="1F497D"/>
          </w:tcPr>
          <w:p w14:paraId="07AEC806" w14:textId="77777777" w:rsidR="002F23F6" w:rsidRDefault="00000000">
            <w:pPr>
              <w:jc w:val="center"/>
            </w:pPr>
            <w:r>
              <w:rPr>
                <w:b/>
                <w:color w:val="FFFFFF"/>
                <w:sz w:val="20"/>
              </w:rPr>
              <w:t>Rank</w:t>
            </w:r>
          </w:p>
        </w:tc>
      </w:tr>
      <w:tr w:rsidR="002F23F6" w14:paraId="441FA3FA" w14:textId="77777777" w:rsidTr="008150ED">
        <w:trPr>
          <w:jc w:val="center"/>
        </w:trPr>
        <w:tc>
          <w:tcPr>
            <w:tcW w:w="2288" w:type="dxa"/>
            <w:shd w:val="clear" w:color="auto" w:fill="FFFFFF"/>
          </w:tcPr>
          <w:p w14:paraId="3BDB10C9" w14:textId="77777777" w:rsidR="002F23F6" w:rsidRDefault="00000000">
            <w:r>
              <w:rPr>
                <w:sz w:val="20"/>
              </w:rPr>
              <w:t>A + B</w:t>
            </w:r>
          </w:p>
        </w:tc>
        <w:tc>
          <w:tcPr>
            <w:tcW w:w="2143" w:type="dxa"/>
            <w:shd w:val="clear" w:color="auto" w:fill="FFFFFF"/>
          </w:tcPr>
          <w:p w14:paraId="5E1FB59A" w14:textId="77777777" w:rsidR="002F23F6" w:rsidRDefault="00000000">
            <w:pPr>
              <w:jc w:val="center"/>
            </w:pPr>
            <w:r>
              <w:rPr>
                <w:sz w:val="20"/>
              </w:rPr>
              <w:t>100</w:t>
            </w:r>
          </w:p>
        </w:tc>
        <w:tc>
          <w:tcPr>
            <w:tcW w:w="2142" w:type="dxa"/>
            <w:shd w:val="clear" w:color="auto" w:fill="FFFFFF"/>
          </w:tcPr>
          <w:p w14:paraId="0186B2D6" w14:textId="77777777" w:rsidR="002F23F6" w:rsidRDefault="00000000">
            <w:pPr>
              <w:jc w:val="center"/>
            </w:pPr>
            <w:r>
              <w:rPr>
                <w:sz w:val="20"/>
              </w:rPr>
              <w:t>−16.98</w:t>
            </w:r>
          </w:p>
        </w:tc>
        <w:tc>
          <w:tcPr>
            <w:tcW w:w="1859" w:type="dxa"/>
            <w:shd w:val="clear" w:color="auto" w:fill="FFFFFF"/>
          </w:tcPr>
          <w:p w14:paraId="27875FB6" w14:textId="77777777" w:rsidR="002F23F6" w:rsidRDefault="00000000">
            <w:pPr>
              <w:jc w:val="center"/>
            </w:pPr>
            <w:r>
              <w:rPr>
                <w:sz w:val="20"/>
              </w:rPr>
              <w:t>0.830</w:t>
            </w:r>
          </w:p>
        </w:tc>
        <w:tc>
          <w:tcPr>
            <w:tcW w:w="1144" w:type="dxa"/>
            <w:shd w:val="clear" w:color="auto" w:fill="FFFFFF"/>
          </w:tcPr>
          <w:p w14:paraId="0F6F83CA" w14:textId="77777777" w:rsidR="002F23F6" w:rsidRDefault="00000000">
            <w:pPr>
              <w:jc w:val="center"/>
            </w:pPr>
            <w:r>
              <w:rPr>
                <w:sz w:val="20"/>
              </w:rPr>
              <w:t>3rd</w:t>
            </w:r>
          </w:p>
        </w:tc>
      </w:tr>
      <w:tr w:rsidR="002F23F6" w14:paraId="1FAAC9E3" w14:textId="77777777" w:rsidTr="008150ED">
        <w:trPr>
          <w:jc w:val="center"/>
        </w:trPr>
        <w:tc>
          <w:tcPr>
            <w:tcW w:w="2288" w:type="dxa"/>
            <w:shd w:val="clear" w:color="auto" w:fill="DCE6F1"/>
          </w:tcPr>
          <w:p w14:paraId="0CE289E0" w14:textId="77777777" w:rsidR="002F23F6" w:rsidRDefault="00000000">
            <w:r>
              <w:rPr>
                <w:sz w:val="20"/>
              </w:rPr>
              <w:t>A + C</w:t>
            </w:r>
          </w:p>
        </w:tc>
        <w:tc>
          <w:tcPr>
            <w:tcW w:w="2143" w:type="dxa"/>
            <w:shd w:val="clear" w:color="auto" w:fill="DCE6F1"/>
          </w:tcPr>
          <w:p w14:paraId="69CFFC49" w14:textId="77777777" w:rsidR="002F23F6" w:rsidRDefault="00000000">
            <w:pPr>
              <w:jc w:val="center"/>
            </w:pPr>
            <w:r>
              <w:rPr>
                <w:sz w:val="20"/>
              </w:rPr>
              <w:t>100</w:t>
            </w:r>
          </w:p>
        </w:tc>
        <w:tc>
          <w:tcPr>
            <w:tcW w:w="2142" w:type="dxa"/>
            <w:shd w:val="clear" w:color="auto" w:fill="DCE6F1"/>
          </w:tcPr>
          <w:p w14:paraId="6B0E7946" w14:textId="77777777" w:rsidR="002F23F6" w:rsidRDefault="00000000">
            <w:pPr>
              <w:jc w:val="center"/>
            </w:pPr>
            <w:r>
              <w:rPr>
                <w:sz w:val="20"/>
              </w:rPr>
              <w:t>−10.66</w:t>
            </w:r>
          </w:p>
        </w:tc>
        <w:tc>
          <w:tcPr>
            <w:tcW w:w="1859" w:type="dxa"/>
            <w:shd w:val="clear" w:color="auto" w:fill="DCE6F1"/>
          </w:tcPr>
          <w:p w14:paraId="254F5CD4" w14:textId="77777777" w:rsidR="002F23F6" w:rsidRDefault="00000000">
            <w:pPr>
              <w:jc w:val="center"/>
            </w:pPr>
            <w:r>
              <w:rPr>
                <w:sz w:val="20"/>
              </w:rPr>
              <w:t>0.893</w:t>
            </w:r>
          </w:p>
        </w:tc>
        <w:tc>
          <w:tcPr>
            <w:tcW w:w="1144" w:type="dxa"/>
            <w:shd w:val="clear" w:color="auto" w:fill="DCE6F1"/>
          </w:tcPr>
          <w:p w14:paraId="70A90828" w14:textId="77777777" w:rsidR="002F23F6" w:rsidRDefault="00000000">
            <w:pPr>
              <w:jc w:val="center"/>
            </w:pPr>
            <w:r>
              <w:rPr>
                <w:sz w:val="20"/>
              </w:rPr>
              <w:t>2nd</w:t>
            </w:r>
          </w:p>
        </w:tc>
      </w:tr>
      <w:tr w:rsidR="002F23F6" w14:paraId="4BD87B5B" w14:textId="77777777" w:rsidTr="008150ED">
        <w:trPr>
          <w:jc w:val="center"/>
        </w:trPr>
        <w:tc>
          <w:tcPr>
            <w:tcW w:w="2288" w:type="dxa"/>
            <w:shd w:val="clear" w:color="auto" w:fill="FFFFFF"/>
          </w:tcPr>
          <w:p w14:paraId="760FDDE8" w14:textId="77777777" w:rsidR="002F23F6" w:rsidRDefault="00000000">
            <w:r>
              <w:rPr>
                <w:b/>
                <w:sz w:val="20"/>
              </w:rPr>
              <w:t>B + C</w:t>
            </w:r>
          </w:p>
        </w:tc>
        <w:tc>
          <w:tcPr>
            <w:tcW w:w="2143" w:type="dxa"/>
            <w:shd w:val="clear" w:color="auto" w:fill="FFFFFF"/>
          </w:tcPr>
          <w:p w14:paraId="59C10251" w14:textId="77777777" w:rsidR="002F23F6" w:rsidRDefault="00000000">
            <w:pPr>
              <w:jc w:val="center"/>
            </w:pPr>
            <w:r>
              <w:rPr>
                <w:b/>
                <w:sz w:val="20"/>
              </w:rPr>
              <w:t>100</w:t>
            </w:r>
          </w:p>
        </w:tc>
        <w:tc>
          <w:tcPr>
            <w:tcW w:w="2142" w:type="dxa"/>
            <w:shd w:val="clear" w:color="auto" w:fill="FFFFFF"/>
          </w:tcPr>
          <w:p w14:paraId="5C82D323" w14:textId="77777777" w:rsidR="002F23F6" w:rsidRDefault="00000000">
            <w:pPr>
              <w:jc w:val="center"/>
            </w:pPr>
            <w:r>
              <w:rPr>
                <w:b/>
                <w:sz w:val="20"/>
              </w:rPr>
              <w:t>−10.29</w:t>
            </w:r>
          </w:p>
        </w:tc>
        <w:tc>
          <w:tcPr>
            <w:tcW w:w="1859" w:type="dxa"/>
            <w:shd w:val="clear" w:color="auto" w:fill="FFFFFF"/>
          </w:tcPr>
          <w:p w14:paraId="21EACD45" w14:textId="77777777" w:rsidR="002F23F6" w:rsidRDefault="00000000">
            <w:pPr>
              <w:jc w:val="center"/>
            </w:pPr>
            <w:r>
              <w:rPr>
                <w:b/>
                <w:sz w:val="20"/>
              </w:rPr>
              <w:t>0.897</w:t>
            </w:r>
          </w:p>
        </w:tc>
        <w:tc>
          <w:tcPr>
            <w:tcW w:w="1144" w:type="dxa"/>
            <w:shd w:val="clear" w:color="auto" w:fill="FFFFFF"/>
          </w:tcPr>
          <w:p w14:paraId="47D18497" w14:textId="77777777" w:rsidR="002F23F6" w:rsidRDefault="00000000">
            <w:pPr>
              <w:jc w:val="center"/>
            </w:pPr>
            <w:r>
              <w:rPr>
                <w:b/>
                <w:sz w:val="20"/>
              </w:rPr>
              <w:t xml:space="preserve">1st </w:t>
            </w:r>
          </w:p>
        </w:tc>
      </w:tr>
    </w:tbl>
    <w:p w14:paraId="09C6C828" w14:textId="0BAD59F0" w:rsidR="00C11EA6" w:rsidRDefault="00000000">
      <w:pPr>
        <w:spacing w:before="40" w:after="80" w:line="300" w:lineRule="exact"/>
      </w:pPr>
      <w:r w:rsidRPr="005D2812">
        <w:t xml:space="preserve">Table </w:t>
      </w:r>
      <w:r w:rsidR="008150ED" w:rsidRPr="005D2812">
        <w:t>11</w:t>
      </w:r>
      <w:r w:rsidRPr="005D2812">
        <w:t xml:space="preserve"> establishes that the B + C combination is optimal under the £100m budget constraint, delivering the lowest combined value loss (NPV −£10.29m) and highest combined PI (0.897), while providing a diversified cash flow profile that balances Project C’s back-loaded returns with Project B’s consistent annual inflows.</w:t>
      </w:r>
    </w:p>
    <w:p w14:paraId="29F96759" w14:textId="77777777" w:rsidR="002F23F6" w:rsidRDefault="001C5774" w:rsidP="008F21EC">
      <w:pPr>
        <w:spacing w:before="60" w:after="120" w:line="360" w:lineRule="exact"/>
      </w:pPr>
      <w:r>
        <w:t>Uncoupled B + C choice is the best combined allocation which gives the greatest combined NPV of -10.29m and the best combined PI of 0.897. Project B, with its small univariate metric, adds anticipated and consistent annual inflows of £11 million throughout the five years of its existence - a consistent future cash stream to supplement the back-loaded cash flow stream of Project C. Collectively, the combination yields a diversified inflow pattern minimizing cash flow volatility and offering more certain capital recovery, which is especially helpful considering the limited FCF environment at Hyundai. Project A is rejected since it provides the lowest NPV, the lowest ARR and at best has a payback slightly higher than Project B, and hence the poorest performing in all the quantitative dimensions under consideration.</w:t>
      </w:r>
      <w:r>
        <w:br w:type="page"/>
      </w:r>
    </w:p>
    <w:p w14:paraId="5FFE7960" w14:textId="77777777" w:rsidR="002F23F6" w:rsidRDefault="00000000" w:rsidP="00937AB4">
      <w:pPr>
        <w:pStyle w:val="Heading1"/>
      </w:pPr>
      <w:bookmarkStart w:id="44" w:name="_Toc227888399"/>
      <w:r>
        <w:lastRenderedPageBreak/>
        <w:t>6. Conclusion</w:t>
      </w:r>
      <w:bookmarkEnd w:id="44"/>
    </w:p>
    <w:p w14:paraId="408352FC" w14:textId="77777777" w:rsidR="001C5774" w:rsidRDefault="001C5774">
      <w:pPr>
        <w:spacing w:before="60" w:after="120" w:line="360" w:lineRule="exact"/>
      </w:pPr>
      <w:r>
        <w:t>This report has analyzed the financial status of Hyundai Motor Company that has enhanced over five years of unprecedented chaos and salvage. Revenue growth of the company can be traced to KRW 103.9 trillion to KRW 175.2 trillion and a turnaround in the net profit of the company i.e. KRW 1.4 trillion to KRW 12.5 trillion are true gains which portray the turnover in terms of pricing, cost management and product portfolio that appeals to consumers who are shifting into the elect Simultaneously, the analysis has found three structural issues to actively manage: an elongation of the cash operating cycle due to inventory build-up and rapidly worsening supplier payment terms; ongoing negative free cash flow testifying to the scale of EV investment commitments; and a growing total debt by nearly half, but largely attributable to the use of Hyundai Capital Services financing, tightening financial flexibility.</w:t>
      </w:r>
    </w:p>
    <w:p w14:paraId="091351BC" w14:textId="77777777" w:rsidR="002F23F6" w:rsidRDefault="001C5774">
      <w:pPr>
        <w:spacing w:before="60" w:after="120" w:line="360" w:lineRule="exact"/>
      </w:pPr>
      <w:r>
        <w:t>The advised strategic actions include strategic actions such as the suggested non-core divestiture plans to finance debt to payoffs, a green bond or rights issue, to anchor long-term EV funding at good rates, and extended battery joint ventures to capitalize capital risk among partners. The single-project recommendation, Project C, on all quantitative measures of best payback, best ARR, least NPV destruction, highest PI, and highest IRR, is the most obvious single-project choice on all quantitative measures in selecting the best project to invest in. At the capital constraint of £100 million, the B + C combination is clearly the best due to the minimal loss in value and diversified cash flow, as compared to the other combinations. Any investment choices will have to be viewed in the framework of the US tariff uncertainty, the unstable KRW currency and the ever-increasing competitive threat posed by Chinese EV manufacturers, which both exacerbates risk and urgency to the current Hyundai investment path.</w:t>
      </w:r>
    </w:p>
    <w:p w14:paraId="45335803" w14:textId="77777777" w:rsidR="002F23F6" w:rsidRDefault="00000000">
      <w:r>
        <w:br w:type="page"/>
      </w:r>
    </w:p>
    <w:p w14:paraId="5DC44633" w14:textId="77777777" w:rsidR="002F23F6" w:rsidRDefault="00000000" w:rsidP="00937AB4">
      <w:pPr>
        <w:pStyle w:val="Heading1"/>
      </w:pPr>
      <w:bookmarkStart w:id="45" w:name="_Toc227888400"/>
      <w:r>
        <w:lastRenderedPageBreak/>
        <w:t>7. References</w:t>
      </w:r>
      <w:bookmarkEnd w:id="45"/>
    </w:p>
    <w:p w14:paraId="4DC60DEF" w14:textId="77777777" w:rsidR="002F23F6" w:rsidRDefault="00000000">
      <w:pPr>
        <w:spacing w:after="80"/>
        <w:ind w:left="576" w:hanging="576"/>
      </w:pPr>
      <w:r>
        <w:t xml:space="preserve">Arnold, G. (2023) Corporate Financial Management. 6th edn. Harlow: Pearson Education. </w:t>
      </w:r>
      <w:hyperlink r:id="rId15" w:history="1">
        <w:r w:rsidR="002F23F6">
          <w:rPr>
            <w:rStyle w:val="Hyperlink"/>
          </w:rPr>
          <w:t>https://www.amazon.in/Corporate-Financial-Management-Glen-Arnold/dp/1292140445</w:t>
        </w:r>
      </w:hyperlink>
      <w:r>
        <w:t xml:space="preserve"> </w:t>
      </w:r>
    </w:p>
    <w:p w14:paraId="421169E2" w14:textId="77777777" w:rsidR="002F23F6" w:rsidRDefault="00000000">
      <w:pPr>
        <w:spacing w:after="80"/>
        <w:ind w:left="576" w:hanging="576"/>
      </w:pPr>
      <w:r>
        <w:t xml:space="preserve">Brealey, R.A., Myers, S.C. and Allen, F. (2011) Principles of Corporate Finance. 10th edn. New York: McGraw-Hill. </w:t>
      </w:r>
      <w:hyperlink r:id="rId16" w:history="1">
        <w:r w:rsidR="002F23F6">
          <w:rPr>
            <w:rStyle w:val="Hyperlink"/>
          </w:rPr>
          <w:t>https://docs.cpuc.ca.gov/PublishedDocs/SupDoc/A2204008/5468/496874121.pdf</w:t>
        </w:r>
      </w:hyperlink>
      <w:r>
        <w:t xml:space="preserve"> </w:t>
      </w:r>
    </w:p>
    <w:p w14:paraId="3117D7B2" w14:textId="77777777" w:rsidR="002F23F6" w:rsidRDefault="00000000">
      <w:pPr>
        <w:spacing w:after="80"/>
        <w:ind w:left="576" w:hanging="576"/>
      </w:pPr>
      <w:r>
        <w:t xml:space="preserve">Carroll, A.B. (2021) 'Corporate social responsibility: perspectives on the CSR construct's development and future', Business &amp; Society, 60(6), pp. 1258–1278. </w:t>
      </w:r>
      <w:hyperlink r:id="rId17" w:history="1">
        <w:r w:rsidR="002F23F6">
          <w:rPr>
            <w:rStyle w:val="Hyperlink"/>
          </w:rPr>
          <w:t>https://doi.org/10.1177/00076503211001765</w:t>
        </w:r>
      </w:hyperlink>
      <w:r>
        <w:t xml:space="preserve"> </w:t>
      </w:r>
    </w:p>
    <w:p w14:paraId="7ABAA446" w14:textId="77777777" w:rsidR="002F23F6" w:rsidRDefault="00000000">
      <w:pPr>
        <w:spacing w:after="80"/>
        <w:ind w:left="576" w:hanging="576"/>
      </w:pPr>
      <w:r>
        <w:t xml:space="preserve">Damodaran, A. (2021) Applied Corporate Finance. 4th edn. New York: Wiley. </w:t>
      </w:r>
      <w:hyperlink r:id="rId18" w:history="1">
        <w:r w:rsidR="002F23F6">
          <w:rPr>
            <w:rStyle w:val="Hyperlink"/>
          </w:rPr>
          <w:t>https://books.google.co.in/books?hl=en&amp;lr=&amp;id=xmCoEAAAQBAJ&amp;oi=fnd&amp;pg=PR4&amp;dq=Damodaran,+A.+(2021)+Applied+Corporate+Finance.+4th+edn.+New+York:+Wiley.&amp;ots=yrhjPtXV8n&amp;sig=8KY5wib-u8kdAbq5JXmZKTe35UQ</w:t>
        </w:r>
      </w:hyperlink>
      <w:r>
        <w:t xml:space="preserve"> </w:t>
      </w:r>
    </w:p>
    <w:p w14:paraId="653CFEC0" w14:textId="77777777" w:rsidR="002F23F6" w:rsidRDefault="00000000">
      <w:pPr>
        <w:spacing w:after="80"/>
        <w:ind w:left="576" w:hanging="576"/>
      </w:pPr>
      <w:r>
        <w:t xml:space="preserve">Drury, C. (2018) Management and Cost Accounting. 10th edn. Andover: Cengage Learning. </w:t>
      </w:r>
      <w:hyperlink r:id="rId19" w:history="1">
        <w:r w:rsidR="002F23F6">
          <w:rPr>
            <w:rStyle w:val="Hyperlink"/>
          </w:rPr>
          <w:t>https://www.cengage.co.in/book-list/ebook/management-and-cost-accounting-10th-edition-ck</w:t>
        </w:r>
      </w:hyperlink>
      <w:r>
        <w:t xml:space="preserve"> </w:t>
      </w:r>
    </w:p>
    <w:p w14:paraId="7005E630" w14:textId="77777777" w:rsidR="002F23F6" w:rsidRDefault="00000000">
      <w:pPr>
        <w:spacing w:after="80"/>
        <w:ind w:left="576" w:hanging="576"/>
      </w:pPr>
      <w:r>
        <w:t xml:space="preserve">Hyundai Motor Company (2024) 2023 Annual Consolidated Audit Report. Available at: </w:t>
      </w:r>
      <w:hyperlink r:id="rId20" w:history="1">
        <w:r w:rsidR="002F23F6">
          <w:rPr>
            <w:rStyle w:val="Hyperlink"/>
          </w:rPr>
          <w:t>https://www.hyundai.com/content/dam/hyundai/ww/en/images/company/investor-relations/financial-Information/report-en/2023/2023-q4-consolidated-audit-report-en.pdf</w:t>
        </w:r>
      </w:hyperlink>
      <w:r>
        <w:t xml:space="preserve"> (Accessed: 15 April 2026).</w:t>
      </w:r>
    </w:p>
    <w:p w14:paraId="2D5CA27F" w14:textId="77777777" w:rsidR="002F23F6" w:rsidRDefault="00000000">
      <w:pPr>
        <w:spacing w:after="80"/>
        <w:ind w:left="576" w:hanging="576"/>
      </w:pPr>
      <w:r>
        <w:t xml:space="preserve">Hyundai Motor Company (2025) Press Release: 2024 Annual and Q4 Business Results, 23 January 2025. Available at: </w:t>
      </w:r>
      <w:hyperlink r:id="rId21" w:history="1">
        <w:r w:rsidR="002F23F6">
          <w:rPr>
            <w:rStyle w:val="Hyperlink"/>
          </w:rPr>
          <w:t>https://www.hyundai.com/worldwide/en/newsroom/detail/hyundai-motor-announces-2024-annual-and-q4-business-results-0000000897</w:t>
        </w:r>
      </w:hyperlink>
      <w:r>
        <w:t xml:space="preserve">  (Accessed: 15 April 2026).</w:t>
      </w:r>
    </w:p>
    <w:p w14:paraId="55D29AB5" w14:textId="77777777" w:rsidR="002F23F6" w:rsidRDefault="00000000">
      <w:pPr>
        <w:spacing w:after="80"/>
        <w:ind w:left="576" w:hanging="576"/>
      </w:pPr>
      <w:r>
        <w:t xml:space="preserve">Hyundai Motor Company (2026) Press Release: 2025 Annual and Q4 Business Results, January 2026. Available at: </w:t>
      </w:r>
      <w:hyperlink r:id="rId22" w:history="1">
        <w:r w:rsidR="002F23F6">
          <w:rPr>
            <w:rStyle w:val="Hyperlink"/>
          </w:rPr>
          <w:t>https://www.hyundai.com/worldwide/en/newsroom/detail/hyundai-motor-announces-2025-annual-and-q4-business-results-0000001116</w:t>
        </w:r>
      </w:hyperlink>
      <w:r>
        <w:t xml:space="preserve">  (Accessed: 16 April 2026).</w:t>
      </w:r>
    </w:p>
    <w:p w14:paraId="0B85F0EB" w14:textId="77777777" w:rsidR="002F23F6" w:rsidRDefault="00000000">
      <w:pPr>
        <w:spacing w:after="80"/>
        <w:ind w:left="576" w:hanging="576"/>
      </w:pPr>
      <w:r>
        <w:t xml:space="preserve">OECD (2023) Tax Challenges Arising from the Digitalisation of the Economy — Pillar Two Model Rules. Paris: OECD Publishing. </w:t>
      </w:r>
      <w:hyperlink r:id="rId23" w:history="1">
        <w:r w:rsidR="002F23F6">
          <w:rPr>
            <w:rStyle w:val="Hyperlink"/>
          </w:rPr>
          <w:t>https://www.oecd.org/en/publications/2021/12/tax-challenges-arising-from-digitalisation-of-the-economy-global-anti-base-erosion-model-rules-pillar-two_eed81a23.html</w:t>
        </w:r>
      </w:hyperlink>
      <w:r>
        <w:t xml:space="preserve"> </w:t>
      </w:r>
    </w:p>
    <w:p w14:paraId="2C780EB6" w14:textId="77777777" w:rsidR="002F23F6" w:rsidRDefault="00000000">
      <w:pPr>
        <w:spacing w:after="80"/>
        <w:ind w:left="576" w:hanging="576"/>
      </w:pPr>
      <w:r>
        <w:lastRenderedPageBreak/>
        <w:t xml:space="preserve">Palepu, K.G., Healy, P.M. and Peek, E. (2019) Business Analysis and Valuation: IFRS Edition. 4th edn. Andover: Cengage Learning. </w:t>
      </w:r>
      <w:hyperlink r:id="rId24" w:history="1">
        <w:r w:rsidR="002F23F6">
          <w:rPr>
            <w:rStyle w:val="Hyperlink"/>
          </w:rPr>
          <w:t>https://www.amazon.in/Business-Analysis-Valuation-Erik-Peek/dp/1473722659</w:t>
        </w:r>
      </w:hyperlink>
      <w:r>
        <w:t xml:space="preserve"> </w:t>
      </w:r>
    </w:p>
    <w:p w14:paraId="14D91D75" w14:textId="77777777" w:rsidR="002F23F6" w:rsidRDefault="00000000">
      <w:pPr>
        <w:spacing w:after="80"/>
        <w:ind w:left="576" w:hanging="576"/>
      </w:pPr>
      <w:r>
        <w:t xml:space="preserve">Pike, R. and Neale, B. (2018) Corporate Finance and Investment: Decisions and Strategies. 9th edn. Harlow: Pearson Education. </w:t>
      </w:r>
      <w:hyperlink r:id="rId25" w:history="1">
        <w:r w:rsidR="002F23F6">
          <w:rPr>
            <w:rStyle w:val="Hyperlink"/>
          </w:rPr>
          <w:t>https://api.pageplace.de/preview/DT0400.9781292208589_A35840178/preview-9781292208589_A35840178.pdf</w:t>
        </w:r>
      </w:hyperlink>
      <w:r>
        <w:t xml:space="preserve"> </w:t>
      </w:r>
    </w:p>
    <w:p w14:paraId="684BD3F7" w14:textId="77777777" w:rsidR="002F23F6" w:rsidRDefault="00000000">
      <w:pPr>
        <w:spacing w:after="80"/>
        <w:ind w:left="576" w:hanging="576"/>
      </w:pPr>
      <w:r>
        <w:t xml:space="preserve">Ross, S.A., Westerfield, R. and Jordan, B.D. (2022) Fundamentals of Corporate Finance. 13th edn. New York: McGraw-Hill. </w:t>
      </w:r>
      <w:hyperlink r:id="rId26" w:history="1">
        <w:r w:rsidR="002F23F6">
          <w:rPr>
            <w:rStyle w:val="Hyperlink"/>
          </w:rPr>
          <w:t>https://info.mheducation.com/rs/128-SJW-347/images/Preface_Ross_Fund%20of%20Corporate%20Finance_2024%20Release.pdf</w:t>
        </w:r>
      </w:hyperlink>
      <w:r>
        <w:t xml:space="preserve"> </w:t>
      </w:r>
    </w:p>
    <w:p w14:paraId="400F88FE" w14:textId="77777777" w:rsidR="002F23F6" w:rsidRDefault="00000000">
      <w:pPr>
        <w:spacing w:after="80"/>
        <w:ind w:left="576" w:hanging="576"/>
      </w:pPr>
      <w:r>
        <w:t xml:space="preserve">StockAnalysis.com (2025) Hyundai Motor Company (HYMTF) Financials FY2020–FY2024. Available at: </w:t>
      </w:r>
      <w:hyperlink r:id="rId27" w:history="1">
        <w:r w:rsidR="002F23F6">
          <w:rPr>
            <w:rStyle w:val="Hyperlink"/>
          </w:rPr>
          <w:t>https://stockanalysis.com/quote/otc/HYMTF/financials/</w:t>
        </w:r>
      </w:hyperlink>
      <w:r>
        <w:t xml:space="preserve">  (Accessed: 15 April 2026).</w:t>
      </w:r>
    </w:p>
    <w:p w14:paraId="2F073F15" w14:textId="77777777" w:rsidR="002F23F6" w:rsidRDefault="00000000">
      <w:pPr>
        <w:spacing w:after="80"/>
        <w:ind w:left="576" w:hanging="576"/>
      </w:pPr>
      <w:r>
        <w:t xml:space="preserve">Yahoo Finance (2025) Hyundai Motor Company (005380.KS) Historical Financials. Available at: </w:t>
      </w:r>
      <w:hyperlink r:id="rId28" w:history="1">
        <w:r w:rsidR="002F23F6">
          <w:rPr>
            <w:rStyle w:val="Hyperlink"/>
          </w:rPr>
          <w:t>https://finance.yahoo.com/quote/005380.KS/</w:t>
        </w:r>
      </w:hyperlink>
      <w:r>
        <w:t xml:space="preserve">  (Accessed: 15 April 2026).</w:t>
      </w:r>
    </w:p>
    <w:p w14:paraId="440BD50E" w14:textId="77777777" w:rsidR="002F23F6" w:rsidRDefault="00000000">
      <w:r>
        <w:br w:type="page"/>
      </w:r>
    </w:p>
    <w:p w14:paraId="14F95E6B" w14:textId="77777777" w:rsidR="002F23F6" w:rsidRDefault="00000000" w:rsidP="00937AB4">
      <w:pPr>
        <w:pStyle w:val="Heading1"/>
      </w:pPr>
      <w:bookmarkStart w:id="46" w:name="_Toc227888401"/>
      <w:r>
        <w:lastRenderedPageBreak/>
        <w:t>8. Appendices</w:t>
      </w:r>
      <w:bookmarkEnd w:id="46"/>
    </w:p>
    <w:p w14:paraId="3DA7EAAA" w14:textId="77777777" w:rsidR="002F23F6" w:rsidRDefault="00000000" w:rsidP="00937AB4">
      <w:pPr>
        <w:pStyle w:val="Heading2"/>
      </w:pPr>
      <w:bookmarkStart w:id="47" w:name="_Toc227888402"/>
      <w:r>
        <w:t>Appendix A: Full Ratio Summary Table (FY2020–FY2024)</w:t>
      </w:r>
      <w:bookmarkEnd w:id="47"/>
    </w:p>
    <w:p w14:paraId="6DE253A5" w14:textId="77777777" w:rsidR="002F23F6" w:rsidRDefault="00000000">
      <w:pPr>
        <w:spacing w:before="60" w:after="120" w:line="360" w:lineRule="exact"/>
      </w:pPr>
      <w:r>
        <w:rPr>
          <w:sz w:val="20"/>
        </w:rPr>
        <w:t>Table A1. Hyundai Motor Company - Complete Ratio Analysis. Source: Hyundai Motor Company (2024).</w:t>
      </w:r>
    </w:p>
    <w:tbl>
      <w:tblPr>
        <w:tblStyle w:val="TableGrid"/>
        <w:tblW w:w="0" w:type="auto"/>
        <w:jc w:val="center"/>
        <w:tblLook w:val="04A0" w:firstRow="1" w:lastRow="0" w:firstColumn="1" w:lastColumn="0" w:noHBand="0" w:noVBand="1"/>
      </w:tblPr>
      <w:tblGrid>
        <w:gridCol w:w="2880"/>
        <w:gridCol w:w="1152"/>
        <w:gridCol w:w="1152"/>
        <w:gridCol w:w="1152"/>
        <w:gridCol w:w="1152"/>
        <w:gridCol w:w="1152"/>
      </w:tblGrid>
      <w:tr w:rsidR="002F23F6" w14:paraId="63D3DA07" w14:textId="77777777" w:rsidTr="00E61D89">
        <w:trPr>
          <w:jc w:val="center"/>
        </w:trPr>
        <w:tc>
          <w:tcPr>
            <w:tcW w:w="2880" w:type="dxa"/>
            <w:shd w:val="clear" w:color="auto" w:fill="1F497D"/>
          </w:tcPr>
          <w:p w14:paraId="1EAFE39E" w14:textId="77777777" w:rsidR="002F23F6" w:rsidRDefault="00000000">
            <w:pPr>
              <w:jc w:val="center"/>
            </w:pPr>
            <w:r>
              <w:rPr>
                <w:b/>
                <w:color w:val="FFFFFF"/>
                <w:sz w:val="20"/>
              </w:rPr>
              <w:t>Ratio</w:t>
            </w:r>
          </w:p>
        </w:tc>
        <w:tc>
          <w:tcPr>
            <w:tcW w:w="1152" w:type="dxa"/>
            <w:shd w:val="clear" w:color="auto" w:fill="1F497D"/>
          </w:tcPr>
          <w:p w14:paraId="5CBBF5D8" w14:textId="77777777" w:rsidR="002F23F6" w:rsidRDefault="00000000">
            <w:pPr>
              <w:jc w:val="center"/>
            </w:pPr>
            <w:r>
              <w:rPr>
                <w:b/>
                <w:color w:val="FFFFFF"/>
                <w:sz w:val="20"/>
              </w:rPr>
              <w:t>FY2020</w:t>
            </w:r>
          </w:p>
        </w:tc>
        <w:tc>
          <w:tcPr>
            <w:tcW w:w="1152" w:type="dxa"/>
            <w:shd w:val="clear" w:color="auto" w:fill="1F497D"/>
          </w:tcPr>
          <w:p w14:paraId="31D34A51" w14:textId="77777777" w:rsidR="002F23F6" w:rsidRDefault="00000000">
            <w:pPr>
              <w:jc w:val="center"/>
            </w:pPr>
            <w:r>
              <w:rPr>
                <w:b/>
                <w:color w:val="FFFFFF"/>
                <w:sz w:val="20"/>
              </w:rPr>
              <w:t>FY2021</w:t>
            </w:r>
          </w:p>
        </w:tc>
        <w:tc>
          <w:tcPr>
            <w:tcW w:w="1152" w:type="dxa"/>
            <w:shd w:val="clear" w:color="auto" w:fill="1F497D"/>
          </w:tcPr>
          <w:p w14:paraId="11D6E004" w14:textId="77777777" w:rsidR="002F23F6" w:rsidRDefault="00000000">
            <w:pPr>
              <w:jc w:val="center"/>
            </w:pPr>
            <w:r>
              <w:rPr>
                <w:b/>
                <w:color w:val="FFFFFF"/>
                <w:sz w:val="20"/>
              </w:rPr>
              <w:t>FY2022</w:t>
            </w:r>
          </w:p>
        </w:tc>
        <w:tc>
          <w:tcPr>
            <w:tcW w:w="1152" w:type="dxa"/>
            <w:shd w:val="clear" w:color="auto" w:fill="1F497D"/>
          </w:tcPr>
          <w:p w14:paraId="7B5CC414" w14:textId="77777777" w:rsidR="002F23F6" w:rsidRDefault="00000000">
            <w:pPr>
              <w:jc w:val="center"/>
            </w:pPr>
            <w:r>
              <w:rPr>
                <w:b/>
                <w:color w:val="FFFFFF"/>
                <w:sz w:val="20"/>
              </w:rPr>
              <w:t>FY2023</w:t>
            </w:r>
          </w:p>
        </w:tc>
        <w:tc>
          <w:tcPr>
            <w:tcW w:w="1152" w:type="dxa"/>
            <w:shd w:val="clear" w:color="auto" w:fill="1F497D"/>
          </w:tcPr>
          <w:p w14:paraId="30DB302C" w14:textId="77777777" w:rsidR="002F23F6" w:rsidRDefault="00000000">
            <w:pPr>
              <w:jc w:val="center"/>
            </w:pPr>
            <w:r>
              <w:rPr>
                <w:b/>
                <w:color w:val="FFFFFF"/>
                <w:sz w:val="20"/>
              </w:rPr>
              <w:t>FY2024</w:t>
            </w:r>
          </w:p>
        </w:tc>
      </w:tr>
      <w:tr w:rsidR="002F23F6" w14:paraId="1169FA9B" w14:textId="77777777" w:rsidTr="00E61D89">
        <w:trPr>
          <w:jc w:val="center"/>
        </w:trPr>
        <w:tc>
          <w:tcPr>
            <w:tcW w:w="2880" w:type="dxa"/>
            <w:shd w:val="clear" w:color="auto" w:fill="FFFFFF"/>
          </w:tcPr>
          <w:p w14:paraId="51603AC6" w14:textId="77777777" w:rsidR="002F23F6" w:rsidRDefault="00000000">
            <w:r>
              <w:rPr>
                <w:b/>
                <w:sz w:val="20"/>
              </w:rPr>
              <w:t>PROFITABILITY</w:t>
            </w:r>
          </w:p>
        </w:tc>
        <w:tc>
          <w:tcPr>
            <w:tcW w:w="1152" w:type="dxa"/>
            <w:shd w:val="clear" w:color="auto" w:fill="FFFFFF"/>
          </w:tcPr>
          <w:p w14:paraId="73BB9DE9" w14:textId="77777777" w:rsidR="002F23F6" w:rsidRDefault="002F23F6">
            <w:pPr>
              <w:jc w:val="center"/>
            </w:pPr>
          </w:p>
        </w:tc>
        <w:tc>
          <w:tcPr>
            <w:tcW w:w="1152" w:type="dxa"/>
            <w:shd w:val="clear" w:color="auto" w:fill="FFFFFF"/>
          </w:tcPr>
          <w:p w14:paraId="7FA5E7A1" w14:textId="77777777" w:rsidR="002F23F6" w:rsidRDefault="002F23F6">
            <w:pPr>
              <w:jc w:val="center"/>
            </w:pPr>
          </w:p>
        </w:tc>
        <w:tc>
          <w:tcPr>
            <w:tcW w:w="1152" w:type="dxa"/>
            <w:shd w:val="clear" w:color="auto" w:fill="FFFFFF"/>
          </w:tcPr>
          <w:p w14:paraId="1AB41296" w14:textId="77777777" w:rsidR="002F23F6" w:rsidRDefault="002F23F6">
            <w:pPr>
              <w:jc w:val="center"/>
            </w:pPr>
          </w:p>
        </w:tc>
        <w:tc>
          <w:tcPr>
            <w:tcW w:w="1152" w:type="dxa"/>
            <w:shd w:val="clear" w:color="auto" w:fill="FFFFFF"/>
          </w:tcPr>
          <w:p w14:paraId="0939CB27" w14:textId="77777777" w:rsidR="002F23F6" w:rsidRDefault="002F23F6">
            <w:pPr>
              <w:jc w:val="center"/>
            </w:pPr>
          </w:p>
        </w:tc>
        <w:tc>
          <w:tcPr>
            <w:tcW w:w="1152" w:type="dxa"/>
            <w:shd w:val="clear" w:color="auto" w:fill="FFFFFF"/>
          </w:tcPr>
          <w:p w14:paraId="093355A9" w14:textId="77777777" w:rsidR="002F23F6" w:rsidRDefault="002F23F6">
            <w:pPr>
              <w:jc w:val="center"/>
            </w:pPr>
          </w:p>
        </w:tc>
      </w:tr>
      <w:tr w:rsidR="002F23F6" w14:paraId="69FCE279" w14:textId="77777777" w:rsidTr="00E61D89">
        <w:trPr>
          <w:jc w:val="center"/>
        </w:trPr>
        <w:tc>
          <w:tcPr>
            <w:tcW w:w="2880" w:type="dxa"/>
            <w:shd w:val="clear" w:color="auto" w:fill="DCE6F1"/>
          </w:tcPr>
          <w:p w14:paraId="29BFC75B" w14:textId="77777777" w:rsidR="002F23F6" w:rsidRDefault="00000000">
            <w:r>
              <w:rPr>
                <w:sz w:val="20"/>
              </w:rPr>
              <w:t>Gross Profit Margin</w:t>
            </w:r>
          </w:p>
        </w:tc>
        <w:tc>
          <w:tcPr>
            <w:tcW w:w="1152" w:type="dxa"/>
            <w:shd w:val="clear" w:color="auto" w:fill="DCE6F1"/>
          </w:tcPr>
          <w:p w14:paraId="3D4FA6A1" w14:textId="77777777" w:rsidR="002F23F6" w:rsidRDefault="00000000">
            <w:pPr>
              <w:jc w:val="center"/>
            </w:pPr>
            <w:r>
              <w:rPr>
                <w:sz w:val="20"/>
              </w:rPr>
              <w:t>17.8%</w:t>
            </w:r>
          </w:p>
        </w:tc>
        <w:tc>
          <w:tcPr>
            <w:tcW w:w="1152" w:type="dxa"/>
            <w:shd w:val="clear" w:color="auto" w:fill="DCE6F1"/>
          </w:tcPr>
          <w:p w14:paraId="33B84DA6" w14:textId="77777777" w:rsidR="002F23F6" w:rsidRDefault="00000000">
            <w:pPr>
              <w:jc w:val="center"/>
            </w:pPr>
            <w:r>
              <w:rPr>
                <w:sz w:val="20"/>
              </w:rPr>
              <w:t>18.6%</w:t>
            </w:r>
          </w:p>
        </w:tc>
        <w:tc>
          <w:tcPr>
            <w:tcW w:w="1152" w:type="dxa"/>
            <w:shd w:val="clear" w:color="auto" w:fill="DCE6F1"/>
          </w:tcPr>
          <w:p w14:paraId="4087A701" w14:textId="77777777" w:rsidR="002F23F6" w:rsidRDefault="00000000">
            <w:pPr>
              <w:jc w:val="center"/>
            </w:pPr>
            <w:r>
              <w:rPr>
                <w:sz w:val="20"/>
              </w:rPr>
              <w:t>19.9%</w:t>
            </w:r>
          </w:p>
        </w:tc>
        <w:tc>
          <w:tcPr>
            <w:tcW w:w="1152" w:type="dxa"/>
            <w:shd w:val="clear" w:color="auto" w:fill="DCE6F1"/>
          </w:tcPr>
          <w:p w14:paraId="2F1EB911" w14:textId="77777777" w:rsidR="002F23F6" w:rsidRDefault="00000000">
            <w:pPr>
              <w:jc w:val="center"/>
            </w:pPr>
            <w:r>
              <w:rPr>
                <w:sz w:val="20"/>
              </w:rPr>
              <w:t>20.6%</w:t>
            </w:r>
          </w:p>
        </w:tc>
        <w:tc>
          <w:tcPr>
            <w:tcW w:w="1152" w:type="dxa"/>
            <w:shd w:val="clear" w:color="auto" w:fill="DCE6F1"/>
          </w:tcPr>
          <w:p w14:paraId="48AE83A3" w14:textId="77777777" w:rsidR="002F23F6" w:rsidRDefault="00000000">
            <w:pPr>
              <w:jc w:val="center"/>
            </w:pPr>
            <w:r>
              <w:rPr>
                <w:sz w:val="20"/>
              </w:rPr>
              <w:t>20.4%</w:t>
            </w:r>
          </w:p>
        </w:tc>
      </w:tr>
      <w:tr w:rsidR="002F23F6" w14:paraId="25D19105" w14:textId="77777777" w:rsidTr="00E61D89">
        <w:trPr>
          <w:jc w:val="center"/>
        </w:trPr>
        <w:tc>
          <w:tcPr>
            <w:tcW w:w="2880" w:type="dxa"/>
            <w:shd w:val="clear" w:color="auto" w:fill="FFFFFF"/>
          </w:tcPr>
          <w:p w14:paraId="25892921" w14:textId="77777777" w:rsidR="002F23F6" w:rsidRDefault="00000000">
            <w:r>
              <w:rPr>
                <w:sz w:val="20"/>
              </w:rPr>
              <w:t>Operating Margin</w:t>
            </w:r>
          </w:p>
        </w:tc>
        <w:tc>
          <w:tcPr>
            <w:tcW w:w="1152" w:type="dxa"/>
            <w:shd w:val="clear" w:color="auto" w:fill="FFFFFF"/>
          </w:tcPr>
          <w:p w14:paraId="19FBA36B" w14:textId="77777777" w:rsidR="002F23F6" w:rsidRDefault="00000000">
            <w:pPr>
              <w:jc w:val="center"/>
            </w:pPr>
            <w:r>
              <w:rPr>
                <w:sz w:val="20"/>
              </w:rPr>
              <w:t>2.3%</w:t>
            </w:r>
          </w:p>
        </w:tc>
        <w:tc>
          <w:tcPr>
            <w:tcW w:w="1152" w:type="dxa"/>
            <w:shd w:val="clear" w:color="auto" w:fill="FFFFFF"/>
          </w:tcPr>
          <w:p w14:paraId="65B8FDD6" w14:textId="77777777" w:rsidR="002F23F6" w:rsidRDefault="00000000">
            <w:pPr>
              <w:jc w:val="center"/>
            </w:pPr>
            <w:r>
              <w:rPr>
                <w:sz w:val="20"/>
              </w:rPr>
              <w:t>5.7%</w:t>
            </w:r>
          </w:p>
        </w:tc>
        <w:tc>
          <w:tcPr>
            <w:tcW w:w="1152" w:type="dxa"/>
            <w:shd w:val="clear" w:color="auto" w:fill="FFFFFF"/>
          </w:tcPr>
          <w:p w14:paraId="04EEDCE7" w14:textId="77777777" w:rsidR="002F23F6" w:rsidRDefault="00000000">
            <w:pPr>
              <w:jc w:val="center"/>
            </w:pPr>
            <w:r>
              <w:rPr>
                <w:sz w:val="20"/>
              </w:rPr>
              <w:t>6.9%</w:t>
            </w:r>
          </w:p>
        </w:tc>
        <w:tc>
          <w:tcPr>
            <w:tcW w:w="1152" w:type="dxa"/>
            <w:shd w:val="clear" w:color="auto" w:fill="FFFFFF"/>
          </w:tcPr>
          <w:p w14:paraId="5A9D3B72" w14:textId="77777777" w:rsidR="002F23F6" w:rsidRDefault="00000000">
            <w:pPr>
              <w:jc w:val="center"/>
            </w:pPr>
            <w:r>
              <w:rPr>
                <w:sz w:val="20"/>
              </w:rPr>
              <w:t>9.3%</w:t>
            </w:r>
          </w:p>
        </w:tc>
        <w:tc>
          <w:tcPr>
            <w:tcW w:w="1152" w:type="dxa"/>
            <w:shd w:val="clear" w:color="auto" w:fill="FFFFFF"/>
          </w:tcPr>
          <w:p w14:paraId="5CFE60B9" w14:textId="77777777" w:rsidR="002F23F6" w:rsidRDefault="00000000">
            <w:pPr>
              <w:jc w:val="center"/>
            </w:pPr>
            <w:r>
              <w:rPr>
                <w:sz w:val="20"/>
              </w:rPr>
              <w:t>8.1%</w:t>
            </w:r>
          </w:p>
        </w:tc>
      </w:tr>
      <w:tr w:rsidR="002F23F6" w14:paraId="57BE5A26" w14:textId="77777777" w:rsidTr="00E61D89">
        <w:trPr>
          <w:jc w:val="center"/>
        </w:trPr>
        <w:tc>
          <w:tcPr>
            <w:tcW w:w="2880" w:type="dxa"/>
            <w:shd w:val="clear" w:color="auto" w:fill="DCE6F1"/>
          </w:tcPr>
          <w:p w14:paraId="73B5314C" w14:textId="77777777" w:rsidR="002F23F6" w:rsidRDefault="00000000">
            <w:r>
              <w:rPr>
                <w:sz w:val="20"/>
              </w:rPr>
              <w:t>Net Profit Margin</w:t>
            </w:r>
          </w:p>
        </w:tc>
        <w:tc>
          <w:tcPr>
            <w:tcW w:w="1152" w:type="dxa"/>
            <w:shd w:val="clear" w:color="auto" w:fill="DCE6F1"/>
          </w:tcPr>
          <w:p w14:paraId="09313191" w14:textId="77777777" w:rsidR="002F23F6" w:rsidRDefault="00000000">
            <w:pPr>
              <w:jc w:val="center"/>
            </w:pPr>
            <w:r>
              <w:rPr>
                <w:sz w:val="20"/>
              </w:rPr>
              <w:t>1.4%</w:t>
            </w:r>
          </w:p>
        </w:tc>
        <w:tc>
          <w:tcPr>
            <w:tcW w:w="1152" w:type="dxa"/>
            <w:shd w:val="clear" w:color="auto" w:fill="DCE6F1"/>
          </w:tcPr>
          <w:p w14:paraId="3F472C04" w14:textId="77777777" w:rsidR="002F23F6" w:rsidRDefault="00000000">
            <w:pPr>
              <w:jc w:val="center"/>
            </w:pPr>
            <w:r>
              <w:rPr>
                <w:sz w:val="20"/>
              </w:rPr>
              <w:t>4.2%</w:t>
            </w:r>
          </w:p>
        </w:tc>
        <w:tc>
          <w:tcPr>
            <w:tcW w:w="1152" w:type="dxa"/>
            <w:shd w:val="clear" w:color="auto" w:fill="DCE6F1"/>
          </w:tcPr>
          <w:p w14:paraId="287072F7" w14:textId="77777777" w:rsidR="002F23F6" w:rsidRDefault="00000000">
            <w:pPr>
              <w:jc w:val="center"/>
            </w:pPr>
            <w:r>
              <w:rPr>
                <w:sz w:val="20"/>
              </w:rPr>
              <w:t>5.2%</w:t>
            </w:r>
          </w:p>
        </w:tc>
        <w:tc>
          <w:tcPr>
            <w:tcW w:w="1152" w:type="dxa"/>
            <w:shd w:val="clear" w:color="auto" w:fill="DCE6F1"/>
          </w:tcPr>
          <w:p w14:paraId="7CF73B94" w14:textId="77777777" w:rsidR="002F23F6" w:rsidRDefault="00000000">
            <w:pPr>
              <w:jc w:val="center"/>
            </w:pPr>
            <w:r>
              <w:rPr>
                <w:sz w:val="20"/>
              </w:rPr>
              <w:t>7.4%</w:t>
            </w:r>
          </w:p>
        </w:tc>
        <w:tc>
          <w:tcPr>
            <w:tcW w:w="1152" w:type="dxa"/>
            <w:shd w:val="clear" w:color="auto" w:fill="DCE6F1"/>
          </w:tcPr>
          <w:p w14:paraId="33B59267" w14:textId="77777777" w:rsidR="002F23F6" w:rsidRDefault="00000000">
            <w:pPr>
              <w:jc w:val="center"/>
            </w:pPr>
            <w:r>
              <w:rPr>
                <w:sz w:val="20"/>
              </w:rPr>
              <w:t>7.1%</w:t>
            </w:r>
          </w:p>
        </w:tc>
      </w:tr>
      <w:tr w:rsidR="002F23F6" w14:paraId="74E6447C" w14:textId="77777777" w:rsidTr="00E61D89">
        <w:trPr>
          <w:jc w:val="center"/>
        </w:trPr>
        <w:tc>
          <w:tcPr>
            <w:tcW w:w="2880" w:type="dxa"/>
            <w:shd w:val="clear" w:color="auto" w:fill="FFFFFF"/>
          </w:tcPr>
          <w:p w14:paraId="3C9550C0" w14:textId="77777777" w:rsidR="002F23F6" w:rsidRDefault="00000000">
            <w:r>
              <w:rPr>
                <w:sz w:val="20"/>
              </w:rPr>
              <w:t>ROA</w:t>
            </w:r>
          </w:p>
        </w:tc>
        <w:tc>
          <w:tcPr>
            <w:tcW w:w="1152" w:type="dxa"/>
            <w:shd w:val="clear" w:color="auto" w:fill="FFFFFF"/>
          </w:tcPr>
          <w:p w14:paraId="4747B3A3" w14:textId="77777777" w:rsidR="002F23F6" w:rsidRDefault="00000000">
            <w:pPr>
              <w:jc w:val="center"/>
            </w:pPr>
            <w:r>
              <w:rPr>
                <w:sz w:val="20"/>
              </w:rPr>
              <w:t>0.7%</w:t>
            </w:r>
          </w:p>
        </w:tc>
        <w:tc>
          <w:tcPr>
            <w:tcW w:w="1152" w:type="dxa"/>
            <w:shd w:val="clear" w:color="auto" w:fill="FFFFFF"/>
          </w:tcPr>
          <w:p w14:paraId="24C33E8C" w14:textId="77777777" w:rsidR="002F23F6" w:rsidRDefault="00000000">
            <w:pPr>
              <w:jc w:val="center"/>
            </w:pPr>
            <w:r>
              <w:rPr>
                <w:sz w:val="20"/>
              </w:rPr>
              <w:t>2.1%</w:t>
            </w:r>
          </w:p>
        </w:tc>
        <w:tc>
          <w:tcPr>
            <w:tcW w:w="1152" w:type="dxa"/>
            <w:shd w:val="clear" w:color="auto" w:fill="FFFFFF"/>
          </w:tcPr>
          <w:p w14:paraId="71433B87" w14:textId="77777777" w:rsidR="002F23F6" w:rsidRDefault="00000000">
            <w:pPr>
              <w:jc w:val="center"/>
            </w:pPr>
            <w:r>
              <w:rPr>
                <w:sz w:val="20"/>
              </w:rPr>
              <w:t>2.9%</w:t>
            </w:r>
          </w:p>
        </w:tc>
        <w:tc>
          <w:tcPr>
            <w:tcW w:w="1152" w:type="dxa"/>
            <w:shd w:val="clear" w:color="auto" w:fill="FFFFFF"/>
          </w:tcPr>
          <w:p w14:paraId="3B4F8C80" w14:textId="77777777" w:rsidR="002F23F6" w:rsidRDefault="00000000">
            <w:pPr>
              <w:jc w:val="center"/>
            </w:pPr>
            <w:r>
              <w:rPr>
                <w:sz w:val="20"/>
              </w:rPr>
              <w:t>4.2%</w:t>
            </w:r>
          </w:p>
        </w:tc>
        <w:tc>
          <w:tcPr>
            <w:tcW w:w="1152" w:type="dxa"/>
            <w:shd w:val="clear" w:color="auto" w:fill="FFFFFF"/>
          </w:tcPr>
          <w:p w14:paraId="75CDD80C" w14:textId="77777777" w:rsidR="002F23F6" w:rsidRDefault="00000000">
            <w:pPr>
              <w:jc w:val="center"/>
            </w:pPr>
            <w:r>
              <w:rPr>
                <w:sz w:val="20"/>
              </w:rPr>
              <w:t>3.7%</w:t>
            </w:r>
          </w:p>
        </w:tc>
      </w:tr>
      <w:tr w:rsidR="002F23F6" w14:paraId="4B7C5383" w14:textId="77777777" w:rsidTr="00E61D89">
        <w:trPr>
          <w:jc w:val="center"/>
        </w:trPr>
        <w:tc>
          <w:tcPr>
            <w:tcW w:w="2880" w:type="dxa"/>
            <w:shd w:val="clear" w:color="auto" w:fill="DCE6F1"/>
          </w:tcPr>
          <w:p w14:paraId="40DE3A44" w14:textId="77777777" w:rsidR="002F23F6" w:rsidRDefault="00000000">
            <w:r>
              <w:rPr>
                <w:sz w:val="20"/>
              </w:rPr>
              <w:t>ROE</w:t>
            </w:r>
          </w:p>
        </w:tc>
        <w:tc>
          <w:tcPr>
            <w:tcW w:w="1152" w:type="dxa"/>
            <w:shd w:val="clear" w:color="auto" w:fill="DCE6F1"/>
          </w:tcPr>
          <w:p w14:paraId="286E07DD" w14:textId="77777777" w:rsidR="002F23F6" w:rsidRDefault="00000000">
            <w:pPr>
              <w:jc w:val="center"/>
            </w:pPr>
            <w:r>
              <w:rPr>
                <w:sz w:val="20"/>
              </w:rPr>
              <w:t>1.9%</w:t>
            </w:r>
          </w:p>
        </w:tc>
        <w:tc>
          <w:tcPr>
            <w:tcW w:w="1152" w:type="dxa"/>
            <w:shd w:val="clear" w:color="auto" w:fill="DCE6F1"/>
          </w:tcPr>
          <w:p w14:paraId="203075DD" w14:textId="77777777" w:rsidR="002F23F6" w:rsidRDefault="00000000">
            <w:pPr>
              <w:jc w:val="center"/>
            </w:pPr>
            <w:r>
              <w:rPr>
                <w:sz w:val="20"/>
              </w:rPr>
              <w:t>6.0%</w:t>
            </w:r>
          </w:p>
        </w:tc>
        <w:tc>
          <w:tcPr>
            <w:tcW w:w="1152" w:type="dxa"/>
            <w:shd w:val="clear" w:color="auto" w:fill="DCE6F1"/>
          </w:tcPr>
          <w:p w14:paraId="7E266B2F" w14:textId="77777777" w:rsidR="002F23F6" w:rsidRDefault="00000000">
            <w:pPr>
              <w:jc w:val="center"/>
            </w:pPr>
            <w:r>
              <w:rPr>
                <w:sz w:val="20"/>
              </w:rPr>
              <w:t>8.1%</w:t>
            </w:r>
          </w:p>
        </w:tc>
        <w:tc>
          <w:tcPr>
            <w:tcW w:w="1152" w:type="dxa"/>
            <w:shd w:val="clear" w:color="auto" w:fill="DCE6F1"/>
          </w:tcPr>
          <w:p w14:paraId="22EAEA5B" w14:textId="77777777" w:rsidR="002F23F6" w:rsidRDefault="00000000">
            <w:pPr>
              <w:jc w:val="center"/>
            </w:pPr>
            <w:r>
              <w:rPr>
                <w:sz w:val="20"/>
              </w:rPr>
              <w:t>11.7%</w:t>
            </w:r>
          </w:p>
        </w:tc>
        <w:tc>
          <w:tcPr>
            <w:tcW w:w="1152" w:type="dxa"/>
            <w:shd w:val="clear" w:color="auto" w:fill="DCE6F1"/>
          </w:tcPr>
          <w:p w14:paraId="292D5756" w14:textId="77777777" w:rsidR="002F23F6" w:rsidRDefault="00000000">
            <w:pPr>
              <w:jc w:val="center"/>
            </w:pPr>
            <w:r>
              <w:rPr>
                <w:sz w:val="20"/>
              </w:rPr>
              <w:t>10.4%</w:t>
            </w:r>
          </w:p>
        </w:tc>
      </w:tr>
      <w:tr w:rsidR="002F23F6" w14:paraId="6F15ADD2" w14:textId="77777777" w:rsidTr="00E61D89">
        <w:trPr>
          <w:jc w:val="center"/>
        </w:trPr>
        <w:tc>
          <w:tcPr>
            <w:tcW w:w="2880" w:type="dxa"/>
            <w:shd w:val="clear" w:color="auto" w:fill="FFFFFF"/>
          </w:tcPr>
          <w:p w14:paraId="7B9C9730" w14:textId="77777777" w:rsidR="002F23F6" w:rsidRDefault="00000000">
            <w:r>
              <w:rPr>
                <w:sz w:val="20"/>
              </w:rPr>
              <w:t>EBITDA Margin</w:t>
            </w:r>
          </w:p>
        </w:tc>
        <w:tc>
          <w:tcPr>
            <w:tcW w:w="1152" w:type="dxa"/>
            <w:shd w:val="clear" w:color="auto" w:fill="FFFFFF"/>
          </w:tcPr>
          <w:p w14:paraId="4160FB08" w14:textId="77777777" w:rsidR="002F23F6" w:rsidRDefault="00000000">
            <w:pPr>
              <w:jc w:val="center"/>
            </w:pPr>
            <w:r>
              <w:rPr>
                <w:sz w:val="20"/>
              </w:rPr>
              <w:t>5.0%</w:t>
            </w:r>
          </w:p>
        </w:tc>
        <w:tc>
          <w:tcPr>
            <w:tcW w:w="1152" w:type="dxa"/>
            <w:shd w:val="clear" w:color="auto" w:fill="FFFFFF"/>
          </w:tcPr>
          <w:p w14:paraId="408B3FA4" w14:textId="77777777" w:rsidR="002F23F6" w:rsidRDefault="00000000">
            <w:pPr>
              <w:jc w:val="center"/>
            </w:pPr>
            <w:r>
              <w:rPr>
                <w:sz w:val="20"/>
              </w:rPr>
              <w:t>8.2%</w:t>
            </w:r>
          </w:p>
        </w:tc>
        <w:tc>
          <w:tcPr>
            <w:tcW w:w="1152" w:type="dxa"/>
            <w:shd w:val="clear" w:color="auto" w:fill="FFFFFF"/>
          </w:tcPr>
          <w:p w14:paraId="39155956" w14:textId="77777777" w:rsidR="002F23F6" w:rsidRDefault="00000000">
            <w:pPr>
              <w:jc w:val="center"/>
            </w:pPr>
            <w:r>
              <w:rPr>
                <w:sz w:val="20"/>
              </w:rPr>
              <w:t>9.2%</w:t>
            </w:r>
          </w:p>
        </w:tc>
        <w:tc>
          <w:tcPr>
            <w:tcW w:w="1152" w:type="dxa"/>
            <w:shd w:val="clear" w:color="auto" w:fill="FFFFFF"/>
          </w:tcPr>
          <w:p w14:paraId="0310FB28" w14:textId="77777777" w:rsidR="002F23F6" w:rsidRDefault="00000000">
            <w:pPr>
              <w:jc w:val="center"/>
            </w:pPr>
            <w:r>
              <w:rPr>
                <w:sz w:val="20"/>
              </w:rPr>
              <w:t>11.2%</w:t>
            </w:r>
          </w:p>
        </w:tc>
        <w:tc>
          <w:tcPr>
            <w:tcW w:w="1152" w:type="dxa"/>
            <w:shd w:val="clear" w:color="auto" w:fill="FFFFFF"/>
          </w:tcPr>
          <w:p w14:paraId="3D7FE8E0" w14:textId="77777777" w:rsidR="002F23F6" w:rsidRDefault="00000000">
            <w:pPr>
              <w:jc w:val="center"/>
            </w:pPr>
            <w:r>
              <w:rPr>
                <w:sz w:val="20"/>
              </w:rPr>
              <w:t>9.9%</w:t>
            </w:r>
          </w:p>
        </w:tc>
      </w:tr>
      <w:tr w:rsidR="002F23F6" w14:paraId="5965E9C7" w14:textId="77777777" w:rsidTr="00E61D89">
        <w:trPr>
          <w:jc w:val="center"/>
        </w:trPr>
        <w:tc>
          <w:tcPr>
            <w:tcW w:w="2880" w:type="dxa"/>
            <w:shd w:val="clear" w:color="auto" w:fill="DCE6F1"/>
          </w:tcPr>
          <w:p w14:paraId="2DBA36F8" w14:textId="77777777" w:rsidR="002F23F6" w:rsidRDefault="00000000">
            <w:r>
              <w:rPr>
                <w:b/>
                <w:sz w:val="20"/>
              </w:rPr>
              <w:t>LIQUIDITY</w:t>
            </w:r>
          </w:p>
        </w:tc>
        <w:tc>
          <w:tcPr>
            <w:tcW w:w="1152" w:type="dxa"/>
            <w:shd w:val="clear" w:color="auto" w:fill="DCE6F1"/>
          </w:tcPr>
          <w:p w14:paraId="5BDB8E4D" w14:textId="77777777" w:rsidR="002F23F6" w:rsidRDefault="002F23F6">
            <w:pPr>
              <w:jc w:val="center"/>
            </w:pPr>
          </w:p>
        </w:tc>
        <w:tc>
          <w:tcPr>
            <w:tcW w:w="1152" w:type="dxa"/>
            <w:shd w:val="clear" w:color="auto" w:fill="DCE6F1"/>
          </w:tcPr>
          <w:p w14:paraId="10EF0162" w14:textId="77777777" w:rsidR="002F23F6" w:rsidRDefault="002F23F6">
            <w:pPr>
              <w:jc w:val="center"/>
            </w:pPr>
          </w:p>
        </w:tc>
        <w:tc>
          <w:tcPr>
            <w:tcW w:w="1152" w:type="dxa"/>
            <w:shd w:val="clear" w:color="auto" w:fill="DCE6F1"/>
          </w:tcPr>
          <w:p w14:paraId="3C14C52C" w14:textId="77777777" w:rsidR="002F23F6" w:rsidRDefault="002F23F6">
            <w:pPr>
              <w:jc w:val="center"/>
            </w:pPr>
          </w:p>
        </w:tc>
        <w:tc>
          <w:tcPr>
            <w:tcW w:w="1152" w:type="dxa"/>
            <w:shd w:val="clear" w:color="auto" w:fill="DCE6F1"/>
          </w:tcPr>
          <w:p w14:paraId="03DD0826" w14:textId="77777777" w:rsidR="002F23F6" w:rsidRDefault="002F23F6">
            <w:pPr>
              <w:jc w:val="center"/>
            </w:pPr>
          </w:p>
        </w:tc>
        <w:tc>
          <w:tcPr>
            <w:tcW w:w="1152" w:type="dxa"/>
            <w:shd w:val="clear" w:color="auto" w:fill="DCE6F1"/>
          </w:tcPr>
          <w:p w14:paraId="518E4124" w14:textId="77777777" w:rsidR="002F23F6" w:rsidRDefault="002F23F6">
            <w:pPr>
              <w:jc w:val="center"/>
            </w:pPr>
          </w:p>
        </w:tc>
      </w:tr>
      <w:tr w:rsidR="002F23F6" w14:paraId="74FCB374" w14:textId="77777777" w:rsidTr="00E61D89">
        <w:trPr>
          <w:jc w:val="center"/>
        </w:trPr>
        <w:tc>
          <w:tcPr>
            <w:tcW w:w="2880" w:type="dxa"/>
            <w:shd w:val="clear" w:color="auto" w:fill="FFFFFF"/>
          </w:tcPr>
          <w:p w14:paraId="35C6601E" w14:textId="77777777" w:rsidR="002F23F6" w:rsidRDefault="00000000">
            <w:r>
              <w:rPr>
                <w:sz w:val="20"/>
              </w:rPr>
              <w:t>Current Ratio</w:t>
            </w:r>
          </w:p>
        </w:tc>
        <w:tc>
          <w:tcPr>
            <w:tcW w:w="1152" w:type="dxa"/>
            <w:shd w:val="clear" w:color="auto" w:fill="FFFFFF"/>
          </w:tcPr>
          <w:p w14:paraId="16623D29" w14:textId="77777777" w:rsidR="002F23F6" w:rsidRDefault="00000000">
            <w:pPr>
              <w:jc w:val="center"/>
            </w:pPr>
            <w:r>
              <w:rPr>
                <w:sz w:val="20"/>
              </w:rPr>
              <w:t>1.41</w:t>
            </w:r>
          </w:p>
        </w:tc>
        <w:tc>
          <w:tcPr>
            <w:tcW w:w="1152" w:type="dxa"/>
            <w:shd w:val="clear" w:color="auto" w:fill="FFFFFF"/>
          </w:tcPr>
          <w:p w14:paraId="51D114B3" w14:textId="77777777" w:rsidR="002F23F6" w:rsidRDefault="00000000">
            <w:pPr>
              <w:jc w:val="center"/>
            </w:pPr>
            <w:r>
              <w:rPr>
                <w:sz w:val="20"/>
              </w:rPr>
              <w:t>1.38</w:t>
            </w:r>
          </w:p>
        </w:tc>
        <w:tc>
          <w:tcPr>
            <w:tcW w:w="1152" w:type="dxa"/>
            <w:shd w:val="clear" w:color="auto" w:fill="FFFFFF"/>
          </w:tcPr>
          <w:p w14:paraId="5D1409D1" w14:textId="77777777" w:rsidR="002F23F6" w:rsidRDefault="00000000">
            <w:pPr>
              <w:jc w:val="center"/>
            </w:pPr>
            <w:r>
              <w:rPr>
                <w:sz w:val="20"/>
              </w:rPr>
              <w:t>1.30</w:t>
            </w:r>
          </w:p>
        </w:tc>
        <w:tc>
          <w:tcPr>
            <w:tcW w:w="1152" w:type="dxa"/>
            <w:shd w:val="clear" w:color="auto" w:fill="FFFFFF"/>
          </w:tcPr>
          <w:p w14:paraId="64C97B41" w14:textId="77777777" w:rsidR="002F23F6" w:rsidRDefault="00000000">
            <w:pPr>
              <w:jc w:val="center"/>
            </w:pPr>
            <w:r>
              <w:rPr>
                <w:sz w:val="20"/>
              </w:rPr>
              <w:t>1.39</w:t>
            </w:r>
          </w:p>
        </w:tc>
        <w:tc>
          <w:tcPr>
            <w:tcW w:w="1152" w:type="dxa"/>
            <w:shd w:val="clear" w:color="auto" w:fill="FFFFFF"/>
          </w:tcPr>
          <w:p w14:paraId="208A4EC6" w14:textId="77777777" w:rsidR="002F23F6" w:rsidRDefault="00000000">
            <w:pPr>
              <w:jc w:val="center"/>
            </w:pPr>
            <w:r>
              <w:rPr>
                <w:sz w:val="20"/>
              </w:rPr>
              <w:t>1.46</w:t>
            </w:r>
          </w:p>
        </w:tc>
      </w:tr>
      <w:tr w:rsidR="002F23F6" w14:paraId="31A73758" w14:textId="77777777" w:rsidTr="00E61D89">
        <w:trPr>
          <w:jc w:val="center"/>
        </w:trPr>
        <w:tc>
          <w:tcPr>
            <w:tcW w:w="2880" w:type="dxa"/>
            <w:shd w:val="clear" w:color="auto" w:fill="DCE6F1"/>
          </w:tcPr>
          <w:p w14:paraId="1D7D6BD1" w14:textId="77777777" w:rsidR="002F23F6" w:rsidRDefault="00000000">
            <w:r>
              <w:rPr>
                <w:sz w:val="20"/>
              </w:rPr>
              <w:t>Quick Ratio</w:t>
            </w:r>
          </w:p>
        </w:tc>
        <w:tc>
          <w:tcPr>
            <w:tcW w:w="1152" w:type="dxa"/>
            <w:shd w:val="clear" w:color="auto" w:fill="DCE6F1"/>
          </w:tcPr>
          <w:p w14:paraId="6F9E025F" w14:textId="77777777" w:rsidR="002F23F6" w:rsidRDefault="00000000">
            <w:pPr>
              <w:jc w:val="center"/>
            </w:pPr>
            <w:r>
              <w:rPr>
                <w:sz w:val="20"/>
              </w:rPr>
              <w:t>1.22</w:t>
            </w:r>
          </w:p>
        </w:tc>
        <w:tc>
          <w:tcPr>
            <w:tcW w:w="1152" w:type="dxa"/>
            <w:shd w:val="clear" w:color="auto" w:fill="DCE6F1"/>
          </w:tcPr>
          <w:p w14:paraId="1BCDE15D" w14:textId="77777777" w:rsidR="002F23F6" w:rsidRDefault="00000000">
            <w:pPr>
              <w:jc w:val="center"/>
            </w:pPr>
            <w:r>
              <w:rPr>
                <w:sz w:val="20"/>
              </w:rPr>
              <w:t>1.20</w:t>
            </w:r>
          </w:p>
        </w:tc>
        <w:tc>
          <w:tcPr>
            <w:tcW w:w="1152" w:type="dxa"/>
            <w:shd w:val="clear" w:color="auto" w:fill="DCE6F1"/>
          </w:tcPr>
          <w:p w14:paraId="444B6129" w14:textId="77777777" w:rsidR="002F23F6" w:rsidRDefault="00000000">
            <w:pPr>
              <w:jc w:val="center"/>
            </w:pPr>
            <w:r>
              <w:rPr>
                <w:sz w:val="20"/>
              </w:rPr>
              <w:t>1.11</w:t>
            </w:r>
          </w:p>
        </w:tc>
        <w:tc>
          <w:tcPr>
            <w:tcW w:w="1152" w:type="dxa"/>
            <w:shd w:val="clear" w:color="auto" w:fill="DCE6F1"/>
          </w:tcPr>
          <w:p w14:paraId="1ADB3A76" w14:textId="77777777" w:rsidR="002F23F6" w:rsidRDefault="00000000">
            <w:pPr>
              <w:jc w:val="center"/>
            </w:pPr>
            <w:r>
              <w:rPr>
                <w:sz w:val="20"/>
              </w:rPr>
              <w:t>1.15</w:t>
            </w:r>
          </w:p>
        </w:tc>
        <w:tc>
          <w:tcPr>
            <w:tcW w:w="1152" w:type="dxa"/>
            <w:shd w:val="clear" w:color="auto" w:fill="DCE6F1"/>
          </w:tcPr>
          <w:p w14:paraId="675E8F2A" w14:textId="77777777" w:rsidR="002F23F6" w:rsidRDefault="00000000">
            <w:pPr>
              <w:jc w:val="center"/>
            </w:pPr>
            <w:r>
              <w:rPr>
                <w:sz w:val="20"/>
              </w:rPr>
              <w:t>1.21</w:t>
            </w:r>
          </w:p>
        </w:tc>
      </w:tr>
      <w:tr w:rsidR="002F23F6" w14:paraId="5C5F3A21" w14:textId="77777777" w:rsidTr="00E61D89">
        <w:trPr>
          <w:jc w:val="center"/>
        </w:trPr>
        <w:tc>
          <w:tcPr>
            <w:tcW w:w="2880" w:type="dxa"/>
            <w:shd w:val="clear" w:color="auto" w:fill="FFFFFF"/>
          </w:tcPr>
          <w:p w14:paraId="7702F2D2" w14:textId="77777777" w:rsidR="002F23F6" w:rsidRDefault="00000000">
            <w:r>
              <w:rPr>
                <w:sz w:val="20"/>
              </w:rPr>
              <w:t>Cash Ratio</w:t>
            </w:r>
          </w:p>
        </w:tc>
        <w:tc>
          <w:tcPr>
            <w:tcW w:w="1152" w:type="dxa"/>
            <w:shd w:val="clear" w:color="auto" w:fill="FFFFFF"/>
          </w:tcPr>
          <w:p w14:paraId="472A69E9" w14:textId="77777777" w:rsidR="002F23F6" w:rsidRDefault="00000000">
            <w:pPr>
              <w:jc w:val="center"/>
            </w:pPr>
            <w:r>
              <w:rPr>
                <w:sz w:val="20"/>
              </w:rPr>
              <w:t>0.17</w:t>
            </w:r>
          </w:p>
        </w:tc>
        <w:tc>
          <w:tcPr>
            <w:tcW w:w="1152" w:type="dxa"/>
            <w:shd w:val="clear" w:color="auto" w:fill="FFFFFF"/>
          </w:tcPr>
          <w:p w14:paraId="412DE0CB" w14:textId="77777777" w:rsidR="002F23F6" w:rsidRDefault="00000000">
            <w:pPr>
              <w:jc w:val="center"/>
            </w:pPr>
            <w:r>
              <w:rPr>
                <w:sz w:val="20"/>
              </w:rPr>
              <w:t>0.20</w:t>
            </w:r>
          </w:p>
        </w:tc>
        <w:tc>
          <w:tcPr>
            <w:tcW w:w="1152" w:type="dxa"/>
            <w:shd w:val="clear" w:color="auto" w:fill="FFFFFF"/>
          </w:tcPr>
          <w:p w14:paraId="18159AB9" w14:textId="77777777" w:rsidR="002F23F6" w:rsidRDefault="00000000">
            <w:pPr>
              <w:jc w:val="center"/>
            </w:pPr>
            <w:r>
              <w:rPr>
                <w:sz w:val="20"/>
              </w:rPr>
              <w:t>0.28</w:t>
            </w:r>
          </w:p>
        </w:tc>
        <w:tc>
          <w:tcPr>
            <w:tcW w:w="1152" w:type="dxa"/>
            <w:shd w:val="clear" w:color="auto" w:fill="FFFFFF"/>
          </w:tcPr>
          <w:p w14:paraId="0FDD6FEB" w14:textId="77777777" w:rsidR="002F23F6" w:rsidRDefault="00000000">
            <w:pPr>
              <w:jc w:val="center"/>
            </w:pPr>
            <w:r>
              <w:rPr>
                <w:sz w:val="20"/>
              </w:rPr>
              <w:t>0.26</w:t>
            </w:r>
          </w:p>
        </w:tc>
        <w:tc>
          <w:tcPr>
            <w:tcW w:w="1152" w:type="dxa"/>
            <w:shd w:val="clear" w:color="auto" w:fill="FFFFFF"/>
          </w:tcPr>
          <w:p w14:paraId="3D1B5380" w14:textId="77777777" w:rsidR="002F23F6" w:rsidRDefault="00000000">
            <w:pPr>
              <w:jc w:val="center"/>
            </w:pPr>
            <w:r>
              <w:rPr>
                <w:sz w:val="20"/>
              </w:rPr>
              <w:t>0.24</w:t>
            </w:r>
          </w:p>
        </w:tc>
      </w:tr>
      <w:tr w:rsidR="002F23F6" w14:paraId="0EF2975D" w14:textId="77777777" w:rsidTr="00E61D89">
        <w:trPr>
          <w:jc w:val="center"/>
        </w:trPr>
        <w:tc>
          <w:tcPr>
            <w:tcW w:w="2880" w:type="dxa"/>
            <w:shd w:val="clear" w:color="auto" w:fill="DCE6F1"/>
          </w:tcPr>
          <w:p w14:paraId="4C45DBA7" w14:textId="77777777" w:rsidR="002F23F6" w:rsidRDefault="00000000">
            <w:r>
              <w:rPr>
                <w:b/>
                <w:sz w:val="20"/>
              </w:rPr>
              <w:t>EFFICIENCY</w:t>
            </w:r>
          </w:p>
        </w:tc>
        <w:tc>
          <w:tcPr>
            <w:tcW w:w="1152" w:type="dxa"/>
            <w:shd w:val="clear" w:color="auto" w:fill="DCE6F1"/>
          </w:tcPr>
          <w:p w14:paraId="2F088370" w14:textId="77777777" w:rsidR="002F23F6" w:rsidRDefault="002F23F6">
            <w:pPr>
              <w:jc w:val="center"/>
            </w:pPr>
          </w:p>
        </w:tc>
        <w:tc>
          <w:tcPr>
            <w:tcW w:w="1152" w:type="dxa"/>
            <w:shd w:val="clear" w:color="auto" w:fill="DCE6F1"/>
          </w:tcPr>
          <w:p w14:paraId="74A73D7F" w14:textId="77777777" w:rsidR="002F23F6" w:rsidRDefault="002F23F6">
            <w:pPr>
              <w:jc w:val="center"/>
            </w:pPr>
          </w:p>
        </w:tc>
        <w:tc>
          <w:tcPr>
            <w:tcW w:w="1152" w:type="dxa"/>
            <w:shd w:val="clear" w:color="auto" w:fill="DCE6F1"/>
          </w:tcPr>
          <w:p w14:paraId="4EEF1ADC" w14:textId="77777777" w:rsidR="002F23F6" w:rsidRDefault="002F23F6">
            <w:pPr>
              <w:jc w:val="center"/>
            </w:pPr>
          </w:p>
        </w:tc>
        <w:tc>
          <w:tcPr>
            <w:tcW w:w="1152" w:type="dxa"/>
            <w:shd w:val="clear" w:color="auto" w:fill="DCE6F1"/>
          </w:tcPr>
          <w:p w14:paraId="45E64F26" w14:textId="77777777" w:rsidR="002F23F6" w:rsidRDefault="002F23F6">
            <w:pPr>
              <w:jc w:val="center"/>
            </w:pPr>
          </w:p>
        </w:tc>
        <w:tc>
          <w:tcPr>
            <w:tcW w:w="1152" w:type="dxa"/>
            <w:shd w:val="clear" w:color="auto" w:fill="DCE6F1"/>
          </w:tcPr>
          <w:p w14:paraId="2F774DDB" w14:textId="77777777" w:rsidR="002F23F6" w:rsidRDefault="002F23F6">
            <w:pPr>
              <w:jc w:val="center"/>
            </w:pPr>
          </w:p>
        </w:tc>
      </w:tr>
      <w:tr w:rsidR="002F23F6" w14:paraId="78EB9B26" w14:textId="77777777" w:rsidTr="00E61D89">
        <w:trPr>
          <w:jc w:val="center"/>
        </w:trPr>
        <w:tc>
          <w:tcPr>
            <w:tcW w:w="2880" w:type="dxa"/>
            <w:shd w:val="clear" w:color="auto" w:fill="FFFFFF"/>
          </w:tcPr>
          <w:p w14:paraId="0BA5853C" w14:textId="77777777" w:rsidR="002F23F6" w:rsidRDefault="00000000">
            <w:r>
              <w:rPr>
                <w:sz w:val="20"/>
              </w:rPr>
              <w:t>Inventory Days</w:t>
            </w:r>
          </w:p>
        </w:tc>
        <w:tc>
          <w:tcPr>
            <w:tcW w:w="1152" w:type="dxa"/>
            <w:shd w:val="clear" w:color="auto" w:fill="FFFFFF"/>
          </w:tcPr>
          <w:p w14:paraId="67F4F5FB" w14:textId="77777777" w:rsidR="002F23F6" w:rsidRDefault="00000000">
            <w:pPr>
              <w:jc w:val="center"/>
            </w:pPr>
            <w:r>
              <w:rPr>
                <w:sz w:val="20"/>
              </w:rPr>
              <w:t>48.4</w:t>
            </w:r>
          </w:p>
        </w:tc>
        <w:tc>
          <w:tcPr>
            <w:tcW w:w="1152" w:type="dxa"/>
            <w:shd w:val="clear" w:color="auto" w:fill="FFFFFF"/>
          </w:tcPr>
          <w:p w14:paraId="3B8D9E50" w14:textId="77777777" w:rsidR="002F23F6" w:rsidRDefault="00000000">
            <w:pPr>
              <w:jc w:val="center"/>
            </w:pPr>
            <w:r>
              <w:rPr>
                <w:sz w:val="20"/>
              </w:rPr>
              <w:t>44.4</w:t>
            </w:r>
          </w:p>
        </w:tc>
        <w:tc>
          <w:tcPr>
            <w:tcW w:w="1152" w:type="dxa"/>
            <w:shd w:val="clear" w:color="auto" w:fill="FFFFFF"/>
          </w:tcPr>
          <w:p w14:paraId="42FF2DC4" w14:textId="77777777" w:rsidR="002F23F6" w:rsidRDefault="00000000">
            <w:pPr>
              <w:jc w:val="center"/>
            </w:pPr>
            <w:r>
              <w:rPr>
                <w:sz w:val="20"/>
              </w:rPr>
              <w:t>45.8</w:t>
            </w:r>
          </w:p>
        </w:tc>
        <w:tc>
          <w:tcPr>
            <w:tcW w:w="1152" w:type="dxa"/>
            <w:shd w:val="clear" w:color="auto" w:fill="FFFFFF"/>
          </w:tcPr>
          <w:p w14:paraId="528B95B6" w14:textId="77777777" w:rsidR="002F23F6" w:rsidRDefault="00000000">
            <w:pPr>
              <w:jc w:val="center"/>
            </w:pPr>
            <w:r>
              <w:rPr>
                <w:sz w:val="20"/>
              </w:rPr>
              <w:t>49.2</w:t>
            </w:r>
          </w:p>
        </w:tc>
        <w:tc>
          <w:tcPr>
            <w:tcW w:w="1152" w:type="dxa"/>
            <w:shd w:val="clear" w:color="auto" w:fill="FFFFFF"/>
          </w:tcPr>
          <w:p w14:paraId="4FFB5B55" w14:textId="77777777" w:rsidR="002F23F6" w:rsidRDefault="00000000">
            <w:pPr>
              <w:jc w:val="center"/>
            </w:pPr>
            <w:r>
              <w:rPr>
                <w:sz w:val="20"/>
              </w:rPr>
              <w:t>51.8</w:t>
            </w:r>
          </w:p>
        </w:tc>
      </w:tr>
      <w:tr w:rsidR="002F23F6" w14:paraId="36B0C080" w14:textId="77777777" w:rsidTr="00E61D89">
        <w:trPr>
          <w:jc w:val="center"/>
        </w:trPr>
        <w:tc>
          <w:tcPr>
            <w:tcW w:w="2880" w:type="dxa"/>
            <w:shd w:val="clear" w:color="auto" w:fill="DCE6F1"/>
          </w:tcPr>
          <w:p w14:paraId="01AC07C1" w14:textId="77777777" w:rsidR="002F23F6" w:rsidRDefault="00000000">
            <w:r>
              <w:rPr>
                <w:sz w:val="20"/>
              </w:rPr>
              <w:t>Receivables Days</w:t>
            </w:r>
          </w:p>
        </w:tc>
        <w:tc>
          <w:tcPr>
            <w:tcW w:w="1152" w:type="dxa"/>
            <w:shd w:val="clear" w:color="auto" w:fill="DCE6F1"/>
          </w:tcPr>
          <w:p w14:paraId="3FB22FD6" w14:textId="77777777" w:rsidR="002F23F6" w:rsidRDefault="00000000">
            <w:pPr>
              <w:jc w:val="center"/>
            </w:pPr>
            <w:r>
              <w:rPr>
                <w:sz w:val="20"/>
              </w:rPr>
              <w:t>27.2</w:t>
            </w:r>
          </w:p>
        </w:tc>
        <w:tc>
          <w:tcPr>
            <w:tcW w:w="1152" w:type="dxa"/>
            <w:shd w:val="clear" w:color="auto" w:fill="DCE6F1"/>
          </w:tcPr>
          <w:p w14:paraId="31E1EB7A" w14:textId="77777777" w:rsidR="002F23F6" w:rsidRDefault="00000000">
            <w:pPr>
              <w:jc w:val="center"/>
            </w:pPr>
            <w:r>
              <w:rPr>
                <w:sz w:val="20"/>
              </w:rPr>
              <w:t>24.0</w:t>
            </w:r>
          </w:p>
        </w:tc>
        <w:tc>
          <w:tcPr>
            <w:tcW w:w="1152" w:type="dxa"/>
            <w:shd w:val="clear" w:color="auto" w:fill="DCE6F1"/>
          </w:tcPr>
          <w:p w14:paraId="431383C8" w14:textId="77777777" w:rsidR="002F23F6" w:rsidRDefault="00000000">
            <w:pPr>
              <w:jc w:val="center"/>
            </w:pPr>
            <w:r>
              <w:rPr>
                <w:sz w:val="20"/>
              </w:rPr>
              <w:t>23.8</w:t>
            </w:r>
          </w:p>
        </w:tc>
        <w:tc>
          <w:tcPr>
            <w:tcW w:w="1152" w:type="dxa"/>
            <w:shd w:val="clear" w:color="auto" w:fill="DCE6F1"/>
          </w:tcPr>
          <w:p w14:paraId="5EB36F0A" w14:textId="77777777" w:rsidR="002F23F6" w:rsidRDefault="00000000">
            <w:pPr>
              <w:jc w:val="center"/>
            </w:pPr>
            <w:r>
              <w:rPr>
                <w:sz w:val="20"/>
              </w:rPr>
              <w:t>20.1</w:t>
            </w:r>
          </w:p>
        </w:tc>
        <w:tc>
          <w:tcPr>
            <w:tcW w:w="1152" w:type="dxa"/>
            <w:shd w:val="clear" w:color="auto" w:fill="DCE6F1"/>
          </w:tcPr>
          <w:p w14:paraId="24B7B53E" w14:textId="77777777" w:rsidR="002F23F6" w:rsidRDefault="00000000">
            <w:pPr>
              <w:jc w:val="center"/>
            </w:pPr>
            <w:r>
              <w:rPr>
                <w:sz w:val="20"/>
              </w:rPr>
              <w:t>22.0</w:t>
            </w:r>
          </w:p>
        </w:tc>
      </w:tr>
      <w:tr w:rsidR="002F23F6" w14:paraId="3E9A5ADE" w14:textId="77777777" w:rsidTr="00E61D89">
        <w:trPr>
          <w:jc w:val="center"/>
        </w:trPr>
        <w:tc>
          <w:tcPr>
            <w:tcW w:w="2880" w:type="dxa"/>
            <w:shd w:val="clear" w:color="auto" w:fill="FFFFFF"/>
          </w:tcPr>
          <w:p w14:paraId="35D5B216" w14:textId="77777777" w:rsidR="002F23F6" w:rsidRDefault="00000000">
            <w:r>
              <w:rPr>
                <w:sz w:val="20"/>
              </w:rPr>
              <w:t>Payables Days</w:t>
            </w:r>
          </w:p>
        </w:tc>
        <w:tc>
          <w:tcPr>
            <w:tcW w:w="1152" w:type="dxa"/>
            <w:shd w:val="clear" w:color="auto" w:fill="FFFFFF"/>
          </w:tcPr>
          <w:p w14:paraId="621DC9AF" w14:textId="77777777" w:rsidR="002F23F6" w:rsidRDefault="00000000">
            <w:pPr>
              <w:jc w:val="center"/>
            </w:pPr>
            <w:r>
              <w:rPr>
                <w:sz w:val="20"/>
              </w:rPr>
              <w:t>37.5</w:t>
            </w:r>
          </w:p>
        </w:tc>
        <w:tc>
          <w:tcPr>
            <w:tcW w:w="1152" w:type="dxa"/>
            <w:shd w:val="clear" w:color="auto" w:fill="FFFFFF"/>
          </w:tcPr>
          <w:p w14:paraId="2BCF3AA8" w14:textId="77777777" w:rsidR="002F23F6" w:rsidRDefault="00000000">
            <w:pPr>
              <w:jc w:val="center"/>
            </w:pPr>
            <w:r>
              <w:rPr>
                <w:sz w:val="20"/>
              </w:rPr>
              <w:t>34.9</w:t>
            </w:r>
          </w:p>
        </w:tc>
        <w:tc>
          <w:tcPr>
            <w:tcW w:w="1152" w:type="dxa"/>
            <w:shd w:val="clear" w:color="auto" w:fill="FFFFFF"/>
          </w:tcPr>
          <w:p w14:paraId="480A1114" w14:textId="77777777" w:rsidR="002F23F6" w:rsidRDefault="00000000">
            <w:pPr>
              <w:jc w:val="center"/>
            </w:pPr>
            <w:r>
              <w:rPr>
                <w:sz w:val="20"/>
              </w:rPr>
              <w:t>34.6</w:t>
            </w:r>
          </w:p>
        </w:tc>
        <w:tc>
          <w:tcPr>
            <w:tcW w:w="1152" w:type="dxa"/>
            <w:shd w:val="clear" w:color="auto" w:fill="FFFFFF"/>
          </w:tcPr>
          <w:p w14:paraId="453E0222" w14:textId="77777777" w:rsidR="002F23F6" w:rsidRDefault="00000000">
            <w:pPr>
              <w:jc w:val="center"/>
            </w:pPr>
            <w:r>
              <w:rPr>
                <w:sz w:val="20"/>
              </w:rPr>
              <w:t>31.0</w:t>
            </w:r>
          </w:p>
        </w:tc>
        <w:tc>
          <w:tcPr>
            <w:tcW w:w="1152" w:type="dxa"/>
            <w:shd w:val="clear" w:color="auto" w:fill="FFFFFF"/>
          </w:tcPr>
          <w:p w14:paraId="76E4B255" w14:textId="77777777" w:rsidR="002F23F6" w:rsidRDefault="00000000">
            <w:pPr>
              <w:jc w:val="center"/>
            </w:pPr>
            <w:r>
              <w:rPr>
                <w:sz w:val="20"/>
              </w:rPr>
              <w:t>32.8</w:t>
            </w:r>
          </w:p>
        </w:tc>
      </w:tr>
      <w:tr w:rsidR="002F23F6" w14:paraId="3EEF02AA" w14:textId="77777777" w:rsidTr="00E61D89">
        <w:trPr>
          <w:jc w:val="center"/>
        </w:trPr>
        <w:tc>
          <w:tcPr>
            <w:tcW w:w="2880" w:type="dxa"/>
            <w:shd w:val="clear" w:color="auto" w:fill="DCE6F1"/>
          </w:tcPr>
          <w:p w14:paraId="429CD762" w14:textId="77777777" w:rsidR="002F23F6" w:rsidRDefault="00000000">
            <w:r>
              <w:rPr>
                <w:sz w:val="20"/>
              </w:rPr>
              <w:t>Asset Turnover</w:t>
            </w:r>
          </w:p>
        </w:tc>
        <w:tc>
          <w:tcPr>
            <w:tcW w:w="1152" w:type="dxa"/>
            <w:shd w:val="clear" w:color="auto" w:fill="DCE6F1"/>
          </w:tcPr>
          <w:p w14:paraId="15FF9130" w14:textId="77777777" w:rsidR="002F23F6" w:rsidRDefault="00000000">
            <w:pPr>
              <w:jc w:val="center"/>
            </w:pPr>
            <w:r>
              <w:rPr>
                <w:sz w:val="20"/>
              </w:rPr>
              <w:t>0.50</w:t>
            </w:r>
          </w:p>
        </w:tc>
        <w:tc>
          <w:tcPr>
            <w:tcW w:w="1152" w:type="dxa"/>
            <w:shd w:val="clear" w:color="auto" w:fill="DCE6F1"/>
          </w:tcPr>
          <w:p w14:paraId="087195F7" w14:textId="77777777" w:rsidR="002F23F6" w:rsidRDefault="00000000">
            <w:pPr>
              <w:jc w:val="center"/>
            </w:pPr>
            <w:r>
              <w:rPr>
                <w:sz w:val="20"/>
              </w:rPr>
              <w:t>0.50</w:t>
            </w:r>
          </w:p>
        </w:tc>
        <w:tc>
          <w:tcPr>
            <w:tcW w:w="1152" w:type="dxa"/>
            <w:shd w:val="clear" w:color="auto" w:fill="DCE6F1"/>
          </w:tcPr>
          <w:p w14:paraId="0892C8B3" w14:textId="77777777" w:rsidR="002F23F6" w:rsidRDefault="00000000">
            <w:pPr>
              <w:jc w:val="center"/>
            </w:pPr>
            <w:r>
              <w:rPr>
                <w:sz w:val="20"/>
              </w:rPr>
              <w:t>0.56</w:t>
            </w:r>
          </w:p>
        </w:tc>
        <w:tc>
          <w:tcPr>
            <w:tcW w:w="1152" w:type="dxa"/>
            <w:shd w:val="clear" w:color="auto" w:fill="DCE6F1"/>
          </w:tcPr>
          <w:p w14:paraId="022A35B3" w14:textId="77777777" w:rsidR="002F23F6" w:rsidRDefault="00000000">
            <w:pPr>
              <w:jc w:val="center"/>
            </w:pPr>
            <w:r>
              <w:rPr>
                <w:sz w:val="20"/>
              </w:rPr>
              <w:t>0.58</w:t>
            </w:r>
          </w:p>
        </w:tc>
        <w:tc>
          <w:tcPr>
            <w:tcW w:w="1152" w:type="dxa"/>
            <w:shd w:val="clear" w:color="auto" w:fill="DCE6F1"/>
          </w:tcPr>
          <w:p w14:paraId="285AD01F" w14:textId="77777777" w:rsidR="002F23F6" w:rsidRDefault="00000000">
            <w:pPr>
              <w:jc w:val="center"/>
            </w:pPr>
            <w:r>
              <w:rPr>
                <w:sz w:val="20"/>
              </w:rPr>
              <w:t>0.52</w:t>
            </w:r>
          </w:p>
        </w:tc>
      </w:tr>
      <w:tr w:rsidR="002F23F6" w14:paraId="7B2F6D75" w14:textId="77777777" w:rsidTr="00E61D89">
        <w:trPr>
          <w:jc w:val="center"/>
        </w:trPr>
        <w:tc>
          <w:tcPr>
            <w:tcW w:w="2880" w:type="dxa"/>
            <w:shd w:val="clear" w:color="auto" w:fill="FFFFFF"/>
          </w:tcPr>
          <w:p w14:paraId="72461696" w14:textId="77777777" w:rsidR="002F23F6" w:rsidRDefault="00000000">
            <w:r>
              <w:rPr>
                <w:b/>
                <w:sz w:val="20"/>
              </w:rPr>
              <w:t>GEARING</w:t>
            </w:r>
          </w:p>
        </w:tc>
        <w:tc>
          <w:tcPr>
            <w:tcW w:w="1152" w:type="dxa"/>
            <w:shd w:val="clear" w:color="auto" w:fill="FFFFFF"/>
          </w:tcPr>
          <w:p w14:paraId="05DD68BD" w14:textId="77777777" w:rsidR="002F23F6" w:rsidRDefault="002F23F6">
            <w:pPr>
              <w:jc w:val="center"/>
            </w:pPr>
          </w:p>
        </w:tc>
        <w:tc>
          <w:tcPr>
            <w:tcW w:w="1152" w:type="dxa"/>
            <w:shd w:val="clear" w:color="auto" w:fill="FFFFFF"/>
          </w:tcPr>
          <w:p w14:paraId="1A07D209" w14:textId="77777777" w:rsidR="002F23F6" w:rsidRDefault="002F23F6">
            <w:pPr>
              <w:jc w:val="center"/>
            </w:pPr>
          </w:p>
        </w:tc>
        <w:tc>
          <w:tcPr>
            <w:tcW w:w="1152" w:type="dxa"/>
            <w:shd w:val="clear" w:color="auto" w:fill="FFFFFF"/>
          </w:tcPr>
          <w:p w14:paraId="39115FAA" w14:textId="77777777" w:rsidR="002F23F6" w:rsidRDefault="002F23F6">
            <w:pPr>
              <w:jc w:val="center"/>
            </w:pPr>
          </w:p>
        </w:tc>
        <w:tc>
          <w:tcPr>
            <w:tcW w:w="1152" w:type="dxa"/>
            <w:shd w:val="clear" w:color="auto" w:fill="FFFFFF"/>
          </w:tcPr>
          <w:p w14:paraId="6A8FBFAB" w14:textId="77777777" w:rsidR="002F23F6" w:rsidRDefault="002F23F6">
            <w:pPr>
              <w:jc w:val="center"/>
            </w:pPr>
          </w:p>
        </w:tc>
        <w:tc>
          <w:tcPr>
            <w:tcW w:w="1152" w:type="dxa"/>
            <w:shd w:val="clear" w:color="auto" w:fill="FFFFFF"/>
          </w:tcPr>
          <w:p w14:paraId="27B8E4D4" w14:textId="77777777" w:rsidR="002F23F6" w:rsidRDefault="002F23F6">
            <w:pPr>
              <w:jc w:val="center"/>
            </w:pPr>
          </w:p>
        </w:tc>
      </w:tr>
      <w:tr w:rsidR="002F23F6" w14:paraId="0E2A11B9" w14:textId="77777777" w:rsidTr="00E61D89">
        <w:trPr>
          <w:jc w:val="center"/>
        </w:trPr>
        <w:tc>
          <w:tcPr>
            <w:tcW w:w="2880" w:type="dxa"/>
            <w:shd w:val="clear" w:color="auto" w:fill="DCE6F1"/>
          </w:tcPr>
          <w:p w14:paraId="6587168A" w14:textId="77777777" w:rsidR="002F23F6" w:rsidRDefault="00000000">
            <w:r>
              <w:rPr>
                <w:sz w:val="20"/>
              </w:rPr>
              <w:t>Debt-to-Equity</w:t>
            </w:r>
          </w:p>
        </w:tc>
        <w:tc>
          <w:tcPr>
            <w:tcW w:w="1152" w:type="dxa"/>
            <w:shd w:val="clear" w:color="auto" w:fill="DCE6F1"/>
          </w:tcPr>
          <w:p w14:paraId="0A78A1D9" w14:textId="77777777" w:rsidR="002F23F6" w:rsidRDefault="00000000">
            <w:pPr>
              <w:jc w:val="center"/>
            </w:pPr>
            <w:r>
              <w:rPr>
                <w:sz w:val="20"/>
              </w:rPr>
              <w:t>1.21</w:t>
            </w:r>
          </w:p>
        </w:tc>
        <w:tc>
          <w:tcPr>
            <w:tcW w:w="1152" w:type="dxa"/>
            <w:shd w:val="clear" w:color="auto" w:fill="DCE6F1"/>
          </w:tcPr>
          <w:p w14:paraId="50E5C305" w14:textId="77777777" w:rsidR="002F23F6" w:rsidRDefault="00000000">
            <w:pPr>
              <w:jc w:val="center"/>
            </w:pPr>
            <w:r>
              <w:rPr>
                <w:sz w:val="20"/>
              </w:rPr>
              <w:t>1.32</w:t>
            </w:r>
          </w:p>
        </w:tc>
        <w:tc>
          <w:tcPr>
            <w:tcW w:w="1152" w:type="dxa"/>
            <w:shd w:val="clear" w:color="auto" w:fill="DCE6F1"/>
          </w:tcPr>
          <w:p w14:paraId="197771B5" w14:textId="77777777" w:rsidR="002F23F6" w:rsidRDefault="00000000">
            <w:pPr>
              <w:jc w:val="center"/>
            </w:pPr>
            <w:r>
              <w:rPr>
                <w:sz w:val="20"/>
              </w:rPr>
              <w:t>1.25</w:t>
            </w:r>
          </w:p>
        </w:tc>
        <w:tc>
          <w:tcPr>
            <w:tcW w:w="1152" w:type="dxa"/>
            <w:shd w:val="clear" w:color="auto" w:fill="DCE6F1"/>
          </w:tcPr>
          <w:p w14:paraId="1651ECE5" w14:textId="77777777" w:rsidR="002F23F6" w:rsidRDefault="00000000">
            <w:pPr>
              <w:jc w:val="center"/>
            </w:pPr>
            <w:r>
              <w:rPr>
                <w:sz w:val="20"/>
              </w:rPr>
              <w:t>1.24</w:t>
            </w:r>
          </w:p>
        </w:tc>
        <w:tc>
          <w:tcPr>
            <w:tcW w:w="1152" w:type="dxa"/>
            <w:shd w:val="clear" w:color="auto" w:fill="DCE6F1"/>
          </w:tcPr>
          <w:p w14:paraId="5FF9D33F" w14:textId="77777777" w:rsidR="002F23F6" w:rsidRDefault="00000000">
            <w:pPr>
              <w:jc w:val="center"/>
            </w:pPr>
            <w:r>
              <w:rPr>
                <w:sz w:val="20"/>
              </w:rPr>
              <w:t>1.31</w:t>
            </w:r>
          </w:p>
        </w:tc>
      </w:tr>
      <w:tr w:rsidR="002F23F6" w14:paraId="4F1ED5D4" w14:textId="77777777" w:rsidTr="00E61D89">
        <w:trPr>
          <w:jc w:val="center"/>
        </w:trPr>
        <w:tc>
          <w:tcPr>
            <w:tcW w:w="2880" w:type="dxa"/>
            <w:shd w:val="clear" w:color="auto" w:fill="FFFFFF"/>
          </w:tcPr>
          <w:p w14:paraId="7EF6A704" w14:textId="77777777" w:rsidR="002F23F6" w:rsidRDefault="00000000">
            <w:r>
              <w:rPr>
                <w:sz w:val="20"/>
              </w:rPr>
              <w:t>Debt-to-Assets</w:t>
            </w:r>
          </w:p>
        </w:tc>
        <w:tc>
          <w:tcPr>
            <w:tcW w:w="1152" w:type="dxa"/>
            <w:shd w:val="clear" w:color="auto" w:fill="FFFFFF"/>
          </w:tcPr>
          <w:p w14:paraId="5772493A" w14:textId="77777777" w:rsidR="002F23F6" w:rsidRDefault="00000000">
            <w:pPr>
              <w:jc w:val="center"/>
            </w:pPr>
            <w:r>
              <w:rPr>
                <w:sz w:val="20"/>
              </w:rPr>
              <w:t>0.44</w:t>
            </w:r>
          </w:p>
        </w:tc>
        <w:tc>
          <w:tcPr>
            <w:tcW w:w="1152" w:type="dxa"/>
            <w:shd w:val="clear" w:color="auto" w:fill="FFFFFF"/>
          </w:tcPr>
          <w:p w14:paraId="56700AD0" w14:textId="77777777" w:rsidR="002F23F6" w:rsidRDefault="00000000">
            <w:pPr>
              <w:jc w:val="center"/>
            </w:pPr>
            <w:r>
              <w:rPr>
                <w:sz w:val="20"/>
              </w:rPr>
              <w:t>0.46</w:t>
            </w:r>
          </w:p>
        </w:tc>
        <w:tc>
          <w:tcPr>
            <w:tcW w:w="1152" w:type="dxa"/>
            <w:shd w:val="clear" w:color="auto" w:fill="FFFFFF"/>
          </w:tcPr>
          <w:p w14:paraId="235BB81D" w14:textId="77777777" w:rsidR="002F23F6" w:rsidRDefault="00000000">
            <w:pPr>
              <w:jc w:val="center"/>
            </w:pPr>
            <w:r>
              <w:rPr>
                <w:sz w:val="20"/>
              </w:rPr>
              <w:t>0.44</w:t>
            </w:r>
          </w:p>
        </w:tc>
        <w:tc>
          <w:tcPr>
            <w:tcW w:w="1152" w:type="dxa"/>
            <w:shd w:val="clear" w:color="auto" w:fill="FFFFFF"/>
          </w:tcPr>
          <w:p w14:paraId="10B2EF41" w14:textId="77777777" w:rsidR="002F23F6" w:rsidRDefault="00000000">
            <w:pPr>
              <w:jc w:val="center"/>
            </w:pPr>
            <w:r>
              <w:rPr>
                <w:sz w:val="20"/>
              </w:rPr>
              <w:t>0.45</w:t>
            </w:r>
          </w:p>
        </w:tc>
        <w:tc>
          <w:tcPr>
            <w:tcW w:w="1152" w:type="dxa"/>
            <w:shd w:val="clear" w:color="auto" w:fill="FFFFFF"/>
          </w:tcPr>
          <w:p w14:paraId="3B91455D" w14:textId="77777777" w:rsidR="002F23F6" w:rsidRDefault="00000000">
            <w:pPr>
              <w:jc w:val="center"/>
            </w:pPr>
            <w:r>
              <w:rPr>
                <w:sz w:val="20"/>
              </w:rPr>
              <w:t>0.46</w:t>
            </w:r>
          </w:p>
        </w:tc>
      </w:tr>
      <w:tr w:rsidR="002F23F6" w14:paraId="0FA518D3" w14:textId="77777777" w:rsidTr="00E61D89">
        <w:trPr>
          <w:jc w:val="center"/>
        </w:trPr>
        <w:tc>
          <w:tcPr>
            <w:tcW w:w="2880" w:type="dxa"/>
            <w:shd w:val="clear" w:color="auto" w:fill="DCE6F1"/>
          </w:tcPr>
          <w:p w14:paraId="6CFE0612" w14:textId="77777777" w:rsidR="002F23F6" w:rsidRDefault="00000000">
            <w:r>
              <w:rPr>
                <w:sz w:val="20"/>
              </w:rPr>
              <w:t>Interest Cover</w:t>
            </w:r>
          </w:p>
        </w:tc>
        <w:tc>
          <w:tcPr>
            <w:tcW w:w="1152" w:type="dxa"/>
            <w:shd w:val="clear" w:color="auto" w:fill="DCE6F1"/>
          </w:tcPr>
          <w:p w14:paraId="683BDB7F" w14:textId="77777777" w:rsidR="002F23F6" w:rsidRDefault="00000000">
            <w:pPr>
              <w:jc w:val="center"/>
            </w:pPr>
            <w:r>
              <w:rPr>
                <w:sz w:val="20"/>
              </w:rPr>
              <w:t>6.6x</w:t>
            </w:r>
          </w:p>
        </w:tc>
        <w:tc>
          <w:tcPr>
            <w:tcW w:w="1152" w:type="dxa"/>
            <w:shd w:val="clear" w:color="auto" w:fill="DCE6F1"/>
          </w:tcPr>
          <w:p w14:paraId="5B6073D2" w14:textId="77777777" w:rsidR="002F23F6" w:rsidRDefault="00000000">
            <w:pPr>
              <w:jc w:val="center"/>
            </w:pPr>
            <w:r>
              <w:rPr>
                <w:sz w:val="20"/>
              </w:rPr>
              <w:t>21.9x</w:t>
            </w:r>
          </w:p>
        </w:tc>
        <w:tc>
          <w:tcPr>
            <w:tcW w:w="1152" w:type="dxa"/>
            <w:shd w:val="clear" w:color="auto" w:fill="DCE6F1"/>
          </w:tcPr>
          <w:p w14:paraId="1E483395" w14:textId="77777777" w:rsidR="002F23F6" w:rsidRDefault="00000000">
            <w:pPr>
              <w:jc w:val="center"/>
            </w:pPr>
            <w:r>
              <w:rPr>
                <w:sz w:val="20"/>
              </w:rPr>
              <w:t>18.8x</w:t>
            </w:r>
          </w:p>
        </w:tc>
        <w:tc>
          <w:tcPr>
            <w:tcW w:w="1152" w:type="dxa"/>
            <w:shd w:val="clear" w:color="auto" w:fill="DCE6F1"/>
          </w:tcPr>
          <w:p w14:paraId="52EF8B02" w14:textId="77777777" w:rsidR="002F23F6" w:rsidRDefault="00000000">
            <w:pPr>
              <w:jc w:val="center"/>
            </w:pPr>
            <w:r>
              <w:rPr>
                <w:sz w:val="20"/>
              </w:rPr>
              <w:t>27.1x</w:t>
            </w:r>
          </w:p>
        </w:tc>
        <w:tc>
          <w:tcPr>
            <w:tcW w:w="1152" w:type="dxa"/>
            <w:shd w:val="clear" w:color="auto" w:fill="DCE6F1"/>
          </w:tcPr>
          <w:p w14:paraId="4AB4A830" w14:textId="77777777" w:rsidR="002F23F6" w:rsidRDefault="00000000">
            <w:pPr>
              <w:jc w:val="center"/>
            </w:pPr>
            <w:r>
              <w:rPr>
                <w:sz w:val="20"/>
              </w:rPr>
              <w:t>31.5x</w:t>
            </w:r>
          </w:p>
        </w:tc>
      </w:tr>
      <w:tr w:rsidR="002F23F6" w14:paraId="4875A78A" w14:textId="77777777" w:rsidTr="00E61D89">
        <w:trPr>
          <w:jc w:val="center"/>
        </w:trPr>
        <w:tc>
          <w:tcPr>
            <w:tcW w:w="2880" w:type="dxa"/>
            <w:shd w:val="clear" w:color="auto" w:fill="FFFFFF"/>
          </w:tcPr>
          <w:p w14:paraId="4BB612E5" w14:textId="77777777" w:rsidR="002F23F6" w:rsidRDefault="00000000">
            <w:r>
              <w:rPr>
                <w:b/>
                <w:sz w:val="20"/>
              </w:rPr>
              <w:t>INVESTMENT RATIOS</w:t>
            </w:r>
          </w:p>
        </w:tc>
        <w:tc>
          <w:tcPr>
            <w:tcW w:w="1152" w:type="dxa"/>
            <w:shd w:val="clear" w:color="auto" w:fill="FFFFFF"/>
          </w:tcPr>
          <w:p w14:paraId="22FFB688" w14:textId="77777777" w:rsidR="002F23F6" w:rsidRDefault="002F23F6">
            <w:pPr>
              <w:jc w:val="center"/>
            </w:pPr>
          </w:p>
        </w:tc>
        <w:tc>
          <w:tcPr>
            <w:tcW w:w="1152" w:type="dxa"/>
            <w:shd w:val="clear" w:color="auto" w:fill="FFFFFF"/>
          </w:tcPr>
          <w:p w14:paraId="470A42FE" w14:textId="77777777" w:rsidR="002F23F6" w:rsidRDefault="002F23F6">
            <w:pPr>
              <w:jc w:val="center"/>
            </w:pPr>
          </w:p>
        </w:tc>
        <w:tc>
          <w:tcPr>
            <w:tcW w:w="1152" w:type="dxa"/>
            <w:shd w:val="clear" w:color="auto" w:fill="FFFFFF"/>
          </w:tcPr>
          <w:p w14:paraId="6FB8DDF7" w14:textId="77777777" w:rsidR="002F23F6" w:rsidRDefault="002F23F6">
            <w:pPr>
              <w:jc w:val="center"/>
            </w:pPr>
          </w:p>
        </w:tc>
        <w:tc>
          <w:tcPr>
            <w:tcW w:w="1152" w:type="dxa"/>
            <w:shd w:val="clear" w:color="auto" w:fill="FFFFFF"/>
          </w:tcPr>
          <w:p w14:paraId="222848D0" w14:textId="77777777" w:rsidR="002F23F6" w:rsidRDefault="002F23F6">
            <w:pPr>
              <w:jc w:val="center"/>
            </w:pPr>
          </w:p>
        </w:tc>
        <w:tc>
          <w:tcPr>
            <w:tcW w:w="1152" w:type="dxa"/>
            <w:shd w:val="clear" w:color="auto" w:fill="FFFFFF"/>
          </w:tcPr>
          <w:p w14:paraId="7E7E259B" w14:textId="77777777" w:rsidR="002F23F6" w:rsidRDefault="002F23F6">
            <w:pPr>
              <w:jc w:val="center"/>
            </w:pPr>
          </w:p>
        </w:tc>
      </w:tr>
      <w:tr w:rsidR="002F23F6" w14:paraId="43EF5F89" w14:textId="77777777" w:rsidTr="00E61D89">
        <w:trPr>
          <w:jc w:val="center"/>
        </w:trPr>
        <w:tc>
          <w:tcPr>
            <w:tcW w:w="2880" w:type="dxa"/>
            <w:shd w:val="clear" w:color="auto" w:fill="DCE6F1"/>
          </w:tcPr>
          <w:p w14:paraId="64A93944" w14:textId="77777777" w:rsidR="002F23F6" w:rsidRDefault="00000000">
            <w:r>
              <w:rPr>
                <w:sz w:val="20"/>
              </w:rPr>
              <w:t>EPS (KRW)</w:t>
            </w:r>
          </w:p>
        </w:tc>
        <w:tc>
          <w:tcPr>
            <w:tcW w:w="1152" w:type="dxa"/>
            <w:shd w:val="clear" w:color="auto" w:fill="DCE6F1"/>
          </w:tcPr>
          <w:p w14:paraId="4B06C144" w14:textId="77777777" w:rsidR="002F23F6" w:rsidRDefault="00000000">
            <w:pPr>
              <w:jc w:val="center"/>
            </w:pPr>
            <w:r>
              <w:rPr>
                <w:sz w:val="20"/>
              </w:rPr>
              <w:t>5,458</w:t>
            </w:r>
          </w:p>
        </w:tc>
        <w:tc>
          <w:tcPr>
            <w:tcW w:w="1152" w:type="dxa"/>
            <w:shd w:val="clear" w:color="auto" w:fill="DCE6F1"/>
          </w:tcPr>
          <w:p w14:paraId="5D312631" w14:textId="77777777" w:rsidR="002F23F6" w:rsidRDefault="00000000">
            <w:pPr>
              <w:jc w:val="center"/>
            </w:pPr>
            <w:r>
              <w:rPr>
                <w:sz w:val="20"/>
              </w:rPr>
              <w:t>18,981</w:t>
            </w:r>
          </w:p>
        </w:tc>
        <w:tc>
          <w:tcPr>
            <w:tcW w:w="1152" w:type="dxa"/>
            <w:shd w:val="clear" w:color="auto" w:fill="DCE6F1"/>
          </w:tcPr>
          <w:p w14:paraId="4193137F" w14:textId="77777777" w:rsidR="002F23F6" w:rsidRDefault="00000000">
            <w:pPr>
              <w:jc w:val="center"/>
            </w:pPr>
            <w:r>
              <w:rPr>
                <w:sz w:val="20"/>
              </w:rPr>
              <w:t>28,490</w:t>
            </w:r>
          </w:p>
        </w:tc>
        <w:tc>
          <w:tcPr>
            <w:tcW w:w="1152" w:type="dxa"/>
            <w:shd w:val="clear" w:color="auto" w:fill="DCE6F1"/>
          </w:tcPr>
          <w:p w14:paraId="425FC5FB" w14:textId="77777777" w:rsidR="002F23F6" w:rsidRDefault="00000000">
            <w:pPr>
              <w:jc w:val="center"/>
            </w:pPr>
            <w:r>
              <w:rPr>
                <w:sz w:val="20"/>
              </w:rPr>
              <w:t>45,687</w:t>
            </w:r>
          </w:p>
        </w:tc>
        <w:tc>
          <w:tcPr>
            <w:tcW w:w="1152" w:type="dxa"/>
            <w:shd w:val="clear" w:color="auto" w:fill="DCE6F1"/>
          </w:tcPr>
          <w:p w14:paraId="6F3AF5AA" w14:textId="77777777" w:rsidR="002F23F6" w:rsidRDefault="00000000">
            <w:pPr>
              <w:jc w:val="center"/>
            </w:pPr>
            <w:r>
              <w:rPr>
                <w:sz w:val="20"/>
              </w:rPr>
              <w:t>47,591</w:t>
            </w:r>
          </w:p>
        </w:tc>
      </w:tr>
      <w:tr w:rsidR="002F23F6" w14:paraId="5F32B3E2" w14:textId="77777777" w:rsidTr="00E61D89">
        <w:trPr>
          <w:jc w:val="center"/>
        </w:trPr>
        <w:tc>
          <w:tcPr>
            <w:tcW w:w="2880" w:type="dxa"/>
            <w:shd w:val="clear" w:color="auto" w:fill="FFFFFF"/>
          </w:tcPr>
          <w:p w14:paraId="5130F072" w14:textId="77777777" w:rsidR="002F23F6" w:rsidRDefault="00000000">
            <w:r>
              <w:rPr>
                <w:sz w:val="20"/>
              </w:rPr>
              <w:t>DPS (KRW)</w:t>
            </w:r>
          </w:p>
        </w:tc>
        <w:tc>
          <w:tcPr>
            <w:tcW w:w="1152" w:type="dxa"/>
            <w:shd w:val="clear" w:color="auto" w:fill="FFFFFF"/>
          </w:tcPr>
          <w:p w14:paraId="5D8531E9" w14:textId="77777777" w:rsidR="002F23F6" w:rsidRDefault="00000000">
            <w:pPr>
              <w:jc w:val="center"/>
            </w:pPr>
            <w:r>
              <w:rPr>
                <w:sz w:val="20"/>
              </w:rPr>
              <w:t>3,000</w:t>
            </w:r>
          </w:p>
        </w:tc>
        <w:tc>
          <w:tcPr>
            <w:tcW w:w="1152" w:type="dxa"/>
            <w:shd w:val="clear" w:color="auto" w:fill="FFFFFF"/>
          </w:tcPr>
          <w:p w14:paraId="59D89215" w14:textId="77777777" w:rsidR="002F23F6" w:rsidRDefault="00000000">
            <w:pPr>
              <w:jc w:val="center"/>
            </w:pPr>
            <w:r>
              <w:rPr>
                <w:sz w:val="20"/>
              </w:rPr>
              <w:t>5,000</w:t>
            </w:r>
          </w:p>
        </w:tc>
        <w:tc>
          <w:tcPr>
            <w:tcW w:w="1152" w:type="dxa"/>
            <w:shd w:val="clear" w:color="auto" w:fill="FFFFFF"/>
          </w:tcPr>
          <w:p w14:paraId="646912AF" w14:textId="77777777" w:rsidR="002F23F6" w:rsidRDefault="00000000">
            <w:pPr>
              <w:jc w:val="center"/>
            </w:pPr>
            <w:r>
              <w:rPr>
                <w:sz w:val="20"/>
              </w:rPr>
              <w:t>7,000</w:t>
            </w:r>
          </w:p>
        </w:tc>
        <w:tc>
          <w:tcPr>
            <w:tcW w:w="1152" w:type="dxa"/>
            <w:shd w:val="clear" w:color="auto" w:fill="FFFFFF"/>
          </w:tcPr>
          <w:p w14:paraId="2DFEA25C" w14:textId="77777777" w:rsidR="002F23F6" w:rsidRDefault="00000000">
            <w:pPr>
              <w:jc w:val="center"/>
            </w:pPr>
            <w:r>
              <w:rPr>
                <w:sz w:val="20"/>
              </w:rPr>
              <w:t>11,400</w:t>
            </w:r>
          </w:p>
        </w:tc>
        <w:tc>
          <w:tcPr>
            <w:tcW w:w="1152" w:type="dxa"/>
            <w:shd w:val="clear" w:color="auto" w:fill="FFFFFF"/>
          </w:tcPr>
          <w:p w14:paraId="1CA774A6" w14:textId="77777777" w:rsidR="002F23F6" w:rsidRDefault="00000000">
            <w:pPr>
              <w:jc w:val="center"/>
            </w:pPr>
            <w:r>
              <w:rPr>
                <w:sz w:val="20"/>
              </w:rPr>
              <w:t>12,000</w:t>
            </w:r>
          </w:p>
        </w:tc>
      </w:tr>
      <w:tr w:rsidR="002F23F6" w14:paraId="7EACB938" w14:textId="77777777" w:rsidTr="00E61D89">
        <w:trPr>
          <w:jc w:val="center"/>
        </w:trPr>
        <w:tc>
          <w:tcPr>
            <w:tcW w:w="2880" w:type="dxa"/>
            <w:shd w:val="clear" w:color="auto" w:fill="DCE6F1"/>
          </w:tcPr>
          <w:p w14:paraId="372BCC0E" w14:textId="77777777" w:rsidR="002F23F6" w:rsidRDefault="00000000">
            <w:r>
              <w:rPr>
                <w:sz w:val="20"/>
              </w:rPr>
              <w:t>P/E Ratio</w:t>
            </w:r>
          </w:p>
        </w:tc>
        <w:tc>
          <w:tcPr>
            <w:tcW w:w="1152" w:type="dxa"/>
            <w:shd w:val="clear" w:color="auto" w:fill="DCE6F1"/>
          </w:tcPr>
          <w:p w14:paraId="263FFE98" w14:textId="77777777" w:rsidR="002F23F6" w:rsidRDefault="00000000">
            <w:pPr>
              <w:jc w:val="center"/>
            </w:pPr>
            <w:r>
              <w:rPr>
                <w:sz w:val="20"/>
              </w:rPr>
              <w:t>35.0x</w:t>
            </w:r>
          </w:p>
        </w:tc>
        <w:tc>
          <w:tcPr>
            <w:tcW w:w="1152" w:type="dxa"/>
            <w:shd w:val="clear" w:color="auto" w:fill="DCE6F1"/>
          </w:tcPr>
          <w:p w14:paraId="0016C7F7" w14:textId="77777777" w:rsidR="002F23F6" w:rsidRDefault="00000000">
            <w:pPr>
              <w:jc w:val="center"/>
            </w:pPr>
            <w:r>
              <w:rPr>
                <w:sz w:val="20"/>
              </w:rPr>
              <w:t>11.0x</w:t>
            </w:r>
          </w:p>
        </w:tc>
        <w:tc>
          <w:tcPr>
            <w:tcW w:w="1152" w:type="dxa"/>
            <w:shd w:val="clear" w:color="auto" w:fill="DCE6F1"/>
          </w:tcPr>
          <w:p w14:paraId="050211CC" w14:textId="77777777" w:rsidR="002F23F6" w:rsidRDefault="00000000">
            <w:pPr>
              <w:jc w:val="center"/>
            </w:pPr>
            <w:r>
              <w:rPr>
                <w:sz w:val="20"/>
              </w:rPr>
              <w:t>5.3x</w:t>
            </w:r>
          </w:p>
        </w:tc>
        <w:tc>
          <w:tcPr>
            <w:tcW w:w="1152" w:type="dxa"/>
            <w:shd w:val="clear" w:color="auto" w:fill="DCE6F1"/>
          </w:tcPr>
          <w:p w14:paraId="3B716207" w14:textId="77777777" w:rsidR="002F23F6" w:rsidRDefault="00000000">
            <w:pPr>
              <w:jc w:val="center"/>
            </w:pPr>
            <w:r>
              <w:rPr>
                <w:sz w:val="20"/>
              </w:rPr>
              <w:t>5.5x</w:t>
            </w:r>
          </w:p>
        </w:tc>
        <w:tc>
          <w:tcPr>
            <w:tcW w:w="1152" w:type="dxa"/>
            <w:shd w:val="clear" w:color="auto" w:fill="DCE6F1"/>
          </w:tcPr>
          <w:p w14:paraId="07CA8068" w14:textId="77777777" w:rsidR="002F23F6" w:rsidRDefault="00000000">
            <w:pPr>
              <w:jc w:val="center"/>
            </w:pPr>
            <w:r>
              <w:rPr>
                <w:sz w:val="20"/>
              </w:rPr>
              <w:t>4.5x</w:t>
            </w:r>
          </w:p>
        </w:tc>
      </w:tr>
      <w:tr w:rsidR="002F23F6" w14:paraId="041D8048" w14:textId="77777777" w:rsidTr="00E61D89">
        <w:trPr>
          <w:jc w:val="center"/>
        </w:trPr>
        <w:tc>
          <w:tcPr>
            <w:tcW w:w="2880" w:type="dxa"/>
            <w:shd w:val="clear" w:color="auto" w:fill="FFFFFF"/>
          </w:tcPr>
          <w:p w14:paraId="434A9653" w14:textId="77777777" w:rsidR="002F23F6" w:rsidRDefault="00000000">
            <w:r>
              <w:rPr>
                <w:sz w:val="20"/>
              </w:rPr>
              <w:t>Dividend Yield</w:t>
            </w:r>
          </w:p>
        </w:tc>
        <w:tc>
          <w:tcPr>
            <w:tcW w:w="1152" w:type="dxa"/>
            <w:shd w:val="clear" w:color="auto" w:fill="FFFFFF"/>
          </w:tcPr>
          <w:p w14:paraId="1F75C718" w14:textId="77777777" w:rsidR="002F23F6" w:rsidRDefault="00000000">
            <w:pPr>
              <w:jc w:val="center"/>
            </w:pPr>
            <w:r>
              <w:rPr>
                <w:sz w:val="20"/>
              </w:rPr>
              <w:t>1.6%</w:t>
            </w:r>
          </w:p>
        </w:tc>
        <w:tc>
          <w:tcPr>
            <w:tcW w:w="1152" w:type="dxa"/>
            <w:shd w:val="clear" w:color="auto" w:fill="FFFFFF"/>
          </w:tcPr>
          <w:p w14:paraId="0463AE80" w14:textId="77777777" w:rsidR="002F23F6" w:rsidRDefault="00000000">
            <w:pPr>
              <w:jc w:val="center"/>
            </w:pPr>
            <w:r>
              <w:rPr>
                <w:sz w:val="20"/>
              </w:rPr>
              <w:t>2.4%</w:t>
            </w:r>
          </w:p>
        </w:tc>
        <w:tc>
          <w:tcPr>
            <w:tcW w:w="1152" w:type="dxa"/>
            <w:shd w:val="clear" w:color="auto" w:fill="FFFFFF"/>
          </w:tcPr>
          <w:p w14:paraId="7F2A229D" w14:textId="77777777" w:rsidR="002F23F6" w:rsidRDefault="00000000">
            <w:pPr>
              <w:jc w:val="center"/>
            </w:pPr>
            <w:r>
              <w:rPr>
                <w:sz w:val="20"/>
              </w:rPr>
              <w:t>4.6%</w:t>
            </w:r>
          </w:p>
        </w:tc>
        <w:tc>
          <w:tcPr>
            <w:tcW w:w="1152" w:type="dxa"/>
            <w:shd w:val="clear" w:color="auto" w:fill="FFFFFF"/>
          </w:tcPr>
          <w:p w14:paraId="0E7ED122" w14:textId="77777777" w:rsidR="002F23F6" w:rsidRDefault="00000000">
            <w:pPr>
              <w:jc w:val="center"/>
            </w:pPr>
            <w:r>
              <w:rPr>
                <w:sz w:val="20"/>
              </w:rPr>
              <w:t>4.5%</w:t>
            </w:r>
          </w:p>
        </w:tc>
        <w:tc>
          <w:tcPr>
            <w:tcW w:w="1152" w:type="dxa"/>
            <w:shd w:val="clear" w:color="auto" w:fill="FFFFFF"/>
          </w:tcPr>
          <w:p w14:paraId="3229AEA3" w14:textId="77777777" w:rsidR="002F23F6" w:rsidRDefault="00000000">
            <w:pPr>
              <w:jc w:val="center"/>
            </w:pPr>
            <w:r>
              <w:rPr>
                <w:sz w:val="20"/>
              </w:rPr>
              <w:t>5.6%</w:t>
            </w:r>
          </w:p>
        </w:tc>
      </w:tr>
      <w:tr w:rsidR="002F23F6" w14:paraId="2DE6DD31" w14:textId="77777777" w:rsidTr="00E61D89">
        <w:trPr>
          <w:jc w:val="center"/>
        </w:trPr>
        <w:tc>
          <w:tcPr>
            <w:tcW w:w="2880" w:type="dxa"/>
            <w:shd w:val="clear" w:color="auto" w:fill="DCE6F1"/>
          </w:tcPr>
          <w:p w14:paraId="7ACEEE32" w14:textId="77777777" w:rsidR="002F23F6" w:rsidRDefault="00000000">
            <w:r>
              <w:rPr>
                <w:sz w:val="20"/>
              </w:rPr>
              <w:t>Dividend Cover</w:t>
            </w:r>
          </w:p>
        </w:tc>
        <w:tc>
          <w:tcPr>
            <w:tcW w:w="1152" w:type="dxa"/>
            <w:shd w:val="clear" w:color="auto" w:fill="DCE6F1"/>
          </w:tcPr>
          <w:p w14:paraId="6F94DC29" w14:textId="77777777" w:rsidR="002F23F6" w:rsidRDefault="00000000">
            <w:pPr>
              <w:jc w:val="center"/>
            </w:pPr>
            <w:r>
              <w:rPr>
                <w:sz w:val="20"/>
              </w:rPr>
              <w:t>1.82x</w:t>
            </w:r>
          </w:p>
        </w:tc>
        <w:tc>
          <w:tcPr>
            <w:tcW w:w="1152" w:type="dxa"/>
            <w:shd w:val="clear" w:color="auto" w:fill="DCE6F1"/>
          </w:tcPr>
          <w:p w14:paraId="3CCF1598" w14:textId="77777777" w:rsidR="002F23F6" w:rsidRDefault="00000000">
            <w:pPr>
              <w:jc w:val="center"/>
            </w:pPr>
            <w:r>
              <w:rPr>
                <w:sz w:val="20"/>
              </w:rPr>
              <w:t>3.80x</w:t>
            </w:r>
          </w:p>
        </w:tc>
        <w:tc>
          <w:tcPr>
            <w:tcW w:w="1152" w:type="dxa"/>
            <w:shd w:val="clear" w:color="auto" w:fill="DCE6F1"/>
          </w:tcPr>
          <w:p w14:paraId="6F7C3611" w14:textId="77777777" w:rsidR="002F23F6" w:rsidRDefault="00000000">
            <w:pPr>
              <w:jc w:val="center"/>
            </w:pPr>
            <w:r>
              <w:rPr>
                <w:sz w:val="20"/>
              </w:rPr>
              <w:t>4.07x</w:t>
            </w:r>
          </w:p>
        </w:tc>
        <w:tc>
          <w:tcPr>
            <w:tcW w:w="1152" w:type="dxa"/>
            <w:shd w:val="clear" w:color="auto" w:fill="DCE6F1"/>
          </w:tcPr>
          <w:p w14:paraId="0B331FD1" w14:textId="77777777" w:rsidR="002F23F6" w:rsidRDefault="00000000">
            <w:pPr>
              <w:jc w:val="center"/>
            </w:pPr>
            <w:r>
              <w:rPr>
                <w:sz w:val="20"/>
              </w:rPr>
              <w:t>4.01x</w:t>
            </w:r>
          </w:p>
        </w:tc>
        <w:tc>
          <w:tcPr>
            <w:tcW w:w="1152" w:type="dxa"/>
            <w:shd w:val="clear" w:color="auto" w:fill="DCE6F1"/>
          </w:tcPr>
          <w:p w14:paraId="43584F4C" w14:textId="77777777" w:rsidR="002F23F6" w:rsidRDefault="00000000">
            <w:pPr>
              <w:jc w:val="center"/>
            </w:pPr>
            <w:r>
              <w:rPr>
                <w:sz w:val="20"/>
              </w:rPr>
              <w:t>3.97x</w:t>
            </w:r>
          </w:p>
        </w:tc>
      </w:tr>
    </w:tbl>
    <w:p w14:paraId="673DD883" w14:textId="7F7DFC7D" w:rsidR="00C11EA6" w:rsidRDefault="00000000" w:rsidP="007D3031">
      <w:pPr>
        <w:pStyle w:val="Heading2"/>
      </w:pPr>
      <w:bookmarkStart w:id="48" w:name="_Toc227888403"/>
      <w:r>
        <w:t xml:space="preserve">Appendix </w:t>
      </w:r>
      <w:r w:rsidR="007D3031">
        <w:t>B</w:t>
      </w:r>
      <w:r>
        <w:t>: Generative AI Usage Declaration</w:t>
      </w:r>
      <w:bookmarkEnd w:id="48"/>
    </w:p>
    <w:p w14:paraId="15D5CB62" w14:textId="77777777" w:rsidR="007D3031" w:rsidRPr="007D3031" w:rsidRDefault="007D3031" w:rsidP="007D3031">
      <w:pPr>
        <w:spacing w:before="60" w:after="120" w:line="360" w:lineRule="exact"/>
        <w:rPr>
          <w:sz w:val="22"/>
        </w:rPr>
      </w:pPr>
      <w:r w:rsidRPr="007D3031">
        <w:rPr>
          <w:sz w:val="22"/>
        </w:rPr>
        <w:t>Such generation AI tools could only be used to support research and data analysis as per the UWTSD policy of academic integrity and the LCMB7002 Assessment Brief (February 2026) and were also allowed to be used in order to proofread student writing.</w:t>
      </w:r>
    </w:p>
    <w:p w14:paraId="45E823E0" w14:textId="77777777" w:rsidR="007D3031" w:rsidRPr="007D3031" w:rsidRDefault="007D3031" w:rsidP="007D3031">
      <w:pPr>
        <w:spacing w:before="60" w:after="120" w:line="360" w:lineRule="exact"/>
        <w:rPr>
          <w:sz w:val="22"/>
        </w:rPr>
      </w:pPr>
      <w:r w:rsidRPr="007D3031">
        <w:rPr>
          <w:sz w:val="22"/>
        </w:rPr>
        <w:t>AI tools were not utilized to: write or draft submission text; outline the report or code arguments; make financial calculations or ratio analysis; or perform any programming or code generation.</w:t>
      </w:r>
    </w:p>
    <w:p w14:paraId="2527BC99" w14:textId="75B527D5" w:rsidR="00C11EA6" w:rsidRDefault="007D3031" w:rsidP="007D3031">
      <w:pPr>
        <w:spacing w:before="60" w:after="120" w:line="360" w:lineRule="exact"/>
      </w:pPr>
      <w:r w:rsidRPr="007D3031">
        <w:rPr>
          <w:sz w:val="22"/>
        </w:rPr>
        <w:t>Every analysis, financial analysis, calculations, arguments, and written information in the present report are my independent work that was checked against audited Hyundai consolidated financial statements (K-IFRS) and the LCMB 7002 Assessment Brief.</w:t>
      </w:r>
    </w:p>
    <w:sectPr w:rsidR="00C11EA6"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37865771">
    <w:abstractNumId w:val="8"/>
  </w:num>
  <w:num w:numId="2" w16cid:durableId="940140214">
    <w:abstractNumId w:val="6"/>
  </w:num>
  <w:num w:numId="3" w16cid:durableId="767653422">
    <w:abstractNumId w:val="5"/>
  </w:num>
  <w:num w:numId="4" w16cid:durableId="504782898">
    <w:abstractNumId w:val="4"/>
  </w:num>
  <w:num w:numId="5" w16cid:durableId="428550256">
    <w:abstractNumId w:val="7"/>
  </w:num>
  <w:num w:numId="6" w16cid:durableId="1645112588">
    <w:abstractNumId w:val="3"/>
  </w:num>
  <w:num w:numId="7" w16cid:durableId="1795249523">
    <w:abstractNumId w:val="2"/>
  </w:num>
  <w:num w:numId="8" w16cid:durableId="2129884090">
    <w:abstractNumId w:val="1"/>
  </w:num>
  <w:num w:numId="9" w16cid:durableId="1366564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3602C"/>
    <w:rsid w:val="00053944"/>
    <w:rsid w:val="0006063C"/>
    <w:rsid w:val="000754CD"/>
    <w:rsid w:val="00075755"/>
    <w:rsid w:val="00113D41"/>
    <w:rsid w:val="0015074B"/>
    <w:rsid w:val="00163034"/>
    <w:rsid w:val="00196C70"/>
    <w:rsid w:val="001C5774"/>
    <w:rsid w:val="001F1822"/>
    <w:rsid w:val="0029639D"/>
    <w:rsid w:val="002B4405"/>
    <w:rsid w:val="002B57B4"/>
    <w:rsid w:val="002E1CA1"/>
    <w:rsid w:val="002E51FB"/>
    <w:rsid w:val="002F23F6"/>
    <w:rsid w:val="00326F90"/>
    <w:rsid w:val="003578C3"/>
    <w:rsid w:val="00413DCA"/>
    <w:rsid w:val="0044417F"/>
    <w:rsid w:val="00456168"/>
    <w:rsid w:val="004963BE"/>
    <w:rsid w:val="0050669B"/>
    <w:rsid w:val="005714FF"/>
    <w:rsid w:val="005D2812"/>
    <w:rsid w:val="006566F9"/>
    <w:rsid w:val="006B1466"/>
    <w:rsid w:val="006B7AF5"/>
    <w:rsid w:val="006D3F40"/>
    <w:rsid w:val="00700B90"/>
    <w:rsid w:val="00761842"/>
    <w:rsid w:val="00787955"/>
    <w:rsid w:val="007D3031"/>
    <w:rsid w:val="00803828"/>
    <w:rsid w:val="008150ED"/>
    <w:rsid w:val="008235D0"/>
    <w:rsid w:val="00856118"/>
    <w:rsid w:val="00895802"/>
    <w:rsid w:val="008F21EC"/>
    <w:rsid w:val="00915D22"/>
    <w:rsid w:val="00917059"/>
    <w:rsid w:val="00937AB4"/>
    <w:rsid w:val="00986352"/>
    <w:rsid w:val="009865F6"/>
    <w:rsid w:val="009E1D76"/>
    <w:rsid w:val="00A15DE0"/>
    <w:rsid w:val="00A351CF"/>
    <w:rsid w:val="00A74E60"/>
    <w:rsid w:val="00AA1D8D"/>
    <w:rsid w:val="00AB3B2D"/>
    <w:rsid w:val="00B47730"/>
    <w:rsid w:val="00BB073C"/>
    <w:rsid w:val="00C11EA6"/>
    <w:rsid w:val="00CB0664"/>
    <w:rsid w:val="00CE1199"/>
    <w:rsid w:val="00D00A5D"/>
    <w:rsid w:val="00E61D89"/>
    <w:rsid w:val="00E72AD7"/>
    <w:rsid w:val="00E926A1"/>
    <w:rsid w:val="00E94F47"/>
    <w:rsid w:val="00EA0AAA"/>
    <w:rsid w:val="00F011C5"/>
    <w:rsid w:val="00F035BF"/>
    <w:rsid w:val="00F05F82"/>
    <w:rsid w:val="00F345AA"/>
    <w:rsid w:val="00FC693F"/>
    <w:rsid w:val="00FE3FED"/>
  </w:rsids>
  <m:mathPr>
    <m:mathFont m:val="Cambria Math"/>
    <m:brkBin m:val="before"/>
    <m:brkBinSub m:val="--"/>
    <m:smallFrac m:val="0"/>
    <m:dispDef/>
    <m:lMargin m:val="0"/>
    <m:rMargin m:val="0"/>
    <m:defJc m:val="centerGroup"/>
    <m:wrapIndent m:val="1440"/>
    <m:intLim m:val="subSup"/>
    <m:naryLim m:val="undOvr"/>
  </m:mathPr>
  <w:themeFontLang w:val="en-US" w:eastAsia="ja-JP" w:bidi="gu-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F53363C"/>
  <w14:defaultImageDpi w14:val="300"/>
  <w15:docId w15:val="{8D7E776E-B871-4E73-ACD4-39238D91D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118"/>
    <w:pPr>
      <w:jc w:val="both"/>
    </w:pPr>
    <w:rPr>
      <w:rFonts w:ascii="Arial" w:hAnsi="Arial"/>
      <w:sz w:val="24"/>
    </w:rPr>
  </w:style>
  <w:style w:type="paragraph" w:styleId="Heading1">
    <w:name w:val="heading 1"/>
    <w:basedOn w:val="Normal"/>
    <w:next w:val="Normal"/>
    <w:link w:val="Heading1Char"/>
    <w:uiPriority w:val="9"/>
    <w:qFormat/>
    <w:rsid w:val="00937AB4"/>
    <w:pPr>
      <w:keepNext/>
      <w:keepLines/>
      <w:spacing w:before="480" w:after="0" w:line="360" w:lineRule="auto"/>
      <w:outlineLvl w:val="0"/>
    </w:pPr>
    <w:rPr>
      <w:rFonts w:eastAsiaTheme="majorEastAsia"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937AB4"/>
    <w:pPr>
      <w:keepNext/>
      <w:keepLines/>
      <w:spacing w:before="200" w:after="0" w:line="360" w:lineRule="auto"/>
      <w:outlineLvl w:val="1"/>
    </w:pPr>
    <w:rPr>
      <w:rFonts w:asciiTheme="majorHAnsi" w:eastAsiaTheme="majorEastAsia" w:hAnsiTheme="majorHAnsi" w:cstheme="majorBidi"/>
      <w:b/>
      <w:bCs/>
      <w:color w:val="4F81BD" w:themeColor="accent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937AB4"/>
    <w:rPr>
      <w:rFonts w:ascii="Arial" w:eastAsiaTheme="majorEastAsia" w:hAnsi="Arial" w:cstheme="majorBidi"/>
      <w:b/>
      <w:bCs/>
      <w:color w:val="365F91" w:themeColor="accent1" w:themeShade="BF"/>
      <w:sz w:val="30"/>
      <w:szCs w:val="28"/>
    </w:rPr>
  </w:style>
  <w:style w:type="character" w:customStyle="1" w:styleId="Heading2Char">
    <w:name w:val="Heading 2 Char"/>
    <w:basedOn w:val="DefaultParagraphFont"/>
    <w:link w:val="Heading2"/>
    <w:uiPriority w:val="9"/>
    <w:rsid w:val="00937AB4"/>
    <w:rPr>
      <w:rFonts w:asciiTheme="majorHAnsi" w:eastAsiaTheme="majorEastAsia" w:hAnsiTheme="majorHAnsi" w:cstheme="majorBidi"/>
      <w:b/>
      <w:bCs/>
      <w:color w:val="4F81BD" w:themeColor="accent1"/>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963BE"/>
    <w:rPr>
      <w:color w:val="0000FF" w:themeColor="hyperlink"/>
      <w:u w:val="single"/>
    </w:rPr>
  </w:style>
  <w:style w:type="character" w:styleId="UnresolvedMention">
    <w:name w:val="Unresolved Mention"/>
    <w:basedOn w:val="DefaultParagraphFont"/>
    <w:uiPriority w:val="99"/>
    <w:semiHidden/>
    <w:unhideWhenUsed/>
    <w:rsid w:val="004963BE"/>
    <w:rPr>
      <w:color w:val="605E5C"/>
      <w:shd w:val="clear" w:color="auto" w:fill="E1DFDD"/>
    </w:rPr>
  </w:style>
  <w:style w:type="character" w:styleId="FollowedHyperlink">
    <w:name w:val="FollowedHyperlink"/>
    <w:basedOn w:val="DefaultParagraphFont"/>
    <w:uiPriority w:val="99"/>
    <w:semiHidden/>
    <w:unhideWhenUsed/>
    <w:rsid w:val="004963BE"/>
    <w:rPr>
      <w:color w:val="800080" w:themeColor="followedHyperlink"/>
      <w:u w:val="single"/>
    </w:rPr>
  </w:style>
  <w:style w:type="paragraph" w:styleId="TOC1">
    <w:name w:val="toc 1"/>
    <w:basedOn w:val="Normal"/>
    <w:next w:val="Normal"/>
    <w:autoRedefine/>
    <w:uiPriority w:val="39"/>
    <w:unhideWhenUsed/>
    <w:rsid w:val="00F345AA"/>
    <w:pPr>
      <w:spacing w:after="100"/>
    </w:pPr>
  </w:style>
  <w:style w:type="paragraph" w:styleId="TOC2">
    <w:name w:val="toc 2"/>
    <w:basedOn w:val="Normal"/>
    <w:next w:val="Normal"/>
    <w:autoRedefine/>
    <w:uiPriority w:val="39"/>
    <w:unhideWhenUsed/>
    <w:rsid w:val="00F345AA"/>
    <w:pPr>
      <w:spacing w:after="100"/>
      <w:ind w:left="220"/>
    </w:pPr>
  </w:style>
  <w:style w:type="paragraph" w:styleId="TableofFigures">
    <w:name w:val="table of figures"/>
    <w:basedOn w:val="Normal"/>
    <w:next w:val="Normal"/>
    <w:uiPriority w:val="99"/>
    <w:unhideWhenUsed/>
    <w:rsid w:val="00CE119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books.google.co.in/books?hl=en&amp;lr=&amp;id=xmCoEAAAQBAJ&amp;oi=fnd&amp;pg=PR4&amp;dq=Damodaran,+A.+(2021)+Applied+Corporate+Finance.+4th+edn.+New+York:+Wiley.&amp;ots=yrhjPtXV8n&amp;sig=8KY5wib-u8kdAbq5JXmZKTe35UQ" TargetMode="External"/><Relationship Id="rId26" Type="http://schemas.openxmlformats.org/officeDocument/2006/relationships/hyperlink" Target="https://info.mheducation.com/rs/128-SJW-347/images/Preface_Ross_Fund%20of%20Corporate%20Finance_2024%20Release.pdf" TargetMode="External"/><Relationship Id="rId3" Type="http://schemas.openxmlformats.org/officeDocument/2006/relationships/styles" Target="styles.xml"/><Relationship Id="rId21" Type="http://schemas.openxmlformats.org/officeDocument/2006/relationships/hyperlink" Target="https://www.hyundai.com/worldwide/en/newsroom/detail/hyundai-motor-announces-2024-annual-and-q4-business-results-0000000897"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1177/00076503211001765" TargetMode="External"/><Relationship Id="rId25" Type="http://schemas.openxmlformats.org/officeDocument/2006/relationships/hyperlink" Target="https://api.pageplace.de/preview/DT0400.9781292208589_A35840178/preview-9781292208589_A35840178.pdf" TargetMode="External"/><Relationship Id="rId2" Type="http://schemas.openxmlformats.org/officeDocument/2006/relationships/numbering" Target="numbering.xml"/><Relationship Id="rId16" Type="http://schemas.openxmlformats.org/officeDocument/2006/relationships/hyperlink" Target="https://docs.cpuc.ca.gov/PublishedDocs/SupDoc/A2204008/5468/496874121.pdf" TargetMode="External"/><Relationship Id="rId20" Type="http://schemas.openxmlformats.org/officeDocument/2006/relationships/hyperlink" Target="https://www.hyundai.com/content/dam/hyundai/ww/en/images/company/investor-relations/financial-Information/report-en/2023/2023-q4-consolidated-audit-report-en.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amazon.in/Business-Analysis-Valuation-Erik-Peek/dp/1473722659" TargetMode="External"/><Relationship Id="rId5" Type="http://schemas.openxmlformats.org/officeDocument/2006/relationships/webSettings" Target="webSettings.xml"/><Relationship Id="rId15" Type="http://schemas.openxmlformats.org/officeDocument/2006/relationships/hyperlink" Target="https://www.amazon.in/Corporate-Financial-Management-Glen-Arnold/dp/1292140445" TargetMode="External"/><Relationship Id="rId23" Type="http://schemas.openxmlformats.org/officeDocument/2006/relationships/hyperlink" Target="https://www.oecd.org/en/publications/2021/12/tax-challenges-arising-from-digitalisation-of-the-economy-global-anti-base-erosion-model-rules-pillar-two_eed81a23.html" TargetMode="External"/><Relationship Id="rId28" Type="http://schemas.openxmlformats.org/officeDocument/2006/relationships/hyperlink" Target="https://finance.yahoo.com/quote/005380.KS/" TargetMode="External"/><Relationship Id="rId10" Type="http://schemas.openxmlformats.org/officeDocument/2006/relationships/image" Target="media/image5.png"/><Relationship Id="rId19" Type="http://schemas.openxmlformats.org/officeDocument/2006/relationships/hyperlink" Target="https://www.cengage.co.in/book-list/ebook/management-and-cost-accounting-10th-edition-c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hyundai.com/worldwide/en/newsroom/detail/hyundai-motor-announces-2025-annual-and-q4-business-results-0000001116" TargetMode="External"/><Relationship Id="rId27" Type="http://schemas.openxmlformats.org/officeDocument/2006/relationships/hyperlink" Target="https://stockanalysis.com/quote/otc/HYMTF/financia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Pages>
  <Words>7341</Words>
  <Characters>41845</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49088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ronak devani</cp:lastModifiedBy>
  <cp:revision>61</cp:revision>
  <dcterms:created xsi:type="dcterms:W3CDTF">2013-12-23T23:15:00Z</dcterms:created>
  <dcterms:modified xsi:type="dcterms:W3CDTF">2026-04-24T00:32:00Z</dcterms:modified>
  <cp:category/>
</cp:coreProperties>
</file>