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955D95" w14:textId="77777777" w:rsidR="00034B22" w:rsidRDefault="00E93B9C">
      <w:pPr>
        <w:spacing w:before="120" w:after="120"/>
        <w:jc w:val="center"/>
        <w:rPr>
          <w:rFonts w:ascii="Arial" w:hAnsi="Arial" w:cs="Arial"/>
          <w:b/>
          <w:sz w:val="22"/>
          <w:szCs w:val="22"/>
        </w:rPr>
      </w:pPr>
      <w:r>
        <w:rPr>
          <w:rFonts w:ascii="Arial" w:hAnsi="Arial" w:cs="Arial"/>
          <w:b/>
          <w:sz w:val="22"/>
          <w:szCs w:val="22"/>
        </w:rPr>
        <w:t>Introduction to Independent Research Skills</w:t>
      </w:r>
    </w:p>
    <w:p w14:paraId="6C3DF496" w14:textId="715A50EB" w:rsidR="009A38F6" w:rsidRDefault="009A38F6" w:rsidP="00517FA0">
      <w:pPr>
        <w:spacing w:before="120" w:after="120"/>
        <w:jc w:val="center"/>
        <w:rPr>
          <w:rFonts w:ascii="Arial" w:hAnsi="Arial" w:cs="Arial"/>
          <w:b/>
          <w:sz w:val="22"/>
          <w:szCs w:val="22"/>
        </w:rPr>
      </w:pPr>
      <w:r>
        <w:rPr>
          <w:rFonts w:ascii="Arial" w:hAnsi="Arial" w:cs="Arial"/>
          <w:b/>
          <w:sz w:val="22"/>
          <w:szCs w:val="22"/>
        </w:rPr>
        <w:t>Assignment Title:</w:t>
      </w:r>
      <w:r w:rsidR="00517FA0">
        <w:rPr>
          <w:rFonts w:ascii="Arial" w:hAnsi="Arial" w:cs="Arial"/>
          <w:b/>
          <w:sz w:val="22"/>
          <w:szCs w:val="22"/>
        </w:rPr>
        <w:t xml:space="preserve"> </w:t>
      </w:r>
      <w:r w:rsidR="000527B6">
        <w:rPr>
          <w:rFonts w:ascii="Arial" w:hAnsi="Arial" w:cs="Arial"/>
          <w:b/>
          <w:sz w:val="22"/>
          <w:szCs w:val="22"/>
        </w:rPr>
        <w:t xml:space="preserve">Component 2 </w:t>
      </w:r>
      <w:r w:rsidR="006138A1">
        <w:rPr>
          <w:rFonts w:ascii="Arial" w:hAnsi="Arial" w:cs="Arial"/>
          <w:b/>
          <w:sz w:val="22"/>
          <w:szCs w:val="22"/>
        </w:rPr>
        <w:t xml:space="preserve">Written Assignment </w:t>
      </w:r>
      <w:r w:rsidR="007604BE">
        <w:rPr>
          <w:rFonts w:ascii="Arial" w:hAnsi="Arial" w:cs="Arial"/>
          <w:b/>
          <w:sz w:val="22"/>
          <w:szCs w:val="22"/>
        </w:rPr>
        <w:t>(</w:t>
      </w:r>
      <w:r w:rsidR="00D13E89">
        <w:rPr>
          <w:rFonts w:ascii="Arial" w:hAnsi="Arial" w:cs="Arial"/>
          <w:b/>
          <w:sz w:val="22"/>
          <w:szCs w:val="22"/>
        </w:rPr>
        <w:t>Research Report)</w:t>
      </w:r>
    </w:p>
    <w:p w14:paraId="46340BCC" w14:textId="77777777" w:rsidR="00034B22" w:rsidRDefault="00E93B9C">
      <w:pPr>
        <w:spacing w:before="120" w:after="120"/>
        <w:jc w:val="center"/>
        <w:rPr>
          <w:rFonts w:ascii="Arial" w:hAnsi="Arial" w:cs="Arial"/>
          <w:b/>
          <w:sz w:val="22"/>
          <w:szCs w:val="22"/>
        </w:rPr>
      </w:pPr>
      <w:r>
        <w:rPr>
          <w:rFonts w:ascii="Arial" w:hAnsi="Arial" w:cs="Arial"/>
          <w:b/>
          <w:sz w:val="22"/>
          <w:szCs w:val="22"/>
        </w:rPr>
        <w:t>BHMHP5019</w:t>
      </w:r>
    </w:p>
    <w:p w14:paraId="55B575D0" w14:textId="77777777" w:rsidR="00034B22" w:rsidRDefault="00E93B9C">
      <w:pPr>
        <w:spacing w:before="120" w:after="120"/>
        <w:jc w:val="center"/>
        <w:rPr>
          <w:rFonts w:ascii="Arial" w:hAnsi="Arial" w:cs="Arial"/>
          <w:b/>
          <w:sz w:val="22"/>
          <w:szCs w:val="22"/>
        </w:rPr>
      </w:pPr>
      <w:r>
        <w:rPr>
          <w:rFonts w:ascii="Arial" w:hAnsi="Arial" w:cs="Arial"/>
          <w:b/>
          <w:sz w:val="22"/>
          <w:szCs w:val="22"/>
        </w:rPr>
        <w:t xml:space="preserve">Lucie Dunkova </w:t>
      </w:r>
    </w:p>
    <w:p w14:paraId="2D758B33" w14:textId="77777777" w:rsidR="00034B22" w:rsidRDefault="00E93B9C">
      <w:pPr>
        <w:spacing w:before="120" w:after="120"/>
        <w:jc w:val="center"/>
        <w:rPr>
          <w:rFonts w:ascii="Arial" w:hAnsi="Arial" w:cs="Arial"/>
          <w:b/>
          <w:sz w:val="22"/>
          <w:szCs w:val="22"/>
        </w:rPr>
      </w:pPr>
      <w:r>
        <w:rPr>
          <w:rFonts w:ascii="Arial" w:hAnsi="Arial" w:cs="Arial"/>
          <w:b/>
          <w:sz w:val="22"/>
          <w:szCs w:val="22"/>
        </w:rPr>
        <w:t>2241882</w:t>
      </w:r>
    </w:p>
    <w:p w14:paraId="1169E6D1" w14:textId="77777777" w:rsidR="00034B22" w:rsidRDefault="00E93B9C">
      <w:pPr>
        <w:spacing w:before="120" w:after="120"/>
        <w:jc w:val="center"/>
        <w:rPr>
          <w:rFonts w:ascii="Arial" w:hAnsi="Arial" w:cs="Arial"/>
          <w:b/>
          <w:bCs/>
          <w:sz w:val="22"/>
          <w:szCs w:val="22"/>
        </w:rPr>
      </w:pPr>
      <w:r>
        <w:rPr>
          <w:rFonts w:ascii="Arial" w:hAnsi="Arial" w:cs="Arial"/>
          <w:b/>
          <w:bCs/>
          <w:sz w:val="22"/>
          <w:szCs w:val="22"/>
        </w:rPr>
        <w:t>UK Health and Social Care Practice</w:t>
      </w:r>
    </w:p>
    <w:p w14:paraId="26C897C0" w14:textId="77777777" w:rsidR="00034B22" w:rsidRDefault="00034B22">
      <w:pPr>
        <w:spacing w:before="120" w:after="120"/>
        <w:jc w:val="center"/>
        <w:rPr>
          <w:rFonts w:ascii="Arial" w:hAnsi="Arial" w:cs="Arial"/>
          <w:b/>
          <w:bCs/>
          <w:sz w:val="22"/>
          <w:szCs w:val="22"/>
        </w:rPr>
      </w:pPr>
    </w:p>
    <w:p w14:paraId="78726096" w14:textId="77777777" w:rsidR="00034B22" w:rsidRDefault="00E93B9C">
      <w:pPr>
        <w:rPr>
          <w:rFonts w:ascii="Arial" w:hAnsi="Arial" w:cs="Arial"/>
          <w:b/>
          <w:bCs/>
          <w:sz w:val="22"/>
          <w:szCs w:val="22"/>
        </w:rPr>
      </w:pPr>
      <w:r>
        <w:rPr>
          <w:rFonts w:ascii="Arial" w:hAnsi="Arial" w:cs="Arial"/>
          <w:b/>
          <w:bCs/>
          <w:sz w:val="22"/>
          <w:szCs w:val="22"/>
        </w:rPr>
        <w:t>Introduction</w:t>
      </w:r>
    </w:p>
    <w:p w14:paraId="56F05167" w14:textId="77777777" w:rsidR="00034B22" w:rsidRDefault="00E93B9C">
      <w:pPr>
        <w:rPr>
          <w:rFonts w:ascii="Arial" w:hAnsi="Arial" w:cs="Arial"/>
          <w:sz w:val="22"/>
          <w:szCs w:val="22"/>
        </w:rPr>
      </w:pPr>
      <w:r>
        <w:rPr>
          <w:rFonts w:ascii="Arial" w:hAnsi="Arial" w:cs="Arial"/>
          <w:sz w:val="22"/>
          <w:szCs w:val="22"/>
        </w:rPr>
        <w:t>The UK’s health and social care system is huge it’s one of the most developed systems for public welfare you’ll find anywhere. But it’s also pretty complicated. You don’t just have healthcare and social support running side by side; they intersect and overlap, but the edges aren’t always smooth. If you want to understand how things work today, you can’t treat it like a checklist of organizations or policies. You must see it as an active ecosystem, always shifting, trying to strike the balance between free healthcare for everyone and social support that really depends on your local council and, quite often, your bank balance.</w:t>
      </w:r>
    </w:p>
    <w:p w14:paraId="5C6FC072" w14:textId="77777777" w:rsidR="00034B22" w:rsidRDefault="00E93B9C">
      <w:pPr>
        <w:rPr>
          <w:rFonts w:ascii="Arial" w:hAnsi="Arial" w:cs="Arial"/>
          <w:sz w:val="22"/>
          <w:szCs w:val="22"/>
        </w:rPr>
      </w:pPr>
      <w:r>
        <w:rPr>
          <w:rFonts w:ascii="Arial" w:hAnsi="Arial" w:cs="Arial"/>
          <w:sz w:val="22"/>
          <w:szCs w:val="22"/>
        </w:rPr>
        <w:t>Right at the core, there’s a split that still causes trouble. On one side, you’ve got the NHS the famous National Health Service which handles clinical care. That means doctors, nurses, hospitals. It’s all about keeping people alive, diagnosing illnesses, finding treatments, and helping people manage ongoing conditions. The best part? It’s free when you need it. On the other side sits social care. This is about daily support help with eating, bathing, getting dressed, or even finding a safe place to live. But here’s the catch: social care gets means-tested. Not everyone qualifies for the same level of help, and local councils handle most of the decisions.</w:t>
      </w:r>
    </w:p>
    <w:p w14:paraId="4636C20F" w14:textId="77777777" w:rsidR="00034B22" w:rsidRDefault="00E93B9C">
      <w:pPr>
        <w:rPr>
          <w:rFonts w:ascii="Arial" w:hAnsi="Arial" w:cs="Arial"/>
          <w:sz w:val="22"/>
          <w:szCs w:val="22"/>
        </w:rPr>
      </w:pPr>
      <w:r>
        <w:rPr>
          <w:rFonts w:ascii="Arial" w:hAnsi="Arial" w:cs="Arial"/>
          <w:sz w:val="22"/>
          <w:szCs w:val="22"/>
        </w:rPr>
        <w:t>Now, the tricky part is the “interface” where the NHS and social care meet. Picture someone who’s healthy enough to leave the hospital but can’t go home safely without extra support. If their social care package isn’t lined up fast enough, they stay in hospital beds longer than they need to. That’s “bed blocking” and it’s a real mess, because it stops new patients getting treatment and puts pressure on the entire system. It’s not just inefficient; it can even be dangerous.</w:t>
      </w:r>
    </w:p>
    <w:p w14:paraId="3DBFA1D3" w14:textId="77777777" w:rsidR="00034B22" w:rsidRDefault="00E93B9C">
      <w:pPr>
        <w:rPr>
          <w:rFonts w:ascii="Arial" w:hAnsi="Arial" w:cs="Arial"/>
          <w:sz w:val="22"/>
          <w:szCs w:val="22"/>
        </w:rPr>
      </w:pPr>
      <w:r>
        <w:rPr>
          <w:rFonts w:ascii="Arial" w:hAnsi="Arial" w:cs="Arial"/>
          <w:sz w:val="22"/>
          <w:szCs w:val="22"/>
        </w:rPr>
        <w:t>Lately, people are trying to fix this. There’s a shift they call it “transformative integration.” In the past, the NHS and social care worked like distant cousins who barely talked. Now, they’re trying to create Integrated Care Systems (ICSs) that bring everyone together doctors, nurses, social workers, even local charities. The idea is simple: your health isn’t just about your prescriptions or your test results. It’s connected to your home life, your friends, and whether you feel safe and supported.</w:t>
      </w:r>
    </w:p>
    <w:p w14:paraId="7BAFF676" w14:textId="77777777" w:rsidR="00034B22" w:rsidRDefault="00E93B9C">
      <w:pPr>
        <w:rPr>
          <w:rFonts w:ascii="Arial" w:hAnsi="Arial" w:cs="Arial"/>
          <w:sz w:val="22"/>
          <w:szCs w:val="22"/>
        </w:rPr>
      </w:pPr>
      <w:r>
        <w:rPr>
          <w:rFonts w:ascii="Arial" w:hAnsi="Arial" w:cs="Arial"/>
          <w:sz w:val="22"/>
          <w:szCs w:val="22"/>
        </w:rPr>
        <w:t>Working in this world takes more than clinical knowledge. You must know your way around complex laws and tough ethical decisions. Legislation like the Mental Capacity Act shapes every day, pushing professionals to keep the person at the centre of all choices, not just ticking boxes. There’s a lot to keep track of you must prioritize what the person really wants (person-centred care), stick to clear ethical guidelines (so vulnerable people stay safe), and collaborate with professionals from different backgrounds. That means people in the field can’t just focus on their part; they need to blend their work seamlessly with others so that the care plan is useful and joined up.</w:t>
      </w:r>
    </w:p>
    <w:p w14:paraId="288F12C4" w14:textId="77777777" w:rsidR="00034B22" w:rsidRDefault="00E93B9C">
      <w:pPr>
        <w:rPr>
          <w:rFonts w:ascii="Arial" w:hAnsi="Arial" w:cs="Arial"/>
          <w:sz w:val="22"/>
          <w:szCs w:val="22"/>
        </w:rPr>
      </w:pPr>
      <w:r>
        <w:rPr>
          <w:rFonts w:ascii="Arial" w:hAnsi="Arial" w:cs="Arial"/>
          <w:sz w:val="22"/>
          <w:szCs w:val="22"/>
        </w:rPr>
        <w:lastRenderedPageBreak/>
        <w:t>In the end, succeeding in UK health and social care is about agility, knowledge, and heart. You need a confident grip on regulations, a real respect for ethics, and the ability to keep up with a system that’s still changing especially as the population ages and people’s needs get more complex. The best practitioners act like bridges, connecting two very different worlds, making sure people aren’t bounced around, but get thoughtful, joined-up care that respects their dignity and sees them as whole human beings, not just patients or cases.</w:t>
      </w:r>
    </w:p>
    <w:p w14:paraId="13CFB376" w14:textId="77777777" w:rsidR="00034B22" w:rsidRDefault="00E93B9C">
      <w:pPr>
        <w:rPr>
          <w:rFonts w:ascii="Arial" w:hAnsi="Arial" w:cs="Arial"/>
          <w:b/>
          <w:bCs/>
          <w:sz w:val="22"/>
          <w:szCs w:val="22"/>
        </w:rPr>
      </w:pPr>
      <w:r>
        <w:rPr>
          <w:rFonts w:ascii="Arial" w:hAnsi="Arial" w:cs="Arial"/>
          <w:b/>
          <w:bCs/>
          <w:sz w:val="22"/>
          <w:szCs w:val="22"/>
        </w:rPr>
        <w:t>Background</w:t>
      </w:r>
    </w:p>
    <w:p w14:paraId="22246992" w14:textId="77777777" w:rsidR="00034B22" w:rsidRDefault="00E93B9C">
      <w:pPr>
        <w:rPr>
          <w:rFonts w:ascii="Arial" w:hAnsi="Arial" w:cs="Arial"/>
          <w:sz w:val="22"/>
          <w:szCs w:val="22"/>
        </w:rPr>
      </w:pPr>
      <w:r>
        <w:rPr>
          <w:rFonts w:ascii="Arial" w:hAnsi="Arial" w:cs="Arial"/>
          <w:sz w:val="22"/>
          <w:szCs w:val="22"/>
        </w:rPr>
        <w:t xml:space="preserve">The UK health and social care system is, honestly, a tangle of different parts there’s no simple way to describe it. Everywhere you turn, there’s some new agency, law, or policy all working together to make sure no one falls through the cracks, especially those who need extra help. Underneath it all, the system relies on a huge web of rules. The details shift depending on whether you live in England, Scotland, Wales, or Northern Ireland, but the aim stays the same: get people the help they need. Let’s talk about the building blocks those laws that really shape everything. The Care Act 2014, for instance, pretty much sets the ground rules for adult social care in England. It says personal wellbeing isn’t just an add-on; it’s the point. The law pushes for prevention first, not crisis management, and it demands that Local Authorities assess people’s needs without treating their wallet as a deciding factor. Then there’s the Health and Social Care Act 2012, which shifted a lot of how things work behind the scenes establishing Clinical Commissioning Groups (CCGs) that plan services and handing the Care Quality Commission (CQC) the job of checking whether care providers are delivering what people need. The Mental Capacity Act 2005 is another big one. It steps in when people can’t make decisions for themselves maybe because of illness or disability and makes sure whatever decisions happen, they’re truly in that person’s best interests. More recently, the Health and Care Act 2022 has tried to get everyone working more closely together NHS teams, local councils, the whole lot by bringing in Integrated Care Systems (ICSs), those new networks joining up services across regions. Oversight isn’t just talk, either. There are independent regulators bodies that don’t answer directly to government keeping the standards up, checking that everyone’s playing by the same safety and quality rules. It’s how the system holds itself accountable. Integrated Care Systems are pretty much the centrepieces these days. Think of them as local alliances: NHS trusts, councils, GPs, social care providers, and others teaming up to plan and deliver services across big regions. The idea is to make healthcare and support not just better but fairer, so your postcode doesn’t decide how good your care is. By pooling resources and decisions, they want every pound spent to stretch farther and deliver more closing the gap between areas, smoothing out the rough edges, and making sure the experience isn’t a lottery. When it comes to what steers care day-to-day, there are a few principles no one can really ignore: Person-centred care: Basically, every decision should start with the person what matters to them, what they need, not just what the service happens to offer. - Safeguarding: This one’s all about protecting people from abuse, neglect, or harm. Laws like Section 42 of the Care Act 2014 make it clear: providers can’t look the other way. Equality and Diversity: Services must be open, welcoming, and fair, no matter your background thanks in large part to the Equality Act 2010, which legally bans discrimination over things like age, race, or disability. - Evidence-based practice: Professionals use research and data to decide what works best no wild guesses or gut feelings where people’s wellbeing is involved. Funding is another twist. The NHS? It’s paid for mostly through taxes, which means using it won’t send you a bill or drown you in forms. Social care, though, is trickier it’s means-tested. That means if you have savings or own property, you might have to pitch in for your own care. National rules from </w:t>
      </w:r>
      <w:r>
        <w:rPr>
          <w:rFonts w:ascii="Arial" w:hAnsi="Arial" w:cs="Arial"/>
          <w:sz w:val="22"/>
          <w:szCs w:val="22"/>
        </w:rPr>
        <w:lastRenderedPageBreak/>
        <w:t>the Department of Health and Social Care spell out who qualifies for support and how much they pay. One last thing you hear about a lot if you work in health or social care: the “6 Cs” Care, Compassion, Competence, Communication, Courage, and Commitment. They’re not just nice words or posters on a wall. They’re a kind of code, guiding how staff behave and treat both patients and each other. The goal isn’t just to fill out paperwork and follow rules it’s to build a place where people feel supported, listened to, and respected, whether they’re receiving care or providing it. This focus on values sets a tone for the whole system, reaching right down to every patient conversation and every small act of support.</w:t>
      </w:r>
    </w:p>
    <w:p w14:paraId="69F2C640" w14:textId="77777777" w:rsidR="00034B22" w:rsidRDefault="00E93B9C">
      <w:pPr>
        <w:rPr>
          <w:rFonts w:ascii="Arial" w:hAnsi="Arial" w:cs="Arial"/>
          <w:b/>
          <w:bCs/>
          <w:sz w:val="22"/>
          <w:szCs w:val="22"/>
        </w:rPr>
      </w:pPr>
      <w:r>
        <w:rPr>
          <w:rFonts w:ascii="Arial" w:hAnsi="Arial" w:cs="Arial"/>
          <w:b/>
          <w:bCs/>
          <w:sz w:val="22"/>
          <w:szCs w:val="22"/>
        </w:rPr>
        <w:t>Methods</w:t>
      </w:r>
    </w:p>
    <w:p w14:paraId="21AC78A4" w14:textId="77777777" w:rsidR="00034B22" w:rsidRDefault="00E93B9C">
      <w:pPr>
        <w:rPr>
          <w:rFonts w:ascii="Arial" w:hAnsi="Arial" w:cs="Arial"/>
          <w:sz w:val="22"/>
          <w:szCs w:val="22"/>
        </w:rPr>
      </w:pPr>
      <w:r>
        <w:rPr>
          <w:rFonts w:ascii="Arial" w:hAnsi="Arial" w:cs="Arial"/>
          <w:sz w:val="22"/>
          <w:szCs w:val="22"/>
        </w:rPr>
        <w:t xml:space="preserve">Research in health and social care across the UK faces strict guidelines, and there’s good reason for that. People trust that their privacy and wellbeing will be respected, and researchers must make sure their work stands on solid ground. Following regulations like the General Data Protection Regulation (GDPR) and the Data Protection Act 2018 isn’t just a box-ticking exercise it’s about protecting people, making sure findings are credible, and keeping everything above board. </w:t>
      </w:r>
    </w:p>
    <w:p w14:paraId="709CFAED" w14:textId="77777777" w:rsidR="00034B22" w:rsidRDefault="00E93B9C">
      <w:pPr>
        <w:rPr>
          <w:rFonts w:ascii="Arial" w:hAnsi="Arial" w:cs="Arial"/>
          <w:sz w:val="22"/>
          <w:szCs w:val="22"/>
        </w:rPr>
      </w:pPr>
      <w:r>
        <w:rPr>
          <w:rFonts w:ascii="Arial" w:hAnsi="Arial" w:cs="Arial"/>
          <w:sz w:val="22"/>
          <w:szCs w:val="22"/>
        </w:rPr>
        <w:t xml:space="preserve">Methods of Data Collection To really understand people’s experiences in health and social care, researchers often reach for a mixed-methods approach. Life is messy, complicated and no single method captures the whole story. Qualitative Methods: Here, the focus is on experiences, beliefs, and attitudes. If you want to know how someone feels or thinks, you must listen. Semi-structured Interviews: These interviews give people space to share their stories in depth, while still staying on topic. The conversation flows, but there’s guidance so nothing important gets lost. Focus Groups: Sometimes, it’s not just about the individual, but the group. In focus groups, researchers watch people interact, spar, and agree or disagree. Group dynamics can reveal attitudes that individuals might not share on their own. Observation: Watching what happens, either out in care settings or within organizations, catches real moments in real time. You notice interactions, body language, and environmental factors. </w:t>
      </w:r>
    </w:p>
    <w:p w14:paraId="51533DA6" w14:textId="77777777" w:rsidR="00034B22" w:rsidRDefault="00E93B9C">
      <w:pPr>
        <w:rPr>
          <w:rFonts w:ascii="Arial" w:hAnsi="Arial" w:cs="Arial"/>
          <w:sz w:val="22"/>
          <w:szCs w:val="22"/>
        </w:rPr>
      </w:pPr>
      <w:r>
        <w:rPr>
          <w:rFonts w:ascii="Arial" w:hAnsi="Arial" w:cs="Arial"/>
          <w:sz w:val="22"/>
          <w:szCs w:val="22"/>
        </w:rPr>
        <w:t xml:space="preserve">Quantitative Methods: If you need numbers of trends, frequencies, outcomes this is where you turn. Surveys/Questionnaires: These tools make it possible to reach a lot of people, fast. A well-worded survey can surface patterns and problems that are otherwise invisible. Clinical Audit and Secondary Data Analysis: Sometimes, the answers are already in the records. Analysing Electronic Patient Records (EPR) or local authority datasets can reveal gaps, trends, or unexpected links. 2. Methods of Data Analysis Collecting data is only half the battle. To make sense of it all, researchers analyse information precisely keeping the process clear and repeatable. Qualitative Analysis: Thematic Analysis: One of the most popular ways to analyse qualitative data. Researchers read transcripts, tag bits of meaning, and look for recurring themes. Braun &amp; Clarke’s six-step framework helps keep everything methodical, so nothing gets missed. Interpretative Phenomenological Analysis (IPA): For smaller studies, IPA digs deep, exploring how people make sense of profound life changes—like getting a new diagnosis or experiencing a loss. </w:t>
      </w:r>
    </w:p>
    <w:p w14:paraId="0170E432" w14:textId="77777777" w:rsidR="00034B22" w:rsidRDefault="00E93B9C">
      <w:pPr>
        <w:rPr>
          <w:rFonts w:ascii="Arial" w:hAnsi="Arial" w:cs="Arial"/>
          <w:sz w:val="22"/>
          <w:szCs w:val="22"/>
        </w:rPr>
      </w:pPr>
      <w:r>
        <w:rPr>
          <w:rFonts w:ascii="Arial" w:hAnsi="Arial" w:cs="Arial"/>
          <w:sz w:val="22"/>
          <w:szCs w:val="22"/>
        </w:rPr>
        <w:t xml:space="preserve">Quantitative Analysis: Descriptive Statistics: This is where numbers begin to take shape averages, medians, modes, and spreads show the lay of the land. Inferential Statistics: Here, tools like t-tests, ANOVA, or Chi-square enter the picture. These tests help show if findings aren’t just flukes but statistically significant often summarized as p&lt;0.05. Software Tools: Making sense of data isn’t always easy by hand. Software like SPSS, NVivo, and R </w:t>
      </w:r>
      <w:r>
        <w:rPr>
          <w:rFonts w:ascii="Arial" w:hAnsi="Arial" w:cs="Arial"/>
          <w:sz w:val="22"/>
          <w:szCs w:val="22"/>
        </w:rPr>
        <w:lastRenderedPageBreak/>
        <w:t xml:space="preserve">helps researchers crunch numbers and organize interviews, speeding things up and making the results more reliable. </w:t>
      </w:r>
    </w:p>
    <w:p w14:paraId="62EF124D" w14:textId="77777777" w:rsidR="00034B22" w:rsidRDefault="00E93B9C">
      <w:pPr>
        <w:rPr>
          <w:rFonts w:ascii="Arial" w:hAnsi="Arial" w:cs="Arial"/>
          <w:sz w:val="22"/>
          <w:szCs w:val="22"/>
        </w:rPr>
      </w:pPr>
      <w:r>
        <w:rPr>
          <w:rFonts w:ascii="Arial" w:hAnsi="Arial" w:cs="Arial"/>
          <w:sz w:val="22"/>
          <w:szCs w:val="22"/>
        </w:rPr>
        <w:t>Ethical Research Considerations You can’t talk research without ethics, especially in the NHS or social care services. In the UK, proposals usually go through the Health Research Authority (HRA) and the Integrated Research Application System (IRAS) to check everything is safe and just. Core Ethical Principles Informed Consent: Nobody should find themselves part of a study they don’t truly understand. Participants get all the details upfront the risks, the goals, and a clear path for walking away if they choose. When someone can’t give consent themselves, the Mental Capacity Act 2005 steps in, outlining who can decide for them. Anonymity and Confidentiality: GDPR isn’t just a piece of paper. Any information researchers gather needs proper protection. That means data is anonymized or pseudonymized, and everything is stored securely on encrypted servers with only the right people having access. Beneficence and Non-maleficence: Research should aim to help, not hurt. “First, do no harm” covers physical, emotional, and even financial safety. DBS Checks: Vulnerable groups need extra protection. If researchers work directly with these groups, they need a Disclosure and Barring Service (DBS) certificate, proving they’re cleared to do the work. Every one of these steps matters. They set the foundation for ethical, reliable research that genuinely helps people without ever losing sight of their rights and dignity.</w:t>
      </w:r>
    </w:p>
    <w:p w14:paraId="089E0066" w14:textId="77777777" w:rsidR="00034B22" w:rsidRDefault="00E93B9C">
      <w:pPr>
        <w:rPr>
          <w:rFonts w:ascii="Arial" w:hAnsi="Arial" w:cs="Arial"/>
          <w:b/>
          <w:bCs/>
          <w:sz w:val="22"/>
          <w:szCs w:val="22"/>
        </w:rPr>
      </w:pPr>
      <w:r>
        <w:rPr>
          <w:rFonts w:ascii="Arial" w:hAnsi="Arial" w:cs="Arial"/>
          <w:b/>
          <w:bCs/>
          <w:sz w:val="22"/>
          <w:szCs w:val="22"/>
        </w:rPr>
        <w:t>Results</w:t>
      </w:r>
    </w:p>
    <w:p w14:paraId="308201A0" w14:textId="77777777" w:rsidR="00034B22" w:rsidRDefault="00E93B9C">
      <w:pPr>
        <w:rPr>
          <w:rFonts w:ascii="Arial" w:hAnsi="Arial" w:cs="Arial"/>
          <w:sz w:val="22"/>
          <w:szCs w:val="22"/>
        </w:rPr>
      </w:pPr>
      <w:r>
        <w:rPr>
          <w:rFonts w:ascii="Arial" w:hAnsi="Arial" w:cs="Arial"/>
          <w:sz w:val="22"/>
          <w:szCs w:val="22"/>
        </w:rPr>
        <w:t>Bringing digital health technology into the UK’s health and social care system isn’t just an upgrade it’s a necessity. With more people living longer, and a growing demand for care outside the hospital, leaders can’t afford to ignore what digital tools offer. This review pulls together findings from five important studies to really dig into how digital adoption is changing the way care is delivered, what it’s doing to the workforce, and most importantly what it means for patients.</w:t>
      </w:r>
    </w:p>
    <w:p w14:paraId="0685364A" w14:textId="77777777" w:rsidR="00034B22" w:rsidRDefault="00E93B9C">
      <w:pPr>
        <w:rPr>
          <w:rFonts w:ascii="Arial" w:hAnsi="Arial" w:cs="Arial"/>
          <w:b/>
          <w:bCs/>
          <w:sz w:val="22"/>
          <w:szCs w:val="22"/>
        </w:rPr>
      </w:pPr>
      <w:r>
        <w:rPr>
          <w:rFonts w:ascii="Arial" w:hAnsi="Arial" w:cs="Arial"/>
          <w:b/>
          <w:bCs/>
          <w:sz w:val="22"/>
          <w:szCs w:val="22"/>
        </w:rPr>
        <w:t xml:space="preserve">Thematic Analysis </w:t>
      </w:r>
    </w:p>
    <w:p w14:paraId="3F805C38" w14:textId="77777777" w:rsidR="00034B22" w:rsidRDefault="00E93B9C">
      <w:pPr>
        <w:rPr>
          <w:rFonts w:ascii="Arial" w:hAnsi="Arial" w:cs="Arial"/>
          <w:sz w:val="22"/>
          <w:szCs w:val="22"/>
        </w:rPr>
      </w:pPr>
      <w:r>
        <w:rPr>
          <w:rFonts w:ascii="Arial" w:hAnsi="Arial" w:cs="Arial"/>
          <w:sz w:val="22"/>
          <w:szCs w:val="22"/>
        </w:rPr>
        <w:t xml:space="preserve">It’s clear from the research that digital tools pack serious potential to change the game. But here’s the catch: if organizations aren’t ready if they don’t have the backbone, the right systems, or the willingness to adapt these tools won’t really deliver. The literature brings up three big ideas worth focusing on. Enhanced Efficiency and Proactive Care The evidence is clear: remote monitoring works. When care providers start tracking things like blood pressure or oxygen levels in real-time, they can act early instead of just cleaning up after problems. So, A&amp;E departments don’t get slammed, and there’s a real opportunity to save money. If you want to get technical, the value looks something like this: “Net Benefit” equals “Avoided Hospital Costs,” minus the “Technology Implementation Costs.” But it’s not just about balancing the books. Patel (2022) points out that with better tools; staff don’t spend all day buried in paperwork. They can spend more time with patients in their homes. That’s where real improvement in quality of care happens, and you really feel the difference in those more personal, home-based settings. The Digital Skills Gap But digital tools alone aren’t enough. One major obstacle is the gap between what technology can do and what people using it know. Jones and Lee (2020) nail the issue by arguing that the “digital divide” isn’t just about whether older patients can use apps it’s about whether workers themselves have the skills. Without proper, required digital training, clinicians end up creating shortcuts or simply ignore advanced systems. Haux et al. (2017) back this up, saying that to make digital work, the entire health workforce must embrace continual learning. It’s a cultural shift, </w:t>
      </w:r>
      <w:r>
        <w:rPr>
          <w:rFonts w:ascii="Arial" w:hAnsi="Arial" w:cs="Arial"/>
          <w:sz w:val="22"/>
          <w:szCs w:val="22"/>
        </w:rPr>
        <w:lastRenderedPageBreak/>
        <w:t>not just a box-ticking exercise when it comes to skill-building. Challenges in Data Interoperability This next bit gets at the heart of why digital progress sometimes stalls. The systems just don’t talk to each other. According to Brown (2023), even when one piece of software is great, it doesn’t matter much if a hospital system can’t connect to local social care records. Clinicians can miss out on important information about a patient’s background. As Greenhalgh et al. (2020) point out, fixing this isn’t just a tech problem it’s a sociotechnical one. To get it right, everyone from policymakers to IT teams needs to be on board and pushing for better governance and alignment. If you step back, digital health is reshaping the whole UK care sector. Moving from outdated, disconnected systems to smart, connected platforms is the only way to keep up with a rising tide of older patients and more complex care needs. Better systems bring more efficiency and give patients more say in their care. But for real progress everyone policymakers, tech developers, frontline staff must work together, tackling both technical glitches and human challenges. To wrap up, here’s a table that breaks down where research, policy, and practice need to aim next if the sector wants to really benefit from digital health’s promise.</w:t>
      </w:r>
    </w:p>
    <w:p w14:paraId="3A5EB80C" w14:textId="77777777" w:rsidR="00034B22" w:rsidRDefault="00E93B9C">
      <w:pPr>
        <w:rPr>
          <w:rFonts w:ascii="Arial" w:hAnsi="Arial" w:cs="Arial"/>
          <w:b/>
          <w:bCs/>
          <w:sz w:val="22"/>
          <w:szCs w:val="22"/>
        </w:rPr>
      </w:pPr>
      <w:r>
        <w:rPr>
          <w:rFonts w:ascii="Arial" w:hAnsi="Arial" w:cs="Arial"/>
          <w:b/>
          <w:bCs/>
          <w:sz w:val="22"/>
          <w:szCs w:val="22"/>
        </w:rPr>
        <w:t>Summary of Included Studies</w:t>
      </w:r>
    </w:p>
    <w:tbl>
      <w:tblPr>
        <w:tblW w:w="11340" w:type="dxa"/>
        <w:tblInd w:w="-1154" w:type="dxa"/>
        <w:tblCellMar>
          <w:left w:w="10" w:type="dxa"/>
          <w:right w:w="10" w:type="dxa"/>
        </w:tblCellMar>
        <w:tblLook w:val="0000" w:firstRow="0" w:lastRow="0" w:firstColumn="0" w:lastColumn="0" w:noHBand="0" w:noVBand="0"/>
      </w:tblPr>
      <w:tblGrid>
        <w:gridCol w:w="2348"/>
        <w:gridCol w:w="1572"/>
        <w:gridCol w:w="2226"/>
        <w:gridCol w:w="5194"/>
      </w:tblGrid>
      <w:tr w:rsidR="00034B22" w14:paraId="58D26035" w14:textId="77777777">
        <w:trPr>
          <w:tblHeader/>
        </w:trPr>
        <w:tc>
          <w:tcPr>
            <w:tcW w:w="2348" w:type="dxa"/>
            <w:shd w:val="clear" w:color="auto" w:fill="FFFFFF"/>
            <w:tcMar>
              <w:top w:w="90" w:type="dxa"/>
              <w:left w:w="195" w:type="dxa"/>
              <w:bottom w:w="90" w:type="dxa"/>
              <w:right w:w="195" w:type="dxa"/>
            </w:tcMar>
            <w:vAlign w:val="center"/>
          </w:tcPr>
          <w:p w14:paraId="5EC766D2" w14:textId="77777777" w:rsidR="00034B22" w:rsidRDefault="00E93B9C">
            <w:pPr>
              <w:rPr>
                <w:rFonts w:ascii="Arial" w:hAnsi="Arial" w:cs="Arial"/>
                <w:b/>
                <w:bCs/>
                <w:sz w:val="22"/>
                <w:szCs w:val="22"/>
              </w:rPr>
            </w:pPr>
            <w:r>
              <w:rPr>
                <w:rFonts w:ascii="Arial" w:hAnsi="Arial" w:cs="Arial"/>
                <w:b/>
                <w:bCs/>
                <w:sz w:val="22"/>
                <w:szCs w:val="22"/>
              </w:rPr>
              <w:t>Author (Year)</w:t>
            </w:r>
          </w:p>
        </w:tc>
        <w:tc>
          <w:tcPr>
            <w:tcW w:w="1572" w:type="dxa"/>
            <w:shd w:val="clear" w:color="auto" w:fill="FFFFFF"/>
            <w:tcMar>
              <w:top w:w="90" w:type="dxa"/>
              <w:left w:w="195" w:type="dxa"/>
              <w:bottom w:w="90" w:type="dxa"/>
              <w:right w:w="195" w:type="dxa"/>
            </w:tcMar>
            <w:vAlign w:val="center"/>
          </w:tcPr>
          <w:p w14:paraId="22C0648D" w14:textId="77777777" w:rsidR="00034B22" w:rsidRDefault="00E93B9C">
            <w:pPr>
              <w:rPr>
                <w:rFonts w:ascii="Arial" w:hAnsi="Arial" w:cs="Arial"/>
                <w:b/>
                <w:bCs/>
                <w:sz w:val="22"/>
                <w:szCs w:val="22"/>
              </w:rPr>
            </w:pPr>
            <w:r>
              <w:rPr>
                <w:rFonts w:ascii="Arial" w:hAnsi="Arial" w:cs="Arial"/>
                <w:b/>
                <w:bCs/>
                <w:sz w:val="22"/>
                <w:szCs w:val="22"/>
              </w:rPr>
              <w:t>Study Type</w:t>
            </w:r>
          </w:p>
        </w:tc>
        <w:tc>
          <w:tcPr>
            <w:tcW w:w="2226" w:type="dxa"/>
            <w:shd w:val="clear" w:color="auto" w:fill="FFFFFF"/>
            <w:tcMar>
              <w:top w:w="90" w:type="dxa"/>
              <w:left w:w="195" w:type="dxa"/>
              <w:bottom w:w="90" w:type="dxa"/>
              <w:right w:w="195" w:type="dxa"/>
            </w:tcMar>
            <w:vAlign w:val="center"/>
          </w:tcPr>
          <w:p w14:paraId="49DE3C08" w14:textId="77777777" w:rsidR="00034B22" w:rsidRDefault="00E93B9C">
            <w:pPr>
              <w:rPr>
                <w:rFonts w:ascii="Arial" w:hAnsi="Arial" w:cs="Arial"/>
                <w:b/>
                <w:bCs/>
                <w:sz w:val="22"/>
                <w:szCs w:val="22"/>
              </w:rPr>
            </w:pPr>
            <w:r>
              <w:rPr>
                <w:rFonts w:ascii="Arial" w:hAnsi="Arial" w:cs="Arial"/>
                <w:b/>
                <w:bCs/>
                <w:sz w:val="22"/>
                <w:szCs w:val="22"/>
              </w:rPr>
              <w:t>Focus Area</w:t>
            </w:r>
          </w:p>
        </w:tc>
        <w:tc>
          <w:tcPr>
            <w:tcW w:w="5194" w:type="dxa"/>
            <w:shd w:val="clear" w:color="auto" w:fill="FFFFFF"/>
            <w:tcMar>
              <w:top w:w="90" w:type="dxa"/>
              <w:left w:w="195" w:type="dxa"/>
              <w:bottom w:w="90" w:type="dxa"/>
              <w:right w:w="195" w:type="dxa"/>
            </w:tcMar>
            <w:vAlign w:val="center"/>
          </w:tcPr>
          <w:p w14:paraId="6DB1CB55" w14:textId="77777777" w:rsidR="00034B22" w:rsidRDefault="00E93B9C">
            <w:pPr>
              <w:rPr>
                <w:rFonts w:ascii="Arial" w:hAnsi="Arial" w:cs="Arial"/>
                <w:b/>
                <w:bCs/>
                <w:sz w:val="22"/>
                <w:szCs w:val="22"/>
              </w:rPr>
            </w:pPr>
            <w:r>
              <w:rPr>
                <w:rFonts w:ascii="Arial" w:hAnsi="Arial" w:cs="Arial"/>
                <w:b/>
                <w:bCs/>
                <w:sz w:val="22"/>
                <w:szCs w:val="22"/>
              </w:rPr>
              <w:t>Key Findings</w:t>
            </w:r>
          </w:p>
        </w:tc>
      </w:tr>
      <w:tr w:rsidR="00034B22" w14:paraId="28A5DE9F" w14:textId="77777777">
        <w:tc>
          <w:tcPr>
            <w:tcW w:w="2348" w:type="dxa"/>
            <w:tcBorders>
              <w:bottom w:val="single" w:sz="6" w:space="0" w:color="CBD5E1"/>
            </w:tcBorders>
            <w:shd w:val="clear" w:color="auto" w:fill="F8FAFC"/>
            <w:tcMar>
              <w:top w:w="90" w:type="dxa"/>
              <w:left w:w="195" w:type="dxa"/>
              <w:bottom w:w="90" w:type="dxa"/>
              <w:right w:w="195" w:type="dxa"/>
            </w:tcMar>
            <w:vAlign w:val="center"/>
          </w:tcPr>
          <w:p w14:paraId="19C1B37D" w14:textId="77777777" w:rsidR="00034B22" w:rsidRDefault="00E93B9C">
            <w:r>
              <w:rPr>
                <w:rFonts w:ascii="Arial" w:hAnsi="Arial" w:cs="Arial"/>
                <w:b/>
                <w:bCs/>
                <w:sz w:val="22"/>
                <w:szCs w:val="22"/>
              </w:rPr>
              <w:t>Smith et al. (2021)</w:t>
            </w:r>
          </w:p>
        </w:tc>
        <w:tc>
          <w:tcPr>
            <w:tcW w:w="1572" w:type="dxa"/>
            <w:tcBorders>
              <w:bottom w:val="single" w:sz="6" w:space="0" w:color="CBD5E1"/>
            </w:tcBorders>
            <w:shd w:val="clear" w:color="auto" w:fill="F8FAFC"/>
            <w:tcMar>
              <w:top w:w="90" w:type="dxa"/>
              <w:left w:w="195" w:type="dxa"/>
              <w:bottom w:w="90" w:type="dxa"/>
              <w:right w:w="195" w:type="dxa"/>
            </w:tcMar>
            <w:vAlign w:val="center"/>
          </w:tcPr>
          <w:p w14:paraId="370F7AE8" w14:textId="77777777" w:rsidR="00034B22" w:rsidRDefault="00E93B9C">
            <w:pPr>
              <w:rPr>
                <w:rFonts w:ascii="Arial" w:hAnsi="Arial" w:cs="Arial"/>
                <w:sz w:val="22"/>
                <w:szCs w:val="22"/>
              </w:rPr>
            </w:pPr>
            <w:r>
              <w:rPr>
                <w:rFonts w:ascii="Arial" w:hAnsi="Arial" w:cs="Arial"/>
                <w:sz w:val="22"/>
                <w:szCs w:val="22"/>
              </w:rPr>
              <w:t>Primary</w:t>
            </w:r>
          </w:p>
        </w:tc>
        <w:tc>
          <w:tcPr>
            <w:tcW w:w="2226" w:type="dxa"/>
            <w:tcBorders>
              <w:bottom w:val="single" w:sz="6" w:space="0" w:color="CBD5E1"/>
            </w:tcBorders>
            <w:shd w:val="clear" w:color="auto" w:fill="F8FAFC"/>
            <w:tcMar>
              <w:top w:w="90" w:type="dxa"/>
              <w:left w:w="195" w:type="dxa"/>
              <w:bottom w:w="90" w:type="dxa"/>
              <w:right w:w="195" w:type="dxa"/>
            </w:tcMar>
            <w:vAlign w:val="center"/>
          </w:tcPr>
          <w:p w14:paraId="67EAEE78" w14:textId="77777777" w:rsidR="00034B22" w:rsidRDefault="00E93B9C">
            <w:pPr>
              <w:rPr>
                <w:rFonts w:ascii="Arial" w:hAnsi="Arial" w:cs="Arial"/>
                <w:sz w:val="22"/>
                <w:szCs w:val="22"/>
              </w:rPr>
            </w:pPr>
            <w:r>
              <w:rPr>
                <w:rFonts w:ascii="Arial" w:hAnsi="Arial" w:cs="Arial"/>
                <w:sz w:val="22"/>
                <w:szCs w:val="22"/>
              </w:rPr>
              <w:t>Telecare adoption</w:t>
            </w:r>
          </w:p>
        </w:tc>
        <w:tc>
          <w:tcPr>
            <w:tcW w:w="5194" w:type="dxa"/>
            <w:tcBorders>
              <w:bottom w:val="single" w:sz="6" w:space="0" w:color="CBD5E1"/>
            </w:tcBorders>
            <w:shd w:val="clear" w:color="auto" w:fill="F8FAFC"/>
            <w:tcMar>
              <w:top w:w="90" w:type="dxa"/>
              <w:left w:w="195" w:type="dxa"/>
              <w:bottom w:w="90" w:type="dxa"/>
              <w:right w:w="195" w:type="dxa"/>
            </w:tcMar>
            <w:vAlign w:val="center"/>
          </w:tcPr>
          <w:p w14:paraId="3ACB69C8" w14:textId="77777777" w:rsidR="00034B22" w:rsidRDefault="00E93B9C">
            <w:r>
              <w:rPr>
                <w:rFonts w:ascii="Arial" w:hAnsi="Arial" w:cs="Arial"/>
                <w:sz w:val="22"/>
                <w:szCs w:val="22"/>
              </w:rPr>
              <w:t>Reduced hospital readmission rates by </w:t>
            </w:r>
            <m:oMath>
              <m:r>
                <w:rPr>
                  <w:rFonts w:ascii="Cambria Math" w:hAnsi="Cambria Math"/>
                </w:rPr>
                <m:t>15</m:t>
              </m:r>
              <m:r>
                <m:rPr>
                  <m:sty m:val="p"/>
                </m:rPr>
                <w:rPr>
                  <w:rFonts w:ascii="Cambria Math" w:hAnsi="Cambria Math"/>
                </w:rPr>
                <m:t>%</m:t>
              </m:r>
            </m:oMath>
            <w:r>
              <w:rPr>
                <w:rFonts w:ascii="Arial" w:hAnsi="Arial" w:cs="Arial"/>
                <w:sz w:val="22"/>
                <w:szCs w:val="22"/>
              </w:rPr>
              <w:t>.</w:t>
            </w:r>
          </w:p>
        </w:tc>
      </w:tr>
      <w:tr w:rsidR="00034B22" w14:paraId="61BCFE88" w14:textId="77777777">
        <w:tc>
          <w:tcPr>
            <w:tcW w:w="2348" w:type="dxa"/>
            <w:tcBorders>
              <w:bottom w:val="single" w:sz="6" w:space="0" w:color="CBD5E1"/>
            </w:tcBorders>
            <w:shd w:val="clear" w:color="auto" w:fill="F7F8FA"/>
            <w:tcMar>
              <w:top w:w="90" w:type="dxa"/>
              <w:left w:w="195" w:type="dxa"/>
              <w:bottom w:w="90" w:type="dxa"/>
              <w:right w:w="195" w:type="dxa"/>
            </w:tcMar>
            <w:vAlign w:val="center"/>
          </w:tcPr>
          <w:p w14:paraId="7E5A3FBE" w14:textId="77777777" w:rsidR="00034B22" w:rsidRDefault="00E93B9C">
            <w:r>
              <w:rPr>
                <w:rFonts w:ascii="Arial" w:hAnsi="Arial" w:cs="Arial"/>
                <w:b/>
                <w:bCs/>
                <w:sz w:val="22"/>
                <w:szCs w:val="22"/>
              </w:rPr>
              <w:t>Jones &amp; Lee (2020)</w:t>
            </w:r>
          </w:p>
        </w:tc>
        <w:tc>
          <w:tcPr>
            <w:tcW w:w="1572" w:type="dxa"/>
            <w:tcBorders>
              <w:bottom w:val="single" w:sz="6" w:space="0" w:color="CBD5E1"/>
            </w:tcBorders>
            <w:shd w:val="clear" w:color="auto" w:fill="F7F8FA"/>
            <w:tcMar>
              <w:top w:w="90" w:type="dxa"/>
              <w:left w:w="195" w:type="dxa"/>
              <w:bottom w:w="90" w:type="dxa"/>
              <w:right w:w="195" w:type="dxa"/>
            </w:tcMar>
            <w:vAlign w:val="center"/>
          </w:tcPr>
          <w:p w14:paraId="674C4EE3" w14:textId="77777777" w:rsidR="00034B22" w:rsidRDefault="00E93B9C">
            <w:pPr>
              <w:rPr>
                <w:rFonts w:ascii="Arial" w:hAnsi="Arial" w:cs="Arial"/>
                <w:sz w:val="22"/>
                <w:szCs w:val="22"/>
              </w:rPr>
            </w:pPr>
            <w:r>
              <w:rPr>
                <w:rFonts w:ascii="Arial" w:hAnsi="Arial" w:cs="Arial"/>
                <w:sz w:val="22"/>
                <w:szCs w:val="22"/>
              </w:rPr>
              <w:t>Secondary</w:t>
            </w:r>
          </w:p>
        </w:tc>
        <w:tc>
          <w:tcPr>
            <w:tcW w:w="2226" w:type="dxa"/>
            <w:tcBorders>
              <w:bottom w:val="single" w:sz="6" w:space="0" w:color="CBD5E1"/>
            </w:tcBorders>
            <w:shd w:val="clear" w:color="auto" w:fill="F7F8FA"/>
            <w:tcMar>
              <w:top w:w="90" w:type="dxa"/>
              <w:left w:w="195" w:type="dxa"/>
              <w:bottom w:w="90" w:type="dxa"/>
              <w:right w:w="195" w:type="dxa"/>
            </w:tcMar>
            <w:vAlign w:val="center"/>
          </w:tcPr>
          <w:p w14:paraId="757B45D6" w14:textId="77777777" w:rsidR="00034B22" w:rsidRDefault="00E93B9C">
            <w:pPr>
              <w:rPr>
                <w:rFonts w:ascii="Arial" w:hAnsi="Arial" w:cs="Arial"/>
                <w:sz w:val="22"/>
                <w:szCs w:val="22"/>
              </w:rPr>
            </w:pPr>
            <w:r>
              <w:rPr>
                <w:rFonts w:ascii="Arial" w:hAnsi="Arial" w:cs="Arial"/>
                <w:sz w:val="22"/>
                <w:szCs w:val="22"/>
              </w:rPr>
              <w:t>Workforce training</w:t>
            </w:r>
          </w:p>
        </w:tc>
        <w:tc>
          <w:tcPr>
            <w:tcW w:w="5194" w:type="dxa"/>
            <w:tcBorders>
              <w:bottom w:val="single" w:sz="6" w:space="0" w:color="CBD5E1"/>
            </w:tcBorders>
            <w:shd w:val="clear" w:color="auto" w:fill="F7F8FA"/>
            <w:tcMar>
              <w:top w:w="90" w:type="dxa"/>
              <w:left w:w="195" w:type="dxa"/>
              <w:bottom w:w="90" w:type="dxa"/>
              <w:right w:w="195" w:type="dxa"/>
            </w:tcMar>
            <w:vAlign w:val="center"/>
          </w:tcPr>
          <w:p w14:paraId="153307C0" w14:textId="77777777" w:rsidR="00034B22" w:rsidRDefault="00E93B9C">
            <w:pPr>
              <w:rPr>
                <w:rFonts w:ascii="Arial" w:hAnsi="Arial" w:cs="Arial"/>
                <w:sz w:val="22"/>
                <w:szCs w:val="22"/>
              </w:rPr>
            </w:pPr>
            <w:r>
              <w:rPr>
                <w:rFonts w:ascii="Arial" w:hAnsi="Arial" w:cs="Arial"/>
                <w:sz w:val="22"/>
                <w:szCs w:val="22"/>
              </w:rPr>
              <w:t>Digital literacy gaps hinder system uptake.</w:t>
            </w:r>
          </w:p>
        </w:tc>
      </w:tr>
      <w:tr w:rsidR="00034B22" w14:paraId="438399D0" w14:textId="77777777">
        <w:tc>
          <w:tcPr>
            <w:tcW w:w="2348" w:type="dxa"/>
            <w:tcBorders>
              <w:bottom w:val="single" w:sz="6" w:space="0" w:color="CBD5E1"/>
            </w:tcBorders>
            <w:shd w:val="clear" w:color="auto" w:fill="F8FAFC"/>
            <w:tcMar>
              <w:top w:w="90" w:type="dxa"/>
              <w:left w:w="195" w:type="dxa"/>
              <w:bottom w:w="90" w:type="dxa"/>
              <w:right w:w="195" w:type="dxa"/>
            </w:tcMar>
            <w:vAlign w:val="center"/>
          </w:tcPr>
          <w:p w14:paraId="2A7D8093" w14:textId="77777777" w:rsidR="00034B22" w:rsidRDefault="00E93B9C">
            <w:r>
              <w:rPr>
                <w:rFonts w:ascii="Arial" w:hAnsi="Arial" w:cs="Arial"/>
                <w:b/>
                <w:bCs/>
                <w:sz w:val="22"/>
                <w:szCs w:val="22"/>
              </w:rPr>
              <w:t>Patel (2022)</w:t>
            </w:r>
          </w:p>
        </w:tc>
        <w:tc>
          <w:tcPr>
            <w:tcW w:w="1572" w:type="dxa"/>
            <w:tcBorders>
              <w:bottom w:val="single" w:sz="6" w:space="0" w:color="CBD5E1"/>
            </w:tcBorders>
            <w:shd w:val="clear" w:color="auto" w:fill="F8FAFC"/>
            <w:tcMar>
              <w:top w:w="90" w:type="dxa"/>
              <w:left w:w="195" w:type="dxa"/>
              <w:bottom w:w="90" w:type="dxa"/>
              <w:right w:w="195" w:type="dxa"/>
            </w:tcMar>
            <w:vAlign w:val="center"/>
          </w:tcPr>
          <w:p w14:paraId="2BBA40B9" w14:textId="77777777" w:rsidR="00034B22" w:rsidRDefault="00E93B9C">
            <w:pPr>
              <w:rPr>
                <w:rFonts w:ascii="Arial" w:hAnsi="Arial" w:cs="Arial"/>
                <w:sz w:val="22"/>
                <w:szCs w:val="22"/>
              </w:rPr>
            </w:pPr>
            <w:r>
              <w:rPr>
                <w:rFonts w:ascii="Arial" w:hAnsi="Arial" w:cs="Arial"/>
                <w:sz w:val="22"/>
                <w:szCs w:val="22"/>
              </w:rPr>
              <w:t>Primary</w:t>
            </w:r>
          </w:p>
        </w:tc>
        <w:tc>
          <w:tcPr>
            <w:tcW w:w="2226" w:type="dxa"/>
            <w:tcBorders>
              <w:bottom w:val="single" w:sz="6" w:space="0" w:color="CBD5E1"/>
            </w:tcBorders>
            <w:shd w:val="clear" w:color="auto" w:fill="F8FAFC"/>
            <w:tcMar>
              <w:top w:w="90" w:type="dxa"/>
              <w:left w:w="195" w:type="dxa"/>
              <w:bottom w:w="90" w:type="dxa"/>
              <w:right w:w="195" w:type="dxa"/>
            </w:tcMar>
            <w:vAlign w:val="center"/>
          </w:tcPr>
          <w:p w14:paraId="2351D153" w14:textId="77777777" w:rsidR="00034B22" w:rsidRDefault="00E93B9C">
            <w:pPr>
              <w:rPr>
                <w:rFonts w:ascii="Arial" w:hAnsi="Arial" w:cs="Arial"/>
                <w:sz w:val="22"/>
                <w:szCs w:val="22"/>
              </w:rPr>
            </w:pPr>
            <w:r>
              <w:rPr>
                <w:rFonts w:ascii="Arial" w:hAnsi="Arial" w:cs="Arial"/>
                <w:sz w:val="22"/>
                <w:szCs w:val="22"/>
              </w:rPr>
              <w:t>Remote monitoring</w:t>
            </w:r>
          </w:p>
        </w:tc>
        <w:tc>
          <w:tcPr>
            <w:tcW w:w="5194" w:type="dxa"/>
            <w:tcBorders>
              <w:bottom w:val="single" w:sz="6" w:space="0" w:color="CBD5E1"/>
            </w:tcBorders>
            <w:shd w:val="clear" w:color="auto" w:fill="F8FAFC"/>
            <w:tcMar>
              <w:top w:w="90" w:type="dxa"/>
              <w:left w:w="195" w:type="dxa"/>
              <w:bottom w:w="90" w:type="dxa"/>
              <w:right w:w="195" w:type="dxa"/>
            </w:tcMar>
            <w:vAlign w:val="center"/>
          </w:tcPr>
          <w:p w14:paraId="14D82802" w14:textId="77777777" w:rsidR="00034B22" w:rsidRDefault="00E93B9C">
            <w:pPr>
              <w:rPr>
                <w:rFonts w:ascii="Arial" w:hAnsi="Arial" w:cs="Arial"/>
                <w:sz w:val="22"/>
                <w:szCs w:val="22"/>
              </w:rPr>
            </w:pPr>
            <w:r>
              <w:rPr>
                <w:rFonts w:ascii="Arial" w:hAnsi="Arial" w:cs="Arial"/>
                <w:sz w:val="22"/>
                <w:szCs w:val="22"/>
              </w:rPr>
              <w:t>Increased staff efficiency for elderly care.</w:t>
            </w:r>
          </w:p>
        </w:tc>
      </w:tr>
      <w:tr w:rsidR="00034B22" w14:paraId="335EA829" w14:textId="77777777">
        <w:tc>
          <w:tcPr>
            <w:tcW w:w="2348" w:type="dxa"/>
            <w:tcBorders>
              <w:bottom w:val="single" w:sz="6" w:space="0" w:color="CBD5E1"/>
            </w:tcBorders>
            <w:shd w:val="clear" w:color="auto" w:fill="F7F8FA"/>
            <w:tcMar>
              <w:top w:w="90" w:type="dxa"/>
              <w:left w:w="195" w:type="dxa"/>
              <w:bottom w:w="90" w:type="dxa"/>
              <w:right w:w="195" w:type="dxa"/>
            </w:tcMar>
            <w:vAlign w:val="center"/>
          </w:tcPr>
          <w:p w14:paraId="2AB0862C" w14:textId="77777777" w:rsidR="00034B22" w:rsidRDefault="00E93B9C">
            <w:r>
              <w:rPr>
                <w:rFonts w:ascii="Arial" w:hAnsi="Arial" w:cs="Arial"/>
                <w:b/>
                <w:bCs/>
                <w:sz w:val="22"/>
                <w:szCs w:val="22"/>
              </w:rPr>
              <w:t>Brown (2023)</w:t>
            </w:r>
          </w:p>
        </w:tc>
        <w:tc>
          <w:tcPr>
            <w:tcW w:w="1572" w:type="dxa"/>
            <w:tcBorders>
              <w:bottom w:val="single" w:sz="6" w:space="0" w:color="CBD5E1"/>
            </w:tcBorders>
            <w:shd w:val="clear" w:color="auto" w:fill="F7F8FA"/>
            <w:tcMar>
              <w:top w:w="90" w:type="dxa"/>
              <w:left w:w="195" w:type="dxa"/>
              <w:bottom w:w="90" w:type="dxa"/>
              <w:right w:w="195" w:type="dxa"/>
            </w:tcMar>
            <w:vAlign w:val="center"/>
          </w:tcPr>
          <w:p w14:paraId="51181602" w14:textId="77777777" w:rsidR="00034B22" w:rsidRDefault="00E93B9C">
            <w:pPr>
              <w:rPr>
                <w:rFonts w:ascii="Arial" w:hAnsi="Arial" w:cs="Arial"/>
                <w:sz w:val="22"/>
                <w:szCs w:val="22"/>
              </w:rPr>
            </w:pPr>
            <w:r>
              <w:rPr>
                <w:rFonts w:ascii="Arial" w:hAnsi="Arial" w:cs="Arial"/>
                <w:sz w:val="22"/>
                <w:szCs w:val="22"/>
              </w:rPr>
              <w:t>Primary</w:t>
            </w:r>
          </w:p>
        </w:tc>
        <w:tc>
          <w:tcPr>
            <w:tcW w:w="2226" w:type="dxa"/>
            <w:tcBorders>
              <w:bottom w:val="single" w:sz="6" w:space="0" w:color="CBD5E1"/>
            </w:tcBorders>
            <w:shd w:val="clear" w:color="auto" w:fill="F7F8FA"/>
            <w:tcMar>
              <w:top w:w="90" w:type="dxa"/>
              <w:left w:w="195" w:type="dxa"/>
              <w:bottom w:w="90" w:type="dxa"/>
              <w:right w:w="195" w:type="dxa"/>
            </w:tcMar>
            <w:vAlign w:val="center"/>
          </w:tcPr>
          <w:p w14:paraId="24112445" w14:textId="77777777" w:rsidR="00034B22" w:rsidRDefault="00E93B9C">
            <w:pPr>
              <w:rPr>
                <w:rFonts w:ascii="Arial" w:hAnsi="Arial" w:cs="Arial"/>
                <w:sz w:val="22"/>
                <w:szCs w:val="22"/>
              </w:rPr>
            </w:pPr>
            <w:r>
              <w:rPr>
                <w:rFonts w:ascii="Arial" w:hAnsi="Arial" w:cs="Arial"/>
                <w:sz w:val="22"/>
                <w:szCs w:val="22"/>
              </w:rPr>
              <w:t>Data integration</w:t>
            </w:r>
          </w:p>
        </w:tc>
        <w:tc>
          <w:tcPr>
            <w:tcW w:w="5194" w:type="dxa"/>
            <w:tcBorders>
              <w:bottom w:val="single" w:sz="6" w:space="0" w:color="CBD5E1"/>
            </w:tcBorders>
            <w:shd w:val="clear" w:color="auto" w:fill="F7F8FA"/>
            <w:tcMar>
              <w:top w:w="90" w:type="dxa"/>
              <w:left w:w="195" w:type="dxa"/>
              <w:bottom w:w="90" w:type="dxa"/>
              <w:right w:w="195" w:type="dxa"/>
            </w:tcMar>
            <w:vAlign w:val="center"/>
          </w:tcPr>
          <w:p w14:paraId="40A920DD" w14:textId="77777777" w:rsidR="00034B22" w:rsidRDefault="00E93B9C">
            <w:pPr>
              <w:rPr>
                <w:rFonts w:ascii="Arial" w:hAnsi="Arial" w:cs="Arial"/>
                <w:sz w:val="22"/>
                <w:szCs w:val="22"/>
              </w:rPr>
            </w:pPr>
            <w:r>
              <w:rPr>
                <w:rFonts w:ascii="Arial" w:hAnsi="Arial" w:cs="Arial"/>
                <w:sz w:val="22"/>
                <w:szCs w:val="22"/>
              </w:rPr>
              <w:t>Interoperability challenges persist across systems.</w:t>
            </w:r>
          </w:p>
        </w:tc>
      </w:tr>
      <w:tr w:rsidR="00034B22" w14:paraId="6EE2389B" w14:textId="77777777">
        <w:tc>
          <w:tcPr>
            <w:tcW w:w="2348" w:type="dxa"/>
            <w:tcBorders>
              <w:bottom w:val="single" w:sz="6" w:space="0" w:color="CBD5E1"/>
            </w:tcBorders>
            <w:shd w:val="clear" w:color="auto" w:fill="F8FAFC"/>
            <w:tcMar>
              <w:top w:w="90" w:type="dxa"/>
              <w:left w:w="195" w:type="dxa"/>
              <w:bottom w:w="90" w:type="dxa"/>
              <w:right w:w="195" w:type="dxa"/>
            </w:tcMar>
            <w:vAlign w:val="center"/>
          </w:tcPr>
          <w:p w14:paraId="5165F99F" w14:textId="77777777" w:rsidR="00034B22" w:rsidRDefault="00E93B9C">
            <w:r>
              <w:rPr>
                <w:rFonts w:ascii="Arial" w:hAnsi="Arial" w:cs="Arial"/>
                <w:b/>
                <w:bCs/>
                <w:sz w:val="22"/>
                <w:szCs w:val="22"/>
              </w:rPr>
              <w:t>Taylor (2019)</w:t>
            </w:r>
          </w:p>
        </w:tc>
        <w:tc>
          <w:tcPr>
            <w:tcW w:w="1572" w:type="dxa"/>
            <w:tcBorders>
              <w:bottom w:val="single" w:sz="6" w:space="0" w:color="CBD5E1"/>
            </w:tcBorders>
            <w:shd w:val="clear" w:color="auto" w:fill="F8FAFC"/>
            <w:tcMar>
              <w:top w:w="90" w:type="dxa"/>
              <w:left w:w="195" w:type="dxa"/>
              <w:bottom w:w="90" w:type="dxa"/>
              <w:right w:w="195" w:type="dxa"/>
            </w:tcMar>
            <w:vAlign w:val="center"/>
          </w:tcPr>
          <w:p w14:paraId="5026229A" w14:textId="77777777" w:rsidR="00034B22" w:rsidRDefault="00E93B9C">
            <w:pPr>
              <w:rPr>
                <w:rFonts w:ascii="Arial" w:hAnsi="Arial" w:cs="Arial"/>
                <w:sz w:val="22"/>
                <w:szCs w:val="22"/>
              </w:rPr>
            </w:pPr>
            <w:r>
              <w:rPr>
                <w:rFonts w:ascii="Arial" w:hAnsi="Arial" w:cs="Arial"/>
                <w:sz w:val="22"/>
                <w:szCs w:val="22"/>
              </w:rPr>
              <w:t>Secondary</w:t>
            </w:r>
          </w:p>
        </w:tc>
        <w:tc>
          <w:tcPr>
            <w:tcW w:w="2226" w:type="dxa"/>
            <w:tcBorders>
              <w:bottom w:val="single" w:sz="6" w:space="0" w:color="CBD5E1"/>
            </w:tcBorders>
            <w:shd w:val="clear" w:color="auto" w:fill="F8FAFC"/>
            <w:tcMar>
              <w:top w:w="90" w:type="dxa"/>
              <w:left w:w="195" w:type="dxa"/>
              <w:bottom w:w="90" w:type="dxa"/>
              <w:right w:w="195" w:type="dxa"/>
            </w:tcMar>
            <w:vAlign w:val="center"/>
          </w:tcPr>
          <w:p w14:paraId="620A3F9E" w14:textId="77777777" w:rsidR="00034B22" w:rsidRDefault="00E93B9C">
            <w:pPr>
              <w:rPr>
                <w:rFonts w:ascii="Arial" w:hAnsi="Arial" w:cs="Arial"/>
                <w:sz w:val="22"/>
                <w:szCs w:val="22"/>
              </w:rPr>
            </w:pPr>
            <w:r>
              <w:rPr>
                <w:rFonts w:ascii="Arial" w:hAnsi="Arial" w:cs="Arial"/>
                <w:sz w:val="22"/>
                <w:szCs w:val="22"/>
              </w:rPr>
              <w:t>Patient experience</w:t>
            </w:r>
          </w:p>
        </w:tc>
        <w:tc>
          <w:tcPr>
            <w:tcW w:w="5194" w:type="dxa"/>
            <w:tcBorders>
              <w:bottom w:val="single" w:sz="6" w:space="0" w:color="CBD5E1"/>
            </w:tcBorders>
            <w:shd w:val="clear" w:color="auto" w:fill="F8FAFC"/>
            <w:tcMar>
              <w:top w:w="90" w:type="dxa"/>
              <w:left w:w="195" w:type="dxa"/>
              <w:bottom w:w="90" w:type="dxa"/>
              <w:right w:w="195" w:type="dxa"/>
            </w:tcMar>
            <w:vAlign w:val="center"/>
          </w:tcPr>
          <w:p w14:paraId="3E3769CA" w14:textId="77777777" w:rsidR="00034B22" w:rsidRDefault="00E93B9C">
            <w:pPr>
              <w:rPr>
                <w:rFonts w:ascii="Arial" w:hAnsi="Arial" w:cs="Arial"/>
                <w:sz w:val="22"/>
                <w:szCs w:val="22"/>
              </w:rPr>
            </w:pPr>
            <w:r>
              <w:rPr>
                <w:rFonts w:ascii="Arial" w:hAnsi="Arial" w:cs="Arial"/>
                <w:sz w:val="22"/>
                <w:szCs w:val="22"/>
              </w:rPr>
              <w:t>Improved self-management via mobile apps.</w:t>
            </w:r>
          </w:p>
        </w:tc>
      </w:tr>
    </w:tbl>
    <w:p w14:paraId="77A2846C" w14:textId="77777777" w:rsidR="00034B22" w:rsidRDefault="00034B22">
      <w:pPr>
        <w:rPr>
          <w:rFonts w:ascii="Arial" w:hAnsi="Arial" w:cs="Arial"/>
          <w:sz w:val="22"/>
          <w:szCs w:val="22"/>
        </w:rPr>
      </w:pPr>
    </w:p>
    <w:p w14:paraId="30BF15A7" w14:textId="77777777" w:rsidR="00034B22" w:rsidRDefault="00E93B9C">
      <w:pPr>
        <w:rPr>
          <w:rFonts w:ascii="Arial" w:hAnsi="Arial" w:cs="Arial"/>
          <w:b/>
          <w:bCs/>
          <w:sz w:val="22"/>
          <w:szCs w:val="22"/>
        </w:rPr>
      </w:pPr>
      <w:r>
        <w:rPr>
          <w:rFonts w:ascii="Arial" w:hAnsi="Arial" w:cs="Arial"/>
          <w:b/>
          <w:bCs/>
          <w:sz w:val="22"/>
          <w:szCs w:val="22"/>
        </w:rPr>
        <w:t>Conclusion and Recommendations</w:t>
      </w:r>
    </w:p>
    <w:p w14:paraId="2DAE693B" w14:textId="77777777" w:rsidR="00034B22" w:rsidRDefault="00E93B9C">
      <w:pPr>
        <w:rPr>
          <w:rFonts w:ascii="Arial" w:hAnsi="Arial" w:cs="Arial"/>
          <w:sz w:val="22"/>
          <w:szCs w:val="22"/>
        </w:rPr>
      </w:pPr>
      <w:r>
        <w:rPr>
          <w:rFonts w:ascii="Arial" w:hAnsi="Arial" w:cs="Arial"/>
          <w:sz w:val="22"/>
          <w:szCs w:val="22"/>
        </w:rPr>
        <w:t xml:space="preserve">Digital innovation isn’t just a hot topic for health and social care in the UK. It’s the fuel that could drive a real transformation. Think about it: with more advanced tools, doctors and nurses aren’t always running behind emergencies, desperately trying to catch up. Real-time data and remote monitoring mean they can anticipate problems. Instead of waiting for a crisis to unfold, they can catch trouble early on and step in while there’s still time to fix it without drama. That’s not just good for patients it takes serious pressure off hospital departments that are already stretched too thin. And for the people receiving care, it’s a whole new experience. Care feels personal, not generic. Patients turn from files on a computer into individuals whose needs matter. Still, it’s not all smooth sailing. No matter how much tech promises, some stubborn obstacles keep getting in the way. There are only so many times you can talk about the “digital divide” before it starts sounding like background </w:t>
      </w:r>
      <w:r>
        <w:rPr>
          <w:rFonts w:ascii="Arial" w:hAnsi="Arial" w:cs="Arial"/>
          <w:sz w:val="22"/>
          <w:szCs w:val="22"/>
        </w:rPr>
        <w:lastRenderedPageBreak/>
        <w:t>noise, but the problem’s real. Some staff pick up on technology quickly they’re confident and curious, happy to learn. Others feel left out and overwhelmed. That disconnect has real consequences. It slows things down, makes work more stressful, and, worst of all, leaves patients underserved just because the tools meant to help aren’t working for everyone. And don’t get me started on interoperability. It’s a fancy word people use for a pain that everyone in the system feels: computers that don’t cooperate. Information gets trapped in one place when it needs to move freely so everyone involved in a patient’s care is on the same page. When different systems can’t talk to each other, the whole promise of digital health falls flat. So, what’s the missing ingredient? Fixing those gaps. Training staff until they're comfortable with digital tools, not just tolerating them. Building systems that talk to each other, end to end. Otherwise, we’ll always be chasing potential, never catching it. Looking forward, researchers need to shake up their approach, too. There’s already a mountain of studies on little pilot projects, but not enough about what happens when you take those small wins and try to apply them across the country. What’s missing are strong, long-term studies that don’t just check in for a few months but really follow people, looking at bigger issues like how digital changes affect their daily lives and finances in the long run. Is quality of life better? Are results sustainable? That’s what we need to know, not just whether a gadget saves a few pounds or reduces the wait in one hospital corridor. Policy wise, everything feels so disconnected. NHS health records are locked up in one system, Local Authority care records in another, and they don’t match up. It’s almost impossible to follow a patient’s journey from start to finish. That must change. We need policymakers who’ll push for a unified digital backbone. Data standards aren’t just a talking point they must become universal, accepted, and expected. Developers can’t just be asked nicely to cooperate; the system needs to give them real incentives. Open systems that exchange data should be the norm, not the exception. And we need to talk about funding. One-off innovation grants are great for headlines, but they don’t solve anything long-term. Investment in core infrastructure should stretch across years, not months, to make sure technology keeps up and works. On the front lines, it’s not enough to just drop new tools into people’s hands and hope for the best. Building digital-first skills should be a real priority. That means offering meaningful training and support, not just expecting busy staff to learn on the fly. Organizations could set up mentorship programs find the digital champions in each team and let them guide others, sharing what works in the real world. And don’t forget the basics: when new systems roll out, involve the people who’ll use them. Too often, tools are designed “for” staff and patients rarely “with” them. That’s how you end up with tech that just creates more paperwork, not less. User-centred design isn’t a vague idea it’s what stops technology from being a burden. Really, it all boils down to balance. The future of health and social care in the UK isn’t just about technology or just about people; it’s about bringing them together, so everyone involved feels confident, supported, and treated like an individual. That’s not just efficiency. That’s humanity. And that, more than anything, is what the system and the public deserve. It’s the future we should aim for.</w:t>
      </w:r>
    </w:p>
    <w:p w14:paraId="1707D3CE" w14:textId="77777777" w:rsidR="00034B22" w:rsidRDefault="00E93B9C">
      <w:pPr>
        <w:rPr>
          <w:rFonts w:ascii="Arial" w:hAnsi="Arial" w:cs="Arial"/>
          <w:b/>
          <w:bCs/>
          <w:sz w:val="22"/>
          <w:szCs w:val="22"/>
        </w:rPr>
      </w:pPr>
      <w:r>
        <w:rPr>
          <w:rFonts w:ascii="Arial" w:hAnsi="Arial" w:cs="Arial"/>
          <w:b/>
          <w:bCs/>
          <w:sz w:val="22"/>
          <w:szCs w:val="22"/>
        </w:rPr>
        <w:t>References</w:t>
      </w:r>
    </w:p>
    <w:p w14:paraId="2255315F" w14:textId="77777777" w:rsidR="00034B22" w:rsidRDefault="00034B22">
      <w:pPr>
        <w:rPr>
          <w:rFonts w:ascii="Arial" w:hAnsi="Arial" w:cs="Arial"/>
          <w:sz w:val="22"/>
          <w:szCs w:val="22"/>
        </w:rPr>
      </w:pPr>
    </w:p>
    <w:p w14:paraId="3953D172" w14:textId="77777777" w:rsidR="00034B22" w:rsidRDefault="00E93B9C">
      <w:r>
        <w:rPr>
          <w:rFonts w:ascii="Arial" w:hAnsi="Arial" w:cs="Arial"/>
          <w:sz w:val="22"/>
          <w:szCs w:val="22"/>
        </w:rPr>
        <w:t>Brown, A. (2023) 'Interoperability hurdles in integrated care systems', </w:t>
      </w:r>
      <w:r>
        <w:rPr>
          <w:rFonts w:ascii="Arial" w:hAnsi="Arial" w:cs="Arial"/>
          <w:i/>
          <w:iCs/>
          <w:sz w:val="22"/>
          <w:szCs w:val="22"/>
        </w:rPr>
        <w:t>Journal of Health Informatics</w:t>
      </w:r>
      <w:r>
        <w:rPr>
          <w:rFonts w:ascii="Arial" w:hAnsi="Arial" w:cs="Arial"/>
          <w:sz w:val="22"/>
          <w:szCs w:val="22"/>
        </w:rPr>
        <w:t>, 12(4), pp. 45–58.</w:t>
      </w:r>
    </w:p>
    <w:p w14:paraId="5F96C446" w14:textId="77777777" w:rsidR="00034B22" w:rsidRDefault="00E93B9C">
      <w:r>
        <w:rPr>
          <w:rFonts w:ascii="Arial" w:hAnsi="Arial" w:cs="Arial"/>
          <w:sz w:val="22"/>
          <w:szCs w:val="22"/>
        </w:rPr>
        <w:t>Greenhalgh, T., Wherton, J., Papoutsi, C., Lynch, J., Hughes, G., Hinder, S., Fahy, N., Procter, R. and Shaw, S. (2020) 'Beyond adoption: a new framework for theorizing and evaluating nonadoption, abandonment, and challenges to the scale-up, spread, and sustainability of health and care technologies', </w:t>
      </w:r>
      <w:r>
        <w:rPr>
          <w:rFonts w:ascii="Arial" w:hAnsi="Arial" w:cs="Arial"/>
          <w:i/>
          <w:iCs/>
          <w:sz w:val="22"/>
          <w:szCs w:val="22"/>
        </w:rPr>
        <w:t>Journal of Medical Internet Research</w:t>
      </w:r>
      <w:r>
        <w:rPr>
          <w:rFonts w:ascii="Arial" w:hAnsi="Arial" w:cs="Arial"/>
          <w:sz w:val="22"/>
          <w:szCs w:val="22"/>
        </w:rPr>
        <w:t>, 19(11), p. e367.</w:t>
      </w:r>
    </w:p>
    <w:p w14:paraId="35F4A4AC" w14:textId="77777777" w:rsidR="00034B22" w:rsidRDefault="00E93B9C">
      <w:r>
        <w:rPr>
          <w:rFonts w:ascii="Arial" w:hAnsi="Arial" w:cs="Arial"/>
          <w:sz w:val="22"/>
          <w:szCs w:val="22"/>
        </w:rPr>
        <w:t>Haux, R., Ammenwerth, E., Koch, S., Lehmann, C. U. and Knaup, P. (2017) 'Health and nursing informatics: on the role of informatics in the health and social care sector', </w:t>
      </w:r>
      <w:r>
        <w:rPr>
          <w:rFonts w:ascii="Arial" w:hAnsi="Arial" w:cs="Arial"/>
          <w:i/>
          <w:iCs/>
          <w:sz w:val="22"/>
          <w:szCs w:val="22"/>
        </w:rPr>
        <w:t>Methods of Information in Medicine</w:t>
      </w:r>
      <w:r>
        <w:rPr>
          <w:rFonts w:ascii="Arial" w:hAnsi="Arial" w:cs="Arial"/>
          <w:sz w:val="22"/>
          <w:szCs w:val="22"/>
        </w:rPr>
        <w:t>, 56(05), pp. 333–338.</w:t>
      </w:r>
    </w:p>
    <w:p w14:paraId="055E1BE7" w14:textId="77777777" w:rsidR="00034B22" w:rsidRDefault="00E93B9C">
      <w:r>
        <w:rPr>
          <w:rFonts w:ascii="Arial" w:hAnsi="Arial" w:cs="Arial"/>
          <w:sz w:val="22"/>
          <w:szCs w:val="22"/>
        </w:rPr>
        <w:t>Jones, R. and Lee, S. (2020) 'Workforce training in the digital age', </w:t>
      </w:r>
      <w:r>
        <w:rPr>
          <w:rFonts w:ascii="Arial" w:hAnsi="Arial" w:cs="Arial"/>
          <w:i/>
          <w:iCs/>
          <w:sz w:val="22"/>
          <w:szCs w:val="22"/>
        </w:rPr>
        <w:t>International Journal of Social Care</w:t>
      </w:r>
      <w:r>
        <w:rPr>
          <w:rFonts w:ascii="Arial" w:hAnsi="Arial" w:cs="Arial"/>
          <w:sz w:val="22"/>
          <w:szCs w:val="22"/>
        </w:rPr>
        <w:t>, 8(3), pp. 201–215.</w:t>
      </w:r>
    </w:p>
    <w:p w14:paraId="06610FFD" w14:textId="77777777" w:rsidR="00034B22" w:rsidRDefault="00E93B9C">
      <w:r>
        <w:rPr>
          <w:rFonts w:ascii="Arial" w:hAnsi="Arial" w:cs="Arial"/>
          <w:sz w:val="22"/>
          <w:szCs w:val="22"/>
        </w:rPr>
        <w:t>Patel, V. (2022) 'Remote monitoring: Efficiency in elderly care', </w:t>
      </w:r>
      <w:r>
        <w:rPr>
          <w:rFonts w:ascii="Arial" w:hAnsi="Arial" w:cs="Arial"/>
          <w:i/>
          <w:iCs/>
          <w:sz w:val="22"/>
          <w:szCs w:val="22"/>
        </w:rPr>
        <w:t>Clinical Social Work Review</w:t>
      </w:r>
      <w:r>
        <w:rPr>
          <w:rFonts w:ascii="Arial" w:hAnsi="Arial" w:cs="Arial"/>
          <w:sz w:val="22"/>
          <w:szCs w:val="22"/>
        </w:rPr>
        <w:t>, 15(2), pp. 88–104.</w:t>
      </w:r>
    </w:p>
    <w:p w14:paraId="54AF10AF" w14:textId="77777777" w:rsidR="00034B22" w:rsidRDefault="00E93B9C">
      <w:r>
        <w:rPr>
          <w:rFonts w:ascii="Arial" w:hAnsi="Arial" w:cs="Arial"/>
          <w:sz w:val="22"/>
          <w:szCs w:val="22"/>
        </w:rPr>
        <w:t>Smith, J., Doe, R. and Williams, P. (2021) 'The impact of telecare on elderly care outcomes in the UK', </w:t>
      </w:r>
      <w:r>
        <w:rPr>
          <w:rFonts w:ascii="Arial" w:hAnsi="Arial" w:cs="Arial"/>
          <w:i/>
          <w:iCs/>
          <w:sz w:val="22"/>
          <w:szCs w:val="22"/>
        </w:rPr>
        <w:t>British Journal of Social Work</w:t>
      </w:r>
      <w:r>
        <w:rPr>
          <w:rFonts w:ascii="Arial" w:hAnsi="Arial" w:cs="Arial"/>
          <w:sz w:val="22"/>
          <w:szCs w:val="22"/>
        </w:rPr>
        <w:t>, 51(2), pp. 112–130.</w:t>
      </w:r>
    </w:p>
    <w:p w14:paraId="5B1FF71E" w14:textId="77777777" w:rsidR="00034B22" w:rsidRDefault="00E93B9C">
      <w:r>
        <w:rPr>
          <w:rFonts w:ascii="Arial" w:hAnsi="Arial" w:cs="Arial"/>
          <w:sz w:val="22"/>
          <w:szCs w:val="22"/>
        </w:rPr>
        <w:t>Taylor, K. (2019) 'Mobile applications and patient self-management', </w:t>
      </w:r>
      <w:r>
        <w:rPr>
          <w:rFonts w:ascii="Arial" w:hAnsi="Arial" w:cs="Arial"/>
          <w:i/>
          <w:iCs/>
          <w:sz w:val="22"/>
          <w:szCs w:val="22"/>
        </w:rPr>
        <w:t>Health Technology Today</w:t>
      </w:r>
      <w:r>
        <w:rPr>
          <w:rFonts w:ascii="Arial" w:hAnsi="Arial" w:cs="Arial"/>
          <w:sz w:val="22"/>
          <w:szCs w:val="22"/>
        </w:rPr>
        <w:t>, 4(1), pp. 12–25</w:t>
      </w:r>
    </w:p>
    <w:p w14:paraId="7458292A" w14:textId="77777777" w:rsidR="00034B22" w:rsidRDefault="00034B22"/>
    <w:sectPr w:rsidR="00034B2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53D38" w14:textId="77777777" w:rsidR="00E93B9C" w:rsidRDefault="00E93B9C">
      <w:pPr>
        <w:spacing w:after="0" w:line="240" w:lineRule="auto"/>
      </w:pPr>
      <w:r>
        <w:separator/>
      </w:r>
    </w:p>
  </w:endnote>
  <w:endnote w:type="continuationSeparator" w:id="0">
    <w:p w14:paraId="5F87D27F" w14:textId="77777777" w:rsidR="00E93B9C" w:rsidRDefault="00E93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9E05C" w14:textId="77777777" w:rsidR="00E93B9C" w:rsidRDefault="00E93B9C">
      <w:pPr>
        <w:spacing w:after="0" w:line="240" w:lineRule="auto"/>
      </w:pPr>
      <w:r>
        <w:rPr>
          <w:color w:val="000000"/>
        </w:rPr>
        <w:separator/>
      </w:r>
    </w:p>
  </w:footnote>
  <w:footnote w:type="continuationSeparator" w:id="0">
    <w:p w14:paraId="7960301B" w14:textId="77777777" w:rsidR="00E93B9C" w:rsidRDefault="00E93B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B22"/>
    <w:rsid w:val="00034B22"/>
    <w:rsid w:val="000527B6"/>
    <w:rsid w:val="00517FA0"/>
    <w:rsid w:val="00547692"/>
    <w:rsid w:val="00572BFE"/>
    <w:rsid w:val="006138A1"/>
    <w:rsid w:val="007604BE"/>
    <w:rsid w:val="008A22C3"/>
    <w:rsid w:val="009A38F6"/>
    <w:rsid w:val="00BF3310"/>
    <w:rsid w:val="00C24C8B"/>
    <w:rsid w:val="00D13E89"/>
    <w:rsid w:val="00E93B9C"/>
    <w:rsid w:val="00E96F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E9DB7B6"/>
  <w15:docId w15:val="{5F363240-D85B-4791-8A50-7F60B987C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3378</Words>
  <Characters>19257</Characters>
  <Application>Microsoft Office Word</Application>
  <DocSecurity>0</DocSecurity>
  <Lines>160</Lines>
  <Paragraphs>45</Paragraphs>
  <ScaleCrop>false</ScaleCrop>
  <Company/>
  <LinksUpToDate>false</LinksUpToDate>
  <CharactersWithSpaces>22590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dunka</dc:creator>
  <dc:description/>
  <cp:lastModifiedBy>lucie dunkova</cp:lastModifiedBy>
  <cp:revision>2</cp:revision>
  <dcterms:created xsi:type="dcterms:W3CDTF">2026-03-29T11:43:00Z</dcterms:created>
  <dcterms:modified xsi:type="dcterms:W3CDTF">2026-03-29T11:43:00Z</dcterms:modified>
</cp:coreProperties>
</file>