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25AB9" w14:textId="31FF2EAE" w:rsidR="003124E0" w:rsidRDefault="003124E0" w:rsidP="003124E0">
      <w:pPr>
        <w:pStyle w:val="Heading1"/>
        <w:jc w:val="center"/>
        <w:rPr>
          <w:b/>
          <w:bCs/>
          <w:color w:val="000000" w:themeColor="text1"/>
        </w:rPr>
      </w:pPr>
      <w:bookmarkStart w:id="0" w:name="_Toc216094298"/>
      <w:r w:rsidRPr="003124E0">
        <w:rPr>
          <w:b/>
          <w:bCs/>
          <w:color w:val="000000" w:themeColor="text1"/>
        </w:rPr>
        <w:t>The Compromised Concrete Mix: An Ethical Analysis</w:t>
      </w:r>
      <w:bookmarkEnd w:id="0"/>
    </w:p>
    <w:p w14:paraId="381526EF" w14:textId="77777777" w:rsidR="003124E0" w:rsidRDefault="003124E0" w:rsidP="003124E0"/>
    <w:p w14:paraId="72006A98" w14:textId="5FD3346A" w:rsidR="005B1F33" w:rsidRDefault="005B1F33" w:rsidP="005B1F33">
      <w:pPr>
        <w:pStyle w:val="Subtitle"/>
        <w:jc w:val="center"/>
        <w:rPr>
          <w:color w:val="000000" w:themeColor="text1"/>
        </w:rPr>
      </w:pPr>
      <w:r>
        <w:rPr>
          <w:color w:val="000000" w:themeColor="text1"/>
        </w:rPr>
        <w:t>Name – Cory Sibley</w:t>
      </w:r>
    </w:p>
    <w:p w14:paraId="504F9BEE" w14:textId="77777777" w:rsidR="005B1F33" w:rsidRDefault="005B1F33" w:rsidP="005B1F33">
      <w:pPr>
        <w:jc w:val="center"/>
        <w:rPr>
          <w:sz w:val="28"/>
          <w:szCs w:val="28"/>
        </w:rPr>
      </w:pPr>
    </w:p>
    <w:p w14:paraId="305F3459" w14:textId="6BB66BB9" w:rsidR="005B1F33" w:rsidRDefault="005B1F33" w:rsidP="005B1F33">
      <w:pPr>
        <w:jc w:val="center"/>
        <w:rPr>
          <w:sz w:val="28"/>
          <w:szCs w:val="28"/>
        </w:rPr>
      </w:pPr>
      <w:r w:rsidRPr="005B1F33">
        <w:rPr>
          <w:sz w:val="28"/>
          <w:szCs w:val="28"/>
        </w:rPr>
        <w:t>Student Number – 2507186</w:t>
      </w:r>
    </w:p>
    <w:p w14:paraId="2A1D2D2E" w14:textId="77777777" w:rsidR="005B1F33" w:rsidRDefault="005B1F33" w:rsidP="005B1F33">
      <w:pPr>
        <w:jc w:val="center"/>
        <w:rPr>
          <w:sz w:val="28"/>
          <w:szCs w:val="28"/>
        </w:rPr>
      </w:pPr>
    </w:p>
    <w:p w14:paraId="08C985C4" w14:textId="6B0CE849" w:rsidR="005B1F33" w:rsidRDefault="005B1F33" w:rsidP="005B1F33">
      <w:pPr>
        <w:jc w:val="center"/>
        <w:rPr>
          <w:sz w:val="28"/>
          <w:szCs w:val="28"/>
        </w:rPr>
      </w:pPr>
      <w:r>
        <w:rPr>
          <w:sz w:val="28"/>
          <w:szCs w:val="28"/>
        </w:rPr>
        <w:t>Word Count – 1052</w:t>
      </w:r>
    </w:p>
    <w:p w14:paraId="56656B87" w14:textId="77777777" w:rsidR="005B1F33" w:rsidRDefault="005B1F33" w:rsidP="005B1F33">
      <w:pPr>
        <w:jc w:val="center"/>
        <w:rPr>
          <w:sz w:val="28"/>
          <w:szCs w:val="28"/>
        </w:rPr>
      </w:pPr>
    </w:p>
    <w:p w14:paraId="2CA5A5CD" w14:textId="7DD0202E" w:rsidR="005B1F33" w:rsidRPr="005B1F33" w:rsidRDefault="005B1F33" w:rsidP="005B1F33">
      <w:pPr>
        <w:jc w:val="center"/>
        <w:rPr>
          <w:sz w:val="28"/>
          <w:szCs w:val="28"/>
        </w:rPr>
      </w:pPr>
      <w:r>
        <w:rPr>
          <w:sz w:val="28"/>
          <w:szCs w:val="28"/>
        </w:rPr>
        <w:t xml:space="preserve">Module – Skills For Professional Practice </w:t>
      </w:r>
    </w:p>
    <w:p w14:paraId="61DC4BF2" w14:textId="77777777" w:rsidR="005B1F33" w:rsidRPr="005B1F33" w:rsidRDefault="005B1F33" w:rsidP="005B1F33">
      <w:pPr>
        <w:jc w:val="center"/>
      </w:pPr>
    </w:p>
    <w:sdt>
      <w:sdtPr>
        <w:rPr>
          <w:rFonts w:asciiTheme="minorHAnsi" w:eastAsiaTheme="minorHAnsi" w:hAnsiTheme="minorHAnsi" w:cstheme="minorBidi"/>
          <w:b w:val="0"/>
          <w:bCs w:val="0"/>
          <w:color w:val="auto"/>
          <w:sz w:val="24"/>
          <w:szCs w:val="24"/>
          <w:lang w:val="en-GB"/>
        </w:rPr>
        <w:id w:val="1528211292"/>
        <w:docPartObj>
          <w:docPartGallery w:val="Table of Contents"/>
          <w:docPartUnique/>
        </w:docPartObj>
      </w:sdtPr>
      <w:sdtEndPr>
        <w:rPr>
          <w:noProof/>
        </w:rPr>
      </w:sdtEndPr>
      <w:sdtContent>
        <w:p w14:paraId="7D83AEE9" w14:textId="22CD0025" w:rsidR="005B1F33" w:rsidRPr="00152D9B" w:rsidRDefault="005B1F33">
          <w:pPr>
            <w:pStyle w:val="TOCHeading"/>
            <w:rPr>
              <w:color w:val="000000" w:themeColor="text1"/>
            </w:rPr>
          </w:pPr>
          <w:r w:rsidRPr="00152D9B">
            <w:rPr>
              <w:color w:val="000000" w:themeColor="text1"/>
            </w:rPr>
            <w:t>Table of Contents</w:t>
          </w:r>
        </w:p>
        <w:p w14:paraId="0CB0A1EE" w14:textId="297CB7F9"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r w:rsidRPr="00152D9B">
            <w:rPr>
              <w:b w:val="0"/>
              <w:bCs w:val="0"/>
              <w:color w:val="000000" w:themeColor="text1"/>
            </w:rPr>
            <w:fldChar w:fldCharType="begin"/>
          </w:r>
          <w:r w:rsidRPr="00152D9B">
            <w:rPr>
              <w:color w:val="000000" w:themeColor="text1"/>
            </w:rPr>
            <w:instrText xml:space="preserve"> TOC \o "1-3" \h \z \u </w:instrText>
          </w:r>
          <w:r w:rsidRPr="00152D9B">
            <w:rPr>
              <w:b w:val="0"/>
              <w:bCs w:val="0"/>
              <w:color w:val="000000" w:themeColor="text1"/>
            </w:rPr>
            <w:fldChar w:fldCharType="separate"/>
          </w:r>
          <w:hyperlink w:anchor="_Toc216094298" w:history="1">
            <w:r w:rsidRPr="00152D9B">
              <w:rPr>
                <w:rStyle w:val="Hyperlink"/>
                <w:noProof/>
                <w:color w:val="000000" w:themeColor="text1"/>
              </w:rPr>
              <w:t>The Compromised Concrete Mix: An Ethical Analysis</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_Toc216094298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1</w:t>
            </w:r>
            <w:r w:rsidRPr="00152D9B">
              <w:rPr>
                <w:noProof/>
                <w:webHidden/>
                <w:color w:val="000000" w:themeColor="text1"/>
              </w:rPr>
              <w:fldChar w:fldCharType="end"/>
            </w:r>
          </w:hyperlink>
        </w:p>
        <w:p w14:paraId="6F40D7A3" w14:textId="183EC3B7"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299" w:history="1">
            <w:r w:rsidRPr="00152D9B">
              <w:rPr>
                <w:rStyle w:val="Hyperlink"/>
                <w:noProof/>
                <w:color w:val="000000" w:themeColor="text1"/>
              </w:rPr>
              <w:t>Introduction</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_Toc216094299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2</w:t>
            </w:r>
            <w:r w:rsidRPr="00152D9B">
              <w:rPr>
                <w:noProof/>
                <w:webHidden/>
                <w:color w:val="000000" w:themeColor="text1"/>
              </w:rPr>
              <w:fldChar w:fldCharType="end"/>
            </w:r>
          </w:hyperlink>
        </w:p>
        <w:p w14:paraId="259D808D" w14:textId="49B105C5"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0" w:history="1">
            <w:r w:rsidRPr="00152D9B">
              <w:rPr>
                <w:rStyle w:val="Hyperlink"/>
                <w:noProof/>
                <w:color w:val="000000" w:themeColor="text1"/>
              </w:rPr>
              <w:t>Context and The Ethical Issue</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_Toc216094300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2</w:t>
            </w:r>
            <w:r w:rsidRPr="00152D9B">
              <w:rPr>
                <w:noProof/>
                <w:webHidden/>
                <w:color w:val="000000" w:themeColor="text1"/>
              </w:rPr>
              <w:fldChar w:fldCharType="end"/>
            </w:r>
          </w:hyperlink>
        </w:p>
        <w:p w14:paraId="26597020" w14:textId="0CA4A7CF"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1" w:history="1">
            <w:r w:rsidRPr="00152D9B">
              <w:rPr>
                <w:rStyle w:val="Hyperlink"/>
                <w:noProof/>
                <w:color w:val="000000" w:themeColor="text1"/>
              </w:rPr>
              <w:t>Stakeholder Impact Analysis</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_Toc216094301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3</w:t>
            </w:r>
            <w:r w:rsidRPr="00152D9B">
              <w:rPr>
                <w:noProof/>
                <w:webHidden/>
                <w:color w:val="000000" w:themeColor="text1"/>
              </w:rPr>
              <w:fldChar w:fldCharType="end"/>
            </w:r>
          </w:hyperlink>
        </w:p>
        <w:p w14:paraId="502F395E" w14:textId="0CDC562B"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2" w:history="1">
            <w:r w:rsidRPr="00152D9B">
              <w:rPr>
                <w:rStyle w:val="Hyperlink"/>
                <w:noProof/>
                <w:color w:val="000000" w:themeColor="text1"/>
              </w:rPr>
              <w:t>Evaluation of Options</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_Toc216094302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3</w:t>
            </w:r>
            <w:r w:rsidRPr="00152D9B">
              <w:rPr>
                <w:noProof/>
                <w:webHidden/>
                <w:color w:val="000000" w:themeColor="text1"/>
              </w:rPr>
              <w:fldChar w:fldCharType="end"/>
            </w:r>
          </w:hyperlink>
        </w:p>
        <w:p w14:paraId="3EB89866" w14:textId="3A05C4F7"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3" w:history="1">
            <w:r w:rsidRPr="00152D9B">
              <w:rPr>
                <w:rStyle w:val="Hyperlink"/>
                <w:noProof/>
                <w:color w:val="000000" w:themeColor="text1"/>
              </w:rPr>
              <w:t>Deontology</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_Toc216094303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4</w:t>
            </w:r>
            <w:r w:rsidRPr="00152D9B">
              <w:rPr>
                <w:noProof/>
                <w:webHidden/>
                <w:color w:val="000000" w:themeColor="text1"/>
              </w:rPr>
              <w:fldChar w:fldCharType="end"/>
            </w:r>
          </w:hyperlink>
        </w:p>
        <w:p w14:paraId="4ABB654F" w14:textId="6FD2D980"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4" w:history="1">
            <w:r w:rsidRPr="00152D9B">
              <w:rPr>
                <w:rStyle w:val="Hyperlink"/>
                <w:noProof/>
                <w:color w:val="000000" w:themeColor="text1"/>
              </w:rPr>
              <w:t>Professional Standards and Legal Duties</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_Toc216094304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5</w:t>
            </w:r>
            <w:r w:rsidRPr="00152D9B">
              <w:rPr>
                <w:noProof/>
                <w:webHidden/>
                <w:color w:val="000000" w:themeColor="text1"/>
              </w:rPr>
              <w:fldChar w:fldCharType="end"/>
            </w:r>
          </w:hyperlink>
        </w:p>
        <w:p w14:paraId="122A62E4" w14:textId="1976AD43"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5" w:history="1">
            <w:r w:rsidRPr="00152D9B">
              <w:rPr>
                <w:rStyle w:val="Hyperlink"/>
                <w:noProof/>
                <w:color w:val="000000" w:themeColor="text1"/>
              </w:rPr>
              <w:t>Resolution</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_Toc216094305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5</w:t>
            </w:r>
            <w:r w:rsidRPr="00152D9B">
              <w:rPr>
                <w:noProof/>
                <w:webHidden/>
                <w:color w:val="000000" w:themeColor="text1"/>
              </w:rPr>
              <w:fldChar w:fldCharType="end"/>
            </w:r>
          </w:hyperlink>
        </w:p>
        <w:p w14:paraId="7F207A79" w14:textId="03BC6693"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6" w:history="1">
            <w:r w:rsidRPr="00152D9B">
              <w:rPr>
                <w:rStyle w:val="Hyperlink"/>
                <w:noProof/>
                <w:color w:val="000000" w:themeColor="text1"/>
              </w:rPr>
              <w:t>Conclusion</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_Toc216094306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6</w:t>
            </w:r>
            <w:r w:rsidRPr="00152D9B">
              <w:rPr>
                <w:noProof/>
                <w:webHidden/>
                <w:color w:val="000000" w:themeColor="text1"/>
              </w:rPr>
              <w:fldChar w:fldCharType="end"/>
            </w:r>
          </w:hyperlink>
        </w:p>
        <w:p w14:paraId="1C077643" w14:textId="3BFBCFEE" w:rsidR="005B1F33" w:rsidRPr="00152D9B" w:rsidRDefault="005B1F33">
          <w:pPr>
            <w:pStyle w:val="TOC1"/>
            <w:tabs>
              <w:tab w:val="right" w:leader="dot" w:pos="9016"/>
            </w:tabs>
            <w:rPr>
              <w:rFonts w:eastAsiaTheme="minorEastAsia"/>
              <w:b w:val="0"/>
              <w:bCs w:val="0"/>
              <w:i w:val="0"/>
              <w:iCs w:val="0"/>
              <w:noProof/>
              <w:color w:val="000000" w:themeColor="text1"/>
              <w:kern w:val="2"/>
              <w:lang w:eastAsia="en-GB"/>
              <w14:ligatures w14:val="standardContextual"/>
            </w:rPr>
          </w:pPr>
          <w:hyperlink w:anchor="_Toc216094307" w:history="1">
            <w:r w:rsidRPr="00152D9B">
              <w:rPr>
                <w:rStyle w:val="Hyperlink"/>
                <w:noProof/>
                <w:color w:val="000000" w:themeColor="text1"/>
              </w:rPr>
              <w:t>References</w:t>
            </w:r>
            <w:r w:rsidRPr="00152D9B">
              <w:rPr>
                <w:noProof/>
                <w:webHidden/>
                <w:color w:val="000000" w:themeColor="text1"/>
              </w:rPr>
              <w:tab/>
            </w:r>
            <w:r w:rsidRPr="00152D9B">
              <w:rPr>
                <w:noProof/>
                <w:webHidden/>
                <w:color w:val="000000" w:themeColor="text1"/>
              </w:rPr>
              <w:fldChar w:fldCharType="begin"/>
            </w:r>
            <w:r w:rsidRPr="00152D9B">
              <w:rPr>
                <w:noProof/>
                <w:webHidden/>
                <w:color w:val="000000" w:themeColor="text1"/>
              </w:rPr>
              <w:instrText xml:space="preserve"> PAGEREF _Toc216094307 \h </w:instrText>
            </w:r>
            <w:r w:rsidRPr="00152D9B">
              <w:rPr>
                <w:noProof/>
                <w:webHidden/>
                <w:color w:val="000000" w:themeColor="text1"/>
              </w:rPr>
            </w:r>
            <w:r w:rsidRPr="00152D9B">
              <w:rPr>
                <w:noProof/>
                <w:webHidden/>
                <w:color w:val="000000" w:themeColor="text1"/>
              </w:rPr>
              <w:fldChar w:fldCharType="separate"/>
            </w:r>
            <w:r w:rsidRPr="00152D9B">
              <w:rPr>
                <w:noProof/>
                <w:webHidden/>
                <w:color w:val="000000" w:themeColor="text1"/>
              </w:rPr>
              <w:t>6</w:t>
            </w:r>
            <w:r w:rsidRPr="00152D9B">
              <w:rPr>
                <w:noProof/>
                <w:webHidden/>
                <w:color w:val="000000" w:themeColor="text1"/>
              </w:rPr>
              <w:fldChar w:fldCharType="end"/>
            </w:r>
          </w:hyperlink>
        </w:p>
        <w:p w14:paraId="11DE46EB" w14:textId="77777777" w:rsidR="008809D7" w:rsidRDefault="005B1F33" w:rsidP="008809D7">
          <w:pPr>
            <w:rPr>
              <w:b/>
              <w:bCs/>
              <w:noProof/>
            </w:rPr>
          </w:pPr>
          <w:r w:rsidRPr="00152D9B">
            <w:rPr>
              <w:b/>
              <w:bCs/>
              <w:noProof/>
              <w:color w:val="000000" w:themeColor="text1"/>
            </w:rPr>
            <w:fldChar w:fldCharType="end"/>
          </w:r>
        </w:p>
      </w:sdtContent>
    </w:sdt>
    <w:bookmarkStart w:id="1" w:name="_Toc216094299" w:displacedByCustomXml="prev"/>
    <w:p w14:paraId="761F307F" w14:textId="77777777" w:rsidR="008809D7" w:rsidRDefault="008809D7" w:rsidP="008809D7">
      <w:pPr>
        <w:rPr>
          <w:color w:val="000000" w:themeColor="text1"/>
        </w:rPr>
      </w:pPr>
    </w:p>
    <w:p w14:paraId="4C3B2EF4" w14:textId="77777777" w:rsidR="008809D7" w:rsidRDefault="008809D7" w:rsidP="008809D7">
      <w:pPr>
        <w:rPr>
          <w:color w:val="000000" w:themeColor="text1"/>
        </w:rPr>
      </w:pPr>
    </w:p>
    <w:p w14:paraId="4DEA9D15" w14:textId="77777777" w:rsidR="008809D7" w:rsidRDefault="008809D7" w:rsidP="008809D7">
      <w:pPr>
        <w:rPr>
          <w:color w:val="000000" w:themeColor="text1"/>
        </w:rPr>
      </w:pPr>
    </w:p>
    <w:p w14:paraId="569EACFD" w14:textId="77777777" w:rsidR="008809D7" w:rsidRDefault="008809D7" w:rsidP="008809D7">
      <w:pPr>
        <w:rPr>
          <w:color w:val="000000" w:themeColor="text1"/>
        </w:rPr>
      </w:pPr>
    </w:p>
    <w:p w14:paraId="01C432ED" w14:textId="77777777" w:rsidR="008809D7" w:rsidRDefault="008809D7" w:rsidP="008809D7">
      <w:pPr>
        <w:rPr>
          <w:color w:val="000000" w:themeColor="text1"/>
        </w:rPr>
      </w:pPr>
    </w:p>
    <w:p w14:paraId="2C61A61D" w14:textId="77777777" w:rsidR="008809D7" w:rsidRDefault="008809D7" w:rsidP="008809D7">
      <w:pPr>
        <w:rPr>
          <w:color w:val="000000" w:themeColor="text1"/>
        </w:rPr>
      </w:pPr>
    </w:p>
    <w:p w14:paraId="47789AA0" w14:textId="77777777" w:rsidR="008809D7" w:rsidRDefault="008809D7" w:rsidP="008809D7">
      <w:pPr>
        <w:rPr>
          <w:color w:val="000000" w:themeColor="text1"/>
        </w:rPr>
      </w:pPr>
    </w:p>
    <w:p w14:paraId="7C7E03F1" w14:textId="77777777" w:rsidR="008809D7" w:rsidRDefault="008809D7" w:rsidP="008809D7">
      <w:pPr>
        <w:rPr>
          <w:color w:val="000000" w:themeColor="text1"/>
        </w:rPr>
      </w:pPr>
    </w:p>
    <w:p w14:paraId="4A2BE539" w14:textId="77777777" w:rsidR="008809D7" w:rsidRDefault="008809D7" w:rsidP="008809D7">
      <w:pPr>
        <w:rPr>
          <w:color w:val="000000" w:themeColor="text1"/>
        </w:rPr>
      </w:pPr>
    </w:p>
    <w:p w14:paraId="1E104FFE" w14:textId="77777777" w:rsidR="008809D7" w:rsidRDefault="008809D7" w:rsidP="008809D7">
      <w:pPr>
        <w:rPr>
          <w:color w:val="000000" w:themeColor="text1"/>
        </w:rPr>
      </w:pPr>
    </w:p>
    <w:p w14:paraId="1BD8937C" w14:textId="77777777" w:rsidR="008809D7" w:rsidRDefault="008809D7" w:rsidP="008809D7">
      <w:pPr>
        <w:rPr>
          <w:color w:val="000000" w:themeColor="text1"/>
        </w:rPr>
      </w:pPr>
    </w:p>
    <w:p w14:paraId="0AEE2044" w14:textId="77777777" w:rsidR="008809D7" w:rsidRDefault="008809D7" w:rsidP="008809D7">
      <w:pPr>
        <w:rPr>
          <w:color w:val="000000" w:themeColor="text1"/>
        </w:rPr>
      </w:pPr>
    </w:p>
    <w:p w14:paraId="1BAE208E" w14:textId="77777777" w:rsidR="008809D7" w:rsidRDefault="008809D7" w:rsidP="008809D7">
      <w:pPr>
        <w:rPr>
          <w:color w:val="000000" w:themeColor="text1"/>
        </w:rPr>
      </w:pPr>
    </w:p>
    <w:p w14:paraId="2FBD8FE9" w14:textId="77777777" w:rsidR="008809D7" w:rsidRDefault="008809D7" w:rsidP="008809D7">
      <w:pPr>
        <w:rPr>
          <w:color w:val="000000" w:themeColor="text1"/>
        </w:rPr>
      </w:pPr>
    </w:p>
    <w:p w14:paraId="30000F7C" w14:textId="77777777" w:rsidR="008809D7" w:rsidRDefault="008809D7" w:rsidP="008809D7">
      <w:pPr>
        <w:rPr>
          <w:color w:val="000000" w:themeColor="text1"/>
        </w:rPr>
      </w:pPr>
    </w:p>
    <w:p w14:paraId="337861E3" w14:textId="1646AA4D" w:rsidR="003124E0" w:rsidRPr="008809D7" w:rsidRDefault="003124E0" w:rsidP="008809D7">
      <w:pPr>
        <w:pStyle w:val="Heading1"/>
        <w:rPr>
          <w:color w:val="000000" w:themeColor="text1"/>
        </w:rPr>
      </w:pPr>
      <w:r w:rsidRPr="008809D7">
        <w:rPr>
          <w:color w:val="000000" w:themeColor="text1"/>
        </w:rPr>
        <w:lastRenderedPageBreak/>
        <w:t>Introductio</w:t>
      </w:r>
      <w:bookmarkEnd w:id="1"/>
      <w:r w:rsidR="008809D7" w:rsidRPr="008809D7">
        <w:rPr>
          <w:color w:val="000000" w:themeColor="text1"/>
        </w:rPr>
        <w:t>n</w:t>
      </w:r>
    </w:p>
    <w:p w14:paraId="77985FE9" w14:textId="4D3F1A12" w:rsidR="00A77AEE" w:rsidRDefault="003124E0" w:rsidP="006027A0">
      <w:pPr>
        <w:spacing w:line="480" w:lineRule="auto"/>
        <w:rPr>
          <w:rFonts w:ascii="Times New Roman" w:hAnsi="Times New Roman" w:cs="Times New Roman"/>
        </w:rPr>
      </w:pPr>
      <w:r>
        <w:rPr>
          <w:rFonts w:ascii="Times New Roman" w:hAnsi="Times New Roman" w:cs="Times New Roman"/>
        </w:rPr>
        <w:t xml:space="preserve">In the construction industry, ethical judgement is a vital component of professional practice, especially when decisions are being made during planning and delivery of a project. Construction projects that are funded by the public sector require high levels of transparency and accountability. This analysis will examine an ethical dilemma that occurred during a government-funded hospital project after an engineer noticed that the concrete supplied had failed to meet the required </w:t>
      </w:r>
      <w:r w:rsidR="00A77AEE">
        <w:rPr>
          <w:rFonts w:ascii="Times New Roman" w:hAnsi="Times New Roman" w:cs="Times New Roman"/>
        </w:rPr>
        <w:t>strength specification. Hospitals are critical infrastructure where structural integrity is essential, meaning any defects related to material quality could have consequences in the future. This report will aim to analyse the dilemma through a structured ethical framework, examine the possible implications for key stakeholders, evaluate alternative solutions, and finally present a justified recommendation that follows moral, legal, and professional guidelines.</w:t>
      </w:r>
    </w:p>
    <w:p w14:paraId="5C98A0B4" w14:textId="62ACFF6B" w:rsidR="00A77AEE" w:rsidRPr="005B1F33" w:rsidRDefault="00A77AEE" w:rsidP="005B1F33">
      <w:pPr>
        <w:pStyle w:val="Heading1"/>
        <w:rPr>
          <w:color w:val="000000" w:themeColor="text1"/>
        </w:rPr>
      </w:pPr>
      <w:bookmarkStart w:id="2" w:name="_Toc216094300"/>
      <w:r w:rsidRPr="005B1F33">
        <w:rPr>
          <w:color w:val="000000" w:themeColor="text1"/>
        </w:rPr>
        <w:t>Context and The Ethical Issue</w:t>
      </w:r>
      <w:bookmarkEnd w:id="2"/>
    </w:p>
    <w:p w14:paraId="3296438F" w14:textId="61C7FB17" w:rsidR="006345FC" w:rsidRDefault="00A77AEE" w:rsidP="008F5852">
      <w:pPr>
        <w:spacing w:line="480" w:lineRule="auto"/>
        <w:rPr>
          <w:rFonts w:ascii="Times New Roman" w:hAnsi="Times New Roman" w:cs="Times New Roman"/>
        </w:rPr>
      </w:pPr>
      <w:r>
        <w:rPr>
          <w:rFonts w:ascii="Times New Roman" w:hAnsi="Times New Roman" w:cs="Times New Roman"/>
        </w:rPr>
        <w:t>The ethical issue portrayed is that the concrete being delivered to site did not meet the specified strength requirements required. Consequently, this could lead to an increased likelihood of cracking, a reduced load-bearing limit, and decreased durability</w:t>
      </w:r>
      <w:r w:rsidR="004049D1">
        <w:rPr>
          <w:rFonts w:ascii="Times New Roman" w:hAnsi="Times New Roman" w:cs="Times New Roman"/>
        </w:rPr>
        <w:t xml:space="preserve"> (Caspeele &amp; Taerwe, 2014). Also, a hospital would be expected to operate continuously and allow for high levels of public use. Therefore, such a deficiency presents serious risks </w:t>
      </w:r>
      <w:r w:rsidR="006345FC" w:rsidRPr="006345FC">
        <w:rPr>
          <w:rFonts w:ascii="Times New Roman" w:hAnsi="Times New Roman" w:cs="Times New Roman"/>
        </w:rPr>
        <w:t>(Rathnayaka et al., 2024).</w:t>
      </w:r>
      <w:r w:rsidR="006027A0">
        <w:rPr>
          <w:rFonts w:ascii="Times New Roman" w:hAnsi="Times New Roman" w:cs="Times New Roman"/>
        </w:rPr>
        <w:t xml:space="preserve"> </w:t>
      </w:r>
      <w:r w:rsidR="006345FC">
        <w:rPr>
          <w:rFonts w:ascii="Times New Roman" w:hAnsi="Times New Roman" w:cs="Times New Roman"/>
        </w:rPr>
        <w:t xml:space="preserve">Additionally, the issue is compounded by commercial pressures. The site supervisor fears that delays could be scrutinised. The supplier, seeking to avoid liability, offers a discount on materials if the concrete is accepted which raises ethical concerns. Therefore, the project manager must balance many obstacles including safety, reputation, conduct, and contractual obligations. </w:t>
      </w:r>
    </w:p>
    <w:p w14:paraId="4C90D70E" w14:textId="308124AB" w:rsidR="006345FC" w:rsidRPr="005B1F33" w:rsidRDefault="006345FC" w:rsidP="005B1F33">
      <w:pPr>
        <w:pStyle w:val="Heading1"/>
        <w:rPr>
          <w:color w:val="000000" w:themeColor="text1"/>
        </w:rPr>
      </w:pPr>
      <w:bookmarkStart w:id="3" w:name="_Toc216094301"/>
      <w:r w:rsidRPr="005B1F33">
        <w:rPr>
          <w:color w:val="000000" w:themeColor="text1"/>
        </w:rPr>
        <w:lastRenderedPageBreak/>
        <w:t>Stakeholder Impact Analysis</w:t>
      </w:r>
      <w:bookmarkEnd w:id="3"/>
    </w:p>
    <w:p w14:paraId="7A6EA79C" w14:textId="7AD3A2A0" w:rsidR="00CD63F5" w:rsidRDefault="006345FC" w:rsidP="008809D7">
      <w:pPr>
        <w:spacing w:line="480" w:lineRule="auto"/>
        <w:rPr>
          <w:rFonts w:ascii="Times New Roman" w:hAnsi="Times New Roman" w:cs="Times New Roman"/>
        </w:rPr>
      </w:pPr>
      <w:r>
        <w:rPr>
          <w:rFonts w:ascii="Times New Roman" w:hAnsi="Times New Roman" w:cs="Times New Roman"/>
        </w:rPr>
        <w:t xml:space="preserve">There are many stakeholders who are affected by this issue. The project manager has a legal and professional responsibility to ensure that the project is compliant and safe. The structural </w:t>
      </w:r>
      <w:r w:rsidRPr="003B503D">
        <w:rPr>
          <w:rFonts w:ascii="Times New Roman" w:hAnsi="Times New Roman" w:cs="Times New Roman"/>
        </w:rPr>
        <w:t xml:space="preserve">engineers depend on accurate material performance, </w:t>
      </w:r>
      <w:r w:rsidR="003B503D" w:rsidRPr="003B503D">
        <w:rPr>
          <w:rFonts w:ascii="Times New Roman" w:hAnsi="Times New Roman" w:cs="Times New Roman"/>
        </w:rPr>
        <w:t xml:space="preserve">or they </w:t>
      </w:r>
      <w:r w:rsidRPr="003B503D">
        <w:rPr>
          <w:rFonts w:ascii="Times New Roman" w:hAnsi="Times New Roman" w:cs="Times New Roman"/>
        </w:rPr>
        <w:t>risk liability if non</w:t>
      </w:r>
      <w:r w:rsidR="003B503D">
        <w:rPr>
          <w:rFonts w:ascii="Times New Roman" w:hAnsi="Times New Roman" w:cs="Times New Roman"/>
        </w:rPr>
        <w:t>-c</w:t>
      </w:r>
      <w:r w:rsidRPr="003B503D">
        <w:rPr>
          <w:rFonts w:ascii="Times New Roman" w:hAnsi="Times New Roman" w:cs="Times New Roman"/>
        </w:rPr>
        <w:t>onforming material remains in place. The client</w:t>
      </w:r>
      <w:r w:rsidR="003B503D" w:rsidRPr="003B503D">
        <w:rPr>
          <w:rFonts w:ascii="Times New Roman" w:hAnsi="Times New Roman" w:cs="Times New Roman"/>
        </w:rPr>
        <w:t xml:space="preserve"> i.e., the government, </w:t>
      </w:r>
      <w:r w:rsidRPr="003B503D">
        <w:rPr>
          <w:rFonts w:ascii="Times New Roman" w:hAnsi="Times New Roman" w:cs="Times New Roman"/>
        </w:rPr>
        <w:t xml:space="preserve">has to ensure that public funds are used appropriately and that public buildings are safe and durable. </w:t>
      </w:r>
      <w:r w:rsidR="003B503D" w:rsidRPr="003B503D">
        <w:rPr>
          <w:rFonts w:ascii="Times New Roman" w:hAnsi="Times New Roman" w:cs="Times New Roman"/>
        </w:rPr>
        <w:t>Also, people using the building</w:t>
      </w:r>
      <w:r w:rsidRPr="003B503D">
        <w:rPr>
          <w:rFonts w:ascii="Times New Roman" w:hAnsi="Times New Roman" w:cs="Times New Roman"/>
        </w:rPr>
        <w:t xml:space="preserve"> including patients, staff, and visitors, are directly affected by any long</w:t>
      </w:r>
      <w:r w:rsidR="003B503D" w:rsidRPr="003B503D">
        <w:rPr>
          <w:rFonts w:ascii="Times New Roman" w:hAnsi="Times New Roman" w:cs="Times New Roman"/>
        </w:rPr>
        <w:t>-t</w:t>
      </w:r>
      <w:r w:rsidRPr="003B503D">
        <w:rPr>
          <w:rFonts w:ascii="Times New Roman" w:hAnsi="Times New Roman" w:cs="Times New Roman"/>
        </w:rPr>
        <w:t xml:space="preserve">erm structural weaknesses. The wider public, whose taxes fund the project, expect </w:t>
      </w:r>
      <w:r w:rsidR="003B503D" w:rsidRPr="003B503D">
        <w:rPr>
          <w:rFonts w:ascii="Times New Roman" w:hAnsi="Times New Roman" w:cs="Times New Roman"/>
        </w:rPr>
        <w:t>a high quality build but also ensuring it follows ethical procedure</w:t>
      </w:r>
      <w:r w:rsidRPr="003B503D">
        <w:rPr>
          <w:rFonts w:ascii="Times New Roman" w:hAnsi="Times New Roman" w:cs="Times New Roman"/>
        </w:rPr>
        <w:t xml:space="preserve">. Research into construction failures shows that material non‑compliance often leads to costly maintenance, premature refurbishment, </w:t>
      </w:r>
      <w:r w:rsidR="003B503D" w:rsidRPr="003B503D">
        <w:rPr>
          <w:rFonts w:ascii="Times New Roman" w:hAnsi="Times New Roman" w:cs="Times New Roman"/>
        </w:rPr>
        <w:t xml:space="preserve">and </w:t>
      </w:r>
      <w:r w:rsidRPr="003B503D">
        <w:rPr>
          <w:rFonts w:ascii="Times New Roman" w:hAnsi="Times New Roman" w:cs="Times New Roman"/>
        </w:rPr>
        <w:t xml:space="preserve">partial structural failure </w:t>
      </w:r>
      <w:r w:rsidR="00DA6CA4" w:rsidRPr="00DA6CA4">
        <w:rPr>
          <w:rFonts w:ascii="Times New Roman" w:hAnsi="Times New Roman" w:cs="Times New Roman"/>
        </w:rPr>
        <w:t>(Love et al., 2018).</w:t>
      </w:r>
      <w:r w:rsidR="00DA6CA4">
        <w:t xml:space="preserve"> </w:t>
      </w:r>
      <w:r w:rsidR="003B503D" w:rsidRPr="003B503D">
        <w:rPr>
          <w:rFonts w:ascii="Times New Roman" w:hAnsi="Times New Roman" w:cs="Times New Roman"/>
        </w:rPr>
        <w:t>With this in mind</w:t>
      </w:r>
      <w:r w:rsidRPr="003B503D">
        <w:rPr>
          <w:rFonts w:ascii="Times New Roman" w:hAnsi="Times New Roman" w:cs="Times New Roman"/>
        </w:rPr>
        <w:t>, stakeholder interests strongly favour an ethical decision that prioritises long‑term safety over shor</w:t>
      </w:r>
      <w:r w:rsidR="003B503D">
        <w:rPr>
          <w:rFonts w:ascii="Times New Roman" w:hAnsi="Times New Roman" w:cs="Times New Roman"/>
        </w:rPr>
        <w:t>t-</w:t>
      </w:r>
      <w:r w:rsidRPr="003B503D">
        <w:rPr>
          <w:rFonts w:ascii="Times New Roman" w:hAnsi="Times New Roman" w:cs="Times New Roman"/>
        </w:rPr>
        <w:t>term convenience.</w:t>
      </w:r>
    </w:p>
    <w:p w14:paraId="48449F50" w14:textId="154F4A20" w:rsidR="00CD63F5" w:rsidRPr="005B1F33" w:rsidRDefault="00CD63F5" w:rsidP="005B1F33">
      <w:pPr>
        <w:pStyle w:val="Heading1"/>
        <w:rPr>
          <w:color w:val="000000" w:themeColor="text1"/>
        </w:rPr>
      </w:pPr>
      <w:bookmarkStart w:id="4" w:name="_Toc216094302"/>
      <w:r w:rsidRPr="005B1F33">
        <w:rPr>
          <w:color w:val="000000" w:themeColor="text1"/>
        </w:rPr>
        <w:t>Evaluation of Options</w:t>
      </w:r>
      <w:bookmarkEnd w:id="4"/>
    </w:p>
    <w:p w14:paraId="75D7E190" w14:textId="5AC05CE9" w:rsidR="00716A51" w:rsidRDefault="00CD63F5" w:rsidP="008F5852">
      <w:pPr>
        <w:spacing w:line="480" w:lineRule="auto"/>
        <w:rPr>
          <w:rFonts w:ascii="Times New Roman" w:hAnsi="Times New Roman" w:cs="Times New Roman"/>
        </w:rPr>
      </w:pPr>
      <w:r>
        <w:rPr>
          <w:rFonts w:ascii="Times New Roman" w:hAnsi="Times New Roman" w:cs="Times New Roman"/>
        </w:rPr>
        <w:t xml:space="preserve">Option 1 involves reporting the defect and undertaking full remediation. </w:t>
      </w:r>
      <w:r w:rsidR="00B255FF">
        <w:rPr>
          <w:rFonts w:ascii="Times New Roman" w:hAnsi="Times New Roman" w:cs="Times New Roman"/>
        </w:rPr>
        <w:t xml:space="preserve">This would put safety, professionalism, and compliance first. </w:t>
      </w:r>
      <w:r w:rsidR="007C5D0D">
        <w:rPr>
          <w:rFonts w:ascii="Times New Roman" w:hAnsi="Times New Roman" w:cs="Times New Roman"/>
        </w:rPr>
        <w:t>The Building Safety Act (2022)</w:t>
      </w:r>
      <w:r w:rsidR="00B255FF">
        <w:rPr>
          <w:rFonts w:ascii="Times New Roman" w:hAnsi="Times New Roman" w:cs="Times New Roman"/>
        </w:rPr>
        <w:t xml:space="preserve"> was introduced to raise standards in UK construction.</w:t>
      </w:r>
      <w:r w:rsidR="00716A51">
        <w:rPr>
          <w:rFonts w:ascii="Times New Roman" w:hAnsi="Times New Roman" w:cs="Times New Roman"/>
        </w:rPr>
        <w:t xml:space="preserve"> It puts a legal duty on duty-holders to ensure materials meet the required standards. Remediation may well increase costs and delay the project, but it would lower the likelihood of safety issues, and mitigate reputational damage. Research by Love et al., (2018) actually found that early correction of material defects reduced long-term costs. With this in mind, this option supports public welfare and professional integrity.</w:t>
      </w:r>
    </w:p>
    <w:p w14:paraId="7D0145A5" w14:textId="77777777" w:rsidR="008809D7" w:rsidRDefault="008809D7" w:rsidP="008F5852">
      <w:pPr>
        <w:spacing w:line="480" w:lineRule="auto"/>
        <w:rPr>
          <w:rFonts w:ascii="Times New Roman" w:hAnsi="Times New Roman" w:cs="Times New Roman"/>
        </w:rPr>
      </w:pPr>
    </w:p>
    <w:p w14:paraId="22002453" w14:textId="20B93A60" w:rsidR="009F3A2F" w:rsidRDefault="00716A51" w:rsidP="008F5852">
      <w:pPr>
        <w:spacing w:line="480" w:lineRule="auto"/>
        <w:rPr>
          <w:rFonts w:ascii="Times New Roman" w:hAnsi="Times New Roman" w:cs="Times New Roman"/>
        </w:rPr>
      </w:pPr>
      <w:r>
        <w:rPr>
          <w:rFonts w:ascii="Times New Roman" w:hAnsi="Times New Roman" w:cs="Times New Roman"/>
        </w:rPr>
        <w:t>Option 2 involves ignoring the defect and proceeding, therefore protecting the contractor from immediate cost implications and maintain</w:t>
      </w:r>
      <w:r w:rsidR="00274A03">
        <w:rPr>
          <w:rFonts w:ascii="Times New Roman" w:hAnsi="Times New Roman" w:cs="Times New Roman"/>
        </w:rPr>
        <w:t xml:space="preserve">ing </w:t>
      </w:r>
      <w:r>
        <w:rPr>
          <w:rFonts w:ascii="Times New Roman" w:hAnsi="Times New Roman" w:cs="Times New Roman"/>
        </w:rPr>
        <w:t xml:space="preserve">project certainty. </w:t>
      </w:r>
      <w:r w:rsidR="00274A03">
        <w:rPr>
          <w:rFonts w:ascii="Times New Roman" w:hAnsi="Times New Roman" w:cs="Times New Roman"/>
        </w:rPr>
        <w:t xml:space="preserve">However, continuing a project with defective concrete is legally and ethically indefensible. It is well-documented </w:t>
      </w:r>
      <w:r w:rsidR="00274A03">
        <w:rPr>
          <w:rFonts w:ascii="Times New Roman" w:hAnsi="Times New Roman" w:cs="Times New Roman"/>
        </w:rPr>
        <w:lastRenderedPageBreak/>
        <w:t xml:space="preserve">that poor standard concrete can lead to structural deficiencies and reduced resilience </w:t>
      </w:r>
      <w:r w:rsidR="00274A03" w:rsidRPr="00274A03">
        <w:rPr>
          <w:rFonts w:ascii="Times New Roman" w:hAnsi="Times New Roman" w:cs="Times New Roman"/>
        </w:rPr>
        <w:t>(Mehta &amp; Monteiro, 2014)</w:t>
      </w:r>
      <w:r w:rsidR="00274A03">
        <w:rPr>
          <w:rFonts w:ascii="Times New Roman" w:hAnsi="Times New Roman" w:cs="Times New Roman"/>
        </w:rPr>
        <w:t xml:space="preserve">. Additionally, ignoring this issue could expose the project manager to a breach of the Bribery Act (2010) as the supplier attempted to persuade the project manager to turn a blind eye. Furthermore, hiding material defects is contradictory to </w:t>
      </w:r>
      <w:r w:rsidR="009F3A2F">
        <w:rPr>
          <w:rFonts w:ascii="Times New Roman" w:hAnsi="Times New Roman" w:cs="Times New Roman"/>
        </w:rPr>
        <w:t xml:space="preserve">the UK’s construction regulations. </w:t>
      </w:r>
    </w:p>
    <w:p w14:paraId="213968DD" w14:textId="77777777" w:rsidR="008809D7" w:rsidRDefault="008809D7" w:rsidP="008F5852">
      <w:pPr>
        <w:spacing w:line="480" w:lineRule="auto"/>
        <w:rPr>
          <w:rFonts w:ascii="Times New Roman" w:hAnsi="Times New Roman" w:cs="Times New Roman"/>
        </w:rPr>
      </w:pPr>
    </w:p>
    <w:p w14:paraId="7FF87550" w14:textId="34D9C3CD" w:rsidR="00E02A8A" w:rsidRDefault="009F3A2F" w:rsidP="008F5852">
      <w:pPr>
        <w:spacing w:line="480" w:lineRule="auto"/>
        <w:rPr>
          <w:rFonts w:ascii="Times New Roman" w:hAnsi="Times New Roman" w:cs="Times New Roman"/>
        </w:rPr>
      </w:pPr>
      <w:r>
        <w:rPr>
          <w:rFonts w:ascii="Times New Roman" w:hAnsi="Times New Roman" w:cs="Times New Roman"/>
        </w:rPr>
        <w:t>Option 3 involves conducting additional testing to determine the extent of the defect. According to Bungey et al., (2018), this method could identify areas where the strength defects are minimal, therefore it would not require full replacement</w:t>
      </w:r>
      <w:r w:rsidR="00CD3086">
        <w:rPr>
          <w:rFonts w:ascii="Times New Roman" w:hAnsi="Times New Roman" w:cs="Times New Roman"/>
        </w:rPr>
        <w:t>.</w:t>
      </w:r>
      <w:r w:rsidR="00E02A8A">
        <w:rPr>
          <w:rFonts w:ascii="Times New Roman" w:hAnsi="Times New Roman" w:cs="Times New Roman"/>
        </w:rPr>
        <w:t xml:space="preserve"> However, this option also has limitations such as not fully capturing hidden microscopic defects, reduced durability. This option could also still breach The Building Safety Act (2022) if used to justify using below standard concrete </w:t>
      </w:r>
      <w:r w:rsidR="00CD3086" w:rsidRPr="00CD3086">
        <w:rPr>
          <w:rFonts w:ascii="Times New Roman" w:hAnsi="Times New Roman" w:cs="Times New Roman"/>
        </w:rPr>
        <w:t>(Silva et al., 2023)</w:t>
      </w:r>
      <w:r w:rsidR="00E02A8A">
        <w:rPr>
          <w:rFonts w:ascii="Times New Roman" w:hAnsi="Times New Roman" w:cs="Times New Roman"/>
        </w:rPr>
        <w:t>. Therefore, despite being more balanced than option 2, it still has uncertainties regarding safety and compliance.</w:t>
      </w:r>
    </w:p>
    <w:p w14:paraId="5A1CE03F" w14:textId="071169E2" w:rsidR="00E02A8A" w:rsidRPr="005B1F33" w:rsidRDefault="00E02A8A" w:rsidP="005B1F33">
      <w:pPr>
        <w:pStyle w:val="Heading1"/>
        <w:rPr>
          <w:color w:val="000000" w:themeColor="text1"/>
        </w:rPr>
      </w:pPr>
      <w:bookmarkStart w:id="5" w:name="_Toc216094303"/>
      <w:r w:rsidRPr="005B1F33">
        <w:rPr>
          <w:color w:val="000000" w:themeColor="text1"/>
        </w:rPr>
        <w:t>Deontology</w:t>
      </w:r>
      <w:bookmarkEnd w:id="5"/>
    </w:p>
    <w:p w14:paraId="18BA664C" w14:textId="2412D022" w:rsidR="00B210C4" w:rsidRDefault="00E02A8A" w:rsidP="008809D7">
      <w:pPr>
        <w:spacing w:line="480" w:lineRule="auto"/>
        <w:rPr>
          <w:rFonts w:ascii="Times New Roman" w:hAnsi="Times New Roman" w:cs="Times New Roman"/>
        </w:rPr>
      </w:pPr>
      <w:r>
        <w:rPr>
          <w:rFonts w:ascii="Times New Roman" w:hAnsi="Times New Roman" w:cs="Times New Roman"/>
        </w:rPr>
        <w:t xml:space="preserve">Deontological ethics suggests that all must adhere to their duties, principles, and professional obligations rather than evaluate the consequences alone. With this issue, all involved are bound by their duty to protect life, ensure they comply with regulations, and act with honesty and integrity. Kantian ethics; a deontological approach, argues that moral actions must be </w:t>
      </w:r>
      <w:r w:rsidR="00B87AE3">
        <w:rPr>
          <w:rFonts w:ascii="Times New Roman" w:hAnsi="Times New Roman" w:cs="Times New Roman"/>
        </w:rPr>
        <w:t xml:space="preserve">based on universally accepted principles (Kant, 1785). With the issue in mind, accepting defective concrete to avoid delays would contradict the deontological approach. Therefore, option 1 aligns most closely with deontology whereas option 2 prioritises speed and finances over public safety. Also, option 3 is partially aligned with the deontological approach but is not as ethically acceptable as option 1 due to more ambiguity regarding compliance. </w:t>
      </w:r>
    </w:p>
    <w:p w14:paraId="29F376DF" w14:textId="38F8935D" w:rsidR="00B210C4" w:rsidRPr="005B1F33" w:rsidRDefault="00B210C4" w:rsidP="005B1F33">
      <w:pPr>
        <w:pStyle w:val="Heading1"/>
        <w:rPr>
          <w:color w:val="000000" w:themeColor="text1"/>
        </w:rPr>
      </w:pPr>
      <w:bookmarkStart w:id="6" w:name="_Toc216094304"/>
      <w:r w:rsidRPr="005B1F33">
        <w:rPr>
          <w:color w:val="000000" w:themeColor="text1"/>
        </w:rPr>
        <w:lastRenderedPageBreak/>
        <w:t>Professional Standards and Legal Duties</w:t>
      </w:r>
      <w:bookmarkEnd w:id="6"/>
    </w:p>
    <w:p w14:paraId="43CD3946" w14:textId="3278B483" w:rsidR="00A65D85" w:rsidRDefault="00B210C4" w:rsidP="008809D7">
      <w:pPr>
        <w:spacing w:line="480" w:lineRule="auto"/>
        <w:rPr>
          <w:rFonts w:ascii="Times New Roman" w:hAnsi="Times New Roman" w:cs="Times New Roman"/>
        </w:rPr>
      </w:pPr>
      <w:r>
        <w:rPr>
          <w:rFonts w:ascii="Times New Roman" w:hAnsi="Times New Roman" w:cs="Times New Roman"/>
        </w:rPr>
        <w:t xml:space="preserve">Many professional and legal frameworks underpin the project manager’s responsibilities. The RICS Rules of Conduct require integrity, honesty, and compliance with laws and standards (RICS, 2022). The CIOB </w:t>
      </w:r>
      <w:r w:rsidR="00CE111A">
        <w:rPr>
          <w:rFonts w:ascii="Times New Roman" w:hAnsi="Times New Roman" w:cs="Times New Roman"/>
        </w:rPr>
        <w:t>Code of Conduct prioritises health and safety, avoiding conflicts of interest, and maintaining accountability (CIOB, 2025). The ICE Code of Conduct also requires engineers to prioritise life, health, and welfare (ICE, 2017). Therefore, ignoring the concrete defect would breach each of these codes.</w:t>
      </w:r>
      <w:r w:rsidR="00A65D85">
        <w:rPr>
          <w:rFonts w:ascii="Times New Roman" w:hAnsi="Times New Roman" w:cs="Times New Roman"/>
        </w:rPr>
        <w:t xml:space="preserve"> Also, the Building Safety Act (2022) and the Health and Safety at Work Act 1974 reaffirm that materials must be safe and correctly specified. Therefore, using defected concrete would expose stakeholders to potential criminal or civil liabilities.</w:t>
      </w:r>
    </w:p>
    <w:p w14:paraId="320B49B6" w14:textId="0F17E37E" w:rsidR="00A65D85" w:rsidRPr="005B1F33" w:rsidRDefault="00A65D85" w:rsidP="005B1F33">
      <w:pPr>
        <w:pStyle w:val="Heading1"/>
        <w:rPr>
          <w:color w:val="000000" w:themeColor="text1"/>
        </w:rPr>
      </w:pPr>
      <w:bookmarkStart w:id="7" w:name="_Toc216094305"/>
      <w:r w:rsidRPr="005B1F33">
        <w:rPr>
          <w:color w:val="000000" w:themeColor="text1"/>
        </w:rPr>
        <w:t>Resolution</w:t>
      </w:r>
      <w:bookmarkEnd w:id="7"/>
    </w:p>
    <w:p w14:paraId="43CAF8B4" w14:textId="5BB1D157" w:rsidR="008F5852" w:rsidRDefault="00A65D85" w:rsidP="008F5852">
      <w:pPr>
        <w:spacing w:line="480" w:lineRule="auto"/>
        <w:rPr>
          <w:rFonts w:ascii="Times New Roman" w:hAnsi="Times New Roman" w:cs="Times New Roman"/>
        </w:rPr>
      </w:pPr>
      <w:r>
        <w:rPr>
          <w:rFonts w:ascii="Times New Roman" w:hAnsi="Times New Roman" w:cs="Times New Roman"/>
        </w:rPr>
        <w:t xml:space="preserve">With all of the above in mind, the most responsible resolution is to disclose the defected concrete to the client immediately. Consequently, this may lead to full remediation of the concrete which may be costly, but more importantly it maintains regulatory requirements and integrity as well as protects the public’s safety. It will ensure long-term structural safety and prevent potential litigation. This resolution aligns with the deontological approach and the Codes of Conduct of most major UK construction professional bodies. </w:t>
      </w:r>
    </w:p>
    <w:p w14:paraId="62BDD2CD" w14:textId="0D8E73F4" w:rsidR="006345FC" w:rsidRPr="005B1F33" w:rsidRDefault="00A65D85" w:rsidP="005B1F33">
      <w:pPr>
        <w:pStyle w:val="Heading1"/>
        <w:rPr>
          <w:color w:val="000000" w:themeColor="text1"/>
        </w:rPr>
      </w:pPr>
      <w:bookmarkStart w:id="8" w:name="_Toc216094306"/>
      <w:r w:rsidRPr="005B1F33">
        <w:rPr>
          <w:color w:val="000000" w:themeColor="text1"/>
        </w:rPr>
        <w:t>Conclusion</w:t>
      </w:r>
      <w:bookmarkEnd w:id="8"/>
    </w:p>
    <w:p w14:paraId="1001CB12" w14:textId="6099216D" w:rsidR="003124E0" w:rsidRDefault="00864846" w:rsidP="008F5852">
      <w:pPr>
        <w:spacing w:line="480" w:lineRule="auto"/>
        <w:rPr>
          <w:rFonts w:ascii="Times New Roman" w:hAnsi="Times New Roman" w:cs="Times New Roman"/>
        </w:rPr>
      </w:pPr>
      <w:r>
        <w:rPr>
          <w:rFonts w:ascii="Times New Roman" w:hAnsi="Times New Roman" w:cs="Times New Roman"/>
        </w:rPr>
        <w:t xml:space="preserve">This case study shows how commercial pressures can collide with professional standards. After analysing the issue, stakeholder impacts, options available, ethical framework, and professional standards and legal duties, it is clear that honesty, integrity, full disclosure, and remediation make up the only acceptable response. </w:t>
      </w:r>
    </w:p>
    <w:p w14:paraId="7F8563EE" w14:textId="77777777" w:rsidR="005B1F33" w:rsidRDefault="005B1F33" w:rsidP="00864846">
      <w:pPr>
        <w:pStyle w:val="Subtitle"/>
        <w:rPr>
          <w:color w:val="000000" w:themeColor="text1"/>
        </w:rPr>
      </w:pPr>
    </w:p>
    <w:p w14:paraId="2A00FCD2" w14:textId="3A6994FC" w:rsidR="00864846" w:rsidRDefault="00864846" w:rsidP="005B1F33">
      <w:pPr>
        <w:pStyle w:val="Heading1"/>
        <w:rPr>
          <w:color w:val="000000" w:themeColor="text1"/>
        </w:rPr>
      </w:pPr>
      <w:bookmarkStart w:id="9" w:name="_Toc216094307"/>
      <w:r w:rsidRPr="005B1F33">
        <w:rPr>
          <w:color w:val="000000" w:themeColor="text1"/>
        </w:rPr>
        <w:lastRenderedPageBreak/>
        <w:t>References</w:t>
      </w:r>
      <w:bookmarkEnd w:id="9"/>
    </w:p>
    <w:p w14:paraId="2BAB2AE3" w14:textId="77777777" w:rsidR="005B1F33" w:rsidRPr="005B1F33" w:rsidRDefault="005B1F33" w:rsidP="005B1F33"/>
    <w:p w14:paraId="1841442B" w14:textId="77777777" w:rsidR="00864846" w:rsidRDefault="00864846" w:rsidP="008F5852">
      <w:pPr>
        <w:spacing w:line="480" w:lineRule="auto"/>
      </w:pPr>
      <w:r w:rsidRPr="00920DA1">
        <w:rPr>
          <w:rFonts w:ascii="Times New Roman" w:hAnsi="Times New Roman" w:cs="Times New Roman"/>
          <w:color w:val="000000"/>
        </w:rPr>
        <w:t>Building Safety Act 2022</w:t>
      </w:r>
      <w:r w:rsidRPr="00920DA1">
        <w:rPr>
          <w:rFonts w:ascii="Times New Roman" w:hAnsi="Times New Roman" w:cs="Times New Roman"/>
          <w:color w:val="000000"/>
          <w:sz w:val="27"/>
          <w:szCs w:val="27"/>
        </w:rPr>
        <w:t xml:space="preserve">, </w:t>
      </w:r>
      <w:r w:rsidRPr="00920DA1">
        <w:rPr>
          <w:rFonts w:ascii="Times New Roman" w:hAnsi="Times New Roman" w:cs="Times New Roman"/>
          <w:color w:val="000000"/>
        </w:rPr>
        <w:t>c.30. London: The Stationery Office.</w:t>
      </w:r>
      <w:r w:rsidRPr="00920DA1">
        <w:rPr>
          <w:color w:val="000000"/>
        </w:rPr>
        <w:br/>
      </w:r>
      <w:hyperlink r:id="rId7" w:tgtFrame="_new" w:history="1">
        <w:r w:rsidRPr="00920DA1">
          <w:rPr>
            <w:color w:val="0000FF"/>
            <w:u w:val="single"/>
          </w:rPr>
          <w:t>https://www.legislation.gov.uk/ukpga/2022/30/contents</w:t>
        </w:r>
      </w:hyperlink>
    </w:p>
    <w:p w14:paraId="5F2CB457" w14:textId="752645B3" w:rsidR="00864846" w:rsidRDefault="00864846" w:rsidP="008F5852">
      <w:pPr>
        <w:pStyle w:val="NormalWeb"/>
        <w:spacing w:line="480" w:lineRule="auto"/>
      </w:pPr>
      <w:r>
        <w:t xml:space="preserve">Bungey, J.H., Millard, S.G. and Grantham, M. (2018) </w:t>
      </w:r>
      <w:r>
        <w:rPr>
          <w:i/>
          <w:iCs/>
        </w:rPr>
        <w:t>Testing of concrete in structures</w:t>
      </w:r>
      <w:r>
        <w:t>. Boca Raton: CRC Press.</w:t>
      </w:r>
    </w:p>
    <w:p w14:paraId="618FAA64" w14:textId="77777777" w:rsidR="00864846" w:rsidRDefault="00864846" w:rsidP="008F5852">
      <w:pPr>
        <w:pStyle w:val="NormalWeb"/>
        <w:spacing w:line="480" w:lineRule="auto"/>
      </w:pPr>
      <w:r>
        <w:t xml:space="preserve">Caspeele, R. and Taerwe, L. (2014) ‘Influence of concrete strength estimation on the structural safety assessment of existing structures’, </w:t>
      </w:r>
      <w:r>
        <w:rPr>
          <w:i/>
          <w:iCs/>
        </w:rPr>
        <w:t>Construction and Building Materials</w:t>
      </w:r>
      <w:r>
        <w:t xml:space="preserve">, 62, pp. 77–84. </w:t>
      </w:r>
      <w:hyperlink r:id="rId8" w:history="1">
        <w:r w:rsidRPr="00114750">
          <w:rPr>
            <w:rStyle w:val="Hyperlink"/>
          </w:rPr>
          <w:t>https://www.sciencedirect.com/science/article/abs/pii/S0950061814002876</w:t>
        </w:r>
      </w:hyperlink>
    </w:p>
    <w:p w14:paraId="579379E5" w14:textId="6B602C4F" w:rsidR="00864846" w:rsidRPr="008F5852" w:rsidRDefault="00864846" w:rsidP="008F5852">
      <w:pPr>
        <w:spacing w:before="100" w:beforeAutospacing="1" w:after="100" w:afterAutospacing="1" w:line="480" w:lineRule="auto"/>
      </w:pPr>
      <w:r>
        <w:t xml:space="preserve">CIOB (2025) CIOB Code of Conduct. </w:t>
      </w:r>
      <w:hyperlink r:id="rId9" w:history="1">
        <w:r w:rsidRPr="00114750">
          <w:rPr>
            <w:rStyle w:val="Hyperlink"/>
          </w:rPr>
          <w:t>https://www.ciob.org/about/who-we-are</w:t>
        </w:r>
      </w:hyperlink>
    </w:p>
    <w:p w14:paraId="35C60F95" w14:textId="2352F21B" w:rsidR="00864846" w:rsidRDefault="00864846" w:rsidP="008F5852">
      <w:pPr>
        <w:spacing w:before="100" w:beforeAutospacing="1" w:after="100" w:afterAutospacing="1" w:line="480" w:lineRule="auto"/>
        <w:rPr>
          <w:rFonts w:ascii="Times New Roman" w:hAnsi="Times New Roman" w:cs="Times New Roman"/>
        </w:rPr>
      </w:pPr>
      <w:r w:rsidRPr="000B7993">
        <w:rPr>
          <w:rFonts w:ascii="Times New Roman" w:hAnsi="Times New Roman" w:cs="Times New Roman"/>
          <w:color w:val="000000"/>
        </w:rPr>
        <w:t>ICE (2017) </w:t>
      </w:r>
      <w:r w:rsidRPr="000B7993">
        <w:rPr>
          <w:rFonts w:ascii="Times New Roman" w:hAnsi="Times New Roman" w:cs="Times New Roman"/>
          <w:i/>
          <w:iCs/>
          <w:color w:val="000000"/>
        </w:rPr>
        <w:t>Code of Professional Conduct</w:t>
      </w:r>
      <w:r w:rsidRPr="000B7993">
        <w:rPr>
          <w:rFonts w:ascii="Times New Roman" w:hAnsi="Times New Roman" w:cs="Times New Roman"/>
          <w:color w:val="000000"/>
        </w:rPr>
        <w:t>. London: Institution of Civil Engineers. Available at: </w:t>
      </w:r>
      <w:hyperlink r:id="rId10" w:tgtFrame="_new" w:history="1">
        <w:r w:rsidRPr="000B7993">
          <w:rPr>
            <w:rFonts w:ascii="Times New Roman" w:hAnsi="Times New Roman" w:cs="Times New Roman"/>
            <w:color w:val="0000FF"/>
            <w:u w:val="single"/>
          </w:rPr>
          <w:t>https://www.ice.org.uk/download-centre/code-of-conduct</w:t>
        </w:r>
      </w:hyperlink>
    </w:p>
    <w:p w14:paraId="2ACC25C1" w14:textId="77777777" w:rsidR="008F5852" w:rsidRDefault="00864846" w:rsidP="008F5852">
      <w:pPr>
        <w:spacing w:before="100" w:beforeAutospacing="1" w:after="100" w:afterAutospacing="1" w:line="480" w:lineRule="auto"/>
      </w:pPr>
      <w:r>
        <w:t xml:space="preserve">Kant, I. (1785) Groundwork of the Metaphysics of Morals. </w:t>
      </w:r>
      <w:hyperlink r:id="rId11" w:history="1">
        <w:r w:rsidRPr="00114750">
          <w:rPr>
            <w:rStyle w:val="Hyperlink"/>
          </w:rPr>
          <w:t>https://www.gutenberg.org/ebooks/5682</w:t>
        </w:r>
      </w:hyperlink>
    </w:p>
    <w:p w14:paraId="223D758C" w14:textId="74D11E26" w:rsidR="00864846" w:rsidRDefault="00864846" w:rsidP="008F5852">
      <w:pPr>
        <w:spacing w:before="100" w:beforeAutospacing="1" w:after="100" w:afterAutospacing="1" w:line="480" w:lineRule="auto"/>
      </w:pPr>
      <w:r>
        <w:t xml:space="preserve">Love, P.E. </w:t>
      </w:r>
      <w:r>
        <w:rPr>
          <w:i/>
          <w:iCs/>
        </w:rPr>
        <w:t>et al.</w:t>
      </w:r>
      <w:r>
        <w:t xml:space="preserve"> (2018) ‘The costs of rework: Insights from construction and opportunities for learning’, </w:t>
      </w:r>
      <w:r>
        <w:rPr>
          <w:i/>
          <w:iCs/>
        </w:rPr>
        <w:t>Production Planning &amp;amp; Control</w:t>
      </w:r>
      <w:r>
        <w:t xml:space="preserve">, 29(13), pp. 1082–1095. </w:t>
      </w:r>
      <w:hyperlink r:id="rId12" w:history="1">
        <w:r w:rsidRPr="00114750">
          <w:rPr>
            <w:rStyle w:val="Hyperlink"/>
          </w:rPr>
          <w:t>https://doi.org/10.1080/09537287.2018.1513177</w:t>
        </w:r>
      </w:hyperlink>
    </w:p>
    <w:p w14:paraId="79DE22B7" w14:textId="77777777" w:rsidR="00864846" w:rsidRDefault="00864846" w:rsidP="008F5852">
      <w:pPr>
        <w:pStyle w:val="NormalWeb"/>
        <w:spacing w:line="480" w:lineRule="auto"/>
      </w:pPr>
      <w:r>
        <w:t xml:space="preserve">Mehta, P.K. and Monteiro, P.J.M. (2014) </w:t>
      </w:r>
      <w:r>
        <w:rPr>
          <w:i/>
          <w:iCs/>
        </w:rPr>
        <w:t>Concrete: Microstructure, properties, and materials</w:t>
      </w:r>
      <w:r>
        <w:t xml:space="preserve">. New York: McGraw-Hill Education. </w:t>
      </w:r>
    </w:p>
    <w:p w14:paraId="38E73946" w14:textId="2AD3419F" w:rsidR="00864846" w:rsidRDefault="00864846" w:rsidP="008F5852">
      <w:pPr>
        <w:pStyle w:val="NormalWeb"/>
        <w:spacing w:line="480" w:lineRule="auto"/>
      </w:pPr>
      <w:r>
        <w:lastRenderedPageBreak/>
        <w:t xml:space="preserve">Rathnayaka, B. </w:t>
      </w:r>
      <w:r>
        <w:rPr>
          <w:i/>
          <w:iCs/>
        </w:rPr>
        <w:t>et al.</w:t>
      </w:r>
      <w:r>
        <w:t xml:space="preserve"> (2024) ‘A unified framework for evaluating the resilience of Critical Infrastructure: Delphi Survey Approach’, </w:t>
      </w:r>
      <w:r>
        <w:rPr>
          <w:i/>
          <w:iCs/>
        </w:rPr>
        <w:t>International Journal of Disaster Risk Reduction</w:t>
      </w:r>
      <w:r>
        <w:t xml:space="preserve">, 110, p. 104598. </w:t>
      </w:r>
      <w:hyperlink r:id="rId13" w:history="1">
        <w:r w:rsidRPr="00114750">
          <w:rPr>
            <w:rStyle w:val="Hyperlink"/>
          </w:rPr>
          <w:t>https://www.sciencedirect.com/science/article/pii/S2212420924003601</w:t>
        </w:r>
      </w:hyperlink>
    </w:p>
    <w:p w14:paraId="605DAD54" w14:textId="77777777" w:rsidR="00864846" w:rsidRDefault="00864846" w:rsidP="008F5852">
      <w:pPr>
        <w:spacing w:before="100" w:beforeAutospacing="1" w:after="100" w:afterAutospacing="1" w:line="480" w:lineRule="auto"/>
      </w:pPr>
      <w:r>
        <w:t xml:space="preserve">RICS (2022) RICS Rules of Conduct. Available at: </w:t>
      </w:r>
      <w:hyperlink r:id="rId14" w:history="1">
        <w:r w:rsidRPr="00114750">
          <w:rPr>
            <w:rStyle w:val="Hyperlink"/>
          </w:rPr>
          <w:t>https://www.rics.org/profession-standards/rics-standards-and-guidance/conduct-competence</w:t>
        </w:r>
      </w:hyperlink>
    </w:p>
    <w:p w14:paraId="6ADB1473" w14:textId="05D6D3F3" w:rsidR="00864846" w:rsidRDefault="00864846" w:rsidP="008F5852">
      <w:pPr>
        <w:pStyle w:val="NormalWeb"/>
        <w:spacing w:line="480" w:lineRule="auto"/>
      </w:pPr>
      <w:r>
        <w:t xml:space="preserve">Silva, M.I. </w:t>
      </w:r>
      <w:r>
        <w:rPr>
          <w:i/>
          <w:iCs/>
        </w:rPr>
        <w:t>et al.</w:t>
      </w:r>
      <w:r>
        <w:t xml:space="preserve"> (2023) ‘Review of conventional and advanced non</w:t>
      </w:r>
      <w:r>
        <w:noBreakHyphen/>
        <w:t xml:space="preserve">destructive methods for concrete assessment’, </w:t>
      </w:r>
      <w:r>
        <w:rPr>
          <w:i/>
          <w:iCs/>
        </w:rPr>
        <w:t>Review of conventional and advanced non-destructive testing techniques for detection and characterization of small-scale defects</w:t>
      </w:r>
      <w:r>
        <w:t xml:space="preserve">, 138. </w:t>
      </w:r>
      <w:hyperlink r:id="rId15" w:history="1">
        <w:r w:rsidRPr="00114750">
          <w:rPr>
            <w:rStyle w:val="Hyperlink"/>
          </w:rPr>
          <w:t>https://doi.org/10.1016/j.pmatsci.2023.101155</w:t>
        </w:r>
      </w:hyperlink>
      <w:r>
        <w:t>.</w:t>
      </w:r>
    </w:p>
    <w:p w14:paraId="3FE2C556" w14:textId="77777777" w:rsidR="00864846" w:rsidRDefault="00864846" w:rsidP="00864846">
      <w:pPr>
        <w:spacing w:line="360" w:lineRule="auto"/>
      </w:pPr>
    </w:p>
    <w:p w14:paraId="51D91C96" w14:textId="77777777" w:rsidR="00864846" w:rsidRDefault="00864846" w:rsidP="00864846">
      <w:pPr>
        <w:spacing w:line="360" w:lineRule="auto"/>
      </w:pPr>
    </w:p>
    <w:p w14:paraId="299DAB1E" w14:textId="77777777" w:rsidR="00864846" w:rsidRDefault="00864846" w:rsidP="00864846">
      <w:pPr>
        <w:spacing w:line="360" w:lineRule="auto"/>
        <w:rPr>
          <w:rFonts w:ascii="Times New Roman" w:hAnsi="Times New Roman" w:cs="Times New Roman"/>
          <w:color w:val="000000"/>
        </w:rPr>
      </w:pPr>
    </w:p>
    <w:p w14:paraId="58A2232F" w14:textId="77777777" w:rsidR="00864846" w:rsidRPr="003124E0" w:rsidRDefault="00864846" w:rsidP="003124E0">
      <w:pPr>
        <w:rPr>
          <w:rFonts w:ascii="Times New Roman" w:hAnsi="Times New Roman" w:cs="Times New Roman"/>
        </w:rPr>
      </w:pPr>
    </w:p>
    <w:sectPr w:rsidR="00864846" w:rsidRPr="003124E0">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ED9BD" w14:textId="77777777" w:rsidR="00AB50FD" w:rsidRDefault="00AB50FD" w:rsidP="001D7FA9">
      <w:r>
        <w:separator/>
      </w:r>
    </w:p>
  </w:endnote>
  <w:endnote w:type="continuationSeparator" w:id="0">
    <w:p w14:paraId="09321EFC" w14:textId="77777777" w:rsidR="00AB50FD" w:rsidRDefault="00AB50FD" w:rsidP="001D7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61432"/>
      <w:docPartObj>
        <w:docPartGallery w:val="Page Numbers (Bottom of Page)"/>
        <w:docPartUnique/>
      </w:docPartObj>
    </w:sdtPr>
    <w:sdtContent>
      <w:p w14:paraId="67F81A6D" w14:textId="7FC693CB" w:rsidR="001D7FA9" w:rsidRDefault="001D7FA9" w:rsidP="001147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A5B405" w14:textId="77777777" w:rsidR="001D7FA9" w:rsidRDefault="001D7FA9" w:rsidP="001D7F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0657912"/>
      <w:docPartObj>
        <w:docPartGallery w:val="Page Numbers (Bottom of Page)"/>
        <w:docPartUnique/>
      </w:docPartObj>
    </w:sdtPr>
    <w:sdtContent>
      <w:p w14:paraId="3E39AAD0" w14:textId="2B80830F" w:rsidR="001D7FA9" w:rsidRDefault="001D7FA9" w:rsidP="001147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8B9757" w14:textId="77777777" w:rsidR="001D7FA9" w:rsidRDefault="001D7FA9" w:rsidP="001D7F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06E0DF" w14:textId="77777777" w:rsidR="00AB50FD" w:rsidRDefault="00AB50FD" w:rsidP="001D7FA9">
      <w:r>
        <w:separator/>
      </w:r>
    </w:p>
  </w:footnote>
  <w:footnote w:type="continuationSeparator" w:id="0">
    <w:p w14:paraId="192D6D1F" w14:textId="77777777" w:rsidR="00AB50FD" w:rsidRDefault="00AB50FD" w:rsidP="001D7F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4E0"/>
    <w:rsid w:val="000B4EFB"/>
    <w:rsid w:val="001312D8"/>
    <w:rsid w:val="00152D9B"/>
    <w:rsid w:val="001D7FA9"/>
    <w:rsid w:val="00274A03"/>
    <w:rsid w:val="00311545"/>
    <w:rsid w:val="003124E0"/>
    <w:rsid w:val="003B503D"/>
    <w:rsid w:val="004049D1"/>
    <w:rsid w:val="005B1F33"/>
    <w:rsid w:val="006027A0"/>
    <w:rsid w:val="006345FC"/>
    <w:rsid w:val="00716A51"/>
    <w:rsid w:val="007C30F6"/>
    <w:rsid w:val="007C5D0D"/>
    <w:rsid w:val="00864846"/>
    <w:rsid w:val="008809D7"/>
    <w:rsid w:val="008F5852"/>
    <w:rsid w:val="009F3A2F"/>
    <w:rsid w:val="00A65D85"/>
    <w:rsid w:val="00A77AEE"/>
    <w:rsid w:val="00AB50FD"/>
    <w:rsid w:val="00B210C4"/>
    <w:rsid w:val="00B255FF"/>
    <w:rsid w:val="00B87AE3"/>
    <w:rsid w:val="00BA009D"/>
    <w:rsid w:val="00BE5311"/>
    <w:rsid w:val="00CD3086"/>
    <w:rsid w:val="00CD63F5"/>
    <w:rsid w:val="00CE111A"/>
    <w:rsid w:val="00DA4DBF"/>
    <w:rsid w:val="00DA6CA4"/>
    <w:rsid w:val="00E02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F3F9A2"/>
  <w15:chartTrackingRefBased/>
  <w15:docId w15:val="{A801B487-56A1-CE4F-BC4F-2C418C339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24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24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24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24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24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24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24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24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24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4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24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24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24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24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24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24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24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24E0"/>
    <w:rPr>
      <w:rFonts w:eastAsiaTheme="majorEastAsia" w:cstheme="majorBidi"/>
      <w:color w:val="272727" w:themeColor="text1" w:themeTint="D8"/>
    </w:rPr>
  </w:style>
  <w:style w:type="paragraph" w:styleId="Title">
    <w:name w:val="Title"/>
    <w:basedOn w:val="Normal"/>
    <w:next w:val="Normal"/>
    <w:link w:val="TitleChar"/>
    <w:uiPriority w:val="10"/>
    <w:qFormat/>
    <w:rsid w:val="003124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24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24E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24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24E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24E0"/>
    <w:rPr>
      <w:i/>
      <w:iCs/>
      <w:color w:val="404040" w:themeColor="text1" w:themeTint="BF"/>
    </w:rPr>
  </w:style>
  <w:style w:type="paragraph" w:styleId="ListParagraph">
    <w:name w:val="List Paragraph"/>
    <w:basedOn w:val="Normal"/>
    <w:uiPriority w:val="34"/>
    <w:qFormat/>
    <w:rsid w:val="003124E0"/>
    <w:pPr>
      <w:ind w:left="720"/>
      <w:contextualSpacing/>
    </w:pPr>
  </w:style>
  <w:style w:type="character" w:styleId="IntenseEmphasis">
    <w:name w:val="Intense Emphasis"/>
    <w:basedOn w:val="DefaultParagraphFont"/>
    <w:uiPriority w:val="21"/>
    <w:qFormat/>
    <w:rsid w:val="003124E0"/>
    <w:rPr>
      <w:i/>
      <w:iCs/>
      <w:color w:val="0F4761" w:themeColor="accent1" w:themeShade="BF"/>
    </w:rPr>
  </w:style>
  <w:style w:type="paragraph" w:styleId="IntenseQuote">
    <w:name w:val="Intense Quote"/>
    <w:basedOn w:val="Normal"/>
    <w:next w:val="Normal"/>
    <w:link w:val="IntenseQuoteChar"/>
    <w:uiPriority w:val="30"/>
    <w:qFormat/>
    <w:rsid w:val="003124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24E0"/>
    <w:rPr>
      <w:i/>
      <w:iCs/>
      <w:color w:val="0F4761" w:themeColor="accent1" w:themeShade="BF"/>
    </w:rPr>
  </w:style>
  <w:style w:type="character" w:styleId="IntenseReference">
    <w:name w:val="Intense Reference"/>
    <w:basedOn w:val="DefaultParagraphFont"/>
    <w:uiPriority w:val="32"/>
    <w:qFormat/>
    <w:rsid w:val="003124E0"/>
    <w:rPr>
      <w:b/>
      <w:bCs/>
      <w:smallCaps/>
      <w:color w:val="0F4761" w:themeColor="accent1" w:themeShade="BF"/>
      <w:spacing w:val="5"/>
    </w:rPr>
  </w:style>
  <w:style w:type="character" w:styleId="Hyperlink">
    <w:name w:val="Hyperlink"/>
    <w:basedOn w:val="DefaultParagraphFont"/>
    <w:uiPriority w:val="99"/>
    <w:unhideWhenUsed/>
    <w:rsid w:val="00864846"/>
    <w:rPr>
      <w:color w:val="467886" w:themeColor="hyperlink"/>
      <w:u w:val="single"/>
    </w:rPr>
  </w:style>
  <w:style w:type="paragraph" w:styleId="NormalWeb">
    <w:name w:val="Normal (Web)"/>
    <w:basedOn w:val="Normal"/>
    <w:uiPriority w:val="99"/>
    <w:semiHidden/>
    <w:unhideWhenUsed/>
    <w:rsid w:val="00864846"/>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864846"/>
    <w:rPr>
      <w:color w:val="96607D" w:themeColor="followedHyperlink"/>
      <w:u w:val="single"/>
    </w:rPr>
  </w:style>
  <w:style w:type="paragraph" w:styleId="TOCHeading">
    <w:name w:val="TOC Heading"/>
    <w:basedOn w:val="Heading1"/>
    <w:next w:val="Normal"/>
    <w:uiPriority w:val="39"/>
    <w:unhideWhenUsed/>
    <w:qFormat/>
    <w:rsid w:val="005B1F33"/>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5B1F33"/>
    <w:pPr>
      <w:spacing w:before="120"/>
    </w:pPr>
    <w:rPr>
      <w:b/>
      <w:bCs/>
      <w:i/>
      <w:iCs/>
    </w:rPr>
  </w:style>
  <w:style w:type="paragraph" w:styleId="TOC2">
    <w:name w:val="toc 2"/>
    <w:basedOn w:val="Normal"/>
    <w:next w:val="Normal"/>
    <w:autoRedefine/>
    <w:uiPriority w:val="39"/>
    <w:semiHidden/>
    <w:unhideWhenUsed/>
    <w:rsid w:val="005B1F33"/>
    <w:pPr>
      <w:spacing w:before="120"/>
      <w:ind w:left="240"/>
    </w:pPr>
    <w:rPr>
      <w:b/>
      <w:bCs/>
      <w:sz w:val="22"/>
      <w:szCs w:val="22"/>
    </w:rPr>
  </w:style>
  <w:style w:type="paragraph" w:styleId="TOC3">
    <w:name w:val="toc 3"/>
    <w:basedOn w:val="Normal"/>
    <w:next w:val="Normal"/>
    <w:autoRedefine/>
    <w:uiPriority w:val="39"/>
    <w:semiHidden/>
    <w:unhideWhenUsed/>
    <w:rsid w:val="005B1F33"/>
    <w:pPr>
      <w:ind w:left="480"/>
    </w:pPr>
    <w:rPr>
      <w:sz w:val="20"/>
      <w:szCs w:val="20"/>
    </w:rPr>
  </w:style>
  <w:style w:type="paragraph" w:styleId="TOC4">
    <w:name w:val="toc 4"/>
    <w:basedOn w:val="Normal"/>
    <w:next w:val="Normal"/>
    <w:autoRedefine/>
    <w:uiPriority w:val="39"/>
    <w:semiHidden/>
    <w:unhideWhenUsed/>
    <w:rsid w:val="005B1F33"/>
    <w:pPr>
      <w:ind w:left="720"/>
    </w:pPr>
    <w:rPr>
      <w:sz w:val="20"/>
      <w:szCs w:val="20"/>
    </w:rPr>
  </w:style>
  <w:style w:type="paragraph" w:styleId="TOC5">
    <w:name w:val="toc 5"/>
    <w:basedOn w:val="Normal"/>
    <w:next w:val="Normal"/>
    <w:autoRedefine/>
    <w:uiPriority w:val="39"/>
    <w:semiHidden/>
    <w:unhideWhenUsed/>
    <w:rsid w:val="005B1F33"/>
    <w:pPr>
      <w:ind w:left="960"/>
    </w:pPr>
    <w:rPr>
      <w:sz w:val="20"/>
      <w:szCs w:val="20"/>
    </w:rPr>
  </w:style>
  <w:style w:type="paragraph" w:styleId="TOC6">
    <w:name w:val="toc 6"/>
    <w:basedOn w:val="Normal"/>
    <w:next w:val="Normal"/>
    <w:autoRedefine/>
    <w:uiPriority w:val="39"/>
    <w:semiHidden/>
    <w:unhideWhenUsed/>
    <w:rsid w:val="005B1F33"/>
    <w:pPr>
      <w:ind w:left="1200"/>
    </w:pPr>
    <w:rPr>
      <w:sz w:val="20"/>
      <w:szCs w:val="20"/>
    </w:rPr>
  </w:style>
  <w:style w:type="paragraph" w:styleId="TOC7">
    <w:name w:val="toc 7"/>
    <w:basedOn w:val="Normal"/>
    <w:next w:val="Normal"/>
    <w:autoRedefine/>
    <w:uiPriority w:val="39"/>
    <w:semiHidden/>
    <w:unhideWhenUsed/>
    <w:rsid w:val="005B1F33"/>
    <w:pPr>
      <w:ind w:left="1440"/>
    </w:pPr>
    <w:rPr>
      <w:sz w:val="20"/>
      <w:szCs w:val="20"/>
    </w:rPr>
  </w:style>
  <w:style w:type="paragraph" w:styleId="TOC8">
    <w:name w:val="toc 8"/>
    <w:basedOn w:val="Normal"/>
    <w:next w:val="Normal"/>
    <w:autoRedefine/>
    <w:uiPriority w:val="39"/>
    <w:semiHidden/>
    <w:unhideWhenUsed/>
    <w:rsid w:val="005B1F33"/>
    <w:pPr>
      <w:ind w:left="1680"/>
    </w:pPr>
    <w:rPr>
      <w:sz w:val="20"/>
      <w:szCs w:val="20"/>
    </w:rPr>
  </w:style>
  <w:style w:type="paragraph" w:styleId="TOC9">
    <w:name w:val="toc 9"/>
    <w:basedOn w:val="Normal"/>
    <w:next w:val="Normal"/>
    <w:autoRedefine/>
    <w:uiPriority w:val="39"/>
    <w:semiHidden/>
    <w:unhideWhenUsed/>
    <w:rsid w:val="005B1F33"/>
    <w:pPr>
      <w:ind w:left="1920"/>
    </w:pPr>
    <w:rPr>
      <w:sz w:val="20"/>
      <w:szCs w:val="20"/>
    </w:rPr>
  </w:style>
  <w:style w:type="paragraph" w:styleId="Footer">
    <w:name w:val="footer"/>
    <w:basedOn w:val="Normal"/>
    <w:link w:val="FooterChar"/>
    <w:uiPriority w:val="99"/>
    <w:unhideWhenUsed/>
    <w:rsid w:val="001D7FA9"/>
    <w:pPr>
      <w:tabs>
        <w:tab w:val="center" w:pos="4513"/>
        <w:tab w:val="right" w:pos="9026"/>
      </w:tabs>
    </w:pPr>
  </w:style>
  <w:style w:type="character" w:customStyle="1" w:styleId="FooterChar">
    <w:name w:val="Footer Char"/>
    <w:basedOn w:val="DefaultParagraphFont"/>
    <w:link w:val="Footer"/>
    <w:uiPriority w:val="99"/>
    <w:rsid w:val="001D7FA9"/>
  </w:style>
  <w:style w:type="character" w:styleId="PageNumber">
    <w:name w:val="page number"/>
    <w:basedOn w:val="DefaultParagraphFont"/>
    <w:uiPriority w:val="99"/>
    <w:semiHidden/>
    <w:unhideWhenUsed/>
    <w:rsid w:val="001D7F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abs/pii/S0950061814002876" TargetMode="External"/><Relationship Id="rId13" Type="http://schemas.openxmlformats.org/officeDocument/2006/relationships/hyperlink" Target="https://www.sciencedirect.com/science/article/pii/S221242092400360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22/30/contents?utm_source=chatgpt.com" TargetMode="External"/><Relationship Id="rId12" Type="http://schemas.openxmlformats.org/officeDocument/2006/relationships/hyperlink" Target="https://doi.org/10.1080/09537287.2018.1513177"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utenberg.org/ebooks/5682" TargetMode="External"/><Relationship Id="rId5" Type="http://schemas.openxmlformats.org/officeDocument/2006/relationships/footnotes" Target="footnotes.xml"/><Relationship Id="rId15" Type="http://schemas.openxmlformats.org/officeDocument/2006/relationships/hyperlink" Target="https://doi.org/10.1016/j.pmatsci.2023.101155" TargetMode="External"/><Relationship Id="rId10" Type="http://schemas.openxmlformats.org/officeDocument/2006/relationships/hyperlink" Target="https://www.ice.org.uk/download-centre/code-of-conduct?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ob.org/about/who-we-are" TargetMode="External"/><Relationship Id="rId14" Type="http://schemas.openxmlformats.org/officeDocument/2006/relationships/hyperlink" Target="https://www.rics.org/profession-standards/rics-standards-and-guidance/conduct-compet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C659C-65DF-2C46-ACD1-9107CDCEA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7</Pages>
  <Words>1500</Words>
  <Characters>9511</Characters>
  <Application>Microsoft Office Word</Application>
  <DocSecurity>0</DocSecurity>
  <Lines>186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Cory Sibley (2507186)</dc:creator>
  <cp:keywords/>
  <dc:description/>
  <cp:lastModifiedBy>Cory Sibley (2507186)</cp:lastModifiedBy>
  <cp:revision>8</cp:revision>
  <dcterms:created xsi:type="dcterms:W3CDTF">2025-12-08T08:37:00Z</dcterms:created>
  <dcterms:modified xsi:type="dcterms:W3CDTF">2025-12-08T14:02:00Z</dcterms:modified>
</cp:coreProperties>
</file>