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68550" w14:textId="4F43E44E" w:rsidR="000264A1" w:rsidRDefault="000264A1" w:rsidP="000264A1">
      <w:r>
        <w:fldChar w:fldCharType="begin"/>
      </w:r>
      <w:r w:rsidR="005B61A4">
        <w:instrText xml:space="preserve"> INCLUDEPICTURE "C:\\Users\\biancasanfilippo\\Library\\Group Containers\\UBF8T346G9.ms\\WebArchiveCopyPasteTempFiles\\com.microsoft.Word\\UWTSD-Logo.jpg" \* MERGEFORMAT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7C564B" w:rsidRDefault="000264A1" w:rsidP="000264A1">
      <w:pPr>
        <w:jc w:val="center"/>
        <w:rPr>
          <w:rStyle w:val="Strong"/>
          <w:rFonts w:ascii="Arial" w:hAnsi="Arial" w:cs="Arial"/>
          <w:color w:val="1D2125"/>
        </w:rPr>
      </w:pPr>
      <w:r w:rsidRPr="007C564B">
        <w:rPr>
          <w:rStyle w:val="Strong"/>
          <w:rFonts w:ascii="Arial" w:hAnsi="Arial" w:cs="Arial"/>
          <w:color w:val="1D2125"/>
        </w:rPr>
        <w:t>BMHP6029-Psychopathological Classifications and Provisions</w:t>
      </w:r>
    </w:p>
    <w:p w14:paraId="2A88E453" w14:textId="77777777" w:rsidR="000264A1" w:rsidRPr="007C564B" w:rsidRDefault="000264A1" w:rsidP="000264A1">
      <w:pPr>
        <w:jc w:val="center"/>
        <w:rPr>
          <w:rStyle w:val="Strong"/>
          <w:rFonts w:ascii="Arial" w:hAnsi="Arial" w:cs="Arial"/>
          <w:color w:val="1D2125"/>
        </w:rPr>
      </w:pPr>
    </w:p>
    <w:p w14:paraId="34AAAB14" w14:textId="77777777" w:rsidR="000264A1" w:rsidRPr="007C564B" w:rsidRDefault="000264A1" w:rsidP="000264A1">
      <w:pPr>
        <w:jc w:val="center"/>
        <w:rPr>
          <w:rStyle w:val="Strong"/>
          <w:rFonts w:ascii="Arial" w:hAnsi="Arial" w:cs="Arial"/>
          <w:color w:val="1D2125"/>
        </w:rPr>
      </w:pPr>
    </w:p>
    <w:p w14:paraId="723DF23E" w14:textId="77777777" w:rsidR="000264A1" w:rsidRPr="007C564B" w:rsidRDefault="000264A1" w:rsidP="000264A1">
      <w:pPr>
        <w:jc w:val="center"/>
        <w:rPr>
          <w:rStyle w:val="Strong"/>
          <w:rFonts w:ascii="Arial" w:hAnsi="Arial" w:cs="Arial"/>
          <w:color w:val="1D2125"/>
        </w:rPr>
      </w:pPr>
    </w:p>
    <w:p w14:paraId="25159706" w14:textId="77777777" w:rsidR="000264A1" w:rsidRPr="007C564B" w:rsidRDefault="000264A1" w:rsidP="000264A1">
      <w:pPr>
        <w:rPr>
          <w:rStyle w:val="Strong"/>
          <w:rFonts w:ascii="Arial" w:hAnsi="Arial" w:cs="Arial"/>
          <w:b w:val="0"/>
          <w:bCs w:val="0"/>
          <w:color w:val="1D2125"/>
        </w:rPr>
      </w:pPr>
      <w:r w:rsidRPr="007C564B">
        <w:rPr>
          <w:rFonts w:ascii="Arial" w:hAnsi="Arial" w:cs="Arial"/>
          <w:b/>
          <w:bCs/>
          <w:color w:val="000000"/>
        </w:rPr>
        <w:t>Component 2: Written Assignment (Report)</w:t>
      </w:r>
      <w:r w:rsidRPr="007C564B">
        <w:rPr>
          <w:rStyle w:val="Strong"/>
          <w:rFonts w:ascii="Arial" w:hAnsi="Arial" w:cs="Arial"/>
          <w:b w:val="0"/>
          <w:bCs w:val="0"/>
          <w:color w:val="1D2125"/>
        </w:rPr>
        <w:t xml:space="preserve"> </w:t>
      </w:r>
    </w:p>
    <w:p w14:paraId="3DB89340" w14:textId="68B54104" w:rsidR="000264A1" w:rsidRPr="007C564B" w:rsidRDefault="000264A1" w:rsidP="000264A1">
      <w:pPr>
        <w:rPr>
          <w:rStyle w:val="Strong"/>
          <w:rFonts w:ascii="Arial" w:hAnsi="Arial" w:cs="Arial"/>
          <w:color w:val="1D2125"/>
        </w:rPr>
      </w:pPr>
      <w:r w:rsidRPr="007C564B">
        <w:rPr>
          <w:rStyle w:val="Strong"/>
          <w:rFonts w:ascii="Arial" w:hAnsi="Arial" w:cs="Arial"/>
          <w:color w:val="1D2125"/>
        </w:rPr>
        <w:t>Student name</w:t>
      </w:r>
      <w:r w:rsidR="00D821F5" w:rsidRPr="007C564B">
        <w:rPr>
          <w:rStyle w:val="Strong"/>
          <w:rFonts w:ascii="Arial" w:hAnsi="Arial" w:cs="Arial"/>
          <w:color w:val="1D2125"/>
        </w:rPr>
        <w:t>: ALTHEA FREEMAN</w:t>
      </w:r>
    </w:p>
    <w:p w14:paraId="3F25C99D" w14:textId="21CD8250" w:rsidR="000264A1" w:rsidRPr="007C564B" w:rsidRDefault="000264A1" w:rsidP="000264A1">
      <w:pPr>
        <w:rPr>
          <w:rStyle w:val="Strong"/>
          <w:rFonts w:ascii="Arial" w:hAnsi="Arial" w:cs="Arial"/>
          <w:color w:val="1D2125"/>
        </w:rPr>
      </w:pPr>
      <w:r w:rsidRPr="007C564B">
        <w:rPr>
          <w:rStyle w:val="Strong"/>
          <w:rFonts w:ascii="Arial" w:hAnsi="Arial" w:cs="Arial"/>
          <w:color w:val="1D2125"/>
        </w:rPr>
        <w:t>Student number</w:t>
      </w:r>
      <w:r w:rsidR="00D821F5" w:rsidRPr="007C564B">
        <w:rPr>
          <w:rStyle w:val="Strong"/>
          <w:rFonts w:ascii="Arial" w:hAnsi="Arial" w:cs="Arial"/>
          <w:color w:val="1D2125"/>
        </w:rPr>
        <w:t>: 2228968</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2CC8789F" w14:textId="77777777" w:rsidR="007C564B" w:rsidRDefault="007C564B"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1DEC40D5" w14:textId="77777777" w:rsidR="000264A1" w:rsidRDefault="000264A1" w:rsidP="000264A1">
      <w:pPr>
        <w:rPr>
          <w:rFonts w:ascii="Arial" w:hAnsi="Arial" w:cs="Arial"/>
          <w:sz w:val="36"/>
          <w:szCs w:val="36"/>
        </w:rPr>
      </w:pPr>
    </w:p>
    <w:p w14:paraId="432AEE04" w14:textId="77777777" w:rsidR="000264A1" w:rsidRDefault="000264A1" w:rsidP="000264A1">
      <w:pPr>
        <w:rPr>
          <w:rFonts w:ascii="Arial" w:hAnsi="Arial" w:cs="Arial"/>
          <w:sz w:val="36"/>
          <w:szCs w:val="36"/>
        </w:rPr>
      </w:pPr>
    </w:p>
    <w:sdt>
      <w:sdtPr>
        <w:rPr>
          <w:rFonts w:asciiTheme="minorHAnsi" w:eastAsiaTheme="minorHAnsi" w:hAnsiTheme="minorHAnsi" w:cstheme="minorBidi"/>
          <w:color w:val="auto"/>
          <w:kern w:val="2"/>
          <w:sz w:val="24"/>
          <w:szCs w:val="24"/>
          <w:lang w:val="en-GB"/>
          <w14:ligatures w14:val="standardContextual"/>
        </w:rPr>
        <w:id w:val="1116402046"/>
        <w:docPartObj>
          <w:docPartGallery w:val="Table of Contents"/>
          <w:docPartUnique/>
        </w:docPartObj>
      </w:sdtPr>
      <w:sdtEndPr>
        <w:rPr>
          <w:b/>
          <w:bCs/>
          <w:noProof/>
        </w:rPr>
      </w:sdtEndPr>
      <w:sdtContent>
        <w:p w14:paraId="73843706" w14:textId="64B45F2B" w:rsidR="00280678" w:rsidRDefault="00280678">
          <w:pPr>
            <w:pStyle w:val="TOCHeading"/>
          </w:pPr>
          <w:r>
            <w:t>Contents</w:t>
          </w:r>
        </w:p>
        <w:p w14:paraId="0685C80F" w14:textId="3A4FCD2D" w:rsidR="00280678" w:rsidRDefault="00280678">
          <w:pPr>
            <w:pStyle w:val="TOC1"/>
            <w:tabs>
              <w:tab w:val="right" w:leader="dot" w:pos="9016"/>
            </w:tabs>
            <w:rPr>
              <w:noProof/>
            </w:rPr>
          </w:pPr>
          <w:r>
            <w:fldChar w:fldCharType="begin"/>
          </w:r>
          <w:r>
            <w:instrText xml:space="preserve"> TOC \o "1-3" \h \z \u </w:instrText>
          </w:r>
          <w:r>
            <w:fldChar w:fldCharType="separate"/>
          </w:r>
          <w:hyperlink w:anchor="_Toc215210114" w:history="1">
            <w:r w:rsidRPr="00460FEA">
              <w:rPr>
                <w:rStyle w:val="Hyperlink"/>
                <w:noProof/>
              </w:rPr>
              <w:t>Introduction</w:t>
            </w:r>
            <w:r>
              <w:rPr>
                <w:noProof/>
                <w:webHidden/>
              </w:rPr>
              <w:tab/>
            </w:r>
            <w:r>
              <w:rPr>
                <w:noProof/>
                <w:webHidden/>
              </w:rPr>
              <w:fldChar w:fldCharType="begin"/>
            </w:r>
            <w:r>
              <w:rPr>
                <w:noProof/>
                <w:webHidden/>
              </w:rPr>
              <w:instrText xml:space="preserve"> PAGEREF _Toc215210114 \h </w:instrText>
            </w:r>
            <w:r>
              <w:rPr>
                <w:noProof/>
                <w:webHidden/>
              </w:rPr>
            </w:r>
            <w:r>
              <w:rPr>
                <w:noProof/>
                <w:webHidden/>
              </w:rPr>
              <w:fldChar w:fldCharType="separate"/>
            </w:r>
            <w:r>
              <w:rPr>
                <w:noProof/>
                <w:webHidden/>
              </w:rPr>
              <w:t>3</w:t>
            </w:r>
            <w:r>
              <w:rPr>
                <w:noProof/>
                <w:webHidden/>
              </w:rPr>
              <w:fldChar w:fldCharType="end"/>
            </w:r>
          </w:hyperlink>
        </w:p>
        <w:p w14:paraId="5558930F" w14:textId="47632C7D" w:rsidR="00280678" w:rsidRDefault="00000000">
          <w:pPr>
            <w:pStyle w:val="TOC1"/>
            <w:tabs>
              <w:tab w:val="right" w:leader="dot" w:pos="9016"/>
            </w:tabs>
            <w:rPr>
              <w:noProof/>
            </w:rPr>
          </w:pPr>
          <w:hyperlink w:anchor="_Toc215210115" w:history="1">
            <w:r w:rsidR="00280678" w:rsidRPr="00460FEA">
              <w:rPr>
                <w:rStyle w:val="Hyperlink"/>
                <w:noProof/>
              </w:rPr>
              <w:t>Classification and Diagnosis:</w:t>
            </w:r>
            <w:r w:rsidR="00280678">
              <w:rPr>
                <w:noProof/>
                <w:webHidden/>
              </w:rPr>
              <w:tab/>
            </w:r>
            <w:r w:rsidR="00280678">
              <w:rPr>
                <w:noProof/>
                <w:webHidden/>
              </w:rPr>
              <w:fldChar w:fldCharType="begin"/>
            </w:r>
            <w:r w:rsidR="00280678">
              <w:rPr>
                <w:noProof/>
                <w:webHidden/>
              </w:rPr>
              <w:instrText xml:space="preserve"> PAGEREF _Toc215210115 \h </w:instrText>
            </w:r>
            <w:r w:rsidR="00280678">
              <w:rPr>
                <w:noProof/>
                <w:webHidden/>
              </w:rPr>
            </w:r>
            <w:r w:rsidR="00280678">
              <w:rPr>
                <w:noProof/>
                <w:webHidden/>
              </w:rPr>
              <w:fldChar w:fldCharType="separate"/>
            </w:r>
            <w:r w:rsidR="00280678">
              <w:rPr>
                <w:noProof/>
                <w:webHidden/>
              </w:rPr>
              <w:t>3</w:t>
            </w:r>
            <w:r w:rsidR="00280678">
              <w:rPr>
                <w:noProof/>
                <w:webHidden/>
              </w:rPr>
              <w:fldChar w:fldCharType="end"/>
            </w:r>
          </w:hyperlink>
        </w:p>
        <w:p w14:paraId="420E83B9" w14:textId="6F70F1A9" w:rsidR="00280678" w:rsidRDefault="00000000">
          <w:pPr>
            <w:pStyle w:val="TOC2"/>
            <w:tabs>
              <w:tab w:val="right" w:leader="dot" w:pos="9016"/>
            </w:tabs>
            <w:rPr>
              <w:noProof/>
            </w:rPr>
          </w:pPr>
          <w:hyperlink w:anchor="_Toc215210116" w:history="1">
            <w:r w:rsidR="00280678" w:rsidRPr="00460FEA">
              <w:rPr>
                <w:rStyle w:val="Hyperlink"/>
                <w:noProof/>
              </w:rPr>
              <w:t>ICD-11 Classification</w:t>
            </w:r>
            <w:r w:rsidR="00280678">
              <w:rPr>
                <w:noProof/>
                <w:webHidden/>
              </w:rPr>
              <w:tab/>
            </w:r>
            <w:r w:rsidR="00280678">
              <w:rPr>
                <w:noProof/>
                <w:webHidden/>
              </w:rPr>
              <w:fldChar w:fldCharType="begin"/>
            </w:r>
            <w:r w:rsidR="00280678">
              <w:rPr>
                <w:noProof/>
                <w:webHidden/>
              </w:rPr>
              <w:instrText xml:space="preserve"> PAGEREF _Toc215210116 \h </w:instrText>
            </w:r>
            <w:r w:rsidR="00280678">
              <w:rPr>
                <w:noProof/>
                <w:webHidden/>
              </w:rPr>
            </w:r>
            <w:r w:rsidR="00280678">
              <w:rPr>
                <w:noProof/>
                <w:webHidden/>
              </w:rPr>
              <w:fldChar w:fldCharType="separate"/>
            </w:r>
            <w:r w:rsidR="00280678">
              <w:rPr>
                <w:noProof/>
                <w:webHidden/>
              </w:rPr>
              <w:t>3</w:t>
            </w:r>
            <w:r w:rsidR="00280678">
              <w:rPr>
                <w:noProof/>
                <w:webHidden/>
              </w:rPr>
              <w:fldChar w:fldCharType="end"/>
            </w:r>
          </w:hyperlink>
        </w:p>
        <w:p w14:paraId="41E018AA" w14:textId="35D46C5B" w:rsidR="00280678" w:rsidRDefault="00000000">
          <w:pPr>
            <w:pStyle w:val="TOC2"/>
            <w:tabs>
              <w:tab w:val="right" w:leader="dot" w:pos="9016"/>
            </w:tabs>
            <w:rPr>
              <w:noProof/>
            </w:rPr>
          </w:pPr>
          <w:hyperlink w:anchor="_Toc215210117" w:history="1">
            <w:r w:rsidR="00280678" w:rsidRPr="00460FEA">
              <w:rPr>
                <w:rStyle w:val="Hyperlink"/>
                <w:noProof/>
              </w:rPr>
              <w:t>Diagnostic Processes and Diagnostic Criteria.</w:t>
            </w:r>
            <w:r w:rsidR="00280678">
              <w:rPr>
                <w:noProof/>
                <w:webHidden/>
              </w:rPr>
              <w:tab/>
            </w:r>
            <w:r w:rsidR="00280678">
              <w:rPr>
                <w:noProof/>
                <w:webHidden/>
              </w:rPr>
              <w:fldChar w:fldCharType="begin"/>
            </w:r>
            <w:r w:rsidR="00280678">
              <w:rPr>
                <w:noProof/>
                <w:webHidden/>
              </w:rPr>
              <w:instrText xml:space="preserve"> PAGEREF _Toc215210117 \h </w:instrText>
            </w:r>
            <w:r w:rsidR="00280678">
              <w:rPr>
                <w:noProof/>
                <w:webHidden/>
              </w:rPr>
            </w:r>
            <w:r w:rsidR="00280678">
              <w:rPr>
                <w:noProof/>
                <w:webHidden/>
              </w:rPr>
              <w:fldChar w:fldCharType="separate"/>
            </w:r>
            <w:r w:rsidR="00280678">
              <w:rPr>
                <w:noProof/>
                <w:webHidden/>
              </w:rPr>
              <w:t>4</w:t>
            </w:r>
            <w:r w:rsidR="00280678">
              <w:rPr>
                <w:noProof/>
                <w:webHidden/>
              </w:rPr>
              <w:fldChar w:fldCharType="end"/>
            </w:r>
          </w:hyperlink>
        </w:p>
        <w:p w14:paraId="4D1EFE09" w14:textId="7CB5077C" w:rsidR="00280678" w:rsidRDefault="00000000">
          <w:pPr>
            <w:pStyle w:val="TOC1"/>
            <w:tabs>
              <w:tab w:val="right" w:leader="dot" w:pos="9016"/>
            </w:tabs>
            <w:rPr>
              <w:noProof/>
            </w:rPr>
          </w:pPr>
          <w:hyperlink w:anchor="_Toc215210118" w:history="1">
            <w:r w:rsidR="00280678" w:rsidRPr="00460FEA">
              <w:rPr>
                <w:rStyle w:val="Hyperlink"/>
                <w:noProof/>
              </w:rPr>
              <w:t>Treatment and Rehabilitation:</w:t>
            </w:r>
            <w:r w:rsidR="00280678">
              <w:rPr>
                <w:noProof/>
                <w:webHidden/>
              </w:rPr>
              <w:tab/>
            </w:r>
            <w:r w:rsidR="00280678">
              <w:rPr>
                <w:noProof/>
                <w:webHidden/>
              </w:rPr>
              <w:fldChar w:fldCharType="begin"/>
            </w:r>
            <w:r w:rsidR="00280678">
              <w:rPr>
                <w:noProof/>
                <w:webHidden/>
              </w:rPr>
              <w:instrText xml:space="preserve"> PAGEREF _Toc215210118 \h </w:instrText>
            </w:r>
            <w:r w:rsidR="00280678">
              <w:rPr>
                <w:noProof/>
                <w:webHidden/>
              </w:rPr>
            </w:r>
            <w:r w:rsidR="00280678">
              <w:rPr>
                <w:noProof/>
                <w:webHidden/>
              </w:rPr>
              <w:fldChar w:fldCharType="separate"/>
            </w:r>
            <w:r w:rsidR="00280678">
              <w:rPr>
                <w:noProof/>
                <w:webHidden/>
              </w:rPr>
              <w:t>4</w:t>
            </w:r>
            <w:r w:rsidR="00280678">
              <w:rPr>
                <w:noProof/>
                <w:webHidden/>
              </w:rPr>
              <w:fldChar w:fldCharType="end"/>
            </w:r>
          </w:hyperlink>
        </w:p>
        <w:p w14:paraId="390475AA" w14:textId="0C8209F8" w:rsidR="00280678" w:rsidRDefault="00000000">
          <w:pPr>
            <w:pStyle w:val="TOC2"/>
            <w:tabs>
              <w:tab w:val="right" w:leader="dot" w:pos="9016"/>
            </w:tabs>
            <w:rPr>
              <w:noProof/>
            </w:rPr>
          </w:pPr>
          <w:hyperlink w:anchor="_Toc215210119" w:history="1">
            <w:r w:rsidR="00280678" w:rsidRPr="00460FEA">
              <w:rPr>
                <w:rStyle w:val="Hyperlink"/>
                <w:noProof/>
              </w:rPr>
              <w:t>Rehabilitation Measures in ICD-11 and Practice.</w:t>
            </w:r>
            <w:r w:rsidR="00280678">
              <w:rPr>
                <w:noProof/>
                <w:webHidden/>
              </w:rPr>
              <w:tab/>
            </w:r>
            <w:r w:rsidR="00280678">
              <w:rPr>
                <w:noProof/>
                <w:webHidden/>
              </w:rPr>
              <w:fldChar w:fldCharType="begin"/>
            </w:r>
            <w:r w:rsidR="00280678">
              <w:rPr>
                <w:noProof/>
                <w:webHidden/>
              </w:rPr>
              <w:instrText xml:space="preserve"> PAGEREF _Toc215210119 \h </w:instrText>
            </w:r>
            <w:r w:rsidR="00280678">
              <w:rPr>
                <w:noProof/>
                <w:webHidden/>
              </w:rPr>
            </w:r>
            <w:r w:rsidR="00280678">
              <w:rPr>
                <w:noProof/>
                <w:webHidden/>
              </w:rPr>
              <w:fldChar w:fldCharType="separate"/>
            </w:r>
            <w:r w:rsidR="00280678">
              <w:rPr>
                <w:noProof/>
                <w:webHidden/>
              </w:rPr>
              <w:t>6</w:t>
            </w:r>
            <w:r w:rsidR="00280678">
              <w:rPr>
                <w:noProof/>
                <w:webHidden/>
              </w:rPr>
              <w:fldChar w:fldCharType="end"/>
            </w:r>
          </w:hyperlink>
        </w:p>
        <w:p w14:paraId="7B22BECA" w14:textId="17C7E1FC" w:rsidR="00280678" w:rsidRDefault="00000000">
          <w:pPr>
            <w:pStyle w:val="TOC2"/>
            <w:tabs>
              <w:tab w:val="right" w:leader="dot" w:pos="9016"/>
            </w:tabs>
            <w:rPr>
              <w:noProof/>
            </w:rPr>
          </w:pPr>
          <w:hyperlink w:anchor="_Toc215210120" w:history="1">
            <w:r w:rsidR="00280678" w:rsidRPr="00460FEA">
              <w:rPr>
                <w:rStyle w:val="Hyperlink"/>
                <w:noProof/>
              </w:rPr>
              <w:t>Effectiveness and Limitations</w:t>
            </w:r>
            <w:r w:rsidR="00280678">
              <w:rPr>
                <w:noProof/>
                <w:webHidden/>
              </w:rPr>
              <w:tab/>
            </w:r>
            <w:r w:rsidR="00280678">
              <w:rPr>
                <w:noProof/>
                <w:webHidden/>
              </w:rPr>
              <w:fldChar w:fldCharType="begin"/>
            </w:r>
            <w:r w:rsidR="00280678">
              <w:rPr>
                <w:noProof/>
                <w:webHidden/>
              </w:rPr>
              <w:instrText xml:space="preserve"> PAGEREF _Toc215210120 \h </w:instrText>
            </w:r>
            <w:r w:rsidR="00280678">
              <w:rPr>
                <w:noProof/>
                <w:webHidden/>
              </w:rPr>
            </w:r>
            <w:r w:rsidR="00280678">
              <w:rPr>
                <w:noProof/>
                <w:webHidden/>
              </w:rPr>
              <w:fldChar w:fldCharType="separate"/>
            </w:r>
            <w:r w:rsidR="00280678">
              <w:rPr>
                <w:noProof/>
                <w:webHidden/>
              </w:rPr>
              <w:t>6</w:t>
            </w:r>
            <w:r w:rsidR="00280678">
              <w:rPr>
                <w:noProof/>
                <w:webHidden/>
              </w:rPr>
              <w:fldChar w:fldCharType="end"/>
            </w:r>
          </w:hyperlink>
        </w:p>
        <w:p w14:paraId="7EFE48E2" w14:textId="7163B7A5" w:rsidR="00280678" w:rsidRDefault="00000000">
          <w:pPr>
            <w:pStyle w:val="TOC1"/>
            <w:tabs>
              <w:tab w:val="right" w:leader="dot" w:pos="9016"/>
            </w:tabs>
            <w:rPr>
              <w:noProof/>
            </w:rPr>
          </w:pPr>
          <w:hyperlink w:anchor="_Toc215210121" w:history="1">
            <w:r w:rsidR="00280678" w:rsidRPr="00460FEA">
              <w:rPr>
                <w:rStyle w:val="Hyperlink"/>
                <w:noProof/>
              </w:rPr>
              <w:t>Current Debates and Emerging Issues:</w:t>
            </w:r>
            <w:r w:rsidR="00280678">
              <w:rPr>
                <w:noProof/>
                <w:webHidden/>
              </w:rPr>
              <w:tab/>
            </w:r>
            <w:r w:rsidR="00280678">
              <w:rPr>
                <w:noProof/>
                <w:webHidden/>
              </w:rPr>
              <w:fldChar w:fldCharType="begin"/>
            </w:r>
            <w:r w:rsidR="00280678">
              <w:rPr>
                <w:noProof/>
                <w:webHidden/>
              </w:rPr>
              <w:instrText xml:space="preserve"> PAGEREF _Toc215210121 \h </w:instrText>
            </w:r>
            <w:r w:rsidR="00280678">
              <w:rPr>
                <w:noProof/>
                <w:webHidden/>
              </w:rPr>
            </w:r>
            <w:r w:rsidR="00280678">
              <w:rPr>
                <w:noProof/>
                <w:webHidden/>
              </w:rPr>
              <w:fldChar w:fldCharType="separate"/>
            </w:r>
            <w:r w:rsidR="00280678">
              <w:rPr>
                <w:noProof/>
                <w:webHidden/>
              </w:rPr>
              <w:t>7</w:t>
            </w:r>
            <w:r w:rsidR="00280678">
              <w:rPr>
                <w:noProof/>
                <w:webHidden/>
              </w:rPr>
              <w:fldChar w:fldCharType="end"/>
            </w:r>
          </w:hyperlink>
        </w:p>
        <w:p w14:paraId="7C3F0FE4" w14:textId="5346EF31" w:rsidR="00280678" w:rsidRDefault="00000000">
          <w:pPr>
            <w:pStyle w:val="TOC2"/>
            <w:tabs>
              <w:tab w:val="right" w:leader="dot" w:pos="9016"/>
            </w:tabs>
            <w:rPr>
              <w:noProof/>
            </w:rPr>
          </w:pPr>
          <w:hyperlink w:anchor="_Toc215210122" w:history="1">
            <w:r w:rsidR="00280678" w:rsidRPr="00460FEA">
              <w:rPr>
                <w:rStyle w:val="Hyperlink"/>
                <w:noProof/>
              </w:rPr>
              <w:t>Treatment Debates</w:t>
            </w:r>
            <w:r w:rsidR="00280678">
              <w:rPr>
                <w:noProof/>
                <w:webHidden/>
              </w:rPr>
              <w:tab/>
            </w:r>
            <w:r w:rsidR="00280678">
              <w:rPr>
                <w:noProof/>
                <w:webHidden/>
              </w:rPr>
              <w:fldChar w:fldCharType="begin"/>
            </w:r>
            <w:r w:rsidR="00280678">
              <w:rPr>
                <w:noProof/>
                <w:webHidden/>
              </w:rPr>
              <w:instrText xml:space="preserve"> PAGEREF _Toc215210122 \h </w:instrText>
            </w:r>
            <w:r w:rsidR="00280678">
              <w:rPr>
                <w:noProof/>
                <w:webHidden/>
              </w:rPr>
            </w:r>
            <w:r w:rsidR="00280678">
              <w:rPr>
                <w:noProof/>
                <w:webHidden/>
              </w:rPr>
              <w:fldChar w:fldCharType="separate"/>
            </w:r>
            <w:r w:rsidR="00280678">
              <w:rPr>
                <w:noProof/>
                <w:webHidden/>
              </w:rPr>
              <w:t>7</w:t>
            </w:r>
            <w:r w:rsidR="00280678">
              <w:rPr>
                <w:noProof/>
                <w:webHidden/>
              </w:rPr>
              <w:fldChar w:fldCharType="end"/>
            </w:r>
          </w:hyperlink>
        </w:p>
        <w:p w14:paraId="1A519F88" w14:textId="5A8BDCEB" w:rsidR="00280678" w:rsidRDefault="00000000">
          <w:pPr>
            <w:pStyle w:val="TOC2"/>
            <w:tabs>
              <w:tab w:val="right" w:leader="dot" w:pos="9016"/>
            </w:tabs>
            <w:rPr>
              <w:noProof/>
            </w:rPr>
          </w:pPr>
          <w:hyperlink w:anchor="_Toc215210123" w:history="1">
            <w:r w:rsidR="00280678" w:rsidRPr="00460FEA">
              <w:rPr>
                <w:rStyle w:val="Hyperlink"/>
                <w:noProof/>
              </w:rPr>
              <w:t>Neurodivergence and Reclassification Issues.</w:t>
            </w:r>
            <w:r w:rsidR="00280678">
              <w:rPr>
                <w:noProof/>
                <w:webHidden/>
              </w:rPr>
              <w:tab/>
            </w:r>
            <w:r w:rsidR="00280678">
              <w:rPr>
                <w:noProof/>
                <w:webHidden/>
              </w:rPr>
              <w:fldChar w:fldCharType="begin"/>
            </w:r>
            <w:r w:rsidR="00280678">
              <w:rPr>
                <w:noProof/>
                <w:webHidden/>
              </w:rPr>
              <w:instrText xml:space="preserve"> PAGEREF _Toc215210123 \h </w:instrText>
            </w:r>
            <w:r w:rsidR="00280678">
              <w:rPr>
                <w:noProof/>
                <w:webHidden/>
              </w:rPr>
            </w:r>
            <w:r w:rsidR="00280678">
              <w:rPr>
                <w:noProof/>
                <w:webHidden/>
              </w:rPr>
              <w:fldChar w:fldCharType="separate"/>
            </w:r>
            <w:r w:rsidR="00280678">
              <w:rPr>
                <w:noProof/>
                <w:webHidden/>
              </w:rPr>
              <w:t>7</w:t>
            </w:r>
            <w:r w:rsidR="00280678">
              <w:rPr>
                <w:noProof/>
                <w:webHidden/>
              </w:rPr>
              <w:fldChar w:fldCharType="end"/>
            </w:r>
          </w:hyperlink>
        </w:p>
        <w:p w14:paraId="4861E811" w14:textId="1B8E51F0" w:rsidR="00280678" w:rsidRDefault="00000000">
          <w:pPr>
            <w:pStyle w:val="TOC2"/>
            <w:tabs>
              <w:tab w:val="right" w:leader="dot" w:pos="9016"/>
            </w:tabs>
            <w:rPr>
              <w:noProof/>
            </w:rPr>
          </w:pPr>
          <w:hyperlink w:anchor="_Toc215210124" w:history="1">
            <w:r w:rsidR="00280678" w:rsidRPr="00460FEA">
              <w:rPr>
                <w:rStyle w:val="Hyperlink"/>
                <w:noProof/>
              </w:rPr>
              <w:t>Implication on Practice and Policy.</w:t>
            </w:r>
            <w:r w:rsidR="00280678">
              <w:rPr>
                <w:noProof/>
                <w:webHidden/>
              </w:rPr>
              <w:tab/>
            </w:r>
            <w:r w:rsidR="00280678">
              <w:rPr>
                <w:noProof/>
                <w:webHidden/>
              </w:rPr>
              <w:fldChar w:fldCharType="begin"/>
            </w:r>
            <w:r w:rsidR="00280678">
              <w:rPr>
                <w:noProof/>
                <w:webHidden/>
              </w:rPr>
              <w:instrText xml:space="preserve"> PAGEREF _Toc215210124 \h </w:instrText>
            </w:r>
            <w:r w:rsidR="00280678">
              <w:rPr>
                <w:noProof/>
                <w:webHidden/>
              </w:rPr>
            </w:r>
            <w:r w:rsidR="00280678">
              <w:rPr>
                <w:noProof/>
                <w:webHidden/>
              </w:rPr>
              <w:fldChar w:fldCharType="separate"/>
            </w:r>
            <w:r w:rsidR="00280678">
              <w:rPr>
                <w:noProof/>
                <w:webHidden/>
              </w:rPr>
              <w:t>8</w:t>
            </w:r>
            <w:r w:rsidR="00280678">
              <w:rPr>
                <w:noProof/>
                <w:webHidden/>
              </w:rPr>
              <w:fldChar w:fldCharType="end"/>
            </w:r>
          </w:hyperlink>
        </w:p>
        <w:p w14:paraId="6F10AED6" w14:textId="022E67EA" w:rsidR="00280678" w:rsidRDefault="00000000">
          <w:pPr>
            <w:pStyle w:val="TOC1"/>
            <w:tabs>
              <w:tab w:val="right" w:leader="dot" w:pos="9016"/>
            </w:tabs>
            <w:rPr>
              <w:noProof/>
            </w:rPr>
          </w:pPr>
          <w:hyperlink w:anchor="_Toc215210125" w:history="1">
            <w:r w:rsidR="00280678" w:rsidRPr="00460FEA">
              <w:rPr>
                <w:rStyle w:val="Hyperlink"/>
                <w:noProof/>
              </w:rPr>
              <w:t>Recommendations</w:t>
            </w:r>
            <w:r w:rsidR="00280678">
              <w:rPr>
                <w:noProof/>
                <w:webHidden/>
              </w:rPr>
              <w:tab/>
            </w:r>
            <w:r w:rsidR="00280678">
              <w:rPr>
                <w:noProof/>
                <w:webHidden/>
              </w:rPr>
              <w:fldChar w:fldCharType="begin"/>
            </w:r>
            <w:r w:rsidR="00280678">
              <w:rPr>
                <w:noProof/>
                <w:webHidden/>
              </w:rPr>
              <w:instrText xml:space="preserve"> PAGEREF _Toc215210125 \h </w:instrText>
            </w:r>
            <w:r w:rsidR="00280678">
              <w:rPr>
                <w:noProof/>
                <w:webHidden/>
              </w:rPr>
            </w:r>
            <w:r w:rsidR="00280678">
              <w:rPr>
                <w:noProof/>
                <w:webHidden/>
              </w:rPr>
              <w:fldChar w:fldCharType="separate"/>
            </w:r>
            <w:r w:rsidR="00280678">
              <w:rPr>
                <w:noProof/>
                <w:webHidden/>
              </w:rPr>
              <w:t>8</w:t>
            </w:r>
            <w:r w:rsidR="00280678">
              <w:rPr>
                <w:noProof/>
                <w:webHidden/>
              </w:rPr>
              <w:fldChar w:fldCharType="end"/>
            </w:r>
          </w:hyperlink>
        </w:p>
        <w:p w14:paraId="6E103FB3" w14:textId="0765D9EF" w:rsidR="00280678" w:rsidRDefault="00000000">
          <w:pPr>
            <w:pStyle w:val="TOC1"/>
            <w:tabs>
              <w:tab w:val="right" w:leader="dot" w:pos="9016"/>
            </w:tabs>
            <w:rPr>
              <w:noProof/>
            </w:rPr>
          </w:pPr>
          <w:hyperlink w:anchor="_Toc215210126" w:history="1">
            <w:r w:rsidR="00280678" w:rsidRPr="00460FEA">
              <w:rPr>
                <w:rStyle w:val="Hyperlink"/>
                <w:noProof/>
              </w:rPr>
              <w:t>Conclusion</w:t>
            </w:r>
            <w:r w:rsidR="00280678">
              <w:rPr>
                <w:noProof/>
                <w:webHidden/>
              </w:rPr>
              <w:tab/>
            </w:r>
            <w:r w:rsidR="00280678">
              <w:rPr>
                <w:noProof/>
                <w:webHidden/>
              </w:rPr>
              <w:fldChar w:fldCharType="begin"/>
            </w:r>
            <w:r w:rsidR="00280678">
              <w:rPr>
                <w:noProof/>
                <w:webHidden/>
              </w:rPr>
              <w:instrText xml:space="preserve"> PAGEREF _Toc215210126 \h </w:instrText>
            </w:r>
            <w:r w:rsidR="00280678">
              <w:rPr>
                <w:noProof/>
                <w:webHidden/>
              </w:rPr>
            </w:r>
            <w:r w:rsidR="00280678">
              <w:rPr>
                <w:noProof/>
                <w:webHidden/>
              </w:rPr>
              <w:fldChar w:fldCharType="separate"/>
            </w:r>
            <w:r w:rsidR="00280678">
              <w:rPr>
                <w:noProof/>
                <w:webHidden/>
              </w:rPr>
              <w:t>9</w:t>
            </w:r>
            <w:r w:rsidR="00280678">
              <w:rPr>
                <w:noProof/>
                <w:webHidden/>
              </w:rPr>
              <w:fldChar w:fldCharType="end"/>
            </w:r>
          </w:hyperlink>
        </w:p>
        <w:p w14:paraId="0068AEE4" w14:textId="386179F7" w:rsidR="00280678" w:rsidRDefault="00000000">
          <w:pPr>
            <w:pStyle w:val="TOC1"/>
            <w:tabs>
              <w:tab w:val="right" w:leader="dot" w:pos="9016"/>
            </w:tabs>
            <w:rPr>
              <w:noProof/>
            </w:rPr>
          </w:pPr>
          <w:hyperlink w:anchor="_Toc215210127" w:history="1">
            <w:r w:rsidR="00280678" w:rsidRPr="00460FEA">
              <w:rPr>
                <w:rStyle w:val="Hyperlink"/>
                <w:noProof/>
              </w:rPr>
              <w:t>References</w:t>
            </w:r>
            <w:r w:rsidR="00280678">
              <w:rPr>
                <w:noProof/>
                <w:webHidden/>
              </w:rPr>
              <w:tab/>
            </w:r>
            <w:r w:rsidR="00280678">
              <w:rPr>
                <w:noProof/>
                <w:webHidden/>
              </w:rPr>
              <w:fldChar w:fldCharType="begin"/>
            </w:r>
            <w:r w:rsidR="00280678">
              <w:rPr>
                <w:noProof/>
                <w:webHidden/>
              </w:rPr>
              <w:instrText xml:space="preserve"> PAGEREF _Toc215210127 \h </w:instrText>
            </w:r>
            <w:r w:rsidR="00280678">
              <w:rPr>
                <w:noProof/>
                <w:webHidden/>
              </w:rPr>
            </w:r>
            <w:r w:rsidR="00280678">
              <w:rPr>
                <w:noProof/>
                <w:webHidden/>
              </w:rPr>
              <w:fldChar w:fldCharType="separate"/>
            </w:r>
            <w:r w:rsidR="00280678">
              <w:rPr>
                <w:noProof/>
                <w:webHidden/>
              </w:rPr>
              <w:t>10</w:t>
            </w:r>
            <w:r w:rsidR="00280678">
              <w:rPr>
                <w:noProof/>
                <w:webHidden/>
              </w:rPr>
              <w:fldChar w:fldCharType="end"/>
            </w:r>
          </w:hyperlink>
        </w:p>
        <w:p w14:paraId="323FE80D" w14:textId="0E90D126" w:rsidR="00280678" w:rsidRDefault="00280678">
          <w:r>
            <w:rPr>
              <w:b/>
              <w:bCs/>
              <w:noProof/>
            </w:rPr>
            <w:fldChar w:fldCharType="end"/>
          </w:r>
        </w:p>
      </w:sdtContent>
    </w:sdt>
    <w:p w14:paraId="3A5D47AB" w14:textId="77777777" w:rsidR="00280678" w:rsidRDefault="00280678">
      <w:pPr>
        <w:rPr>
          <w:rFonts w:asciiTheme="majorHAnsi" w:eastAsiaTheme="majorEastAsia" w:hAnsiTheme="majorHAnsi" w:cstheme="majorBidi"/>
          <w:color w:val="0F4761" w:themeColor="accent1" w:themeShade="BF"/>
          <w:sz w:val="40"/>
          <w:szCs w:val="40"/>
        </w:rPr>
      </w:pPr>
      <w:r>
        <w:br w:type="page"/>
      </w:r>
    </w:p>
    <w:p w14:paraId="3756088E" w14:textId="730FA5EC" w:rsidR="004355CB" w:rsidRDefault="004355CB" w:rsidP="006B0C28">
      <w:pPr>
        <w:pStyle w:val="Heading1"/>
      </w:pPr>
      <w:bookmarkStart w:id="0" w:name="_Toc215210114"/>
      <w:r>
        <w:lastRenderedPageBreak/>
        <w:t>Introduction</w:t>
      </w:r>
      <w:bookmarkEnd w:id="0"/>
    </w:p>
    <w:p w14:paraId="5029B003" w14:textId="5CDF8E07"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One of the most thoroughly investigated clinically significant mental disorders is Bipolar Type I Disorder because of its persistent nature, functional and disabling effect on the body and the tendency to have high mood states, depression and severe psychosocial disturbance. ICD-11 identifies it as a primary mood disorder under Chapter 6: Mental, Behavioural and Neurodevelopmental Disorders, and focuses more on it being episodic with characteristic mood disturbances. Bipolar I</w:t>
      </w:r>
      <w:r>
        <w:rPr>
          <w:rFonts w:ascii="Arial" w:hAnsi="Arial" w:cs="Arial"/>
          <w:sz w:val="22"/>
          <w:szCs w:val="22"/>
        </w:rPr>
        <w:t xml:space="preserve"> disorder</w:t>
      </w:r>
      <w:r w:rsidRPr="00F52B08">
        <w:rPr>
          <w:rFonts w:ascii="Arial" w:hAnsi="Arial" w:cs="Arial"/>
          <w:sz w:val="22"/>
          <w:szCs w:val="22"/>
        </w:rPr>
        <w:t xml:space="preserve"> needs to be understood with diagnostic </w:t>
      </w:r>
      <w:r w:rsidR="007C564B">
        <w:rPr>
          <w:rFonts w:ascii="Arial" w:hAnsi="Arial" w:cs="Arial"/>
          <w:sz w:val="22"/>
          <w:szCs w:val="22"/>
        </w:rPr>
        <w:t>systems,</w:t>
      </w:r>
      <w:r w:rsidRPr="00F52B08">
        <w:rPr>
          <w:rFonts w:ascii="Arial" w:hAnsi="Arial" w:cs="Arial"/>
          <w:sz w:val="22"/>
          <w:szCs w:val="22"/>
        </w:rPr>
        <w:t xml:space="preserve"> therapeutic interventions and developing debates surrounding the nosology, neurodivergence and service delivery. This report critically discusses the diagnosis, the classification, treatment modalities, rehabilitation processes, and recent controversies on Bipolar Type I Disorder before offering suggestions on how better practice and policy may be undertaken.</w:t>
      </w:r>
    </w:p>
    <w:p w14:paraId="274AC323" w14:textId="77777777" w:rsidR="004355CB" w:rsidRDefault="008A6D32" w:rsidP="006B0C28">
      <w:pPr>
        <w:pStyle w:val="Heading1"/>
      </w:pPr>
      <w:bookmarkStart w:id="1" w:name="_Toc215210115"/>
      <w:r w:rsidRPr="008A6D32">
        <w:t>Classification and Diagnosis:</w:t>
      </w:r>
      <w:bookmarkEnd w:id="1"/>
      <w:r w:rsidRPr="008A6D32">
        <w:rPr>
          <w:rStyle w:val="apple-converted-space"/>
          <w:rFonts w:ascii="Arial" w:hAnsi="Arial" w:cs="Arial"/>
          <w:b/>
          <w:bCs/>
          <w:color w:val="000000"/>
        </w:rPr>
        <w:t> </w:t>
      </w:r>
    </w:p>
    <w:p w14:paraId="49E7BF62" w14:textId="2F0CD59A"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 xml:space="preserve">Classification depends on the location and disease stage, with primary stages (stages 1, </w:t>
      </w:r>
      <w:r w:rsidR="007C564B">
        <w:rPr>
          <w:rFonts w:ascii="Arial" w:hAnsi="Arial" w:cs="Arial"/>
          <w:sz w:val="22"/>
          <w:szCs w:val="22"/>
        </w:rPr>
        <w:t>2, and</w:t>
      </w:r>
      <w:r w:rsidRPr="00F52B08">
        <w:rPr>
          <w:rFonts w:ascii="Arial" w:hAnsi="Arial" w:cs="Arial"/>
          <w:sz w:val="22"/>
          <w:szCs w:val="22"/>
        </w:rPr>
        <w:t xml:space="preserve"> 3) differing by anabolism, mesoderm, and necrosis (</w:t>
      </w:r>
      <w:proofErr w:type="spellStart"/>
      <w:r w:rsidRPr="00F52B08">
        <w:rPr>
          <w:rFonts w:ascii="Arial" w:hAnsi="Arial" w:cs="Arial"/>
          <w:sz w:val="22"/>
          <w:szCs w:val="22"/>
        </w:rPr>
        <w:t>Fingold</w:t>
      </w:r>
      <w:proofErr w:type="spellEnd"/>
      <w:r w:rsidRPr="00F52B08">
        <w:rPr>
          <w:rFonts w:ascii="Arial" w:hAnsi="Arial" w:cs="Arial"/>
          <w:sz w:val="22"/>
          <w:szCs w:val="22"/>
        </w:rPr>
        <w:t xml:space="preserve">, 2017). </w:t>
      </w:r>
      <w:r w:rsidR="007C564B">
        <w:rPr>
          <w:rFonts w:ascii="Arial" w:hAnsi="Arial" w:cs="Arial"/>
          <w:sz w:val="22"/>
          <w:szCs w:val="22"/>
        </w:rPr>
        <w:t>Diagnosis:</w:t>
      </w:r>
      <w:r w:rsidRPr="00F52B08">
        <w:rPr>
          <w:rFonts w:ascii="Arial" w:hAnsi="Arial" w:cs="Arial"/>
          <w:sz w:val="22"/>
          <w:szCs w:val="22"/>
        </w:rPr>
        <w:t xml:space="preserve"> Diagnosis is based on the location and stage of the </w:t>
      </w:r>
      <w:r w:rsidR="007C564B">
        <w:rPr>
          <w:rFonts w:ascii="Arial" w:hAnsi="Arial" w:cs="Arial"/>
          <w:sz w:val="22"/>
          <w:szCs w:val="22"/>
        </w:rPr>
        <w:t>disease;</w:t>
      </w:r>
      <w:r w:rsidRPr="00F52B08">
        <w:rPr>
          <w:rFonts w:ascii="Arial" w:hAnsi="Arial" w:cs="Arial"/>
          <w:sz w:val="22"/>
          <w:szCs w:val="22"/>
        </w:rPr>
        <w:t xml:space="preserve"> the primary stages (stages 1, </w:t>
      </w:r>
      <w:r w:rsidR="007C564B">
        <w:rPr>
          <w:rFonts w:ascii="Arial" w:hAnsi="Arial" w:cs="Arial"/>
          <w:sz w:val="22"/>
          <w:szCs w:val="22"/>
        </w:rPr>
        <w:t>2, and</w:t>
      </w:r>
      <w:r w:rsidRPr="00F52B08">
        <w:rPr>
          <w:rFonts w:ascii="Arial" w:hAnsi="Arial" w:cs="Arial"/>
          <w:sz w:val="22"/>
          <w:szCs w:val="22"/>
        </w:rPr>
        <w:t xml:space="preserve"> 3) vary according to anabolism, mesoderm, and necrosis (</w:t>
      </w:r>
      <w:proofErr w:type="spellStart"/>
      <w:r w:rsidRPr="00F52B08">
        <w:rPr>
          <w:rFonts w:ascii="Arial" w:hAnsi="Arial" w:cs="Arial"/>
          <w:sz w:val="22"/>
          <w:szCs w:val="22"/>
        </w:rPr>
        <w:t>Fingold</w:t>
      </w:r>
      <w:proofErr w:type="spellEnd"/>
      <w:r w:rsidRPr="00F52B08">
        <w:rPr>
          <w:rFonts w:ascii="Arial" w:hAnsi="Arial" w:cs="Arial"/>
          <w:sz w:val="22"/>
          <w:szCs w:val="22"/>
        </w:rPr>
        <w:t>, 2017).</w:t>
      </w:r>
    </w:p>
    <w:p w14:paraId="22308B08" w14:textId="77777777" w:rsidR="004355CB" w:rsidRPr="00F52B08" w:rsidRDefault="004355CB" w:rsidP="006B0C28">
      <w:pPr>
        <w:pStyle w:val="Heading2"/>
      </w:pPr>
      <w:bookmarkStart w:id="2" w:name="_Toc215210116"/>
      <w:r w:rsidRPr="00F52B08">
        <w:t>ICD-11 Classification</w:t>
      </w:r>
      <w:bookmarkEnd w:id="2"/>
    </w:p>
    <w:p w14:paraId="3B528215" w14:textId="55A39321"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 xml:space="preserve">Bipolar Type I Disorder is on the list of ICD-11 under Bipolar or Related Disorders with a designation of 6A60. The language terms applied, namely, disorder, indicate the broader classification language adopted by ICD-11 to refer to conditions that are </w:t>
      </w:r>
      <w:r w:rsidR="007C564B">
        <w:rPr>
          <w:rFonts w:ascii="Arial" w:hAnsi="Arial" w:cs="Arial"/>
          <w:sz w:val="22"/>
          <w:szCs w:val="22"/>
        </w:rPr>
        <w:t>characterised</w:t>
      </w:r>
      <w:r w:rsidRPr="00F52B08">
        <w:rPr>
          <w:rFonts w:ascii="Arial" w:hAnsi="Arial" w:cs="Arial"/>
          <w:sz w:val="22"/>
          <w:szCs w:val="22"/>
        </w:rPr>
        <w:t xml:space="preserve"> by clinically recognisable groups of symptoms that are related to distress or impairment</w:t>
      </w:r>
      <w:r w:rsidR="00D821F5">
        <w:rPr>
          <w:rFonts w:ascii="Arial" w:hAnsi="Arial" w:cs="Arial"/>
          <w:sz w:val="22"/>
          <w:szCs w:val="22"/>
        </w:rPr>
        <w:t xml:space="preserve"> </w:t>
      </w:r>
      <w:r w:rsidR="00D821F5" w:rsidRPr="00D821F5">
        <w:rPr>
          <w:rFonts w:ascii="Arial" w:hAnsi="Arial" w:cs="Arial"/>
          <w:sz w:val="22"/>
          <w:szCs w:val="22"/>
        </w:rPr>
        <w:t>(ICD-11, 2019)</w:t>
      </w:r>
      <w:r w:rsidRPr="00F52B08">
        <w:rPr>
          <w:rFonts w:ascii="Arial" w:hAnsi="Arial" w:cs="Arial"/>
          <w:sz w:val="22"/>
          <w:szCs w:val="22"/>
        </w:rPr>
        <w:t xml:space="preserve">. ICD-11 conceptualises Bipolar I as an illness that is characterised by the presence of at least one episode of mania, which can be followed or preceded by hypomanic or depressive episodes. The classification focuses on </w:t>
      </w:r>
      <w:proofErr w:type="spellStart"/>
      <w:r w:rsidRPr="00F52B08">
        <w:rPr>
          <w:rFonts w:ascii="Arial" w:hAnsi="Arial" w:cs="Arial"/>
          <w:sz w:val="22"/>
          <w:szCs w:val="22"/>
        </w:rPr>
        <w:t>episodicity</w:t>
      </w:r>
      <w:proofErr w:type="spellEnd"/>
      <w:r w:rsidRPr="00F52B08">
        <w:rPr>
          <w:rFonts w:ascii="Arial" w:hAnsi="Arial" w:cs="Arial"/>
          <w:sz w:val="22"/>
          <w:szCs w:val="22"/>
        </w:rPr>
        <w:t xml:space="preserve"> and </w:t>
      </w:r>
      <w:r w:rsidR="007C564B">
        <w:rPr>
          <w:rFonts w:ascii="Arial" w:hAnsi="Arial" w:cs="Arial"/>
          <w:sz w:val="22"/>
          <w:szCs w:val="22"/>
        </w:rPr>
        <w:t>recurrence,</w:t>
      </w:r>
      <w:r w:rsidRPr="00F52B08">
        <w:rPr>
          <w:rFonts w:ascii="Arial" w:hAnsi="Arial" w:cs="Arial"/>
          <w:sz w:val="22"/>
          <w:szCs w:val="22"/>
        </w:rPr>
        <w:t xml:space="preserve"> and it is recognised that people could have significant inter-episode recovery.</w:t>
      </w:r>
    </w:p>
    <w:p w14:paraId="675520BD" w14:textId="7F268362"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 xml:space="preserve">The ICD-11 somewhat differs </w:t>
      </w:r>
      <w:r w:rsidR="007C564B">
        <w:rPr>
          <w:rFonts w:ascii="Arial" w:hAnsi="Arial" w:cs="Arial"/>
          <w:sz w:val="22"/>
          <w:szCs w:val="22"/>
        </w:rPr>
        <w:t>from</w:t>
      </w:r>
      <w:r w:rsidRPr="00F52B08">
        <w:rPr>
          <w:rFonts w:ascii="Arial" w:hAnsi="Arial" w:cs="Arial"/>
          <w:sz w:val="22"/>
          <w:szCs w:val="22"/>
        </w:rPr>
        <w:t xml:space="preserve"> its predecessor, ICD-10, which is more cross-culturally applicable, </w:t>
      </w:r>
      <w:r w:rsidR="007C564B">
        <w:rPr>
          <w:rFonts w:ascii="Arial" w:hAnsi="Arial" w:cs="Arial"/>
          <w:sz w:val="22"/>
          <w:szCs w:val="22"/>
        </w:rPr>
        <w:t>better at</w:t>
      </w:r>
      <w:r w:rsidRPr="00F52B08">
        <w:rPr>
          <w:rFonts w:ascii="Arial" w:hAnsi="Arial" w:cs="Arial"/>
          <w:sz w:val="22"/>
          <w:szCs w:val="22"/>
        </w:rPr>
        <w:t xml:space="preserve"> specifying episodes and closer to </w:t>
      </w:r>
      <w:r w:rsidR="007C564B">
        <w:rPr>
          <w:rFonts w:ascii="Arial" w:hAnsi="Arial" w:cs="Arial"/>
          <w:sz w:val="22"/>
          <w:szCs w:val="22"/>
        </w:rPr>
        <w:t>the phenomenological</w:t>
      </w:r>
      <w:r w:rsidRPr="00F52B08">
        <w:rPr>
          <w:rFonts w:ascii="Arial" w:hAnsi="Arial" w:cs="Arial"/>
          <w:sz w:val="22"/>
          <w:szCs w:val="22"/>
        </w:rPr>
        <w:t xml:space="preserve"> description regularly employed in modern psychiatry. It is also more vaguely defined and more flexible than DSM-5, which also involves at least one manic episode but is more </w:t>
      </w:r>
      <w:r w:rsidR="006B0C28" w:rsidRPr="00F52B08">
        <w:rPr>
          <w:rFonts w:ascii="Arial" w:hAnsi="Arial" w:cs="Arial"/>
          <w:sz w:val="22"/>
          <w:szCs w:val="22"/>
        </w:rPr>
        <w:t>operationalised and</w:t>
      </w:r>
      <w:r w:rsidRPr="00F52B08">
        <w:rPr>
          <w:rFonts w:ascii="Arial" w:hAnsi="Arial" w:cs="Arial"/>
          <w:sz w:val="22"/>
          <w:szCs w:val="22"/>
        </w:rPr>
        <w:t xml:space="preserve"> defined in terms of a count of symptoms. ICD-11, in its turn, lays more emphasis on clinical </w:t>
      </w:r>
      <w:r w:rsidR="007C564B">
        <w:rPr>
          <w:rFonts w:ascii="Arial" w:hAnsi="Arial" w:cs="Arial"/>
          <w:sz w:val="22"/>
          <w:szCs w:val="22"/>
        </w:rPr>
        <w:t>judgement</w:t>
      </w:r>
      <w:r w:rsidRPr="00F52B08">
        <w:rPr>
          <w:rFonts w:ascii="Arial" w:hAnsi="Arial" w:cs="Arial"/>
          <w:sz w:val="22"/>
          <w:szCs w:val="22"/>
        </w:rPr>
        <w:t xml:space="preserve"> and functionality of mood and behavioural changes.</w:t>
      </w:r>
    </w:p>
    <w:p w14:paraId="47D5ECF1" w14:textId="77777777" w:rsidR="004355CB" w:rsidRPr="00F52B08" w:rsidRDefault="004355CB" w:rsidP="006B0C28">
      <w:pPr>
        <w:pStyle w:val="Heading2"/>
      </w:pPr>
      <w:bookmarkStart w:id="3" w:name="_Toc215210117"/>
      <w:r w:rsidRPr="00F52B08">
        <w:lastRenderedPageBreak/>
        <w:t>Diagnostic Processes and Diagnostic Criteria.</w:t>
      </w:r>
      <w:bookmarkEnd w:id="3"/>
    </w:p>
    <w:p w14:paraId="74EFC42C" w14:textId="654B6CEE"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 xml:space="preserve">ICD-11 defines </w:t>
      </w:r>
      <w:r w:rsidR="007C564B">
        <w:rPr>
          <w:rFonts w:ascii="Arial" w:hAnsi="Arial" w:cs="Arial"/>
          <w:sz w:val="22"/>
          <w:szCs w:val="22"/>
        </w:rPr>
        <w:t>a manic</w:t>
      </w:r>
      <w:r w:rsidRPr="00F52B08">
        <w:rPr>
          <w:rFonts w:ascii="Arial" w:hAnsi="Arial" w:cs="Arial"/>
          <w:sz w:val="22"/>
          <w:szCs w:val="22"/>
        </w:rPr>
        <w:t xml:space="preserve"> episode as a particular time of abnormally elevated, expansive, or irritable mood in combination with the extra energy or activity. This must last at least one week (or any other period in the case of hospitalisation) and </w:t>
      </w:r>
      <w:r w:rsidR="006B0C28" w:rsidRPr="00F52B08">
        <w:rPr>
          <w:rFonts w:ascii="Arial" w:hAnsi="Arial" w:cs="Arial"/>
          <w:sz w:val="22"/>
          <w:szCs w:val="22"/>
        </w:rPr>
        <w:t>must</w:t>
      </w:r>
      <w:r w:rsidRPr="00F52B08">
        <w:rPr>
          <w:rFonts w:ascii="Arial" w:hAnsi="Arial" w:cs="Arial"/>
          <w:sz w:val="22"/>
          <w:szCs w:val="22"/>
        </w:rPr>
        <w:t xml:space="preserve"> be correlated with significant functional impairment or danger to self or other people. These can be exaggerated self-esteem, reduced sleep requirement, pressured speech, distractibility, psychomotor agitation and impulsive or reckless decision-making. Manic episodes may have psychotic symptoms, which, in the case of their presence, instantly make the episode severe</w:t>
      </w:r>
      <w:r w:rsidR="00D821F5">
        <w:rPr>
          <w:rFonts w:ascii="Arial" w:hAnsi="Arial" w:cs="Arial"/>
          <w:sz w:val="22"/>
          <w:szCs w:val="22"/>
        </w:rPr>
        <w:t xml:space="preserve"> </w:t>
      </w:r>
      <w:r w:rsidR="00D821F5" w:rsidRPr="00D821F5">
        <w:rPr>
          <w:rFonts w:ascii="Arial" w:hAnsi="Arial" w:cs="Arial"/>
          <w:sz w:val="22"/>
          <w:szCs w:val="22"/>
        </w:rPr>
        <w:t>(Grande et al., 2016)</w:t>
      </w:r>
      <w:r w:rsidRPr="00F52B08">
        <w:rPr>
          <w:rFonts w:ascii="Arial" w:hAnsi="Arial" w:cs="Arial"/>
          <w:sz w:val="22"/>
          <w:szCs w:val="22"/>
        </w:rPr>
        <w:t>.</w:t>
      </w:r>
    </w:p>
    <w:p w14:paraId="2D45B808" w14:textId="77777777"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The diagnosis by a multi-method assessment process has been found to involve:</w:t>
      </w:r>
    </w:p>
    <w:p w14:paraId="66B1E20C" w14:textId="39EDB5E1" w:rsidR="004355CB" w:rsidRPr="004355CB" w:rsidRDefault="004355CB" w:rsidP="004355CB">
      <w:pPr>
        <w:pStyle w:val="ListParagraph"/>
        <w:numPr>
          <w:ilvl w:val="0"/>
          <w:numId w:val="1"/>
        </w:numPr>
        <w:spacing w:line="360" w:lineRule="auto"/>
        <w:jc w:val="both"/>
        <w:rPr>
          <w:rFonts w:ascii="Arial" w:hAnsi="Arial" w:cs="Arial"/>
          <w:sz w:val="22"/>
          <w:szCs w:val="22"/>
        </w:rPr>
      </w:pPr>
      <w:r w:rsidRPr="004355CB">
        <w:rPr>
          <w:rFonts w:ascii="Arial" w:hAnsi="Arial" w:cs="Arial"/>
          <w:sz w:val="22"/>
          <w:szCs w:val="22"/>
        </w:rPr>
        <w:t>Clinical interview, mood pattern exploration, behavioural change and functional impact exploration</w:t>
      </w:r>
      <w:r w:rsidR="00D821F5">
        <w:rPr>
          <w:rFonts w:ascii="Arial" w:hAnsi="Arial" w:cs="Arial"/>
          <w:sz w:val="22"/>
          <w:szCs w:val="22"/>
        </w:rPr>
        <w:t xml:space="preserve"> (</w:t>
      </w:r>
      <w:r w:rsidR="00D821F5" w:rsidRPr="00D821F5">
        <w:rPr>
          <w:rFonts w:ascii="Arial" w:hAnsi="Arial" w:cs="Arial"/>
          <w:sz w:val="22"/>
          <w:szCs w:val="22"/>
        </w:rPr>
        <w:t>Goodwin et al., 2016).</w:t>
      </w:r>
    </w:p>
    <w:p w14:paraId="5139C9B7" w14:textId="4687278E" w:rsidR="004355CB" w:rsidRPr="004355CB" w:rsidRDefault="00D821F5" w:rsidP="004355CB">
      <w:pPr>
        <w:pStyle w:val="ListParagraph"/>
        <w:numPr>
          <w:ilvl w:val="0"/>
          <w:numId w:val="1"/>
        </w:numPr>
        <w:spacing w:line="360" w:lineRule="auto"/>
        <w:jc w:val="both"/>
        <w:rPr>
          <w:rFonts w:ascii="Arial" w:hAnsi="Arial" w:cs="Arial"/>
          <w:sz w:val="22"/>
          <w:szCs w:val="22"/>
        </w:rPr>
      </w:pPr>
      <w:r>
        <w:rPr>
          <w:rFonts w:ascii="Arial" w:hAnsi="Arial" w:cs="Arial"/>
          <w:sz w:val="22"/>
          <w:szCs w:val="22"/>
        </w:rPr>
        <w:t>C</w:t>
      </w:r>
      <w:r w:rsidRPr="004355CB">
        <w:rPr>
          <w:rFonts w:ascii="Arial" w:hAnsi="Arial" w:cs="Arial"/>
          <w:sz w:val="22"/>
          <w:szCs w:val="22"/>
        </w:rPr>
        <w:t xml:space="preserve">ollateral </w:t>
      </w:r>
      <w:r w:rsidR="007C564B">
        <w:rPr>
          <w:rFonts w:ascii="Arial" w:hAnsi="Arial" w:cs="Arial"/>
          <w:sz w:val="22"/>
          <w:szCs w:val="22"/>
        </w:rPr>
        <w:t>information:</w:t>
      </w:r>
      <w:r>
        <w:rPr>
          <w:rFonts w:ascii="Arial" w:hAnsi="Arial" w:cs="Arial"/>
          <w:sz w:val="22"/>
          <w:szCs w:val="22"/>
        </w:rPr>
        <w:t xml:space="preserve"> t</w:t>
      </w:r>
      <w:r w:rsidR="004355CB" w:rsidRPr="004355CB">
        <w:rPr>
          <w:rFonts w:ascii="Arial" w:hAnsi="Arial" w:cs="Arial"/>
          <w:sz w:val="22"/>
          <w:szCs w:val="22"/>
        </w:rPr>
        <w:t>he person may be in mania and therefore lack insight</w:t>
      </w:r>
      <w:r>
        <w:rPr>
          <w:rFonts w:ascii="Arial" w:hAnsi="Arial" w:cs="Arial"/>
          <w:sz w:val="22"/>
          <w:szCs w:val="22"/>
        </w:rPr>
        <w:t xml:space="preserve">. </w:t>
      </w:r>
      <w:r w:rsidRPr="00D821F5">
        <w:rPr>
          <w:rFonts w:ascii="Arial" w:hAnsi="Arial" w:cs="Arial"/>
          <w:sz w:val="22"/>
          <w:szCs w:val="22"/>
        </w:rPr>
        <w:t>(</w:t>
      </w:r>
      <w:proofErr w:type="spellStart"/>
      <w:r w:rsidRPr="00D821F5">
        <w:rPr>
          <w:rFonts w:ascii="Arial" w:hAnsi="Arial" w:cs="Arial"/>
          <w:sz w:val="22"/>
          <w:szCs w:val="22"/>
        </w:rPr>
        <w:t>Miklowitz</w:t>
      </w:r>
      <w:proofErr w:type="spellEnd"/>
      <w:r w:rsidRPr="00D821F5">
        <w:rPr>
          <w:rFonts w:ascii="Arial" w:hAnsi="Arial" w:cs="Arial"/>
          <w:sz w:val="22"/>
          <w:szCs w:val="22"/>
        </w:rPr>
        <w:t>, 2019).</w:t>
      </w:r>
    </w:p>
    <w:p w14:paraId="30FC45C7" w14:textId="64473ED4" w:rsidR="004355CB" w:rsidRPr="004355CB" w:rsidRDefault="004355CB" w:rsidP="004355CB">
      <w:pPr>
        <w:pStyle w:val="ListParagraph"/>
        <w:numPr>
          <w:ilvl w:val="0"/>
          <w:numId w:val="1"/>
        </w:numPr>
        <w:spacing w:line="360" w:lineRule="auto"/>
        <w:jc w:val="both"/>
        <w:rPr>
          <w:rFonts w:ascii="Arial" w:hAnsi="Arial" w:cs="Arial"/>
          <w:sz w:val="22"/>
          <w:szCs w:val="22"/>
        </w:rPr>
      </w:pPr>
      <w:r w:rsidRPr="004355CB">
        <w:rPr>
          <w:rFonts w:ascii="Arial" w:hAnsi="Arial" w:cs="Arial"/>
          <w:sz w:val="22"/>
          <w:szCs w:val="22"/>
        </w:rPr>
        <w:t xml:space="preserve">Longitudinal </w:t>
      </w:r>
      <w:r w:rsidR="007C564B">
        <w:rPr>
          <w:rFonts w:ascii="Arial" w:hAnsi="Arial" w:cs="Arial"/>
          <w:sz w:val="22"/>
          <w:szCs w:val="22"/>
        </w:rPr>
        <w:t>history:</w:t>
      </w:r>
      <w:r>
        <w:rPr>
          <w:rFonts w:ascii="Arial" w:hAnsi="Arial" w:cs="Arial"/>
          <w:sz w:val="22"/>
          <w:szCs w:val="22"/>
        </w:rPr>
        <w:t xml:space="preserve"> t</w:t>
      </w:r>
      <w:r w:rsidRPr="004355CB">
        <w:rPr>
          <w:rFonts w:ascii="Arial" w:hAnsi="Arial" w:cs="Arial"/>
          <w:sz w:val="22"/>
          <w:szCs w:val="22"/>
        </w:rPr>
        <w:t>he reason is that Bipolar I disorder may be mistakenly diagnosed as unipolar depression when only the depressive episodes are identified</w:t>
      </w:r>
      <w:r w:rsidR="00D821F5">
        <w:rPr>
          <w:rFonts w:ascii="Arial" w:hAnsi="Arial" w:cs="Arial"/>
          <w:sz w:val="22"/>
          <w:szCs w:val="22"/>
        </w:rPr>
        <w:t xml:space="preserve"> </w:t>
      </w:r>
      <w:r w:rsidR="00D821F5" w:rsidRPr="00D821F5">
        <w:rPr>
          <w:rFonts w:ascii="Arial" w:hAnsi="Arial" w:cs="Arial"/>
          <w:sz w:val="22"/>
          <w:szCs w:val="22"/>
        </w:rPr>
        <w:t>(Grande et al., 2016).</w:t>
      </w:r>
    </w:p>
    <w:p w14:paraId="590DA408" w14:textId="1A04ABF5" w:rsidR="004355CB" w:rsidRPr="004355CB" w:rsidRDefault="004355CB" w:rsidP="004355CB">
      <w:pPr>
        <w:pStyle w:val="ListParagraph"/>
        <w:numPr>
          <w:ilvl w:val="0"/>
          <w:numId w:val="1"/>
        </w:numPr>
        <w:spacing w:line="360" w:lineRule="auto"/>
        <w:jc w:val="both"/>
        <w:rPr>
          <w:rFonts w:ascii="Arial" w:hAnsi="Arial" w:cs="Arial"/>
          <w:sz w:val="22"/>
          <w:szCs w:val="22"/>
        </w:rPr>
      </w:pPr>
      <w:r w:rsidRPr="004355CB">
        <w:rPr>
          <w:rFonts w:ascii="Arial" w:hAnsi="Arial" w:cs="Arial"/>
          <w:sz w:val="22"/>
          <w:szCs w:val="22"/>
        </w:rPr>
        <w:t>Ruling out differentials, such as mood swings induced by substances or mood disorders associated with neurological or medical causes</w:t>
      </w:r>
      <w:r w:rsidR="00D821F5">
        <w:rPr>
          <w:rFonts w:ascii="Arial" w:hAnsi="Arial" w:cs="Arial"/>
          <w:sz w:val="22"/>
          <w:szCs w:val="22"/>
        </w:rPr>
        <w:t xml:space="preserve"> </w:t>
      </w:r>
      <w:r w:rsidR="00D821F5" w:rsidRPr="00D821F5">
        <w:rPr>
          <w:rFonts w:ascii="Arial" w:hAnsi="Arial" w:cs="Arial"/>
          <w:sz w:val="22"/>
          <w:szCs w:val="22"/>
        </w:rPr>
        <w:t>(Goodwin et al., 2016).</w:t>
      </w:r>
    </w:p>
    <w:p w14:paraId="7B5A9E58" w14:textId="291EB4A3"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 xml:space="preserve">ICD-11 language is cautious not to employ moralistic or stigmatising terms; it employs the terms </w:t>
      </w:r>
      <w:r w:rsidR="007C564B">
        <w:rPr>
          <w:rFonts w:ascii="Arial" w:hAnsi="Arial" w:cs="Arial"/>
          <w:sz w:val="22"/>
          <w:szCs w:val="22"/>
        </w:rPr>
        <w:t>'episode', 'symptoms' and 'functional impairment',</w:t>
      </w:r>
      <w:r w:rsidRPr="00F52B08">
        <w:rPr>
          <w:rFonts w:ascii="Arial" w:hAnsi="Arial" w:cs="Arial"/>
          <w:sz w:val="22"/>
          <w:szCs w:val="22"/>
        </w:rPr>
        <w:t xml:space="preserve"> which is a medicalised yet person</w:t>
      </w:r>
      <w:r w:rsidR="007C564B">
        <w:rPr>
          <w:rFonts w:ascii="Arial" w:hAnsi="Arial" w:cs="Arial"/>
          <w:sz w:val="22"/>
          <w:szCs w:val="22"/>
        </w:rPr>
        <w:t>-sensitive</w:t>
      </w:r>
      <w:r w:rsidRPr="00F52B08">
        <w:rPr>
          <w:rFonts w:ascii="Arial" w:hAnsi="Arial" w:cs="Arial"/>
          <w:sz w:val="22"/>
          <w:szCs w:val="22"/>
        </w:rPr>
        <w:t xml:space="preserve"> strategy. The classification is also aware of the heterogeneity of presentations and promotes culturally contextualised assessment as well.</w:t>
      </w:r>
    </w:p>
    <w:p w14:paraId="23CCEF70" w14:textId="77777777" w:rsidR="008A6D32" w:rsidRPr="008A6D32" w:rsidRDefault="008A6D32" w:rsidP="006B0C28">
      <w:pPr>
        <w:pStyle w:val="Heading1"/>
      </w:pPr>
      <w:bookmarkStart w:id="4" w:name="_Toc215210118"/>
      <w:r w:rsidRPr="008A6D32">
        <w:t>Treatment and Rehabilitation:</w:t>
      </w:r>
      <w:bookmarkEnd w:id="4"/>
      <w:r w:rsidRPr="008A6D32">
        <w:rPr>
          <w:rStyle w:val="apple-converted-space"/>
          <w:rFonts w:ascii="Arial" w:hAnsi="Arial" w:cs="Arial"/>
          <w:b/>
          <w:bCs/>
          <w:color w:val="000000"/>
        </w:rPr>
        <w:t> </w:t>
      </w:r>
    </w:p>
    <w:p w14:paraId="536CB88B" w14:textId="63AB7819" w:rsidR="004355CB" w:rsidRPr="000E4D16" w:rsidRDefault="004355CB" w:rsidP="004355CB">
      <w:pPr>
        <w:spacing w:line="360" w:lineRule="auto"/>
        <w:jc w:val="both"/>
        <w:rPr>
          <w:rFonts w:ascii="Arial" w:hAnsi="Arial" w:cs="Arial"/>
          <w:b/>
          <w:bCs/>
          <w:sz w:val="22"/>
          <w:szCs w:val="22"/>
        </w:rPr>
      </w:pPr>
      <w:r w:rsidRPr="000E4D16">
        <w:rPr>
          <w:rFonts w:ascii="Arial" w:hAnsi="Arial" w:cs="Arial"/>
          <w:b/>
          <w:bCs/>
          <w:sz w:val="22"/>
          <w:szCs w:val="22"/>
        </w:rPr>
        <w:t>Normali</w:t>
      </w:r>
      <w:r w:rsidR="000E4D16">
        <w:rPr>
          <w:rFonts w:ascii="Arial" w:hAnsi="Arial" w:cs="Arial"/>
          <w:b/>
          <w:bCs/>
          <w:sz w:val="22"/>
          <w:szCs w:val="22"/>
        </w:rPr>
        <w:t>s</w:t>
      </w:r>
      <w:r w:rsidRPr="000E4D16">
        <w:rPr>
          <w:rFonts w:ascii="Arial" w:hAnsi="Arial" w:cs="Arial"/>
          <w:b/>
          <w:bCs/>
          <w:sz w:val="22"/>
          <w:szCs w:val="22"/>
        </w:rPr>
        <w:t xml:space="preserve">ed </w:t>
      </w:r>
      <w:r w:rsidR="007C564B">
        <w:rPr>
          <w:rFonts w:ascii="Arial" w:hAnsi="Arial" w:cs="Arial"/>
          <w:b/>
          <w:bCs/>
          <w:sz w:val="22"/>
          <w:szCs w:val="22"/>
        </w:rPr>
        <w:t>treatment</w:t>
      </w:r>
      <w:r w:rsidRPr="000E4D16">
        <w:rPr>
          <w:rFonts w:ascii="Arial" w:hAnsi="Arial" w:cs="Arial"/>
          <w:b/>
          <w:bCs/>
          <w:sz w:val="22"/>
          <w:szCs w:val="22"/>
        </w:rPr>
        <w:t xml:space="preserve"> measures.</w:t>
      </w:r>
    </w:p>
    <w:p w14:paraId="0CF085F7" w14:textId="48D555D6"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 xml:space="preserve">Therapy medications used to treat Bipolar Type I Disorder are usually a combination of psychosocial and pharmacological therapy. Pharmacotherapy is still the cornerstone owing to the biological basis of mood </w:t>
      </w:r>
      <w:r w:rsidR="007C564B">
        <w:rPr>
          <w:rFonts w:ascii="Arial" w:hAnsi="Arial" w:cs="Arial"/>
          <w:sz w:val="22"/>
          <w:szCs w:val="22"/>
        </w:rPr>
        <w:t>dysregulation and</w:t>
      </w:r>
      <w:r w:rsidRPr="00F52B08">
        <w:rPr>
          <w:rFonts w:ascii="Arial" w:hAnsi="Arial" w:cs="Arial"/>
          <w:sz w:val="22"/>
          <w:szCs w:val="22"/>
        </w:rPr>
        <w:t xml:space="preserve"> the possibility of relapse that is very high in the absence of drugs</w:t>
      </w:r>
      <w:r w:rsidR="00D821F5">
        <w:rPr>
          <w:rFonts w:ascii="Arial" w:hAnsi="Arial" w:cs="Arial"/>
          <w:sz w:val="22"/>
          <w:szCs w:val="22"/>
        </w:rPr>
        <w:t xml:space="preserve"> </w:t>
      </w:r>
      <w:r w:rsidR="00D821F5" w:rsidRPr="00D821F5">
        <w:rPr>
          <w:rFonts w:ascii="Arial" w:hAnsi="Arial" w:cs="Arial"/>
          <w:sz w:val="22"/>
          <w:szCs w:val="22"/>
        </w:rPr>
        <w:t>(</w:t>
      </w:r>
      <w:proofErr w:type="spellStart"/>
      <w:r w:rsidR="00D821F5" w:rsidRPr="00D821F5">
        <w:rPr>
          <w:rFonts w:ascii="Arial" w:hAnsi="Arial" w:cs="Arial"/>
          <w:sz w:val="22"/>
          <w:szCs w:val="22"/>
        </w:rPr>
        <w:t>Yatham</w:t>
      </w:r>
      <w:proofErr w:type="spellEnd"/>
      <w:r w:rsidR="00D821F5" w:rsidRPr="00D821F5">
        <w:rPr>
          <w:rFonts w:ascii="Arial" w:hAnsi="Arial" w:cs="Arial"/>
          <w:sz w:val="22"/>
          <w:szCs w:val="22"/>
        </w:rPr>
        <w:t xml:space="preserve"> et al., 2018).</w:t>
      </w:r>
    </w:p>
    <w:p w14:paraId="02500391" w14:textId="77777777" w:rsidR="004355CB" w:rsidRPr="004355CB" w:rsidRDefault="004355CB" w:rsidP="004355CB">
      <w:pPr>
        <w:spacing w:line="360" w:lineRule="auto"/>
        <w:jc w:val="both"/>
        <w:rPr>
          <w:rFonts w:ascii="Arial" w:hAnsi="Arial" w:cs="Arial"/>
          <w:b/>
          <w:bCs/>
          <w:sz w:val="22"/>
          <w:szCs w:val="22"/>
        </w:rPr>
      </w:pPr>
      <w:r w:rsidRPr="004355CB">
        <w:rPr>
          <w:rFonts w:ascii="Arial" w:hAnsi="Arial" w:cs="Arial"/>
          <w:b/>
          <w:bCs/>
          <w:sz w:val="22"/>
          <w:szCs w:val="22"/>
        </w:rPr>
        <w:t>Pharmacological Treatments</w:t>
      </w:r>
    </w:p>
    <w:p w14:paraId="52A572F1" w14:textId="01E9FCBD" w:rsidR="004355CB" w:rsidRPr="004355CB" w:rsidRDefault="004355CB" w:rsidP="004355CB">
      <w:pPr>
        <w:pStyle w:val="ListParagraph"/>
        <w:numPr>
          <w:ilvl w:val="0"/>
          <w:numId w:val="3"/>
        </w:numPr>
        <w:spacing w:line="360" w:lineRule="auto"/>
        <w:jc w:val="both"/>
        <w:rPr>
          <w:rFonts w:ascii="Arial" w:hAnsi="Arial" w:cs="Arial"/>
          <w:b/>
          <w:bCs/>
          <w:sz w:val="22"/>
          <w:szCs w:val="22"/>
        </w:rPr>
      </w:pPr>
      <w:r w:rsidRPr="004355CB">
        <w:rPr>
          <w:rFonts w:ascii="Arial" w:hAnsi="Arial" w:cs="Arial"/>
          <w:b/>
          <w:bCs/>
          <w:sz w:val="22"/>
          <w:szCs w:val="22"/>
        </w:rPr>
        <w:t>Mood Stabilisers</w:t>
      </w:r>
    </w:p>
    <w:p w14:paraId="30377A45" w14:textId="77777777" w:rsidR="004355CB" w:rsidRPr="009737BE" w:rsidRDefault="004355CB" w:rsidP="004355CB">
      <w:pPr>
        <w:pStyle w:val="ListParagraph"/>
        <w:numPr>
          <w:ilvl w:val="0"/>
          <w:numId w:val="2"/>
        </w:numPr>
        <w:spacing w:line="360" w:lineRule="auto"/>
        <w:jc w:val="both"/>
        <w:rPr>
          <w:rFonts w:ascii="Arial" w:hAnsi="Arial" w:cs="Arial"/>
          <w:sz w:val="22"/>
          <w:szCs w:val="22"/>
        </w:rPr>
      </w:pPr>
      <w:r w:rsidRPr="009737BE">
        <w:rPr>
          <w:rFonts w:ascii="Arial" w:hAnsi="Arial" w:cs="Arial"/>
          <w:sz w:val="22"/>
          <w:szCs w:val="22"/>
        </w:rPr>
        <w:t>Lithium is the standard of choice and is very beneficial in acute mania, long-term mood stabilisation and prevention of suicide.</w:t>
      </w:r>
    </w:p>
    <w:p w14:paraId="5B5A7711" w14:textId="03113283" w:rsidR="004355CB" w:rsidRPr="009737BE" w:rsidRDefault="004355CB" w:rsidP="004355CB">
      <w:pPr>
        <w:pStyle w:val="ListParagraph"/>
        <w:numPr>
          <w:ilvl w:val="0"/>
          <w:numId w:val="2"/>
        </w:numPr>
        <w:spacing w:line="360" w:lineRule="auto"/>
        <w:jc w:val="both"/>
        <w:rPr>
          <w:rFonts w:ascii="Arial" w:hAnsi="Arial" w:cs="Arial"/>
          <w:sz w:val="22"/>
          <w:szCs w:val="22"/>
        </w:rPr>
      </w:pPr>
      <w:r w:rsidRPr="009737BE">
        <w:rPr>
          <w:rFonts w:ascii="Arial" w:hAnsi="Arial" w:cs="Arial"/>
          <w:sz w:val="22"/>
          <w:szCs w:val="22"/>
        </w:rPr>
        <w:lastRenderedPageBreak/>
        <w:t xml:space="preserve">The use of valproate, carbamazepine, and </w:t>
      </w:r>
      <w:r w:rsidR="007C564B">
        <w:rPr>
          <w:rFonts w:ascii="Arial" w:hAnsi="Arial" w:cs="Arial"/>
          <w:sz w:val="22"/>
          <w:szCs w:val="22"/>
        </w:rPr>
        <w:t>lamotrigine</w:t>
      </w:r>
      <w:r w:rsidRPr="009737BE">
        <w:rPr>
          <w:rFonts w:ascii="Arial" w:hAnsi="Arial" w:cs="Arial"/>
          <w:sz w:val="22"/>
          <w:szCs w:val="22"/>
        </w:rPr>
        <w:t xml:space="preserve"> is determined by the patterns of symptoms, the tolerability, and patient-specificity</w:t>
      </w:r>
      <w:r w:rsidR="00D821F5">
        <w:rPr>
          <w:rFonts w:ascii="Arial" w:hAnsi="Arial" w:cs="Arial"/>
          <w:sz w:val="22"/>
          <w:szCs w:val="22"/>
        </w:rPr>
        <w:t xml:space="preserve"> </w:t>
      </w:r>
      <w:r w:rsidR="00D821F5" w:rsidRPr="00D821F5">
        <w:rPr>
          <w:rFonts w:ascii="Arial" w:hAnsi="Arial" w:cs="Arial"/>
          <w:sz w:val="22"/>
          <w:szCs w:val="22"/>
        </w:rPr>
        <w:t>(Goodwin et al., 2016).</w:t>
      </w:r>
    </w:p>
    <w:p w14:paraId="3896A463" w14:textId="76A16E06" w:rsidR="004355CB" w:rsidRPr="004355CB" w:rsidRDefault="004355CB" w:rsidP="004355CB">
      <w:pPr>
        <w:pStyle w:val="ListParagraph"/>
        <w:numPr>
          <w:ilvl w:val="0"/>
          <w:numId w:val="3"/>
        </w:numPr>
        <w:spacing w:line="360" w:lineRule="auto"/>
        <w:jc w:val="both"/>
        <w:rPr>
          <w:rFonts w:ascii="Arial" w:hAnsi="Arial" w:cs="Arial"/>
          <w:b/>
          <w:bCs/>
          <w:sz w:val="22"/>
          <w:szCs w:val="22"/>
        </w:rPr>
      </w:pPr>
      <w:r w:rsidRPr="004355CB">
        <w:rPr>
          <w:rFonts w:ascii="Arial" w:hAnsi="Arial" w:cs="Arial"/>
          <w:b/>
          <w:bCs/>
          <w:sz w:val="22"/>
          <w:szCs w:val="22"/>
        </w:rPr>
        <w:t>Antipsychotics</w:t>
      </w:r>
    </w:p>
    <w:p w14:paraId="062D424F" w14:textId="0449F39E"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Unusual antipsychotics, e.g., olanzapine, quetiapine, risperidone and aripiprazole, are frequently applied in the treatment of acute mania and prophylaxis. They are frequently used where the control of symptoms quickly is necessary or in cases of psychosis</w:t>
      </w:r>
      <w:r w:rsidR="00D821F5">
        <w:rPr>
          <w:rFonts w:ascii="Arial" w:hAnsi="Arial" w:cs="Arial"/>
          <w:sz w:val="22"/>
          <w:szCs w:val="22"/>
        </w:rPr>
        <w:t xml:space="preserve"> </w:t>
      </w:r>
      <w:r w:rsidR="00D821F5" w:rsidRPr="00D821F5">
        <w:rPr>
          <w:rFonts w:ascii="Arial" w:hAnsi="Arial" w:cs="Arial"/>
          <w:sz w:val="22"/>
          <w:szCs w:val="22"/>
        </w:rPr>
        <w:t xml:space="preserve">(Jauhar and Young, 2021; </w:t>
      </w:r>
      <w:proofErr w:type="spellStart"/>
      <w:r w:rsidR="00D821F5" w:rsidRPr="00D821F5">
        <w:rPr>
          <w:rFonts w:ascii="Arial" w:hAnsi="Arial" w:cs="Arial"/>
          <w:sz w:val="22"/>
          <w:szCs w:val="22"/>
        </w:rPr>
        <w:t>Yatham</w:t>
      </w:r>
      <w:proofErr w:type="spellEnd"/>
      <w:r w:rsidR="00D821F5" w:rsidRPr="00D821F5">
        <w:rPr>
          <w:rFonts w:ascii="Arial" w:hAnsi="Arial" w:cs="Arial"/>
          <w:sz w:val="22"/>
          <w:szCs w:val="22"/>
        </w:rPr>
        <w:t xml:space="preserve"> et al., 2018).</w:t>
      </w:r>
    </w:p>
    <w:p w14:paraId="11558A19" w14:textId="1E3FFA45" w:rsidR="004355CB" w:rsidRPr="004355CB" w:rsidRDefault="004355CB" w:rsidP="004355CB">
      <w:pPr>
        <w:pStyle w:val="ListParagraph"/>
        <w:numPr>
          <w:ilvl w:val="0"/>
          <w:numId w:val="3"/>
        </w:numPr>
        <w:spacing w:line="360" w:lineRule="auto"/>
        <w:jc w:val="both"/>
        <w:rPr>
          <w:rFonts w:ascii="Arial" w:hAnsi="Arial" w:cs="Arial"/>
          <w:b/>
          <w:bCs/>
          <w:sz w:val="22"/>
          <w:szCs w:val="22"/>
        </w:rPr>
      </w:pPr>
      <w:r w:rsidRPr="004355CB">
        <w:rPr>
          <w:rFonts w:ascii="Arial" w:hAnsi="Arial" w:cs="Arial"/>
          <w:b/>
          <w:bCs/>
          <w:sz w:val="22"/>
          <w:szCs w:val="22"/>
        </w:rPr>
        <w:t>Antidepressants</w:t>
      </w:r>
    </w:p>
    <w:p w14:paraId="199F99CE" w14:textId="022A383F"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These are prescribed with care because they cause mania. Antidepressants are generally used together with a mood stabiliser when taken to overcome switch risk</w:t>
      </w:r>
      <w:r w:rsidR="00D821F5">
        <w:rPr>
          <w:rFonts w:ascii="Arial" w:hAnsi="Arial" w:cs="Arial"/>
          <w:sz w:val="22"/>
          <w:szCs w:val="22"/>
        </w:rPr>
        <w:t xml:space="preserve"> </w:t>
      </w:r>
      <w:r w:rsidR="00D821F5" w:rsidRPr="00D821F5">
        <w:rPr>
          <w:rFonts w:ascii="Arial" w:hAnsi="Arial" w:cs="Arial"/>
          <w:sz w:val="22"/>
          <w:szCs w:val="22"/>
        </w:rPr>
        <w:t>(Goodwin et al., 2016).</w:t>
      </w:r>
    </w:p>
    <w:p w14:paraId="1ADC3A92" w14:textId="77777777"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Evidence pharmacological treatment is good in decreasing the severity of symptoms and avoiding relapse. Nonetheless, the adherence may be affected by side effects (e.g., weight gain, metabolic changes, renal implications of lithium, sedation), which results in treatment discontinuation and clinical instability.</w:t>
      </w:r>
    </w:p>
    <w:p w14:paraId="0DBFB880" w14:textId="77777777" w:rsidR="004355CB" w:rsidRPr="000E4D16" w:rsidRDefault="004355CB" w:rsidP="004355CB">
      <w:pPr>
        <w:spacing w:line="360" w:lineRule="auto"/>
        <w:jc w:val="both"/>
        <w:rPr>
          <w:rFonts w:ascii="Arial" w:hAnsi="Arial" w:cs="Arial"/>
          <w:b/>
          <w:bCs/>
          <w:sz w:val="22"/>
          <w:szCs w:val="22"/>
        </w:rPr>
      </w:pPr>
      <w:r w:rsidRPr="000E4D16">
        <w:rPr>
          <w:rFonts w:ascii="Arial" w:hAnsi="Arial" w:cs="Arial"/>
          <w:b/>
          <w:bCs/>
          <w:sz w:val="22"/>
          <w:szCs w:val="22"/>
        </w:rPr>
        <w:t>Psychosocial Interventions</w:t>
      </w:r>
    </w:p>
    <w:p w14:paraId="0F15C897" w14:textId="77777777"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Non-pharmacological methods involve treatment of psychosocial functioning, relapse prevention and patient insight.</w:t>
      </w:r>
    </w:p>
    <w:p w14:paraId="51BD0446" w14:textId="4DCBE3D8" w:rsidR="004355CB" w:rsidRPr="000E4D16" w:rsidRDefault="004355CB" w:rsidP="000E4D16">
      <w:pPr>
        <w:pStyle w:val="ListParagraph"/>
        <w:numPr>
          <w:ilvl w:val="0"/>
          <w:numId w:val="6"/>
        </w:numPr>
        <w:spacing w:line="360" w:lineRule="auto"/>
        <w:jc w:val="both"/>
        <w:rPr>
          <w:rFonts w:ascii="Arial" w:hAnsi="Arial" w:cs="Arial"/>
          <w:b/>
          <w:bCs/>
          <w:sz w:val="22"/>
          <w:szCs w:val="22"/>
        </w:rPr>
      </w:pPr>
      <w:r w:rsidRPr="000E4D16">
        <w:rPr>
          <w:rFonts w:ascii="Arial" w:hAnsi="Arial" w:cs="Arial"/>
          <w:b/>
          <w:bCs/>
          <w:sz w:val="22"/>
          <w:szCs w:val="22"/>
        </w:rPr>
        <w:t>Psychoeducation</w:t>
      </w:r>
    </w:p>
    <w:p w14:paraId="5B59CCD7" w14:textId="09B62AFB"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Psychoeducation is thought to be important in bipolar care by assisting individuals and families in learning to identify the warning signs at an early stage, taking medication and performing lifestyle stabilisatio</w:t>
      </w:r>
      <w:r w:rsidR="00D821F5">
        <w:rPr>
          <w:rFonts w:ascii="Arial" w:hAnsi="Arial" w:cs="Arial"/>
          <w:sz w:val="22"/>
          <w:szCs w:val="22"/>
        </w:rPr>
        <w:t xml:space="preserve">n </w:t>
      </w:r>
      <w:r w:rsidR="00D821F5" w:rsidRPr="00D821F5">
        <w:rPr>
          <w:rFonts w:ascii="Arial" w:hAnsi="Arial" w:cs="Arial"/>
          <w:sz w:val="22"/>
          <w:szCs w:val="22"/>
        </w:rPr>
        <w:t>(Colom and Vieta, 2004).</w:t>
      </w:r>
    </w:p>
    <w:p w14:paraId="1F144506" w14:textId="5F621609" w:rsidR="004355CB" w:rsidRPr="000E4D16" w:rsidRDefault="004355CB" w:rsidP="000E4D16">
      <w:pPr>
        <w:pStyle w:val="ListParagraph"/>
        <w:numPr>
          <w:ilvl w:val="0"/>
          <w:numId w:val="6"/>
        </w:numPr>
        <w:spacing w:line="360" w:lineRule="auto"/>
        <w:jc w:val="both"/>
        <w:rPr>
          <w:rFonts w:ascii="Arial" w:hAnsi="Arial" w:cs="Arial"/>
          <w:b/>
          <w:bCs/>
          <w:sz w:val="22"/>
          <w:szCs w:val="22"/>
        </w:rPr>
      </w:pPr>
      <w:r w:rsidRPr="000E4D16">
        <w:rPr>
          <w:rFonts w:ascii="Arial" w:hAnsi="Arial" w:cs="Arial"/>
          <w:b/>
          <w:bCs/>
          <w:sz w:val="22"/>
          <w:szCs w:val="22"/>
        </w:rPr>
        <w:t xml:space="preserve">Cognitive Behavioural Therapy </w:t>
      </w:r>
      <w:r w:rsidR="007C564B">
        <w:rPr>
          <w:rFonts w:ascii="Arial" w:hAnsi="Arial" w:cs="Arial"/>
          <w:b/>
          <w:bCs/>
          <w:sz w:val="22"/>
          <w:szCs w:val="22"/>
        </w:rPr>
        <w:t>(CBT).</w:t>
      </w:r>
    </w:p>
    <w:p w14:paraId="67A8C6C0" w14:textId="77777777"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Assists people in acquiring coping mechanisms, combating distortions of thinking when they are depressed, and enhancing medication compliance.</w:t>
      </w:r>
    </w:p>
    <w:p w14:paraId="50DDB035" w14:textId="7EDCFE77" w:rsidR="004355CB" w:rsidRPr="000E4D16" w:rsidRDefault="004355CB" w:rsidP="000E4D16">
      <w:pPr>
        <w:pStyle w:val="ListParagraph"/>
        <w:numPr>
          <w:ilvl w:val="0"/>
          <w:numId w:val="6"/>
        </w:numPr>
        <w:spacing w:line="360" w:lineRule="auto"/>
        <w:jc w:val="both"/>
        <w:rPr>
          <w:rFonts w:ascii="Arial" w:hAnsi="Arial" w:cs="Arial"/>
          <w:b/>
          <w:bCs/>
          <w:sz w:val="22"/>
          <w:szCs w:val="22"/>
        </w:rPr>
      </w:pPr>
      <w:r w:rsidRPr="000E4D16">
        <w:rPr>
          <w:rFonts w:ascii="Arial" w:hAnsi="Arial" w:cs="Arial"/>
          <w:b/>
          <w:bCs/>
          <w:sz w:val="22"/>
          <w:szCs w:val="22"/>
        </w:rPr>
        <w:t>Family-Focused Therapy</w:t>
      </w:r>
    </w:p>
    <w:p w14:paraId="63BDAFC7" w14:textId="434EEDDF"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 xml:space="preserve">Reduces interpersonal stress, improves communication </w:t>
      </w:r>
      <w:proofErr w:type="gramStart"/>
      <w:r w:rsidRPr="00F52B08">
        <w:rPr>
          <w:rFonts w:ascii="Arial" w:hAnsi="Arial" w:cs="Arial"/>
          <w:sz w:val="22"/>
          <w:szCs w:val="22"/>
        </w:rPr>
        <w:t>ability</w:t>
      </w:r>
      <w:proofErr w:type="gramEnd"/>
      <w:r w:rsidRPr="00F52B08">
        <w:rPr>
          <w:rFonts w:ascii="Arial" w:hAnsi="Arial" w:cs="Arial"/>
          <w:sz w:val="22"/>
          <w:szCs w:val="22"/>
        </w:rPr>
        <w:t xml:space="preserve"> and </w:t>
      </w:r>
      <w:r w:rsidR="007C564B">
        <w:rPr>
          <w:rFonts w:ascii="Arial" w:hAnsi="Arial" w:cs="Arial"/>
          <w:sz w:val="22"/>
          <w:szCs w:val="22"/>
        </w:rPr>
        <w:t>minimises</w:t>
      </w:r>
      <w:r w:rsidRPr="00F52B08">
        <w:rPr>
          <w:rFonts w:ascii="Arial" w:hAnsi="Arial" w:cs="Arial"/>
          <w:sz w:val="22"/>
          <w:szCs w:val="22"/>
        </w:rPr>
        <w:t xml:space="preserve"> the stress that can continue to relapse when expressing emotions in family setups is intense.</w:t>
      </w:r>
    </w:p>
    <w:p w14:paraId="7F0D4CEA" w14:textId="32163499" w:rsidR="004355CB" w:rsidRPr="000E4D16" w:rsidRDefault="004355CB" w:rsidP="000E4D16">
      <w:pPr>
        <w:pStyle w:val="ListParagraph"/>
        <w:numPr>
          <w:ilvl w:val="0"/>
          <w:numId w:val="6"/>
        </w:numPr>
        <w:spacing w:line="360" w:lineRule="auto"/>
        <w:jc w:val="both"/>
        <w:rPr>
          <w:rFonts w:ascii="Arial" w:hAnsi="Arial" w:cs="Arial"/>
          <w:b/>
          <w:bCs/>
          <w:sz w:val="22"/>
          <w:szCs w:val="22"/>
        </w:rPr>
      </w:pPr>
      <w:r w:rsidRPr="000E4D16">
        <w:rPr>
          <w:rFonts w:ascii="Arial" w:hAnsi="Arial" w:cs="Arial"/>
          <w:b/>
          <w:bCs/>
          <w:sz w:val="22"/>
          <w:szCs w:val="22"/>
        </w:rPr>
        <w:t>Interpersonal and Social Rhythm Therapy (IPSRT).</w:t>
      </w:r>
    </w:p>
    <w:p w14:paraId="3C4CB53A" w14:textId="3B96BC7E"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 xml:space="preserve">Enhances the daytime activities and maintains </w:t>
      </w:r>
      <w:r w:rsidR="007C564B">
        <w:rPr>
          <w:rFonts w:ascii="Arial" w:hAnsi="Arial" w:cs="Arial"/>
          <w:sz w:val="22"/>
          <w:szCs w:val="22"/>
        </w:rPr>
        <w:t>routines and</w:t>
      </w:r>
      <w:r w:rsidRPr="00F52B08">
        <w:rPr>
          <w:rFonts w:ascii="Arial" w:hAnsi="Arial" w:cs="Arial"/>
          <w:sz w:val="22"/>
          <w:szCs w:val="22"/>
        </w:rPr>
        <w:t xml:space="preserve"> sleep-wake patterns, which have a direct connection with mood.</w:t>
      </w:r>
    </w:p>
    <w:p w14:paraId="65D15499" w14:textId="79C73DEA" w:rsidR="004355CB" w:rsidRPr="000E4D16" w:rsidRDefault="004355CB" w:rsidP="006B0C28">
      <w:pPr>
        <w:pStyle w:val="Heading2"/>
      </w:pPr>
      <w:bookmarkStart w:id="5" w:name="_Toc215210119"/>
      <w:r w:rsidRPr="000E4D16">
        <w:lastRenderedPageBreak/>
        <w:t>Rehabilitation Measures in ICD-11 and Practice.</w:t>
      </w:r>
      <w:bookmarkEnd w:id="5"/>
    </w:p>
    <w:p w14:paraId="2AA76C51" w14:textId="46084B58"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Even though ICD-11 has its main emphasis on classification, it coincides with the larger WHO structures that emphasise rehabilitation. Treatment of Bipolar I may include:</w:t>
      </w:r>
    </w:p>
    <w:p w14:paraId="73F32721" w14:textId="4D869848" w:rsidR="004355CB" w:rsidRPr="000E4D16" w:rsidRDefault="004355CB" w:rsidP="000E4D16">
      <w:pPr>
        <w:pStyle w:val="ListParagraph"/>
        <w:numPr>
          <w:ilvl w:val="0"/>
          <w:numId w:val="7"/>
        </w:numPr>
        <w:spacing w:line="360" w:lineRule="auto"/>
        <w:jc w:val="both"/>
        <w:rPr>
          <w:rFonts w:ascii="Arial" w:hAnsi="Arial" w:cs="Arial"/>
          <w:sz w:val="22"/>
          <w:szCs w:val="22"/>
        </w:rPr>
      </w:pPr>
      <w:r w:rsidRPr="000E4D16">
        <w:rPr>
          <w:rFonts w:ascii="Arial" w:hAnsi="Arial" w:cs="Arial"/>
          <w:sz w:val="22"/>
          <w:szCs w:val="22"/>
        </w:rPr>
        <w:t>Vocational functioning Support, since the bipolar episodes may destroy employment patterns.</w:t>
      </w:r>
    </w:p>
    <w:p w14:paraId="523116AC" w14:textId="1ADD8BEE" w:rsidR="004355CB" w:rsidRPr="000E4D16" w:rsidRDefault="004355CB" w:rsidP="000E4D16">
      <w:pPr>
        <w:pStyle w:val="ListParagraph"/>
        <w:numPr>
          <w:ilvl w:val="0"/>
          <w:numId w:val="7"/>
        </w:numPr>
        <w:spacing w:line="360" w:lineRule="auto"/>
        <w:jc w:val="both"/>
        <w:rPr>
          <w:rFonts w:ascii="Arial" w:hAnsi="Arial" w:cs="Arial"/>
          <w:sz w:val="22"/>
          <w:szCs w:val="22"/>
        </w:rPr>
      </w:pPr>
      <w:r w:rsidRPr="000E4D16">
        <w:rPr>
          <w:rFonts w:ascii="Arial" w:hAnsi="Arial" w:cs="Arial"/>
          <w:sz w:val="22"/>
          <w:szCs w:val="22"/>
        </w:rPr>
        <w:t>Skills training, such as stress management, self-regulation and social skills.</w:t>
      </w:r>
    </w:p>
    <w:p w14:paraId="403F9DB9" w14:textId="77777777" w:rsidR="004355CB" w:rsidRPr="000E4D16" w:rsidRDefault="004355CB" w:rsidP="000E4D16">
      <w:pPr>
        <w:pStyle w:val="ListParagraph"/>
        <w:numPr>
          <w:ilvl w:val="0"/>
          <w:numId w:val="7"/>
        </w:numPr>
        <w:spacing w:line="360" w:lineRule="auto"/>
        <w:jc w:val="both"/>
        <w:rPr>
          <w:rFonts w:ascii="Arial" w:hAnsi="Arial" w:cs="Arial"/>
          <w:sz w:val="22"/>
          <w:szCs w:val="22"/>
        </w:rPr>
      </w:pPr>
      <w:r w:rsidRPr="000E4D16">
        <w:rPr>
          <w:rFonts w:ascii="Arial" w:hAnsi="Arial" w:cs="Arial"/>
          <w:sz w:val="22"/>
          <w:szCs w:val="22"/>
        </w:rPr>
        <w:t xml:space="preserve">Care coordination, particularly among recurrent </w:t>
      </w:r>
      <w:proofErr w:type="spellStart"/>
      <w:r w:rsidRPr="000E4D16">
        <w:rPr>
          <w:rFonts w:ascii="Arial" w:hAnsi="Arial" w:cs="Arial"/>
          <w:sz w:val="22"/>
          <w:szCs w:val="22"/>
        </w:rPr>
        <w:t>hospitalisers</w:t>
      </w:r>
      <w:proofErr w:type="spellEnd"/>
      <w:r w:rsidRPr="000E4D16">
        <w:rPr>
          <w:rFonts w:ascii="Arial" w:hAnsi="Arial" w:cs="Arial"/>
          <w:sz w:val="22"/>
          <w:szCs w:val="22"/>
        </w:rPr>
        <w:t>.</w:t>
      </w:r>
    </w:p>
    <w:p w14:paraId="6392A8DB" w14:textId="34B94EB2" w:rsidR="004355CB" w:rsidRPr="000E4D16" w:rsidRDefault="004355CB" w:rsidP="000E4D16">
      <w:pPr>
        <w:pStyle w:val="ListParagraph"/>
        <w:numPr>
          <w:ilvl w:val="0"/>
          <w:numId w:val="7"/>
        </w:numPr>
        <w:spacing w:line="360" w:lineRule="auto"/>
        <w:jc w:val="both"/>
        <w:rPr>
          <w:rFonts w:ascii="Arial" w:hAnsi="Arial" w:cs="Arial"/>
          <w:sz w:val="22"/>
          <w:szCs w:val="22"/>
        </w:rPr>
      </w:pPr>
      <w:r w:rsidRPr="000E4D16">
        <w:rPr>
          <w:rFonts w:ascii="Arial" w:hAnsi="Arial" w:cs="Arial"/>
          <w:sz w:val="22"/>
          <w:szCs w:val="22"/>
        </w:rPr>
        <w:t xml:space="preserve">As expected, community-based supports </w:t>
      </w:r>
      <w:r w:rsidR="007C564B">
        <w:rPr>
          <w:rFonts w:ascii="Arial" w:hAnsi="Arial" w:cs="Arial"/>
          <w:sz w:val="22"/>
          <w:szCs w:val="22"/>
        </w:rPr>
        <w:t>include</w:t>
      </w:r>
      <w:r w:rsidRPr="000E4D16">
        <w:rPr>
          <w:rFonts w:ascii="Arial" w:hAnsi="Arial" w:cs="Arial"/>
          <w:sz w:val="22"/>
          <w:szCs w:val="22"/>
        </w:rPr>
        <w:t xml:space="preserve"> crisis teams, peer support networks and structured day programmes.</w:t>
      </w:r>
    </w:p>
    <w:p w14:paraId="0C64D3EC" w14:textId="04E33804"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The goals of rehabilitation include improving the quality of life</w:t>
      </w:r>
      <w:r w:rsidR="007C564B">
        <w:rPr>
          <w:rFonts w:ascii="Arial" w:hAnsi="Arial" w:cs="Arial"/>
          <w:sz w:val="22"/>
          <w:szCs w:val="22"/>
        </w:rPr>
        <w:t>,</w:t>
      </w:r>
      <w:r w:rsidRPr="00F52B08">
        <w:rPr>
          <w:rFonts w:ascii="Arial" w:hAnsi="Arial" w:cs="Arial"/>
          <w:sz w:val="22"/>
          <w:szCs w:val="22"/>
        </w:rPr>
        <w:t xml:space="preserve"> encouraging </w:t>
      </w:r>
      <w:r w:rsidR="007C564B">
        <w:rPr>
          <w:rFonts w:ascii="Arial" w:hAnsi="Arial" w:cs="Arial"/>
          <w:sz w:val="22"/>
          <w:szCs w:val="22"/>
        </w:rPr>
        <w:t>independence,</w:t>
      </w:r>
      <w:r w:rsidRPr="00F52B08">
        <w:rPr>
          <w:rFonts w:ascii="Arial" w:hAnsi="Arial" w:cs="Arial"/>
          <w:sz w:val="22"/>
          <w:szCs w:val="22"/>
        </w:rPr>
        <w:t xml:space="preserve"> and reducing the social disadvantage that frequently accompanies severe mental illness.</w:t>
      </w:r>
    </w:p>
    <w:p w14:paraId="1322A99A" w14:textId="7FC46701" w:rsidR="004355CB" w:rsidRPr="000E4D16" w:rsidRDefault="000E4D16" w:rsidP="006B0C28">
      <w:pPr>
        <w:pStyle w:val="Heading2"/>
      </w:pPr>
      <w:bookmarkStart w:id="6" w:name="_Toc215210120"/>
      <w:r>
        <w:t>Effectiveness and Limitations</w:t>
      </w:r>
      <w:bookmarkEnd w:id="6"/>
    </w:p>
    <w:p w14:paraId="33D13A82" w14:textId="77777777"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The Bipolar I Disorder treatment scenario is sound yet not exhaustive.</w:t>
      </w:r>
    </w:p>
    <w:p w14:paraId="7CBE6497" w14:textId="77777777" w:rsidR="004355CB" w:rsidRPr="000E4D16" w:rsidRDefault="004355CB" w:rsidP="004355CB">
      <w:pPr>
        <w:spacing w:line="360" w:lineRule="auto"/>
        <w:jc w:val="both"/>
        <w:rPr>
          <w:rFonts w:ascii="Arial" w:hAnsi="Arial" w:cs="Arial"/>
          <w:b/>
          <w:bCs/>
          <w:sz w:val="22"/>
          <w:szCs w:val="22"/>
        </w:rPr>
      </w:pPr>
      <w:r w:rsidRPr="000E4D16">
        <w:rPr>
          <w:rFonts w:ascii="Arial" w:hAnsi="Arial" w:cs="Arial"/>
          <w:b/>
          <w:bCs/>
          <w:sz w:val="22"/>
          <w:szCs w:val="22"/>
        </w:rPr>
        <w:t>Effectiveness:</w:t>
      </w:r>
    </w:p>
    <w:p w14:paraId="2F25ED1E" w14:textId="3A0ECDBD" w:rsidR="004355CB" w:rsidRPr="000E4D16" w:rsidRDefault="004355CB" w:rsidP="000E4D16">
      <w:pPr>
        <w:pStyle w:val="ListParagraph"/>
        <w:numPr>
          <w:ilvl w:val="0"/>
          <w:numId w:val="4"/>
        </w:numPr>
        <w:spacing w:line="360" w:lineRule="auto"/>
        <w:jc w:val="both"/>
        <w:rPr>
          <w:rFonts w:ascii="Arial" w:hAnsi="Arial" w:cs="Arial"/>
          <w:sz w:val="22"/>
          <w:szCs w:val="22"/>
        </w:rPr>
      </w:pPr>
      <w:r w:rsidRPr="000E4D16">
        <w:rPr>
          <w:rFonts w:ascii="Arial" w:hAnsi="Arial" w:cs="Arial"/>
          <w:sz w:val="22"/>
          <w:szCs w:val="22"/>
        </w:rPr>
        <w:t>Lithium is also a psychotropic drug with the strongest evidence-based approach in psychiatry.</w:t>
      </w:r>
    </w:p>
    <w:p w14:paraId="5D065FE7" w14:textId="77777777" w:rsidR="004355CB" w:rsidRPr="000E4D16" w:rsidRDefault="004355CB" w:rsidP="000E4D16">
      <w:pPr>
        <w:pStyle w:val="ListParagraph"/>
        <w:numPr>
          <w:ilvl w:val="0"/>
          <w:numId w:val="4"/>
        </w:numPr>
        <w:spacing w:line="360" w:lineRule="auto"/>
        <w:jc w:val="both"/>
        <w:rPr>
          <w:rFonts w:ascii="Arial" w:hAnsi="Arial" w:cs="Arial"/>
          <w:sz w:val="22"/>
          <w:szCs w:val="22"/>
        </w:rPr>
      </w:pPr>
      <w:r w:rsidRPr="000E4D16">
        <w:rPr>
          <w:rFonts w:ascii="Arial" w:hAnsi="Arial" w:cs="Arial"/>
          <w:sz w:val="22"/>
          <w:szCs w:val="22"/>
        </w:rPr>
        <w:t>Psychosocial interventions have proven to be very effective in reducing the incidences of relapse where medication is used.</w:t>
      </w:r>
    </w:p>
    <w:p w14:paraId="589A101C" w14:textId="4C821E77" w:rsidR="004355CB" w:rsidRPr="000E4D16" w:rsidRDefault="004355CB" w:rsidP="000E4D16">
      <w:pPr>
        <w:pStyle w:val="ListParagraph"/>
        <w:numPr>
          <w:ilvl w:val="0"/>
          <w:numId w:val="4"/>
        </w:numPr>
        <w:spacing w:line="360" w:lineRule="auto"/>
        <w:jc w:val="both"/>
        <w:rPr>
          <w:rFonts w:ascii="Arial" w:hAnsi="Arial" w:cs="Arial"/>
          <w:sz w:val="22"/>
          <w:szCs w:val="22"/>
        </w:rPr>
      </w:pPr>
      <w:r w:rsidRPr="000E4D16">
        <w:rPr>
          <w:rFonts w:ascii="Arial" w:hAnsi="Arial" w:cs="Arial"/>
          <w:sz w:val="22"/>
          <w:szCs w:val="22"/>
        </w:rPr>
        <w:t xml:space="preserve">Early intervention has </w:t>
      </w:r>
      <w:r w:rsidR="007C564B">
        <w:rPr>
          <w:rFonts w:ascii="Arial" w:hAnsi="Arial" w:cs="Arial"/>
          <w:sz w:val="22"/>
          <w:szCs w:val="22"/>
        </w:rPr>
        <w:t>the potential</w:t>
      </w:r>
      <w:r w:rsidRPr="000E4D16">
        <w:rPr>
          <w:rFonts w:ascii="Arial" w:hAnsi="Arial" w:cs="Arial"/>
          <w:sz w:val="22"/>
          <w:szCs w:val="22"/>
        </w:rPr>
        <w:t xml:space="preserve"> to enhance the </w:t>
      </w:r>
      <w:r w:rsidR="000E4D16" w:rsidRPr="000E4D16">
        <w:rPr>
          <w:rFonts w:ascii="Arial" w:hAnsi="Arial" w:cs="Arial"/>
          <w:sz w:val="22"/>
          <w:szCs w:val="22"/>
        </w:rPr>
        <w:t>long-term</w:t>
      </w:r>
      <w:r w:rsidRPr="000E4D16">
        <w:rPr>
          <w:rFonts w:ascii="Arial" w:hAnsi="Arial" w:cs="Arial"/>
          <w:sz w:val="22"/>
          <w:szCs w:val="22"/>
        </w:rPr>
        <w:t xml:space="preserve"> outcomes.</w:t>
      </w:r>
    </w:p>
    <w:p w14:paraId="2968F14B" w14:textId="77777777" w:rsidR="004355CB" w:rsidRPr="000E4D16" w:rsidRDefault="004355CB" w:rsidP="004355CB">
      <w:pPr>
        <w:spacing w:line="360" w:lineRule="auto"/>
        <w:jc w:val="both"/>
        <w:rPr>
          <w:rFonts w:ascii="Arial" w:hAnsi="Arial" w:cs="Arial"/>
          <w:b/>
          <w:bCs/>
          <w:sz w:val="22"/>
          <w:szCs w:val="22"/>
        </w:rPr>
      </w:pPr>
      <w:r w:rsidRPr="000E4D16">
        <w:rPr>
          <w:rFonts w:ascii="Arial" w:hAnsi="Arial" w:cs="Arial"/>
          <w:b/>
          <w:bCs/>
          <w:sz w:val="22"/>
          <w:szCs w:val="22"/>
        </w:rPr>
        <w:t>Limitations:</w:t>
      </w:r>
    </w:p>
    <w:p w14:paraId="39FD8C09" w14:textId="0FBCC316" w:rsidR="004355CB" w:rsidRPr="000E4D16" w:rsidRDefault="004355CB" w:rsidP="000E4D16">
      <w:pPr>
        <w:pStyle w:val="ListParagraph"/>
        <w:numPr>
          <w:ilvl w:val="0"/>
          <w:numId w:val="8"/>
        </w:numPr>
        <w:spacing w:line="360" w:lineRule="auto"/>
        <w:jc w:val="both"/>
        <w:rPr>
          <w:rFonts w:ascii="Arial" w:hAnsi="Arial" w:cs="Arial"/>
          <w:sz w:val="22"/>
          <w:szCs w:val="22"/>
        </w:rPr>
      </w:pPr>
      <w:r w:rsidRPr="000E4D16">
        <w:rPr>
          <w:rFonts w:ascii="Arial" w:hAnsi="Arial" w:cs="Arial"/>
          <w:sz w:val="22"/>
          <w:szCs w:val="22"/>
        </w:rPr>
        <w:t xml:space="preserve">Treatment adherence </w:t>
      </w:r>
      <w:r w:rsidR="000E4D16" w:rsidRPr="000E4D16">
        <w:rPr>
          <w:rFonts w:ascii="Arial" w:hAnsi="Arial" w:cs="Arial"/>
          <w:sz w:val="22"/>
          <w:szCs w:val="22"/>
        </w:rPr>
        <w:t>in</w:t>
      </w:r>
      <w:r w:rsidRPr="000E4D16">
        <w:rPr>
          <w:rFonts w:ascii="Arial" w:hAnsi="Arial" w:cs="Arial"/>
          <w:sz w:val="22"/>
          <w:szCs w:val="22"/>
        </w:rPr>
        <w:t xml:space="preserve"> general, treatment adherence is a widespread issue because of side effects, absence of insight during mania, and stigma.</w:t>
      </w:r>
    </w:p>
    <w:p w14:paraId="4EF1FB2D" w14:textId="77777777" w:rsidR="004355CB" w:rsidRPr="000E4D16" w:rsidRDefault="004355CB" w:rsidP="000E4D16">
      <w:pPr>
        <w:pStyle w:val="ListParagraph"/>
        <w:numPr>
          <w:ilvl w:val="0"/>
          <w:numId w:val="8"/>
        </w:numPr>
        <w:spacing w:line="360" w:lineRule="auto"/>
        <w:jc w:val="both"/>
        <w:rPr>
          <w:rFonts w:ascii="Arial" w:hAnsi="Arial" w:cs="Arial"/>
          <w:sz w:val="22"/>
          <w:szCs w:val="22"/>
        </w:rPr>
      </w:pPr>
      <w:r w:rsidRPr="000E4D16">
        <w:rPr>
          <w:rFonts w:ascii="Arial" w:hAnsi="Arial" w:cs="Arial"/>
          <w:sz w:val="22"/>
          <w:szCs w:val="22"/>
        </w:rPr>
        <w:t>The antipsychotic drugs may be associated with serious metabolic consequences that may have a disproportional impact on minority populations.</w:t>
      </w:r>
    </w:p>
    <w:p w14:paraId="22837435" w14:textId="4ECF18F5" w:rsidR="000E4D16" w:rsidRDefault="004355CB" w:rsidP="000E4D16">
      <w:pPr>
        <w:pStyle w:val="ListParagraph"/>
        <w:numPr>
          <w:ilvl w:val="0"/>
          <w:numId w:val="8"/>
        </w:numPr>
        <w:spacing w:line="360" w:lineRule="auto"/>
        <w:jc w:val="both"/>
        <w:rPr>
          <w:rFonts w:ascii="Arial" w:hAnsi="Arial" w:cs="Arial"/>
          <w:sz w:val="22"/>
          <w:szCs w:val="22"/>
        </w:rPr>
      </w:pPr>
      <w:r w:rsidRPr="000E4D16">
        <w:rPr>
          <w:rFonts w:ascii="Arial" w:hAnsi="Arial" w:cs="Arial"/>
          <w:sz w:val="22"/>
          <w:szCs w:val="22"/>
        </w:rPr>
        <w:t xml:space="preserve">There has been a lack of even access to specialised bipolar-focused </w:t>
      </w:r>
      <w:r w:rsidR="007C564B">
        <w:rPr>
          <w:rFonts w:ascii="Arial" w:hAnsi="Arial" w:cs="Arial"/>
          <w:sz w:val="22"/>
          <w:szCs w:val="22"/>
        </w:rPr>
        <w:t>psychotherapy and</w:t>
      </w:r>
      <w:r w:rsidRPr="000E4D16">
        <w:rPr>
          <w:rFonts w:ascii="Arial" w:hAnsi="Arial" w:cs="Arial"/>
          <w:sz w:val="22"/>
          <w:szCs w:val="22"/>
        </w:rPr>
        <w:t xml:space="preserve"> long waiting lists in most areas.</w:t>
      </w:r>
    </w:p>
    <w:p w14:paraId="43C40EF1" w14:textId="115BC5FA" w:rsidR="004355CB" w:rsidRPr="000E4D16" w:rsidRDefault="004355CB" w:rsidP="000E4D16">
      <w:pPr>
        <w:pStyle w:val="ListParagraph"/>
        <w:numPr>
          <w:ilvl w:val="0"/>
          <w:numId w:val="8"/>
        </w:numPr>
        <w:spacing w:line="360" w:lineRule="auto"/>
        <w:jc w:val="both"/>
        <w:rPr>
          <w:rFonts w:ascii="Arial" w:hAnsi="Arial" w:cs="Arial"/>
          <w:sz w:val="22"/>
          <w:szCs w:val="22"/>
        </w:rPr>
      </w:pPr>
      <w:r w:rsidRPr="000E4D16">
        <w:rPr>
          <w:rFonts w:ascii="Arial" w:hAnsi="Arial" w:cs="Arial"/>
          <w:sz w:val="22"/>
          <w:szCs w:val="22"/>
        </w:rPr>
        <w:t xml:space="preserve">Services in rehabilitation are largely different across the </w:t>
      </w:r>
      <w:r w:rsidR="006B0C28" w:rsidRPr="000E4D16">
        <w:rPr>
          <w:rFonts w:ascii="Arial" w:hAnsi="Arial" w:cs="Arial"/>
          <w:sz w:val="22"/>
          <w:szCs w:val="22"/>
        </w:rPr>
        <w:t>locality and</w:t>
      </w:r>
      <w:r w:rsidRPr="000E4D16">
        <w:rPr>
          <w:rFonts w:ascii="Arial" w:hAnsi="Arial" w:cs="Arial"/>
          <w:sz w:val="22"/>
          <w:szCs w:val="22"/>
        </w:rPr>
        <w:t xml:space="preserve"> are frequently </w:t>
      </w:r>
      <w:r w:rsidR="007C564B">
        <w:rPr>
          <w:rFonts w:ascii="Arial" w:hAnsi="Arial" w:cs="Arial"/>
          <w:sz w:val="22"/>
          <w:szCs w:val="22"/>
        </w:rPr>
        <w:t>underfunded</w:t>
      </w:r>
      <w:r w:rsidRPr="000E4D16">
        <w:rPr>
          <w:rFonts w:ascii="Arial" w:hAnsi="Arial" w:cs="Arial"/>
          <w:sz w:val="22"/>
          <w:szCs w:val="22"/>
        </w:rPr>
        <w:t xml:space="preserve"> despite the evidence supporting these services </w:t>
      </w:r>
      <w:r w:rsidR="007C564B">
        <w:rPr>
          <w:rFonts w:ascii="Arial" w:hAnsi="Arial" w:cs="Arial"/>
          <w:sz w:val="22"/>
          <w:szCs w:val="22"/>
        </w:rPr>
        <w:t>for</w:t>
      </w:r>
      <w:r w:rsidRPr="000E4D16">
        <w:rPr>
          <w:rFonts w:ascii="Arial" w:hAnsi="Arial" w:cs="Arial"/>
          <w:sz w:val="22"/>
          <w:szCs w:val="22"/>
        </w:rPr>
        <w:t xml:space="preserve"> the recovery process.</w:t>
      </w:r>
    </w:p>
    <w:p w14:paraId="537E1136" w14:textId="77777777" w:rsidR="004355CB" w:rsidRPr="00F52B08" w:rsidRDefault="004355CB" w:rsidP="004355CB">
      <w:pPr>
        <w:spacing w:line="360" w:lineRule="auto"/>
        <w:jc w:val="both"/>
        <w:rPr>
          <w:rFonts w:ascii="Arial" w:hAnsi="Arial" w:cs="Arial"/>
          <w:sz w:val="22"/>
          <w:szCs w:val="22"/>
        </w:rPr>
      </w:pPr>
      <w:r w:rsidRPr="00F52B08">
        <w:rPr>
          <w:rFonts w:ascii="Arial" w:hAnsi="Arial" w:cs="Arial"/>
          <w:sz w:val="22"/>
          <w:szCs w:val="22"/>
        </w:rPr>
        <w:t>The constraints demonstrate the necessity of better person-centred care, integration of the services, and long-term monitoring innovations.</w:t>
      </w:r>
    </w:p>
    <w:p w14:paraId="0D06B3CB" w14:textId="29B381BD" w:rsidR="008A6D32" w:rsidRPr="008A6D32" w:rsidRDefault="008A6D32" w:rsidP="006B0C28">
      <w:pPr>
        <w:pStyle w:val="Heading1"/>
      </w:pPr>
      <w:bookmarkStart w:id="7" w:name="_Toc215210121"/>
      <w:r w:rsidRPr="008A6D32">
        <w:lastRenderedPageBreak/>
        <w:t>Current Debates and Emerging Issues:</w:t>
      </w:r>
      <w:bookmarkEnd w:id="7"/>
      <w:r w:rsidRPr="008A6D32">
        <w:rPr>
          <w:rStyle w:val="apple-converted-space"/>
          <w:rFonts w:ascii="Arial" w:hAnsi="Arial" w:cs="Arial"/>
          <w:b/>
          <w:bCs/>
          <w:color w:val="000000"/>
        </w:rPr>
        <w:t> </w:t>
      </w:r>
    </w:p>
    <w:p w14:paraId="67DAE284" w14:textId="5FA3E9A7" w:rsidR="000E4D16" w:rsidRPr="00F52B08" w:rsidRDefault="000E4D16" w:rsidP="000E4D16">
      <w:pPr>
        <w:spacing w:line="360" w:lineRule="auto"/>
        <w:jc w:val="both"/>
        <w:rPr>
          <w:rFonts w:ascii="Arial" w:hAnsi="Arial" w:cs="Arial"/>
          <w:sz w:val="22"/>
          <w:szCs w:val="22"/>
        </w:rPr>
      </w:pPr>
      <w:r w:rsidRPr="00F52B08">
        <w:rPr>
          <w:rFonts w:ascii="Arial" w:hAnsi="Arial" w:cs="Arial"/>
          <w:sz w:val="22"/>
          <w:szCs w:val="22"/>
        </w:rPr>
        <w:t xml:space="preserve">The validity of Bipolar I as a distinct category is one of the </w:t>
      </w:r>
      <w:r>
        <w:rPr>
          <w:rFonts w:ascii="Arial" w:hAnsi="Arial" w:cs="Arial"/>
          <w:sz w:val="22"/>
          <w:szCs w:val="22"/>
        </w:rPr>
        <w:t>debates trending. Critics</w:t>
      </w:r>
      <w:r w:rsidRPr="00F52B08">
        <w:rPr>
          <w:rFonts w:ascii="Arial" w:hAnsi="Arial" w:cs="Arial"/>
          <w:sz w:val="22"/>
          <w:szCs w:val="22"/>
        </w:rPr>
        <w:t xml:space="preserve"> contend that mood disorders are </w:t>
      </w:r>
      <w:r w:rsidR="007C564B">
        <w:rPr>
          <w:rFonts w:ascii="Arial" w:hAnsi="Arial" w:cs="Arial"/>
          <w:sz w:val="22"/>
          <w:szCs w:val="22"/>
        </w:rPr>
        <w:t>continuous,</w:t>
      </w:r>
      <w:r w:rsidRPr="00F52B08">
        <w:rPr>
          <w:rFonts w:ascii="Arial" w:hAnsi="Arial" w:cs="Arial"/>
          <w:sz w:val="22"/>
          <w:szCs w:val="22"/>
        </w:rPr>
        <w:t xml:space="preserve"> implying that the cut-off points between Bipolar I and II and schizophrenic disorder are too sharp</w:t>
      </w:r>
      <w:r w:rsidR="009639D0">
        <w:rPr>
          <w:rFonts w:ascii="Arial" w:hAnsi="Arial" w:cs="Arial"/>
          <w:sz w:val="22"/>
          <w:szCs w:val="22"/>
        </w:rPr>
        <w:t xml:space="preserve"> </w:t>
      </w:r>
      <w:r w:rsidR="009639D0" w:rsidRPr="009639D0">
        <w:rPr>
          <w:rFonts w:ascii="Arial" w:hAnsi="Arial" w:cs="Arial"/>
          <w:sz w:val="22"/>
          <w:szCs w:val="22"/>
        </w:rPr>
        <w:t>(Van Meter et al., 2019; Parker, 2012)</w:t>
      </w:r>
      <w:r w:rsidRPr="00F52B08">
        <w:rPr>
          <w:rFonts w:ascii="Arial" w:hAnsi="Arial" w:cs="Arial"/>
          <w:sz w:val="22"/>
          <w:szCs w:val="22"/>
        </w:rPr>
        <w:t>. This discussion has intensified as studies have found these conditions to have common genetic, neurobiological and phenomenological similarities</w:t>
      </w:r>
      <w:r w:rsidR="009639D0">
        <w:rPr>
          <w:rFonts w:ascii="Arial" w:hAnsi="Arial" w:cs="Arial"/>
          <w:sz w:val="22"/>
          <w:szCs w:val="22"/>
        </w:rPr>
        <w:t xml:space="preserve"> </w:t>
      </w:r>
      <w:r w:rsidR="009639D0" w:rsidRPr="009639D0">
        <w:rPr>
          <w:rFonts w:ascii="Arial" w:hAnsi="Arial" w:cs="Arial"/>
          <w:sz w:val="22"/>
          <w:szCs w:val="22"/>
        </w:rPr>
        <w:t>(Smoller &amp; Finn, 2003; Cross-Disorder Group of the Psychiatric Genomics Consortium, 2013)</w:t>
      </w:r>
      <w:r w:rsidRPr="00F52B08">
        <w:rPr>
          <w:rFonts w:ascii="Arial" w:hAnsi="Arial" w:cs="Arial"/>
          <w:sz w:val="22"/>
          <w:szCs w:val="22"/>
        </w:rPr>
        <w:t>. Consequently, others support a dimensional perspective of mood dysregulation as opposed to categori</w:t>
      </w:r>
      <w:r w:rsidR="009639D0">
        <w:rPr>
          <w:rFonts w:ascii="Arial" w:hAnsi="Arial" w:cs="Arial"/>
          <w:sz w:val="22"/>
          <w:szCs w:val="22"/>
        </w:rPr>
        <w:t>s</w:t>
      </w:r>
      <w:r w:rsidRPr="00F52B08">
        <w:rPr>
          <w:rFonts w:ascii="Arial" w:hAnsi="Arial" w:cs="Arial"/>
          <w:sz w:val="22"/>
          <w:szCs w:val="22"/>
        </w:rPr>
        <w:t>ation</w:t>
      </w:r>
      <w:r w:rsidR="009639D0">
        <w:rPr>
          <w:rFonts w:ascii="Arial" w:hAnsi="Arial" w:cs="Arial"/>
          <w:sz w:val="22"/>
          <w:szCs w:val="22"/>
        </w:rPr>
        <w:t xml:space="preserve"> </w:t>
      </w:r>
      <w:r w:rsidR="009639D0" w:rsidRPr="009639D0">
        <w:rPr>
          <w:rFonts w:ascii="Arial" w:hAnsi="Arial" w:cs="Arial"/>
          <w:sz w:val="22"/>
          <w:szCs w:val="22"/>
        </w:rPr>
        <w:t>(Insel et al., 2010)</w:t>
      </w:r>
      <w:r w:rsidR="009639D0" w:rsidRPr="00F52B08">
        <w:rPr>
          <w:rFonts w:ascii="Arial" w:hAnsi="Arial" w:cs="Arial"/>
          <w:sz w:val="22"/>
          <w:szCs w:val="22"/>
        </w:rPr>
        <w:t>.</w:t>
      </w:r>
    </w:p>
    <w:p w14:paraId="5330C3BC" w14:textId="40B8E94C" w:rsidR="000E4D16" w:rsidRPr="00F52B08" w:rsidRDefault="000E4D16" w:rsidP="000E4D16">
      <w:pPr>
        <w:spacing w:line="360" w:lineRule="auto"/>
        <w:jc w:val="both"/>
        <w:rPr>
          <w:rFonts w:ascii="Arial" w:hAnsi="Arial" w:cs="Arial"/>
          <w:sz w:val="22"/>
          <w:szCs w:val="22"/>
        </w:rPr>
      </w:pPr>
      <w:r w:rsidRPr="00F52B08">
        <w:rPr>
          <w:rFonts w:ascii="Arial" w:hAnsi="Arial" w:cs="Arial"/>
          <w:sz w:val="22"/>
          <w:szCs w:val="22"/>
        </w:rPr>
        <w:t>The other controversy is associated with the excessive use of episodic thresholds. There are also people who develop subthreshold yet impairing symptoms, which are not fully ICD-11 criteria, and this creates the issue of diagnostic exclusion and unmet needs</w:t>
      </w:r>
      <w:r w:rsidR="009639D0">
        <w:rPr>
          <w:rFonts w:ascii="Arial" w:hAnsi="Arial" w:cs="Arial"/>
          <w:sz w:val="22"/>
          <w:szCs w:val="22"/>
        </w:rPr>
        <w:t xml:space="preserve"> </w:t>
      </w:r>
      <w:r w:rsidR="009639D0" w:rsidRPr="009639D0">
        <w:rPr>
          <w:rFonts w:ascii="Arial" w:hAnsi="Arial" w:cs="Arial"/>
          <w:sz w:val="22"/>
          <w:szCs w:val="22"/>
        </w:rPr>
        <w:t xml:space="preserve">(Angst et al., 2018; </w:t>
      </w:r>
      <w:proofErr w:type="spellStart"/>
      <w:r w:rsidR="009639D0" w:rsidRPr="009639D0">
        <w:rPr>
          <w:rFonts w:ascii="Arial" w:hAnsi="Arial" w:cs="Arial"/>
          <w:sz w:val="22"/>
          <w:szCs w:val="22"/>
        </w:rPr>
        <w:t>Fusar</w:t>
      </w:r>
      <w:proofErr w:type="spellEnd"/>
      <w:r w:rsidR="009639D0" w:rsidRPr="009639D0">
        <w:rPr>
          <w:rFonts w:ascii="Arial" w:hAnsi="Arial" w:cs="Arial"/>
          <w:sz w:val="22"/>
          <w:szCs w:val="22"/>
        </w:rPr>
        <w:t>-Poli et al., 2020)</w:t>
      </w:r>
      <w:r w:rsidR="009639D0">
        <w:rPr>
          <w:rFonts w:ascii="Arial" w:hAnsi="Arial" w:cs="Arial"/>
          <w:sz w:val="22"/>
          <w:szCs w:val="22"/>
        </w:rPr>
        <w:t>.</w:t>
      </w:r>
    </w:p>
    <w:p w14:paraId="4C229A27" w14:textId="77777777" w:rsidR="000E4D16" w:rsidRPr="00F52B08" w:rsidRDefault="000E4D16" w:rsidP="006B0C28">
      <w:pPr>
        <w:pStyle w:val="Heading2"/>
      </w:pPr>
      <w:bookmarkStart w:id="8" w:name="_Toc215210122"/>
      <w:r w:rsidRPr="00F52B08">
        <w:t>Treatment Debates</w:t>
      </w:r>
      <w:bookmarkEnd w:id="8"/>
    </w:p>
    <w:p w14:paraId="40692267" w14:textId="5DB538F6" w:rsidR="00D75C6A" w:rsidRPr="00491259" w:rsidRDefault="00D75C6A" w:rsidP="00D75C6A">
      <w:pPr>
        <w:spacing w:line="360" w:lineRule="auto"/>
        <w:jc w:val="both"/>
        <w:rPr>
          <w:rFonts w:ascii="Arial" w:hAnsi="Arial" w:cs="Arial"/>
          <w:sz w:val="22"/>
          <w:szCs w:val="22"/>
        </w:rPr>
      </w:pPr>
      <w:bookmarkStart w:id="9" w:name="_Toc215210123"/>
      <w:r w:rsidRPr="00491259">
        <w:rPr>
          <w:rFonts w:ascii="Arial" w:hAnsi="Arial" w:cs="Arial"/>
          <w:sz w:val="22"/>
          <w:szCs w:val="22"/>
        </w:rPr>
        <w:t xml:space="preserve">Debates on the best intervention </w:t>
      </w:r>
      <w:r w:rsidR="007C564B">
        <w:rPr>
          <w:rFonts w:ascii="Arial" w:hAnsi="Arial" w:cs="Arial"/>
          <w:sz w:val="22"/>
          <w:szCs w:val="22"/>
        </w:rPr>
        <w:t>for</w:t>
      </w:r>
      <w:r w:rsidRPr="00491259">
        <w:rPr>
          <w:rFonts w:ascii="Arial" w:hAnsi="Arial" w:cs="Arial"/>
          <w:sz w:val="22"/>
          <w:szCs w:val="22"/>
        </w:rPr>
        <w:t xml:space="preserve"> Bipolar I Disorder are dynamic and </w:t>
      </w:r>
      <w:r w:rsidR="007C564B">
        <w:rPr>
          <w:rFonts w:ascii="Arial" w:hAnsi="Arial" w:cs="Arial"/>
          <w:sz w:val="22"/>
          <w:szCs w:val="22"/>
        </w:rPr>
        <w:t>upcoming,</w:t>
      </w:r>
      <w:r w:rsidRPr="00491259">
        <w:rPr>
          <w:rFonts w:ascii="Arial" w:hAnsi="Arial" w:cs="Arial"/>
          <w:sz w:val="22"/>
          <w:szCs w:val="22"/>
        </w:rPr>
        <w:t xml:space="preserve"> especially with new research findings. One of the most debatable issues regards the long-term usage of antipsychotic drugs. Whereas antipsychotics have remained at the centre of attention in the treatment of both acute mania and the prevention of relapse, there has been heightened concern about the long-term neurologic and metabolic consequences of these medications, including tardive dyskinesia, weight gain, insulin resistance and cardiovascular risk (</w:t>
      </w:r>
      <w:proofErr w:type="spellStart"/>
      <w:r w:rsidRPr="00491259">
        <w:rPr>
          <w:rFonts w:ascii="Arial" w:hAnsi="Arial" w:cs="Arial"/>
          <w:sz w:val="22"/>
          <w:szCs w:val="22"/>
        </w:rPr>
        <w:t>Miklowitz</w:t>
      </w:r>
      <w:proofErr w:type="spellEnd"/>
      <w:r w:rsidRPr="00491259">
        <w:rPr>
          <w:rFonts w:ascii="Arial" w:hAnsi="Arial" w:cs="Arial"/>
          <w:sz w:val="22"/>
          <w:szCs w:val="22"/>
        </w:rPr>
        <w:t xml:space="preserve"> and Scott, 2020; Correll et al., 2015). The critics state that despite their effective use, the risk profile raises the need to use them more conservatively and frequently monitor the metabolism. Some of them argue that the rewards are more than the risks in case antipsychotics are used wisely and in combination with psychosocial interventions.</w:t>
      </w:r>
    </w:p>
    <w:p w14:paraId="1C59A8E1" w14:textId="00A88B6E" w:rsidR="00D75C6A" w:rsidRPr="00491259" w:rsidRDefault="00D75C6A" w:rsidP="00D75C6A">
      <w:pPr>
        <w:spacing w:line="360" w:lineRule="auto"/>
        <w:jc w:val="both"/>
        <w:rPr>
          <w:rFonts w:ascii="Arial" w:hAnsi="Arial" w:cs="Arial"/>
          <w:sz w:val="22"/>
          <w:szCs w:val="22"/>
        </w:rPr>
      </w:pPr>
      <w:r w:rsidRPr="00491259">
        <w:rPr>
          <w:rFonts w:ascii="Arial" w:hAnsi="Arial" w:cs="Arial"/>
          <w:sz w:val="22"/>
          <w:szCs w:val="22"/>
        </w:rPr>
        <w:t xml:space="preserve">Psychotherapy as a treatment of Bipolar I Disorder also lies within the teeth of the controversy. The classical psychiatric models are usually supportive or encompassing psychotherapy as opposed to primary. Nevertheless, there is growing evidence in favour of structured psychological interventions, including Cognitive Behavioural Therapy (CBT), Family-Focused Therapy (FFT), and Interpersonal and Social Rhythm Therapy (IPSRT) as a central factor in preventing relapse, improving medication adherence, and functional recovery (Grande et al., 2016; </w:t>
      </w:r>
      <w:proofErr w:type="spellStart"/>
      <w:r w:rsidRPr="00491259">
        <w:rPr>
          <w:rFonts w:ascii="Arial" w:hAnsi="Arial" w:cs="Arial"/>
          <w:sz w:val="22"/>
          <w:szCs w:val="22"/>
        </w:rPr>
        <w:t>Miklowitz</w:t>
      </w:r>
      <w:proofErr w:type="spellEnd"/>
      <w:r w:rsidRPr="00491259">
        <w:rPr>
          <w:rFonts w:ascii="Arial" w:hAnsi="Arial" w:cs="Arial"/>
          <w:sz w:val="22"/>
          <w:szCs w:val="22"/>
        </w:rPr>
        <w:t xml:space="preserve">, 2019). The proponents of a psychosocially </w:t>
      </w:r>
      <w:r w:rsidR="007C564B">
        <w:rPr>
          <w:rFonts w:ascii="Arial" w:hAnsi="Arial" w:cs="Arial"/>
          <w:sz w:val="22"/>
          <w:szCs w:val="22"/>
        </w:rPr>
        <w:t>orientated</w:t>
      </w:r>
      <w:r w:rsidRPr="00491259">
        <w:rPr>
          <w:rFonts w:ascii="Arial" w:hAnsi="Arial" w:cs="Arial"/>
          <w:sz w:val="22"/>
          <w:szCs w:val="22"/>
        </w:rPr>
        <w:t xml:space="preserve"> model suggest that psychotherapy be displaced as a secondary mode in treatment algorithms since pharmacotherapy is frequently ineffective in dealing with interpersonal, behavioural and lifestyle mechanisms that have a strong impact on the course of illness.</w:t>
      </w:r>
    </w:p>
    <w:p w14:paraId="36B082F3" w14:textId="64CBE83D" w:rsidR="00D75C6A" w:rsidRPr="00491259" w:rsidRDefault="00D75C6A" w:rsidP="00D75C6A">
      <w:pPr>
        <w:spacing w:line="360" w:lineRule="auto"/>
        <w:jc w:val="both"/>
        <w:rPr>
          <w:rFonts w:ascii="Arial" w:hAnsi="Arial" w:cs="Arial"/>
          <w:sz w:val="22"/>
          <w:szCs w:val="22"/>
        </w:rPr>
      </w:pPr>
      <w:r w:rsidRPr="00491259">
        <w:rPr>
          <w:rFonts w:ascii="Arial" w:hAnsi="Arial" w:cs="Arial"/>
          <w:sz w:val="22"/>
          <w:szCs w:val="22"/>
        </w:rPr>
        <w:lastRenderedPageBreak/>
        <w:t>The use of antidepressants is still a controversial issue. They might help to reduce the symptoms of depression, but it is still feared that they can provoke some treatment-emerging mania, hypomania or rapid cycling, especially when administered without mood stabilisers (</w:t>
      </w:r>
      <w:proofErr w:type="spellStart"/>
      <w:r w:rsidRPr="00491259">
        <w:rPr>
          <w:rFonts w:ascii="Arial" w:hAnsi="Arial" w:cs="Arial"/>
          <w:sz w:val="22"/>
          <w:szCs w:val="22"/>
        </w:rPr>
        <w:t>Pacchiarotti</w:t>
      </w:r>
      <w:proofErr w:type="spellEnd"/>
      <w:r w:rsidRPr="00491259">
        <w:rPr>
          <w:rFonts w:ascii="Arial" w:hAnsi="Arial" w:cs="Arial"/>
          <w:sz w:val="22"/>
          <w:szCs w:val="22"/>
        </w:rPr>
        <w:t xml:space="preserve"> et al., 2013). Recommendations tend to be careful</w:t>
      </w:r>
      <w:r w:rsidR="00E50208">
        <w:rPr>
          <w:rFonts w:ascii="Arial" w:hAnsi="Arial" w:cs="Arial"/>
          <w:sz w:val="22"/>
          <w:szCs w:val="22"/>
        </w:rPr>
        <w:t>ly</w:t>
      </w:r>
      <w:r w:rsidRPr="00491259">
        <w:rPr>
          <w:rFonts w:ascii="Arial" w:hAnsi="Arial" w:cs="Arial"/>
          <w:sz w:val="22"/>
          <w:szCs w:val="22"/>
        </w:rPr>
        <w:t xml:space="preserve"> use</w:t>
      </w:r>
      <w:r w:rsidR="00E50208">
        <w:rPr>
          <w:rFonts w:ascii="Arial" w:hAnsi="Arial" w:cs="Arial"/>
          <w:sz w:val="22"/>
          <w:szCs w:val="22"/>
        </w:rPr>
        <w:t>d</w:t>
      </w:r>
      <w:r w:rsidRPr="00491259">
        <w:rPr>
          <w:rFonts w:ascii="Arial" w:hAnsi="Arial" w:cs="Arial"/>
          <w:sz w:val="22"/>
          <w:szCs w:val="22"/>
        </w:rPr>
        <w:t xml:space="preserve">, but clinical </w:t>
      </w:r>
      <w:r w:rsidR="007C564B">
        <w:rPr>
          <w:rFonts w:ascii="Arial" w:hAnsi="Arial" w:cs="Arial"/>
          <w:sz w:val="22"/>
          <w:szCs w:val="22"/>
        </w:rPr>
        <w:t>practice</w:t>
      </w:r>
      <w:r w:rsidRPr="00491259">
        <w:rPr>
          <w:rFonts w:ascii="Arial" w:hAnsi="Arial" w:cs="Arial"/>
          <w:sz w:val="22"/>
          <w:szCs w:val="22"/>
        </w:rPr>
        <w:t xml:space="preserve"> is still unpredictable and is a demonstration of clinical ambiguity and differences in the interpretation of the evidence base.</w:t>
      </w:r>
    </w:p>
    <w:p w14:paraId="2C9C7B7F" w14:textId="77777777" w:rsidR="00D75C6A" w:rsidRPr="00491259" w:rsidRDefault="00D75C6A" w:rsidP="00D75C6A">
      <w:pPr>
        <w:spacing w:line="360" w:lineRule="auto"/>
        <w:jc w:val="both"/>
        <w:rPr>
          <w:rFonts w:ascii="Arial" w:hAnsi="Arial" w:cs="Arial"/>
          <w:sz w:val="22"/>
          <w:szCs w:val="22"/>
        </w:rPr>
      </w:pPr>
      <w:r w:rsidRPr="00491259">
        <w:rPr>
          <w:rFonts w:ascii="Arial" w:hAnsi="Arial" w:cs="Arial"/>
          <w:sz w:val="22"/>
          <w:szCs w:val="22"/>
        </w:rPr>
        <w:t>Additionally, the emergence of precision psychiatry has provided a challenge to the old paradigm of pharmacological one-size-fits-all treatment. Advocates claim that heterogeneous diseases such as Bipolar I need specific treatments and not generalised medicinal schemes. However, critics warn that, as a field, precision psychiatry remains in its early years, where there exist few clinically actionable biomarkers, and this makes it less likely to be feasible and equitable in everyday clinical use.</w:t>
      </w:r>
    </w:p>
    <w:p w14:paraId="6B189ED4" w14:textId="285A1856" w:rsidR="000E4D16" w:rsidRPr="00F52B08" w:rsidRDefault="000E4D16" w:rsidP="006B0C28">
      <w:pPr>
        <w:pStyle w:val="Heading2"/>
      </w:pPr>
      <w:r w:rsidRPr="00F52B08">
        <w:t>Neurodivergence and Reclassification</w:t>
      </w:r>
      <w:r w:rsidR="006B0C28">
        <w:t xml:space="preserve"> Issues</w:t>
      </w:r>
      <w:r w:rsidRPr="00F52B08">
        <w:t>.</w:t>
      </w:r>
      <w:bookmarkEnd w:id="9"/>
    </w:p>
    <w:p w14:paraId="65AFE535" w14:textId="77777777" w:rsidR="00D75C6A" w:rsidRPr="00491259" w:rsidRDefault="00D75C6A" w:rsidP="00D75C6A">
      <w:pPr>
        <w:spacing w:line="360" w:lineRule="auto"/>
        <w:jc w:val="both"/>
        <w:rPr>
          <w:rFonts w:ascii="Arial" w:hAnsi="Arial" w:cs="Arial"/>
          <w:sz w:val="22"/>
          <w:szCs w:val="22"/>
        </w:rPr>
      </w:pPr>
      <w:bookmarkStart w:id="10" w:name="_Toc215210124"/>
      <w:r w:rsidRPr="00491259">
        <w:rPr>
          <w:rFonts w:ascii="Arial" w:hAnsi="Arial" w:cs="Arial"/>
          <w:sz w:val="22"/>
          <w:szCs w:val="22"/>
        </w:rPr>
        <w:t xml:space="preserve">There is an emerging area of discussion, which is the overlap of bipolar presentations and neurodivergent disorders, including Autism Spectrum Condition (ASC) and Attention-Deficit/Hyperactivity Disorder (ADHD). There are growing clinical and neurodevelopmental studies with evidence of overlapping phenomena, such as emotional dysregulation, impulsivity, sensory sensitivities and atypical social cognition, which puts diagnostic boundaries into a grey area (Skirrow et al., 2022; </w:t>
      </w:r>
      <w:proofErr w:type="spellStart"/>
      <w:r w:rsidRPr="00491259">
        <w:rPr>
          <w:rFonts w:ascii="Arial" w:hAnsi="Arial" w:cs="Arial"/>
          <w:sz w:val="22"/>
          <w:szCs w:val="22"/>
        </w:rPr>
        <w:t>Antshel</w:t>
      </w:r>
      <w:proofErr w:type="spellEnd"/>
      <w:r w:rsidRPr="00491259">
        <w:rPr>
          <w:rFonts w:ascii="Arial" w:hAnsi="Arial" w:cs="Arial"/>
          <w:sz w:val="22"/>
          <w:szCs w:val="22"/>
        </w:rPr>
        <w:t xml:space="preserve"> and </w:t>
      </w:r>
      <w:proofErr w:type="spellStart"/>
      <w:r w:rsidRPr="00491259">
        <w:rPr>
          <w:rFonts w:ascii="Arial" w:hAnsi="Arial" w:cs="Arial"/>
          <w:sz w:val="22"/>
          <w:szCs w:val="22"/>
        </w:rPr>
        <w:t>Faraone</w:t>
      </w:r>
      <w:proofErr w:type="spellEnd"/>
      <w:r w:rsidRPr="00491259">
        <w:rPr>
          <w:rFonts w:ascii="Arial" w:hAnsi="Arial" w:cs="Arial"/>
          <w:sz w:val="22"/>
          <w:szCs w:val="22"/>
        </w:rPr>
        <w:t>, 2021). Such similarities usually make differential diagnosis difficult, particularly in adolescents and young adults, which is problematic because existing systems of diagnosis may not adequately depict developmental factors in mood instability.</w:t>
      </w:r>
    </w:p>
    <w:p w14:paraId="27F8FE58" w14:textId="3E30B537" w:rsidR="00D75C6A" w:rsidRPr="00491259" w:rsidRDefault="00D75C6A" w:rsidP="00D75C6A">
      <w:pPr>
        <w:spacing w:line="360" w:lineRule="auto"/>
        <w:jc w:val="both"/>
        <w:rPr>
          <w:rFonts w:ascii="Arial" w:hAnsi="Arial" w:cs="Arial"/>
          <w:sz w:val="22"/>
          <w:szCs w:val="22"/>
        </w:rPr>
      </w:pPr>
      <w:r w:rsidRPr="00491259">
        <w:rPr>
          <w:rFonts w:ascii="Arial" w:hAnsi="Arial" w:cs="Arial"/>
          <w:sz w:val="22"/>
          <w:szCs w:val="22"/>
        </w:rPr>
        <w:t xml:space="preserve">According to some researchers, the conceptualisation of bipolar disorder should be redefined with neurodevelopmental features to be </w:t>
      </w:r>
      <w:r w:rsidR="00E50208" w:rsidRPr="00491259">
        <w:rPr>
          <w:rFonts w:ascii="Arial" w:hAnsi="Arial" w:cs="Arial"/>
          <w:sz w:val="22"/>
          <w:szCs w:val="22"/>
        </w:rPr>
        <w:t>considered</w:t>
      </w:r>
      <w:r w:rsidRPr="00491259">
        <w:rPr>
          <w:rFonts w:ascii="Arial" w:hAnsi="Arial" w:cs="Arial"/>
          <w:sz w:val="22"/>
          <w:szCs w:val="22"/>
        </w:rPr>
        <w:t xml:space="preserve">, given that there is evidence that early-life cognitive phenotypes, attentional characteristics, and social-communication styles are associated with subsequent affective development (van </w:t>
      </w:r>
      <w:proofErr w:type="spellStart"/>
      <w:r w:rsidRPr="00491259">
        <w:rPr>
          <w:rFonts w:ascii="Arial" w:hAnsi="Arial" w:cs="Arial"/>
          <w:sz w:val="22"/>
          <w:szCs w:val="22"/>
        </w:rPr>
        <w:t>Os</w:t>
      </w:r>
      <w:proofErr w:type="spellEnd"/>
      <w:r w:rsidRPr="00491259">
        <w:rPr>
          <w:rFonts w:ascii="Arial" w:hAnsi="Arial" w:cs="Arial"/>
          <w:sz w:val="22"/>
          <w:szCs w:val="22"/>
        </w:rPr>
        <w:t xml:space="preserve"> &amp; </w:t>
      </w:r>
      <w:proofErr w:type="spellStart"/>
      <w:r w:rsidRPr="00491259">
        <w:rPr>
          <w:rFonts w:ascii="Arial" w:hAnsi="Arial" w:cs="Arial"/>
          <w:sz w:val="22"/>
          <w:szCs w:val="22"/>
        </w:rPr>
        <w:t>Guloksuz</w:t>
      </w:r>
      <w:proofErr w:type="spellEnd"/>
      <w:r w:rsidRPr="00491259">
        <w:rPr>
          <w:rFonts w:ascii="Arial" w:hAnsi="Arial" w:cs="Arial"/>
          <w:sz w:val="22"/>
          <w:szCs w:val="22"/>
        </w:rPr>
        <w:t xml:space="preserve">, 2017). These views argue in </w:t>
      </w:r>
      <w:r w:rsidR="007C564B">
        <w:rPr>
          <w:rFonts w:ascii="Arial" w:hAnsi="Arial" w:cs="Arial"/>
          <w:sz w:val="22"/>
          <w:szCs w:val="22"/>
        </w:rPr>
        <w:t>favour</w:t>
      </w:r>
      <w:r w:rsidRPr="00491259">
        <w:rPr>
          <w:rFonts w:ascii="Arial" w:hAnsi="Arial" w:cs="Arial"/>
          <w:sz w:val="22"/>
          <w:szCs w:val="22"/>
        </w:rPr>
        <w:t xml:space="preserve"> of </w:t>
      </w:r>
      <w:r w:rsidR="007C564B">
        <w:rPr>
          <w:rFonts w:ascii="Arial" w:hAnsi="Arial" w:cs="Arial"/>
          <w:sz w:val="22"/>
          <w:szCs w:val="22"/>
        </w:rPr>
        <w:t>a more</w:t>
      </w:r>
      <w:r w:rsidRPr="00491259">
        <w:rPr>
          <w:rFonts w:ascii="Arial" w:hAnsi="Arial" w:cs="Arial"/>
          <w:sz w:val="22"/>
          <w:szCs w:val="22"/>
        </w:rPr>
        <w:t xml:space="preserve"> lifespan-based and dimensional classification system which considers developmental heterogeneity instead of concentrating on episodic mood states.</w:t>
      </w:r>
    </w:p>
    <w:p w14:paraId="16423284" w14:textId="77777777" w:rsidR="00D75C6A" w:rsidRPr="00491259" w:rsidRDefault="00D75C6A" w:rsidP="00D75C6A">
      <w:pPr>
        <w:spacing w:line="360" w:lineRule="auto"/>
        <w:jc w:val="both"/>
        <w:rPr>
          <w:rFonts w:ascii="Arial" w:hAnsi="Arial" w:cs="Arial"/>
          <w:sz w:val="22"/>
          <w:szCs w:val="22"/>
        </w:rPr>
      </w:pPr>
      <w:r w:rsidRPr="00491259">
        <w:rPr>
          <w:rFonts w:ascii="Arial" w:hAnsi="Arial" w:cs="Arial"/>
          <w:sz w:val="22"/>
          <w:szCs w:val="22"/>
        </w:rPr>
        <w:t xml:space="preserve">Critics, on the other hand, caution that the risk of diagnostic inflation due to the expansion of the diagnostic criteria to cover neurodivergent patterns is that neurodivergent patterns may be </w:t>
      </w:r>
      <w:proofErr w:type="spellStart"/>
      <w:r w:rsidRPr="00491259">
        <w:rPr>
          <w:rFonts w:ascii="Arial" w:hAnsi="Arial" w:cs="Arial"/>
          <w:sz w:val="22"/>
          <w:szCs w:val="22"/>
        </w:rPr>
        <w:t>pathologised</w:t>
      </w:r>
      <w:proofErr w:type="spellEnd"/>
      <w:r w:rsidRPr="00491259">
        <w:rPr>
          <w:rFonts w:ascii="Arial" w:hAnsi="Arial" w:cs="Arial"/>
          <w:sz w:val="22"/>
          <w:szCs w:val="22"/>
        </w:rPr>
        <w:t xml:space="preserve"> as affective pathology, or normative developmental variability may be mistaken for affective pathology (Singh, 2013). They claim that broadening the border of bipolar disorder is likely to decrease specificity of diagnosis, make it difficult to treat and obscure differences that should be clear in clinical terms.</w:t>
      </w:r>
    </w:p>
    <w:p w14:paraId="04989C71" w14:textId="13C05B00" w:rsidR="00D75C6A" w:rsidRPr="00491259" w:rsidRDefault="00D75C6A" w:rsidP="00D75C6A">
      <w:pPr>
        <w:spacing w:line="360" w:lineRule="auto"/>
        <w:jc w:val="both"/>
        <w:rPr>
          <w:rFonts w:ascii="Arial" w:hAnsi="Arial" w:cs="Arial"/>
          <w:sz w:val="22"/>
          <w:szCs w:val="22"/>
        </w:rPr>
      </w:pPr>
      <w:r w:rsidRPr="00491259">
        <w:rPr>
          <w:rFonts w:ascii="Arial" w:hAnsi="Arial" w:cs="Arial"/>
          <w:sz w:val="22"/>
          <w:szCs w:val="22"/>
        </w:rPr>
        <w:lastRenderedPageBreak/>
        <w:t xml:space="preserve">These discussions signify more fundamental issues on whether existing ICD-11 and DSM-5 systems capture the complexity of mood disorders in </w:t>
      </w:r>
      <w:r w:rsidR="007C564B">
        <w:rPr>
          <w:rFonts w:ascii="Arial" w:hAnsi="Arial" w:cs="Arial"/>
          <w:sz w:val="22"/>
          <w:szCs w:val="22"/>
        </w:rPr>
        <w:t>a broader</w:t>
      </w:r>
      <w:r w:rsidRPr="00491259">
        <w:rPr>
          <w:rFonts w:ascii="Arial" w:hAnsi="Arial" w:cs="Arial"/>
          <w:sz w:val="22"/>
          <w:szCs w:val="22"/>
        </w:rPr>
        <w:t xml:space="preserve"> neurodevelopmental </w:t>
      </w:r>
      <w:r w:rsidR="007C564B">
        <w:rPr>
          <w:rFonts w:ascii="Arial" w:hAnsi="Arial" w:cs="Arial"/>
          <w:sz w:val="22"/>
          <w:szCs w:val="22"/>
        </w:rPr>
        <w:t>continuum or</w:t>
      </w:r>
      <w:r w:rsidRPr="00491259">
        <w:rPr>
          <w:rFonts w:ascii="Arial" w:hAnsi="Arial" w:cs="Arial"/>
          <w:sz w:val="22"/>
          <w:szCs w:val="22"/>
        </w:rPr>
        <w:t xml:space="preserve"> whether new hybrid or dimensional frameworks are required to capture new empirical data.</w:t>
      </w:r>
    </w:p>
    <w:p w14:paraId="520BD69E" w14:textId="1F732B2A" w:rsidR="000E4D16" w:rsidRPr="00F52B08" w:rsidRDefault="007C564B" w:rsidP="006B0C28">
      <w:pPr>
        <w:pStyle w:val="Heading2"/>
      </w:pPr>
      <w:r>
        <w:t>Implications for</w:t>
      </w:r>
      <w:r w:rsidR="000E4D16" w:rsidRPr="00F52B08">
        <w:t xml:space="preserve"> Practice and Policy.</w:t>
      </w:r>
      <w:bookmarkEnd w:id="10"/>
    </w:p>
    <w:p w14:paraId="2B355F9D" w14:textId="77777777" w:rsidR="000E4D16" w:rsidRPr="00F52B08" w:rsidRDefault="000E4D16" w:rsidP="000E4D16">
      <w:pPr>
        <w:spacing w:line="360" w:lineRule="auto"/>
        <w:jc w:val="both"/>
        <w:rPr>
          <w:rFonts w:ascii="Arial" w:hAnsi="Arial" w:cs="Arial"/>
          <w:sz w:val="22"/>
          <w:szCs w:val="22"/>
        </w:rPr>
      </w:pPr>
      <w:r w:rsidRPr="00F52B08">
        <w:rPr>
          <w:rFonts w:ascii="Arial" w:hAnsi="Arial" w:cs="Arial"/>
          <w:sz w:val="22"/>
          <w:szCs w:val="22"/>
        </w:rPr>
        <w:t>These debates influence:</w:t>
      </w:r>
    </w:p>
    <w:p w14:paraId="39A1D94F" w14:textId="77777777" w:rsidR="000E4D16" w:rsidRPr="00F52B08" w:rsidRDefault="000E4D16" w:rsidP="000E4D16">
      <w:pPr>
        <w:spacing w:line="360" w:lineRule="auto"/>
        <w:jc w:val="both"/>
        <w:rPr>
          <w:rFonts w:ascii="Arial" w:hAnsi="Arial" w:cs="Arial"/>
          <w:sz w:val="22"/>
          <w:szCs w:val="22"/>
        </w:rPr>
      </w:pPr>
      <w:r w:rsidRPr="00F52B08">
        <w:rPr>
          <w:rFonts w:ascii="Arial" w:hAnsi="Arial" w:cs="Arial"/>
          <w:sz w:val="22"/>
          <w:szCs w:val="22"/>
        </w:rPr>
        <w:t>•</w:t>
      </w:r>
      <w:r w:rsidRPr="00F52B08">
        <w:rPr>
          <w:rFonts w:ascii="Arial" w:hAnsi="Arial" w:cs="Arial"/>
          <w:sz w:val="22"/>
          <w:szCs w:val="22"/>
        </w:rPr>
        <w:tab/>
        <w:t>Assessment practices, which encourage clinicians to make more comprehensive developmental histories.</w:t>
      </w:r>
    </w:p>
    <w:p w14:paraId="111A8C49" w14:textId="50058933" w:rsidR="000E4D16" w:rsidRPr="00F52B08" w:rsidRDefault="000E4D16" w:rsidP="000E4D16">
      <w:pPr>
        <w:spacing w:line="360" w:lineRule="auto"/>
        <w:jc w:val="both"/>
        <w:rPr>
          <w:rFonts w:ascii="Arial" w:hAnsi="Arial" w:cs="Arial"/>
          <w:sz w:val="22"/>
          <w:szCs w:val="22"/>
        </w:rPr>
      </w:pPr>
      <w:r w:rsidRPr="00F52B08">
        <w:rPr>
          <w:rFonts w:ascii="Arial" w:hAnsi="Arial" w:cs="Arial"/>
          <w:sz w:val="22"/>
          <w:szCs w:val="22"/>
        </w:rPr>
        <w:t xml:space="preserve">Policy </w:t>
      </w:r>
      <w:r w:rsidR="007C564B">
        <w:rPr>
          <w:rFonts w:ascii="Arial" w:hAnsi="Arial" w:cs="Arial"/>
          <w:sz w:val="22"/>
          <w:szCs w:val="22"/>
        </w:rPr>
        <w:t>decisions,</w:t>
      </w:r>
      <w:r w:rsidRPr="00F52B08">
        <w:rPr>
          <w:rFonts w:ascii="Arial" w:hAnsi="Arial" w:cs="Arial"/>
          <w:sz w:val="22"/>
          <w:szCs w:val="22"/>
        </w:rPr>
        <w:t xml:space="preserve"> especially on service design and resource allocation.</w:t>
      </w:r>
    </w:p>
    <w:p w14:paraId="4284852A" w14:textId="77777777" w:rsidR="000E4D16" w:rsidRPr="00F52B08" w:rsidRDefault="000E4D16" w:rsidP="000E4D16">
      <w:pPr>
        <w:spacing w:line="360" w:lineRule="auto"/>
        <w:jc w:val="both"/>
        <w:rPr>
          <w:rFonts w:ascii="Arial" w:hAnsi="Arial" w:cs="Arial"/>
          <w:sz w:val="22"/>
          <w:szCs w:val="22"/>
        </w:rPr>
      </w:pPr>
      <w:r w:rsidRPr="00F52B08">
        <w:rPr>
          <w:rFonts w:ascii="Arial" w:hAnsi="Arial" w:cs="Arial"/>
          <w:sz w:val="22"/>
          <w:szCs w:val="22"/>
        </w:rPr>
        <w:t>•</w:t>
      </w:r>
      <w:r w:rsidRPr="00F52B08">
        <w:rPr>
          <w:rFonts w:ascii="Arial" w:hAnsi="Arial" w:cs="Arial"/>
          <w:sz w:val="22"/>
          <w:szCs w:val="22"/>
        </w:rPr>
        <w:tab/>
        <w:t>Increased funding on research primarily focused on biomarkers, neurocognitive profiles and early intervention models.</w:t>
      </w:r>
    </w:p>
    <w:p w14:paraId="70F58262" w14:textId="4E946C05" w:rsidR="000E4D16" w:rsidRPr="00F52B08" w:rsidRDefault="000E4D16" w:rsidP="000E4D16">
      <w:pPr>
        <w:spacing w:line="360" w:lineRule="auto"/>
        <w:jc w:val="both"/>
        <w:rPr>
          <w:rFonts w:ascii="Arial" w:hAnsi="Arial" w:cs="Arial"/>
          <w:sz w:val="22"/>
          <w:szCs w:val="22"/>
        </w:rPr>
      </w:pPr>
      <w:r w:rsidRPr="00F52B08">
        <w:rPr>
          <w:rFonts w:ascii="Arial" w:hAnsi="Arial" w:cs="Arial"/>
          <w:sz w:val="22"/>
          <w:szCs w:val="22"/>
        </w:rPr>
        <w:t xml:space="preserve">The issue of the medicalisation of distress also affects the attitudes of the population, </w:t>
      </w:r>
      <w:r w:rsidR="007C564B">
        <w:rPr>
          <w:rFonts w:ascii="Arial" w:hAnsi="Arial" w:cs="Arial"/>
          <w:sz w:val="22"/>
          <w:szCs w:val="22"/>
        </w:rPr>
        <w:t>as do</w:t>
      </w:r>
      <w:r w:rsidRPr="00F52B08">
        <w:rPr>
          <w:rFonts w:ascii="Arial" w:hAnsi="Arial" w:cs="Arial"/>
          <w:sz w:val="22"/>
          <w:szCs w:val="22"/>
        </w:rPr>
        <w:t xml:space="preserve"> the help-seeking behaviour and stigma reduction efforts.</w:t>
      </w:r>
    </w:p>
    <w:p w14:paraId="663F265C" w14:textId="474F84B0" w:rsidR="008A6D32" w:rsidRPr="008A6D32" w:rsidRDefault="008A6D32" w:rsidP="006B0C28">
      <w:pPr>
        <w:pStyle w:val="Heading1"/>
      </w:pPr>
      <w:bookmarkStart w:id="11" w:name="_Toc215210125"/>
      <w:r w:rsidRPr="008A6D32">
        <w:t>Recommendations</w:t>
      </w:r>
      <w:bookmarkEnd w:id="11"/>
      <w:r w:rsidRPr="008A6D32">
        <w:rPr>
          <w:rStyle w:val="apple-converted-space"/>
          <w:rFonts w:ascii="Arial" w:hAnsi="Arial" w:cs="Arial"/>
          <w:b/>
          <w:bCs/>
          <w:color w:val="000000"/>
        </w:rPr>
        <w:t> </w:t>
      </w:r>
    </w:p>
    <w:p w14:paraId="7E40122B" w14:textId="77777777" w:rsidR="006B0C28" w:rsidRPr="006B0C28" w:rsidRDefault="006B0C28" w:rsidP="006B0C28">
      <w:pPr>
        <w:spacing w:line="360" w:lineRule="auto"/>
        <w:jc w:val="both"/>
        <w:rPr>
          <w:rFonts w:ascii="Arial" w:hAnsi="Arial" w:cs="Arial"/>
          <w:b/>
          <w:bCs/>
          <w:sz w:val="22"/>
          <w:szCs w:val="22"/>
        </w:rPr>
      </w:pPr>
      <w:r w:rsidRPr="006B0C28">
        <w:rPr>
          <w:rFonts w:ascii="Arial" w:hAnsi="Arial" w:cs="Arial"/>
          <w:b/>
          <w:bCs/>
          <w:sz w:val="22"/>
          <w:szCs w:val="22"/>
        </w:rPr>
        <w:t>Empower Dimensional Evaluation Instruments.</w:t>
      </w:r>
    </w:p>
    <w:p w14:paraId="7B0601BD" w14:textId="20B5D3FB" w:rsidR="006B0C28" w:rsidRPr="00F52B08" w:rsidRDefault="006B0C28" w:rsidP="006B0C28">
      <w:pPr>
        <w:spacing w:line="360" w:lineRule="auto"/>
        <w:jc w:val="both"/>
        <w:rPr>
          <w:rFonts w:ascii="Arial" w:hAnsi="Arial" w:cs="Arial"/>
          <w:sz w:val="22"/>
          <w:szCs w:val="22"/>
        </w:rPr>
      </w:pPr>
      <w:r w:rsidRPr="00F52B08">
        <w:rPr>
          <w:rFonts w:ascii="Arial" w:hAnsi="Arial" w:cs="Arial"/>
          <w:sz w:val="22"/>
          <w:szCs w:val="22"/>
        </w:rPr>
        <w:t xml:space="preserve">Although the ICD-11 has better criteria, dimensional mood measures (e.g., mood spectrum measures) can be used to complement categorical diagnosis and detect sub-threshold symptoms. This would facilitate the detection of the people under threat and </w:t>
      </w:r>
      <w:r w:rsidR="007C564B">
        <w:rPr>
          <w:rFonts w:ascii="Arial" w:hAnsi="Arial" w:cs="Arial"/>
          <w:sz w:val="22"/>
          <w:szCs w:val="22"/>
        </w:rPr>
        <w:t>minimise</w:t>
      </w:r>
      <w:r w:rsidRPr="00F52B08">
        <w:rPr>
          <w:rFonts w:ascii="Arial" w:hAnsi="Arial" w:cs="Arial"/>
          <w:sz w:val="22"/>
          <w:szCs w:val="22"/>
        </w:rPr>
        <w:t xml:space="preserve"> diagnostic time.</w:t>
      </w:r>
    </w:p>
    <w:p w14:paraId="307DB542" w14:textId="77777777" w:rsidR="006B0C28" w:rsidRPr="006B0C28" w:rsidRDefault="006B0C28" w:rsidP="006B0C28">
      <w:pPr>
        <w:spacing w:line="360" w:lineRule="auto"/>
        <w:jc w:val="both"/>
        <w:rPr>
          <w:rFonts w:ascii="Arial" w:hAnsi="Arial" w:cs="Arial"/>
          <w:b/>
          <w:bCs/>
          <w:sz w:val="22"/>
          <w:szCs w:val="22"/>
        </w:rPr>
      </w:pPr>
      <w:r w:rsidRPr="006B0C28">
        <w:rPr>
          <w:rFonts w:ascii="Arial" w:hAnsi="Arial" w:cs="Arial"/>
          <w:b/>
          <w:bCs/>
          <w:sz w:val="22"/>
          <w:szCs w:val="22"/>
        </w:rPr>
        <w:t>Access to Integrated Increase Access to Psychosocial Interventions.</w:t>
      </w:r>
    </w:p>
    <w:p w14:paraId="619F79B8" w14:textId="77777777" w:rsidR="006B0C28" w:rsidRPr="00F52B08" w:rsidRDefault="006B0C28" w:rsidP="006B0C28">
      <w:pPr>
        <w:spacing w:line="360" w:lineRule="auto"/>
        <w:jc w:val="both"/>
        <w:rPr>
          <w:rFonts w:ascii="Arial" w:hAnsi="Arial" w:cs="Arial"/>
          <w:sz w:val="22"/>
          <w:szCs w:val="22"/>
        </w:rPr>
      </w:pPr>
      <w:r w:rsidRPr="00F52B08">
        <w:rPr>
          <w:rFonts w:ascii="Arial" w:hAnsi="Arial" w:cs="Arial"/>
          <w:sz w:val="22"/>
          <w:szCs w:val="22"/>
        </w:rPr>
        <w:t>It has been well-supported that psychosocial treatments are effective in enhancing the outcomes. There should be more policies to invest in available, culturally sensitive, bipolar-specialised therapeutic services, such as telehealth.</w:t>
      </w:r>
    </w:p>
    <w:p w14:paraId="3E0D7264" w14:textId="0937E078" w:rsidR="006B0C28" w:rsidRPr="006B0C28" w:rsidRDefault="006B0C28" w:rsidP="006B0C28">
      <w:pPr>
        <w:spacing w:line="360" w:lineRule="auto"/>
        <w:jc w:val="both"/>
        <w:rPr>
          <w:rFonts w:ascii="Arial" w:hAnsi="Arial" w:cs="Arial"/>
          <w:b/>
          <w:bCs/>
          <w:sz w:val="22"/>
          <w:szCs w:val="22"/>
        </w:rPr>
      </w:pPr>
      <w:r w:rsidRPr="006B0C28">
        <w:rPr>
          <w:rFonts w:ascii="Arial" w:hAnsi="Arial" w:cs="Arial"/>
          <w:b/>
          <w:bCs/>
          <w:sz w:val="22"/>
          <w:szCs w:val="22"/>
        </w:rPr>
        <w:t xml:space="preserve">Improve </w:t>
      </w:r>
      <w:r w:rsidR="007C564B">
        <w:rPr>
          <w:rFonts w:ascii="Arial" w:hAnsi="Arial" w:cs="Arial"/>
          <w:b/>
          <w:bCs/>
          <w:sz w:val="22"/>
          <w:szCs w:val="22"/>
        </w:rPr>
        <w:t>long-term</w:t>
      </w:r>
      <w:r w:rsidRPr="006B0C28">
        <w:rPr>
          <w:rFonts w:ascii="Arial" w:hAnsi="Arial" w:cs="Arial"/>
          <w:b/>
          <w:bCs/>
          <w:sz w:val="22"/>
          <w:szCs w:val="22"/>
        </w:rPr>
        <w:t xml:space="preserve"> monitoring and </w:t>
      </w:r>
      <w:r w:rsidR="007C564B">
        <w:rPr>
          <w:rFonts w:ascii="Arial" w:hAnsi="Arial" w:cs="Arial"/>
          <w:b/>
          <w:bCs/>
          <w:sz w:val="22"/>
          <w:szCs w:val="22"/>
        </w:rPr>
        <w:t>shared decision-making.</w:t>
      </w:r>
    </w:p>
    <w:p w14:paraId="24EA4B69" w14:textId="1B1F2779" w:rsidR="006B0C28" w:rsidRPr="00F52B08" w:rsidRDefault="006B0C28" w:rsidP="006B0C28">
      <w:pPr>
        <w:spacing w:line="360" w:lineRule="auto"/>
        <w:jc w:val="both"/>
        <w:rPr>
          <w:rFonts w:ascii="Arial" w:hAnsi="Arial" w:cs="Arial"/>
          <w:sz w:val="22"/>
          <w:szCs w:val="22"/>
        </w:rPr>
      </w:pPr>
      <w:r w:rsidRPr="00F52B08">
        <w:rPr>
          <w:rFonts w:ascii="Arial" w:hAnsi="Arial" w:cs="Arial"/>
          <w:sz w:val="22"/>
          <w:szCs w:val="22"/>
        </w:rPr>
        <w:t xml:space="preserve">Regular screening of </w:t>
      </w:r>
      <w:r w:rsidR="007C564B">
        <w:rPr>
          <w:rFonts w:ascii="Arial" w:hAnsi="Arial" w:cs="Arial"/>
          <w:sz w:val="22"/>
          <w:szCs w:val="22"/>
        </w:rPr>
        <w:t>metabolic levels,</w:t>
      </w:r>
      <w:r w:rsidRPr="00F52B08">
        <w:rPr>
          <w:rFonts w:ascii="Arial" w:hAnsi="Arial" w:cs="Arial"/>
          <w:sz w:val="22"/>
          <w:szCs w:val="22"/>
        </w:rPr>
        <w:t xml:space="preserve"> </w:t>
      </w:r>
      <w:r w:rsidR="007C564B">
        <w:rPr>
          <w:rFonts w:ascii="Arial" w:hAnsi="Arial" w:cs="Arial"/>
          <w:sz w:val="22"/>
          <w:szCs w:val="22"/>
        </w:rPr>
        <w:t>regular</w:t>
      </w:r>
      <w:r w:rsidRPr="00F52B08">
        <w:rPr>
          <w:rFonts w:ascii="Arial" w:hAnsi="Arial" w:cs="Arial"/>
          <w:sz w:val="22"/>
          <w:szCs w:val="22"/>
        </w:rPr>
        <w:t xml:space="preserve"> </w:t>
      </w:r>
      <w:r w:rsidR="007C564B">
        <w:rPr>
          <w:rFonts w:ascii="Arial" w:hAnsi="Arial" w:cs="Arial"/>
          <w:sz w:val="22"/>
          <w:szCs w:val="22"/>
        </w:rPr>
        <w:t>reviewing of</w:t>
      </w:r>
      <w:r w:rsidRPr="00F52B08">
        <w:rPr>
          <w:rFonts w:ascii="Arial" w:hAnsi="Arial" w:cs="Arial"/>
          <w:sz w:val="22"/>
          <w:szCs w:val="22"/>
        </w:rPr>
        <w:t xml:space="preserve"> lithium </w:t>
      </w:r>
      <w:r w:rsidR="007C564B">
        <w:rPr>
          <w:rFonts w:ascii="Arial" w:hAnsi="Arial" w:cs="Arial"/>
          <w:sz w:val="22"/>
          <w:szCs w:val="22"/>
        </w:rPr>
        <w:t>levels,</w:t>
      </w:r>
      <w:r w:rsidRPr="00F52B08">
        <w:rPr>
          <w:rFonts w:ascii="Arial" w:hAnsi="Arial" w:cs="Arial"/>
          <w:sz w:val="22"/>
          <w:szCs w:val="22"/>
        </w:rPr>
        <w:t xml:space="preserve"> and joint care planning must be reinforced, with the patients being provided with active involvement in the choice of medication and regular support.</w:t>
      </w:r>
    </w:p>
    <w:p w14:paraId="4B5BAFE5" w14:textId="77777777" w:rsidR="006B0C28" w:rsidRPr="006B0C28" w:rsidRDefault="006B0C28" w:rsidP="006B0C28">
      <w:pPr>
        <w:spacing w:line="360" w:lineRule="auto"/>
        <w:jc w:val="both"/>
        <w:rPr>
          <w:rFonts w:ascii="Arial" w:hAnsi="Arial" w:cs="Arial"/>
          <w:b/>
          <w:bCs/>
          <w:sz w:val="22"/>
          <w:szCs w:val="22"/>
        </w:rPr>
      </w:pPr>
      <w:r w:rsidRPr="006B0C28">
        <w:rPr>
          <w:rFonts w:ascii="Arial" w:hAnsi="Arial" w:cs="Arial"/>
          <w:b/>
          <w:bCs/>
          <w:sz w:val="22"/>
          <w:szCs w:val="22"/>
        </w:rPr>
        <w:t>Enhance Rehabilitation Facilities.</w:t>
      </w:r>
    </w:p>
    <w:p w14:paraId="1777B93D" w14:textId="23A6672E" w:rsidR="006B0C28" w:rsidRPr="00F52B08" w:rsidRDefault="006B0C28" w:rsidP="006B0C28">
      <w:pPr>
        <w:spacing w:line="360" w:lineRule="auto"/>
        <w:jc w:val="both"/>
        <w:rPr>
          <w:rFonts w:ascii="Arial" w:hAnsi="Arial" w:cs="Arial"/>
          <w:sz w:val="22"/>
          <w:szCs w:val="22"/>
        </w:rPr>
      </w:pPr>
      <w:r w:rsidRPr="00F52B08">
        <w:rPr>
          <w:rFonts w:ascii="Arial" w:hAnsi="Arial" w:cs="Arial"/>
          <w:sz w:val="22"/>
          <w:szCs w:val="22"/>
        </w:rPr>
        <w:lastRenderedPageBreak/>
        <w:t xml:space="preserve">Employment support, social functioning programmes and community recovery centres should be </w:t>
      </w:r>
      <w:r w:rsidR="007C564B">
        <w:rPr>
          <w:rFonts w:ascii="Arial" w:hAnsi="Arial" w:cs="Arial"/>
          <w:sz w:val="22"/>
          <w:szCs w:val="22"/>
        </w:rPr>
        <w:t>prioritised</w:t>
      </w:r>
      <w:r w:rsidRPr="00F52B08">
        <w:rPr>
          <w:rFonts w:ascii="Arial" w:hAnsi="Arial" w:cs="Arial"/>
          <w:sz w:val="22"/>
          <w:szCs w:val="22"/>
        </w:rPr>
        <w:t xml:space="preserve"> in the policy. Rehabilitation needs to be considered as an essential part of treatment and not a peripheral service.</w:t>
      </w:r>
    </w:p>
    <w:p w14:paraId="670A12DA" w14:textId="77777777" w:rsidR="006B0C28" w:rsidRPr="006B0C28" w:rsidRDefault="006B0C28" w:rsidP="006B0C28">
      <w:pPr>
        <w:spacing w:line="360" w:lineRule="auto"/>
        <w:jc w:val="both"/>
        <w:rPr>
          <w:rFonts w:ascii="Arial" w:hAnsi="Arial" w:cs="Arial"/>
          <w:b/>
          <w:bCs/>
          <w:sz w:val="22"/>
          <w:szCs w:val="22"/>
        </w:rPr>
      </w:pPr>
      <w:r w:rsidRPr="006B0C28">
        <w:rPr>
          <w:rFonts w:ascii="Arial" w:hAnsi="Arial" w:cs="Arial"/>
          <w:b/>
          <w:bCs/>
          <w:sz w:val="22"/>
          <w:szCs w:val="22"/>
        </w:rPr>
        <w:t>Respond to Neurodivergence in Diagnostic Structures.</w:t>
      </w:r>
    </w:p>
    <w:p w14:paraId="08823028" w14:textId="0F03259B" w:rsidR="006B0C28" w:rsidRPr="00F52B08" w:rsidRDefault="006B0C28" w:rsidP="006B0C28">
      <w:pPr>
        <w:spacing w:line="360" w:lineRule="auto"/>
        <w:jc w:val="both"/>
        <w:rPr>
          <w:rFonts w:ascii="Arial" w:hAnsi="Arial" w:cs="Arial"/>
          <w:sz w:val="22"/>
          <w:szCs w:val="22"/>
        </w:rPr>
      </w:pPr>
      <w:r w:rsidRPr="00F52B08">
        <w:rPr>
          <w:rFonts w:ascii="Arial" w:hAnsi="Arial" w:cs="Arial"/>
          <w:sz w:val="22"/>
          <w:szCs w:val="22"/>
        </w:rPr>
        <w:t xml:space="preserve">The practice should be guided by the encouragement of clinicians to evaluate neurodevelopmental histories and assume the presence of overlapping characteristics. The revisions of ICD in the future may also include specifications or </w:t>
      </w:r>
      <w:r w:rsidR="007C564B">
        <w:rPr>
          <w:rFonts w:ascii="Arial" w:hAnsi="Arial" w:cs="Arial"/>
          <w:sz w:val="22"/>
          <w:szCs w:val="22"/>
        </w:rPr>
        <w:t>subtypes</w:t>
      </w:r>
      <w:r w:rsidRPr="00F52B08">
        <w:rPr>
          <w:rFonts w:ascii="Arial" w:hAnsi="Arial" w:cs="Arial"/>
          <w:sz w:val="22"/>
          <w:szCs w:val="22"/>
        </w:rPr>
        <w:t xml:space="preserve"> that </w:t>
      </w:r>
      <w:r w:rsidR="007C564B">
        <w:rPr>
          <w:rFonts w:ascii="Arial" w:hAnsi="Arial" w:cs="Arial"/>
          <w:sz w:val="22"/>
          <w:szCs w:val="22"/>
        </w:rPr>
        <w:t>recognise</w:t>
      </w:r>
      <w:r w:rsidRPr="00F52B08">
        <w:rPr>
          <w:rFonts w:ascii="Arial" w:hAnsi="Arial" w:cs="Arial"/>
          <w:sz w:val="22"/>
          <w:szCs w:val="22"/>
        </w:rPr>
        <w:t xml:space="preserve"> the neurodivergent profiles.</w:t>
      </w:r>
    </w:p>
    <w:p w14:paraId="057E24C9" w14:textId="77777777" w:rsidR="006B0C28" w:rsidRPr="006B0C28" w:rsidRDefault="006B0C28" w:rsidP="006B0C28">
      <w:pPr>
        <w:spacing w:line="360" w:lineRule="auto"/>
        <w:jc w:val="both"/>
        <w:rPr>
          <w:rFonts w:ascii="Arial" w:hAnsi="Arial" w:cs="Arial"/>
          <w:b/>
          <w:bCs/>
          <w:sz w:val="22"/>
          <w:szCs w:val="22"/>
        </w:rPr>
      </w:pPr>
      <w:r w:rsidRPr="006B0C28">
        <w:rPr>
          <w:rFonts w:ascii="Arial" w:hAnsi="Arial" w:cs="Arial"/>
          <w:b/>
          <w:bCs/>
          <w:sz w:val="22"/>
          <w:szCs w:val="22"/>
        </w:rPr>
        <w:t>Further Investigations into Individual Therapy.</w:t>
      </w:r>
    </w:p>
    <w:p w14:paraId="5355D39D" w14:textId="5C8E9D91" w:rsidR="006B0C28" w:rsidRPr="00F52B08" w:rsidRDefault="006B0C28" w:rsidP="006B0C28">
      <w:pPr>
        <w:spacing w:line="360" w:lineRule="auto"/>
        <w:jc w:val="both"/>
        <w:rPr>
          <w:rFonts w:ascii="Arial" w:hAnsi="Arial" w:cs="Arial"/>
          <w:sz w:val="22"/>
          <w:szCs w:val="22"/>
        </w:rPr>
      </w:pPr>
      <w:r w:rsidRPr="00F52B08">
        <w:rPr>
          <w:rFonts w:ascii="Arial" w:hAnsi="Arial" w:cs="Arial"/>
          <w:sz w:val="22"/>
          <w:szCs w:val="22"/>
        </w:rPr>
        <w:t xml:space="preserve">Genomic, neurobiological, and psychosocial research should be invested in to come up with personalised treatment plans. This can </w:t>
      </w:r>
      <w:r w:rsidR="007C564B">
        <w:rPr>
          <w:rFonts w:ascii="Arial" w:hAnsi="Arial" w:cs="Arial"/>
          <w:sz w:val="22"/>
          <w:szCs w:val="22"/>
        </w:rPr>
        <w:t>minimise</w:t>
      </w:r>
      <w:r w:rsidRPr="00F52B08">
        <w:rPr>
          <w:rFonts w:ascii="Arial" w:hAnsi="Arial" w:cs="Arial"/>
          <w:sz w:val="22"/>
          <w:szCs w:val="22"/>
        </w:rPr>
        <w:t xml:space="preserve"> trial and error prescription and enhance clinical outcome.</w:t>
      </w:r>
    </w:p>
    <w:p w14:paraId="75C42BB4" w14:textId="71763F0B" w:rsidR="008A6D32" w:rsidRPr="008A6D32" w:rsidRDefault="008A6D32" w:rsidP="006B0C28">
      <w:pPr>
        <w:pStyle w:val="Heading1"/>
      </w:pPr>
      <w:bookmarkStart w:id="12" w:name="_Toc215210126"/>
      <w:r w:rsidRPr="008A6D32">
        <w:t>Conclusion</w:t>
      </w:r>
      <w:bookmarkEnd w:id="12"/>
    </w:p>
    <w:p w14:paraId="05606FA8" w14:textId="0556FDDD" w:rsidR="006B0C28" w:rsidRPr="00F52B08" w:rsidRDefault="006B0C28" w:rsidP="006B0C28">
      <w:pPr>
        <w:spacing w:line="360" w:lineRule="auto"/>
        <w:jc w:val="both"/>
        <w:rPr>
          <w:rFonts w:ascii="Arial" w:hAnsi="Arial" w:cs="Arial"/>
          <w:sz w:val="22"/>
          <w:szCs w:val="22"/>
        </w:rPr>
      </w:pPr>
      <w:r w:rsidRPr="00F52B08">
        <w:rPr>
          <w:rFonts w:ascii="Arial" w:hAnsi="Arial" w:cs="Arial"/>
          <w:sz w:val="22"/>
          <w:szCs w:val="22"/>
        </w:rPr>
        <w:t xml:space="preserve">ICD-11 Bipolar Type I Disorder is a complicated mental disease, which involves subtle interpretation of classification, diagnosis, treatment, and rehabilitation. Though diagnostic systems are useful frameworks, they still elicit controversy </w:t>
      </w:r>
      <w:r w:rsidR="007C564B">
        <w:rPr>
          <w:rFonts w:ascii="Arial" w:hAnsi="Arial" w:cs="Arial"/>
          <w:sz w:val="22"/>
          <w:szCs w:val="22"/>
        </w:rPr>
        <w:t>insofar</w:t>
      </w:r>
      <w:r w:rsidRPr="00F52B08">
        <w:rPr>
          <w:rFonts w:ascii="Arial" w:hAnsi="Arial" w:cs="Arial"/>
          <w:sz w:val="22"/>
          <w:szCs w:val="22"/>
        </w:rPr>
        <w:t xml:space="preserve"> as categorical boundaries, neurodevelopmental factors, and culturally aware practice </w:t>
      </w:r>
      <w:r w:rsidR="007C564B">
        <w:rPr>
          <w:rFonts w:ascii="Arial" w:hAnsi="Arial" w:cs="Arial"/>
          <w:sz w:val="22"/>
          <w:szCs w:val="22"/>
        </w:rPr>
        <w:t>are</w:t>
      </w:r>
      <w:r w:rsidRPr="00F52B08">
        <w:rPr>
          <w:rFonts w:ascii="Arial" w:hAnsi="Arial" w:cs="Arial"/>
          <w:sz w:val="22"/>
          <w:szCs w:val="22"/>
        </w:rPr>
        <w:t xml:space="preserve"> concerned. Treatments are effective but not perfect, which shows the significance of integrated psychosocial assistance, patient-centred treatment, and rehabilitation in the community. The future of bipolar research and service delivery will be influenced by emerging issues such as neurodivergence, precision psychiatry and reclassification debate. Increased diagnostic flexibility, better rehabilitation delivery, and investment in the personalised care shall lead to better outcomes and responsive mental health systems.</w:t>
      </w:r>
    </w:p>
    <w:p w14:paraId="45A36524" w14:textId="77777777" w:rsidR="008A6D32" w:rsidRPr="008A6D32" w:rsidRDefault="008A6D32" w:rsidP="008A6D32">
      <w:pPr>
        <w:pStyle w:val="NormalWeb"/>
        <w:rPr>
          <w:rFonts w:ascii="Arial" w:hAnsi="Arial" w:cs="Arial"/>
          <w:color w:val="000000"/>
        </w:rPr>
      </w:pPr>
    </w:p>
    <w:p w14:paraId="4F7597D5" w14:textId="40FC27D1" w:rsidR="005B61A4" w:rsidRDefault="005B61A4">
      <w:pPr>
        <w:rPr>
          <w:rFonts w:ascii="Arial" w:eastAsia="Times New Roman" w:hAnsi="Arial" w:cs="Arial"/>
          <w:color w:val="000000"/>
          <w:kern w:val="0"/>
          <w:lang w:eastAsia="en-GB"/>
          <w14:ligatures w14:val="none"/>
        </w:rPr>
      </w:pPr>
      <w:r>
        <w:rPr>
          <w:rFonts w:ascii="Arial" w:hAnsi="Arial" w:cs="Arial"/>
          <w:color w:val="000000"/>
        </w:rPr>
        <w:br w:type="page"/>
      </w:r>
    </w:p>
    <w:p w14:paraId="464E4062" w14:textId="02CAC658" w:rsidR="008A6D32" w:rsidRPr="008A6D32" w:rsidRDefault="008A6D32" w:rsidP="006B0C28">
      <w:pPr>
        <w:pStyle w:val="Heading1"/>
      </w:pPr>
      <w:bookmarkStart w:id="13" w:name="_Toc215210127"/>
      <w:r w:rsidRPr="008A6D32">
        <w:lastRenderedPageBreak/>
        <w:t>References</w:t>
      </w:r>
      <w:bookmarkEnd w:id="13"/>
      <w:r w:rsidRPr="008A6D32">
        <w:t xml:space="preserve"> </w:t>
      </w:r>
    </w:p>
    <w:p w14:paraId="18A936EC" w14:textId="77777777" w:rsidR="00E50208" w:rsidRPr="007C564B" w:rsidRDefault="00E50208" w:rsidP="007C564B">
      <w:pPr>
        <w:spacing w:line="360" w:lineRule="auto"/>
        <w:rPr>
          <w:rFonts w:ascii="Arial" w:hAnsi="Arial" w:cs="Arial"/>
          <w:sz w:val="22"/>
          <w:szCs w:val="22"/>
        </w:rPr>
      </w:pPr>
      <w:r w:rsidRPr="007C564B">
        <w:rPr>
          <w:rFonts w:ascii="Arial" w:hAnsi="Arial" w:cs="Arial"/>
          <w:sz w:val="22"/>
          <w:szCs w:val="22"/>
        </w:rPr>
        <w:t xml:space="preserve">American Psychiatric Association (2013) </w:t>
      </w:r>
      <w:r w:rsidRPr="007C564B">
        <w:rPr>
          <w:rFonts w:ascii="Arial" w:hAnsi="Arial" w:cs="Arial"/>
          <w:i/>
          <w:iCs/>
          <w:sz w:val="22"/>
          <w:szCs w:val="22"/>
        </w:rPr>
        <w:t>Diagnostic and Statistical Manual of Mental Disorders: DSM-5</w:t>
      </w:r>
      <w:r w:rsidRPr="007C564B">
        <w:rPr>
          <w:rFonts w:ascii="Arial" w:hAnsi="Arial" w:cs="Arial"/>
          <w:sz w:val="22"/>
          <w:szCs w:val="22"/>
        </w:rPr>
        <w:t xml:space="preserve">. 5th </w:t>
      </w:r>
      <w:proofErr w:type="spellStart"/>
      <w:r w:rsidRPr="007C564B">
        <w:rPr>
          <w:rFonts w:ascii="Arial" w:hAnsi="Arial" w:cs="Arial"/>
          <w:sz w:val="22"/>
          <w:szCs w:val="22"/>
        </w:rPr>
        <w:t>edn</w:t>
      </w:r>
      <w:proofErr w:type="spellEnd"/>
      <w:r w:rsidRPr="007C564B">
        <w:rPr>
          <w:rFonts w:ascii="Arial" w:hAnsi="Arial" w:cs="Arial"/>
          <w:sz w:val="22"/>
          <w:szCs w:val="22"/>
        </w:rPr>
        <w:t>. Washington, DC: American Psychiatric Publishing.</w:t>
      </w:r>
      <w:r w:rsidRPr="007C564B">
        <w:rPr>
          <w:rFonts w:ascii="Arial" w:hAnsi="Arial" w:cs="Arial"/>
          <w:sz w:val="22"/>
          <w:szCs w:val="22"/>
        </w:rPr>
        <w:br/>
        <w:t xml:space="preserve">Available at: </w:t>
      </w:r>
      <w:hyperlink r:id="rId9" w:history="1">
        <w:r w:rsidRPr="007C564B">
          <w:rPr>
            <w:rStyle w:val="Hyperlink"/>
            <w:rFonts w:ascii="Arial" w:hAnsi="Arial" w:cs="Arial"/>
            <w:sz w:val="22"/>
            <w:szCs w:val="22"/>
          </w:rPr>
          <w:t>https://doi.org/10.1176/appi.books.9780890425596</w:t>
        </w:r>
      </w:hyperlink>
      <w:r w:rsidRPr="007C564B">
        <w:rPr>
          <w:rFonts w:ascii="Arial" w:hAnsi="Arial" w:cs="Arial"/>
          <w:sz w:val="22"/>
          <w:szCs w:val="22"/>
        </w:rPr>
        <w:br/>
        <w:t>(Accessed: 19 November 2025).</w:t>
      </w:r>
    </w:p>
    <w:p w14:paraId="2EACAB04" w14:textId="77777777" w:rsidR="00E50208" w:rsidRPr="007C564B" w:rsidRDefault="00E50208" w:rsidP="007C564B">
      <w:pPr>
        <w:spacing w:line="360" w:lineRule="auto"/>
        <w:rPr>
          <w:rFonts w:ascii="Arial" w:hAnsi="Arial" w:cs="Arial"/>
          <w:sz w:val="22"/>
          <w:szCs w:val="22"/>
        </w:rPr>
      </w:pPr>
      <w:r w:rsidRPr="007C564B">
        <w:rPr>
          <w:rFonts w:ascii="Arial" w:hAnsi="Arial" w:cs="Arial"/>
          <w:sz w:val="22"/>
          <w:szCs w:val="22"/>
        </w:rPr>
        <w:t xml:space="preserve">Angst, J., Gamma, </w:t>
      </w:r>
      <w:proofErr w:type="gramStart"/>
      <w:r w:rsidRPr="007C564B">
        <w:rPr>
          <w:rFonts w:ascii="Arial" w:hAnsi="Arial" w:cs="Arial"/>
          <w:sz w:val="22"/>
          <w:szCs w:val="22"/>
        </w:rPr>
        <w:t>A.</w:t>
      </w:r>
      <w:proofErr w:type="gramEnd"/>
      <w:r w:rsidRPr="007C564B">
        <w:rPr>
          <w:rFonts w:ascii="Arial" w:hAnsi="Arial" w:cs="Arial"/>
          <w:sz w:val="22"/>
          <w:szCs w:val="22"/>
        </w:rPr>
        <w:t xml:space="preserve"> and Bowden, C.L. (2018) ‘Evidence-based definition of bipolar spectrum disorders’, </w:t>
      </w:r>
      <w:r w:rsidRPr="007C564B">
        <w:rPr>
          <w:rFonts w:ascii="Arial" w:hAnsi="Arial" w:cs="Arial"/>
          <w:i/>
          <w:iCs/>
          <w:sz w:val="22"/>
          <w:szCs w:val="22"/>
        </w:rPr>
        <w:t>Bipolar Disorders</w:t>
      </w:r>
      <w:r w:rsidRPr="007C564B">
        <w:rPr>
          <w:rFonts w:ascii="Arial" w:hAnsi="Arial" w:cs="Arial"/>
          <w:sz w:val="22"/>
          <w:szCs w:val="22"/>
        </w:rPr>
        <w:t>, 20(5), pp. 394–409.</w:t>
      </w:r>
    </w:p>
    <w:p w14:paraId="31298388" w14:textId="77777777" w:rsidR="00E50208" w:rsidRPr="007C564B" w:rsidRDefault="00E50208" w:rsidP="007C564B">
      <w:pPr>
        <w:spacing w:line="360" w:lineRule="auto"/>
        <w:rPr>
          <w:rFonts w:ascii="Arial" w:hAnsi="Arial" w:cs="Arial"/>
          <w:sz w:val="22"/>
          <w:szCs w:val="22"/>
        </w:rPr>
      </w:pPr>
      <w:proofErr w:type="spellStart"/>
      <w:r w:rsidRPr="007C564B">
        <w:rPr>
          <w:rFonts w:ascii="Arial" w:hAnsi="Arial" w:cs="Arial"/>
          <w:sz w:val="22"/>
          <w:szCs w:val="22"/>
        </w:rPr>
        <w:t>Antshel</w:t>
      </w:r>
      <w:proofErr w:type="spellEnd"/>
      <w:r w:rsidRPr="007C564B">
        <w:rPr>
          <w:rFonts w:ascii="Arial" w:hAnsi="Arial" w:cs="Arial"/>
          <w:sz w:val="22"/>
          <w:szCs w:val="22"/>
        </w:rPr>
        <w:t xml:space="preserve">, K.M. and </w:t>
      </w:r>
      <w:proofErr w:type="spellStart"/>
      <w:r w:rsidRPr="007C564B">
        <w:rPr>
          <w:rFonts w:ascii="Arial" w:hAnsi="Arial" w:cs="Arial"/>
          <w:sz w:val="22"/>
          <w:szCs w:val="22"/>
        </w:rPr>
        <w:t>Faraone</w:t>
      </w:r>
      <w:proofErr w:type="spellEnd"/>
      <w:r w:rsidRPr="007C564B">
        <w:rPr>
          <w:rFonts w:ascii="Arial" w:hAnsi="Arial" w:cs="Arial"/>
          <w:sz w:val="22"/>
          <w:szCs w:val="22"/>
        </w:rPr>
        <w:t xml:space="preserve">, S.V. (2021) ‘Is attention-deficit/hyperactivity disorder a neurodevelopmental disorder?’, </w:t>
      </w:r>
      <w:r w:rsidRPr="007C564B">
        <w:rPr>
          <w:rFonts w:ascii="Arial" w:hAnsi="Arial" w:cs="Arial"/>
          <w:i/>
          <w:iCs/>
          <w:sz w:val="22"/>
          <w:szCs w:val="22"/>
        </w:rPr>
        <w:t>World Psychiatry</w:t>
      </w:r>
      <w:r w:rsidRPr="007C564B">
        <w:rPr>
          <w:rFonts w:ascii="Arial" w:hAnsi="Arial" w:cs="Arial"/>
          <w:sz w:val="22"/>
          <w:szCs w:val="22"/>
        </w:rPr>
        <w:t>, 20(2), pp. 180–181.</w:t>
      </w:r>
    </w:p>
    <w:p w14:paraId="20A7D266" w14:textId="77777777" w:rsidR="00E50208" w:rsidRPr="007C564B" w:rsidRDefault="00E50208" w:rsidP="007C564B">
      <w:pPr>
        <w:spacing w:line="360" w:lineRule="auto"/>
        <w:rPr>
          <w:rFonts w:ascii="Arial" w:hAnsi="Arial" w:cs="Arial"/>
          <w:sz w:val="22"/>
          <w:szCs w:val="22"/>
        </w:rPr>
      </w:pPr>
      <w:r w:rsidRPr="007C564B">
        <w:rPr>
          <w:rFonts w:ascii="Arial" w:hAnsi="Arial" w:cs="Arial"/>
          <w:sz w:val="22"/>
          <w:szCs w:val="22"/>
        </w:rPr>
        <w:t xml:space="preserve">Cipriani, A., Hawton, K., Stockton, S. and Geddes, J.R. (2013) ‘Lithium in the prevention of suicide in mood disorders: Updated systematic review and meta-analysis’, </w:t>
      </w:r>
      <w:r w:rsidRPr="007C564B">
        <w:rPr>
          <w:rFonts w:ascii="Arial" w:hAnsi="Arial" w:cs="Arial"/>
          <w:i/>
          <w:iCs/>
          <w:sz w:val="22"/>
          <w:szCs w:val="22"/>
        </w:rPr>
        <w:t>BMJ</w:t>
      </w:r>
      <w:r w:rsidRPr="007C564B">
        <w:rPr>
          <w:rFonts w:ascii="Arial" w:hAnsi="Arial" w:cs="Arial"/>
          <w:sz w:val="22"/>
          <w:szCs w:val="22"/>
        </w:rPr>
        <w:t>, 346, f3646.</w:t>
      </w:r>
      <w:r w:rsidRPr="007C564B">
        <w:rPr>
          <w:rFonts w:ascii="Arial" w:hAnsi="Arial" w:cs="Arial"/>
          <w:sz w:val="22"/>
          <w:szCs w:val="22"/>
        </w:rPr>
        <w:br/>
        <w:t xml:space="preserve">Available at: </w:t>
      </w:r>
      <w:hyperlink r:id="rId10" w:history="1">
        <w:r w:rsidRPr="007C564B">
          <w:rPr>
            <w:rStyle w:val="Hyperlink"/>
            <w:rFonts w:ascii="Arial" w:hAnsi="Arial" w:cs="Arial"/>
            <w:sz w:val="22"/>
            <w:szCs w:val="22"/>
          </w:rPr>
          <w:t>https://doi.org/10.1136/bmj.f3646</w:t>
        </w:r>
      </w:hyperlink>
      <w:r w:rsidRPr="007C564B">
        <w:rPr>
          <w:rFonts w:ascii="Arial" w:hAnsi="Arial" w:cs="Arial"/>
          <w:sz w:val="22"/>
          <w:szCs w:val="22"/>
        </w:rPr>
        <w:br/>
        <w:t>(Accessed: 18 November 2025).</w:t>
      </w:r>
    </w:p>
    <w:p w14:paraId="613F4C4C" w14:textId="77777777" w:rsidR="00E50208" w:rsidRPr="007C564B" w:rsidRDefault="00E50208" w:rsidP="007C564B">
      <w:pPr>
        <w:spacing w:line="360" w:lineRule="auto"/>
        <w:rPr>
          <w:rFonts w:ascii="Arial" w:hAnsi="Arial" w:cs="Arial"/>
          <w:sz w:val="22"/>
          <w:szCs w:val="22"/>
        </w:rPr>
      </w:pPr>
      <w:r w:rsidRPr="007C564B">
        <w:rPr>
          <w:rFonts w:ascii="Arial" w:hAnsi="Arial" w:cs="Arial"/>
          <w:sz w:val="22"/>
          <w:szCs w:val="22"/>
        </w:rPr>
        <w:t xml:space="preserve">Colom, F. and Vieta, E. (2004) ‘Psychoeducation for bipolar disorder: An effective intervention’, </w:t>
      </w:r>
      <w:r w:rsidRPr="007C564B">
        <w:rPr>
          <w:rFonts w:ascii="Arial" w:hAnsi="Arial" w:cs="Arial"/>
          <w:i/>
          <w:iCs/>
          <w:sz w:val="22"/>
          <w:szCs w:val="22"/>
        </w:rPr>
        <w:t>American Journal of Psychiatry</w:t>
      </w:r>
      <w:r w:rsidRPr="007C564B">
        <w:rPr>
          <w:rFonts w:ascii="Arial" w:hAnsi="Arial" w:cs="Arial"/>
          <w:sz w:val="22"/>
          <w:szCs w:val="22"/>
        </w:rPr>
        <w:t>, 161(9), pp. 1631–1632.</w:t>
      </w:r>
      <w:r w:rsidRPr="007C564B">
        <w:rPr>
          <w:rFonts w:ascii="Arial" w:hAnsi="Arial" w:cs="Arial"/>
          <w:sz w:val="22"/>
          <w:szCs w:val="22"/>
        </w:rPr>
        <w:br/>
        <w:t xml:space="preserve">Available at: </w:t>
      </w:r>
      <w:hyperlink r:id="rId11" w:history="1">
        <w:r w:rsidRPr="007C564B">
          <w:rPr>
            <w:rStyle w:val="Hyperlink"/>
            <w:rFonts w:ascii="Arial" w:hAnsi="Arial" w:cs="Arial"/>
            <w:sz w:val="22"/>
            <w:szCs w:val="22"/>
          </w:rPr>
          <w:t>https://doi.org/10.1176/appi.ajp.161.9.1631</w:t>
        </w:r>
      </w:hyperlink>
      <w:r w:rsidRPr="007C564B">
        <w:rPr>
          <w:rFonts w:ascii="Arial" w:hAnsi="Arial" w:cs="Arial"/>
          <w:sz w:val="22"/>
          <w:szCs w:val="22"/>
        </w:rPr>
        <w:br/>
        <w:t>(Accessed: 20 November 2025).</w:t>
      </w:r>
    </w:p>
    <w:p w14:paraId="545EF71E" w14:textId="77777777" w:rsidR="00E50208" w:rsidRPr="007C564B" w:rsidRDefault="00E50208" w:rsidP="007C564B">
      <w:pPr>
        <w:spacing w:line="360" w:lineRule="auto"/>
        <w:rPr>
          <w:rFonts w:ascii="Arial" w:hAnsi="Arial" w:cs="Arial"/>
          <w:sz w:val="22"/>
          <w:szCs w:val="22"/>
        </w:rPr>
      </w:pPr>
      <w:proofErr w:type="spellStart"/>
      <w:r w:rsidRPr="007C564B">
        <w:rPr>
          <w:rFonts w:ascii="Arial" w:hAnsi="Arial" w:cs="Arial"/>
          <w:sz w:val="22"/>
          <w:szCs w:val="22"/>
        </w:rPr>
        <w:t>Correll</w:t>
      </w:r>
      <w:proofErr w:type="spellEnd"/>
      <w:r w:rsidRPr="007C564B">
        <w:rPr>
          <w:rFonts w:ascii="Arial" w:hAnsi="Arial" w:cs="Arial"/>
          <w:sz w:val="22"/>
          <w:szCs w:val="22"/>
        </w:rPr>
        <w:t xml:space="preserve">, C.U., </w:t>
      </w:r>
      <w:proofErr w:type="spellStart"/>
      <w:r w:rsidRPr="007C564B">
        <w:rPr>
          <w:rFonts w:ascii="Arial" w:hAnsi="Arial" w:cs="Arial"/>
          <w:sz w:val="22"/>
          <w:szCs w:val="22"/>
        </w:rPr>
        <w:t>Detraux</w:t>
      </w:r>
      <w:proofErr w:type="spellEnd"/>
      <w:r w:rsidRPr="007C564B">
        <w:rPr>
          <w:rFonts w:ascii="Arial" w:hAnsi="Arial" w:cs="Arial"/>
          <w:sz w:val="22"/>
          <w:szCs w:val="22"/>
        </w:rPr>
        <w:t xml:space="preserve">, J., De </w:t>
      </w:r>
      <w:proofErr w:type="spellStart"/>
      <w:r w:rsidRPr="007C564B">
        <w:rPr>
          <w:rFonts w:ascii="Arial" w:hAnsi="Arial" w:cs="Arial"/>
          <w:sz w:val="22"/>
          <w:szCs w:val="22"/>
        </w:rPr>
        <w:t>Lepeleire</w:t>
      </w:r>
      <w:proofErr w:type="spellEnd"/>
      <w:r w:rsidRPr="007C564B">
        <w:rPr>
          <w:rFonts w:ascii="Arial" w:hAnsi="Arial" w:cs="Arial"/>
          <w:sz w:val="22"/>
          <w:szCs w:val="22"/>
        </w:rPr>
        <w:t xml:space="preserve">, J. and De Hert, M. (2015) ‘Effects of antipsychotics, antidepressants and mood stabilisers on risk for physical diseases in people with schizophrenia, depression and bipolar disorder’, </w:t>
      </w:r>
      <w:r w:rsidRPr="007C564B">
        <w:rPr>
          <w:rFonts w:ascii="Arial" w:hAnsi="Arial" w:cs="Arial"/>
          <w:i/>
          <w:iCs/>
          <w:sz w:val="22"/>
          <w:szCs w:val="22"/>
        </w:rPr>
        <w:t>World Psychiatry</w:t>
      </w:r>
      <w:r w:rsidRPr="007C564B">
        <w:rPr>
          <w:rFonts w:ascii="Arial" w:hAnsi="Arial" w:cs="Arial"/>
          <w:sz w:val="22"/>
          <w:szCs w:val="22"/>
        </w:rPr>
        <w:t>, 14(2), pp. 119–136.</w:t>
      </w:r>
    </w:p>
    <w:p w14:paraId="5A3B2F3C" w14:textId="77777777" w:rsidR="00E50208" w:rsidRPr="007C564B" w:rsidRDefault="00E50208" w:rsidP="007C564B">
      <w:pPr>
        <w:spacing w:line="360" w:lineRule="auto"/>
        <w:rPr>
          <w:rFonts w:ascii="Arial" w:hAnsi="Arial" w:cs="Arial"/>
          <w:sz w:val="22"/>
          <w:szCs w:val="22"/>
        </w:rPr>
      </w:pPr>
      <w:r w:rsidRPr="007C564B">
        <w:rPr>
          <w:rFonts w:ascii="Arial" w:hAnsi="Arial" w:cs="Arial"/>
          <w:sz w:val="22"/>
          <w:szCs w:val="22"/>
        </w:rPr>
        <w:t xml:space="preserve">Cross-Disorder Group of the Psychiatric Genomics Consortium (2013) ‘Identification of risk loci with shared effects on five major psychiatric disorders: a genome-wide analysis’, </w:t>
      </w:r>
      <w:r w:rsidRPr="007C564B">
        <w:rPr>
          <w:rFonts w:ascii="Arial" w:hAnsi="Arial" w:cs="Arial"/>
          <w:i/>
          <w:iCs/>
          <w:sz w:val="22"/>
          <w:szCs w:val="22"/>
        </w:rPr>
        <w:t>The Lancet</w:t>
      </w:r>
      <w:r w:rsidRPr="007C564B">
        <w:rPr>
          <w:rFonts w:ascii="Arial" w:hAnsi="Arial" w:cs="Arial"/>
          <w:sz w:val="22"/>
          <w:szCs w:val="22"/>
        </w:rPr>
        <w:t>, 381(9875), pp. 1371–1379.</w:t>
      </w:r>
    </w:p>
    <w:p w14:paraId="2B8FFBDF" w14:textId="77777777" w:rsidR="00E50208" w:rsidRPr="007C564B" w:rsidRDefault="00E50208" w:rsidP="007C564B">
      <w:pPr>
        <w:spacing w:line="360" w:lineRule="auto"/>
        <w:rPr>
          <w:rFonts w:ascii="Arial" w:hAnsi="Arial" w:cs="Arial"/>
          <w:sz w:val="22"/>
          <w:szCs w:val="22"/>
        </w:rPr>
      </w:pPr>
      <w:r w:rsidRPr="007C564B">
        <w:rPr>
          <w:rFonts w:ascii="Arial" w:hAnsi="Arial" w:cs="Arial"/>
          <w:sz w:val="22"/>
          <w:szCs w:val="22"/>
        </w:rPr>
        <w:t xml:space="preserve">Fernandes, B.S. et al. (2020) ‘The new field of “precision psychiatry”’, </w:t>
      </w:r>
      <w:r w:rsidRPr="007C564B">
        <w:rPr>
          <w:rFonts w:ascii="Arial" w:hAnsi="Arial" w:cs="Arial"/>
          <w:i/>
          <w:iCs/>
          <w:sz w:val="22"/>
          <w:szCs w:val="22"/>
        </w:rPr>
        <w:t>BMC Medicine</w:t>
      </w:r>
      <w:r w:rsidRPr="007C564B">
        <w:rPr>
          <w:rFonts w:ascii="Arial" w:hAnsi="Arial" w:cs="Arial"/>
          <w:sz w:val="22"/>
          <w:szCs w:val="22"/>
        </w:rPr>
        <w:t>, 18, pp. 1–7.</w:t>
      </w:r>
    </w:p>
    <w:p w14:paraId="4DBE6324" w14:textId="77777777" w:rsidR="00E50208" w:rsidRPr="007C564B" w:rsidRDefault="00E50208" w:rsidP="007C564B">
      <w:pPr>
        <w:spacing w:line="360" w:lineRule="auto"/>
        <w:rPr>
          <w:rFonts w:ascii="Arial" w:hAnsi="Arial" w:cs="Arial"/>
          <w:sz w:val="22"/>
          <w:szCs w:val="22"/>
        </w:rPr>
      </w:pPr>
      <w:proofErr w:type="spellStart"/>
      <w:r w:rsidRPr="007C564B">
        <w:rPr>
          <w:rFonts w:ascii="Arial" w:hAnsi="Arial" w:cs="Arial"/>
          <w:sz w:val="22"/>
          <w:szCs w:val="22"/>
        </w:rPr>
        <w:t>Fusar</w:t>
      </w:r>
      <w:proofErr w:type="spellEnd"/>
      <w:r w:rsidRPr="007C564B">
        <w:rPr>
          <w:rFonts w:ascii="Arial" w:hAnsi="Arial" w:cs="Arial"/>
          <w:sz w:val="22"/>
          <w:szCs w:val="22"/>
        </w:rPr>
        <w:t xml:space="preserve">-Poli, P. et al. (2020) ‘Transdiagnostic psychiatry: a systematic review’, </w:t>
      </w:r>
      <w:r w:rsidRPr="007C564B">
        <w:rPr>
          <w:rFonts w:ascii="Arial" w:hAnsi="Arial" w:cs="Arial"/>
          <w:i/>
          <w:iCs/>
          <w:sz w:val="22"/>
          <w:szCs w:val="22"/>
        </w:rPr>
        <w:t>World Psychiatry</w:t>
      </w:r>
      <w:r w:rsidRPr="007C564B">
        <w:rPr>
          <w:rFonts w:ascii="Arial" w:hAnsi="Arial" w:cs="Arial"/>
          <w:sz w:val="22"/>
          <w:szCs w:val="22"/>
        </w:rPr>
        <w:t>, 19(2), pp. 233–250.</w:t>
      </w:r>
    </w:p>
    <w:p w14:paraId="1BEE40B6" w14:textId="77777777" w:rsidR="00E50208" w:rsidRPr="007C564B" w:rsidRDefault="00E50208" w:rsidP="007C564B">
      <w:pPr>
        <w:spacing w:line="360" w:lineRule="auto"/>
        <w:rPr>
          <w:rFonts w:ascii="Arial" w:hAnsi="Arial" w:cs="Arial"/>
          <w:sz w:val="22"/>
          <w:szCs w:val="22"/>
        </w:rPr>
      </w:pPr>
      <w:r w:rsidRPr="007C564B">
        <w:rPr>
          <w:rFonts w:ascii="Arial" w:hAnsi="Arial" w:cs="Arial"/>
          <w:sz w:val="22"/>
          <w:szCs w:val="22"/>
        </w:rPr>
        <w:t xml:space="preserve">Goodwin, G.M. et al. (2016) ‘Evidence-based guidelines for treating bipolar disorder: Revised third edition recommendations’, </w:t>
      </w:r>
      <w:r w:rsidRPr="007C564B">
        <w:rPr>
          <w:rFonts w:ascii="Arial" w:hAnsi="Arial" w:cs="Arial"/>
          <w:i/>
          <w:iCs/>
          <w:sz w:val="22"/>
          <w:szCs w:val="22"/>
        </w:rPr>
        <w:t>The British Journal of Psychiatry</w:t>
      </w:r>
      <w:r w:rsidRPr="007C564B">
        <w:rPr>
          <w:rFonts w:ascii="Arial" w:hAnsi="Arial" w:cs="Arial"/>
          <w:sz w:val="22"/>
          <w:szCs w:val="22"/>
        </w:rPr>
        <w:t>, 208(4), pp. 314–332.</w:t>
      </w:r>
      <w:r w:rsidRPr="007C564B">
        <w:rPr>
          <w:rFonts w:ascii="Arial" w:hAnsi="Arial" w:cs="Arial"/>
          <w:sz w:val="22"/>
          <w:szCs w:val="22"/>
        </w:rPr>
        <w:br/>
        <w:t xml:space="preserve">Available at: </w:t>
      </w:r>
      <w:hyperlink r:id="rId12" w:history="1">
        <w:r w:rsidRPr="007C564B">
          <w:rPr>
            <w:rStyle w:val="Hyperlink"/>
            <w:rFonts w:ascii="Arial" w:hAnsi="Arial" w:cs="Arial"/>
            <w:sz w:val="22"/>
            <w:szCs w:val="22"/>
          </w:rPr>
          <w:t>https://doi.org/10.1192/bjp.bp.115.177550</w:t>
        </w:r>
      </w:hyperlink>
      <w:r w:rsidRPr="007C564B">
        <w:rPr>
          <w:rFonts w:ascii="Arial" w:hAnsi="Arial" w:cs="Arial"/>
          <w:sz w:val="22"/>
          <w:szCs w:val="22"/>
        </w:rPr>
        <w:br/>
        <w:t>(Accessed: 22 November 2025).</w:t>
      </w:r>
    </w:p>
    <w:p w14:paraId="1E35376C" w14:textId="77777777" w:rsidR="00E50208" w:rsidRPr="007C564B" w:rsidRDefault="00E50208" w:rsidP="007C564B">
      <w:pPr>
        <w:spacing w:line="360" w:lineRule="auto"/>
        <w:rPr>
          <w:rFonts w:ascii="Arial" w:hAnsi="Arial" w:cs="Arial"/>
          <w:sz w:val="22"/>
          <w:szCs w:val="22"/>
        </w:rPr>
      </w:pPr>
      <w:r w:rsidRPr="007C564B">
        <w:rPr>
          <w:rFonts w:ascii="Arial" w:hAnsi="Arial" w:cs="Arial"/>
          <w:sz w:val="22"/>
          <w:szCs w:val="22"/>
        </w:rPr>
        <w:lastRenderedPageBreak/>
        <w:t xml:space="preserve">Grande, I., Berk, M., </w:t>
      </w:r>
      <w:proofErr w:type="spellStart"/>
      <w:r w:rsidRPr="007C564B">
        <w:rPr>
          <w:rFonts w:ascii="Arial" w:hAnsi="Arial" w:cs="Arial"/>
          <w:sz w:val="22"/>
          <w:szCs w:val="22"/>
        </w:rPr>
        <w:t>Birmaher</w:t>
      </w:r>
      <w:proofErr w:type="spellEnd"/>
      <w:r w:rsidRPr="007C564B">
        <w:rPr>
          <w:rFonts w:ascii="Arial" w:hAnsi="Arial" w:cs="Arial"/>
          <w:sz w:val="22"/>
          <w:szCs w:val="22"/>
        </w:rPr>
        <w:t xml:space="preserve">, B. and Vieta, E. (2016) ‘Bipolar disorder’, </w:t>
      </w:r>
      <w:r w:rsidRPr="007C564B">
        <w:rPr>
          <w:rFonts w:ascii="Arial" w:hAnsi="Arial" w:cs="Arial"/>
          <w:i/>
          <w:iCs/>
          <w:sz w:val="22"/>
          <w:szCs w:val="22"/>
        </w:rPr>
        <w:t>The Lancet</w:t>
      </w:r>
      <w:r w:rsidRPr="007C564B">
        <w:rPr>
          <w:rFonts w:ascii="Arial" w:hAnsi="Arial" w:cs="Arial"/>
          <w:sz w:val="22"/>
          <w:szCs w:val="22"/>
        </w:rPr>
        <w:t>, 387(10027), pp. 1561–1572.</w:t>
      </w:r>
      <w:r w:rsidRPr="007C564B">
        <w:rPr>
          <w:rFonts w:ascii="Arial" w:hAnsi="Arial" w:cs="Arial"/>
          <w:sz w:val="22"/>
          <w:szCs w:val="22"/>
        </w:rPr>
        <w:br/>
        <w:t xml:space="preserve">Available at: </w:t>
      </w:r>
      <w:hyperlink r:id="rId13" w:history="1">
        <w:r w:rsidRPr="007C564B">
          <w:rPr>
            <w:rStyle w:val="Hyperlink"/>
            <w:rFonts w:ascii="Arial" w:hAnsi="Arial" w:cs="Arial"/>
            <w:sz w:val="22"/>
            <w:szCs w:val="22"/>
          </w:rPr>
          <w:t>https://doi.org/10.1016/S0140-6736(15)00241-X</w:t>
        </w:r>
      </w:hyperlink>
      <w:r w:rsidRPr="007C564B">
        <w:rPr>
          <w:rFonts w:ascii="Arial" w:hAnsi="Arial" w:cs="Arial"/>
          <w:sz w:val="22"/>
          <w:szCs w:val="22"/>
        </w:rPr>
        <w:br/>
        <w:t>(Accessed: 20 November 2025).</w:t>
      </w:r>
    </w:p>
    <w:p w14:paraId="7A9BF1A3" w14:textId="77777777" w:rsidR="00E50208" w:rsidRPr="007C564B" w:rsidRDefault="00E50208" w:rsidP="007C564B">
      <w:pPr>
        <w:spacing w:line="360" w:lineRule="auto"/>
        <w:rPr>
          <w:rFonts w:ascii="Arial" w:hAnsi="Arial" w:cs="Arial"/>
          <w:sz w:val="22"/>
          <w:szCs w:val="22"/>
        </w:rPr>
      </w:pPr>
      <w:r w:rsidRPr="007C564B">
        <w:rPr>
          <w:rFonts w:ascii="Arial" w:hAnsi="Arial" w:cs="Arial"/>
          <w:sz w:val="22"/>
          <w:szCs w:val="22"/>
        </w:rPr>
        <w:t xml:space="preserve">International Classification of Diseases (ICD-11) (2019) </w:t>
      </w:r>
      <w:r w:rsidRPr="007C564B">
        <w:rPr>
          <w:rFonts w:ascii="Arial" w:hAnsi="Arial" w:cs="Arial"/>
          <w:i/>
          <w:iCs/>
          <w:sz w:val="22"/>
          <w:szCs w:val="22"/>
        </w:rPr>
        <w:t>6A60 Bipolar Type I Disorder: ICD-11 for Mortality and Morbidity Statistics</w:t>
      </w:r>
      <w:r w:rsidRPr="007C564B">
        <w:rPr>
          <w:rFonts w:ascii="Arial" w:hAnsi="Arial" w:cs="Arial"/>
          <w:sz w:val="22"/>
          <w:szCs w:val="22"/>
        </w:rPr>
        <w:t>. Geneva: World Health Organization.</w:t>
      </w:r>
      <w:r w:rsidRPr="007C564B">
        <w:rPr>
          <w:rFonts w:ascii="Arial" w:hAnsi="Arial" w:cs="Arial"/>
          <w:sz w:val="22"/>
          <w:szCs w:val="22"/>
        </w:rPr>
        <w:br/>
        <w:t xml:space="preserve">Available at: </w:t>
      </w:r>
      <w:hyperlink r:id="rId14" w:anchor="/http://id.who.int/icd/entity/334423054" w:history="1">
        <w:r w:rsidRPr="007C564B">
          <w:rPr>
            <w:rStyle w:val="Hyperlink"/>
            <w:rFonts w:ascii="Arial" w:hAnsi="Arial" w:cs="Arial"/>
            <w:sz w:val="22"/>
            <w:szCs w:val="22"/>
          </w:rPr>
          <w:t>https://icd.who.int/browse11/l-m/en#/http://id.who.int/icd/entity/334423054</w:t>
        </w:r>
      </w:hyperlink>
      <w:r w:rsidRPr="007C564B">
        <w:rPr>
          <w:rFonts w:ascii="Arial" w:hAnsi="Arial" w:cs="Arial"/>
          <w:sz w:val="22"/>
          <w:szCs w:val="22"/>
        </w:rPr>
        <w:br/>
        <w:t>(Accessed: 22 November 2025).</w:t>
      </w:r>
    </w:p>
    <w:p w14:paraId="4B91FE63" w14:textId="77777777" w:rsidR="00E50208" w:rsidRPr="007C564B" w:rsidRDefault="00E50208" w:rsidP="007C564B">
      <w:pPr>
        <w:spacing w:line="360" w:lineRule="auto"/>
        <w:rPr>
          <w:rFonts w:ascii="Arial" w:hAnsi="Arial" w:cs="Arial"/>
          <w:sz w:val="22"/>
          <w:szCs w:val="22"/>
        </w:rPr>
      </w:pPr>
      <w:r w:rsidRPr="007C564B">
        <w:rPr>
          <w:rFonts w:ascii="Arial" w:hAnsi="Arial" w:cs="Arial"/>
          <w:sz w:val="22"/>
          <w:szCs w:val="22"/>
        </w:rPr>
        <w:t xml:space="preserve">Jauhar, S. and Young, A.H. (2021) ‘The choice of antipsychotics in bipolar disorder: Balancing risks and benefits’, </w:t>
      </w:r>
      <w:r w:rsidRPr="007C564B">
        <w:rPr>
          <w:rFonts w:ascii="Arial" w:hAnsi="Arial" w:cs="Arial"/>
          <w:i/>
          <w:iCs/>
          <w:sz w:val="22"/>
          <w:szCs w:val="22"/>
        </w:rPr>
        <w:t>CNS Drugs</w:t>
      </w:r>
      <w:r w:rsidRPr="007C564B">
        <w:rPr>
          <w:rFonts w:ascii="Arial" w:hAnsi="Arial" w:cs="Arial"/>
          <w:sz w:val="22"/>
          <w:szCs w:val="22"/>
        </w:rPr>
        <w:t>, 35(1), pp. 1–14.</w:t>
      </w:r>
      <w:r w:rsidRPr="007C564B">
        <w:rPr>
          <w:rFonts w:ascii="Arial" w:hAnsi="Arial" w:cs="Arial"/>
          <w:sz w:val="22"/>
          <w:szCs w:val="22"/>
        </w:rPr>
        <w:br/>
        <w:t xml:space="preserve">Available at: </w:t>
      </w:r>
      <w:hyperlink r:id="rId15" w:history="1">
        <w:r w:rsidRPr="007C564B">
          <w:rPr>
            <w:rStyle w:val="Hyperlink"/>
            <w:rFonts w:ascii="Arial" w:hAnsi="Arial" w:cs="Arial"/>
            <w:sz w:val="22"/>
            <w:szCs w:val="22"/>
          </w:rPr>
          <w:t>https://doi.org/10.1007/s40263-020-00773-9</w:t>
        </w:r>
      </w:hyperlink>
      <w:r w:rsidRPr="007C564B">
        <w:rPr>
          <w:rFonts w:ascii="Arial" w:hAnsi="Arial" w:cs="Arial"/>
          <w:sz w:val="22"/>
          <w:szCs w:val="22"/>
        </w:rPr>
        <w:br/>
        <w:t>(Accessed: 23 November 2025).</w:t>
      </w:r>
    </w:p>
    <w:p w14:paraId="3AD905B0" w14:textId="77777777" w:rsidR="00E50208" w:rsidRPr="007C564B" w:rsidRDefault="00E50208" w:rsidP="007C564B">
      <w:pPr>
        <w:spacing w:line="360" w:lineRule="auto"/>
        <w:rPr>
          <w:rFonts w:ascii="Arial" w:hAnsi="Arial" w:cs="Arial"/>
          <w:sz w:val="22"/>
          <w:szCs w:val="22"/>
        </w:rPr>
      </w:pPr>
      <w:proofErr w:type="spellStart"/>
      <w:r w:rsidRPr="007C564B">
        <w:rPr>
          <w:rFonts w:ascii="Arial" w:hAnsi="Arial" w:cs="Arial"/>
          <w:sz w:val="22"/>
          <w:szCs w:val="22"/>
        </w:rPr>
        <w:t>Miklowitz</w:t>
      </w:r>
      <w:proofErr w:type="spellEnd"/>
      <w:r w:rsidRPr="007C564B">
        <w:rPr>
          <w:rFonts w:ascii="Arial" w:hAnsi="Arial" w:cs="Arial"/>
          <w:sz w:val="22"/>
          <w:szCs w:val="22"/>
        </w:rPr>
        <w:t xml:space="preserve">, D.J. (2019) </w:t>
      </w:r>
      <w:r w:rsidRPr="007C564B">
        <w:rPr>
          <w:rFonts w:ascii="Arial" w:hAnsi="Arial" w:cs="Arial"/>
          <w:i/>
          <w:iCs/>
          <w:sz w:val="22"/>
          <w:szCs w:val="22"/>
        </w:rPr>
        <w:t>The Bipolar Disorder Survival Guide</w:t>
      </w:r>
      <w:r w:rsidRPr="007C564B">
        <w:rPr>
          <w:rFonts w:ascii="Arial" w:hAnsi="Arial" w:cs="Arial"/>
          <w:sz w:val="22"/>
          <w:szCs w:val="22"/>
        </w:rPr>
        <w:t xml:space="preserve">. 3rd </w:t>
      </w:r>
      <w:proofErr w:type="spellStart"/>
      <w:r w:rsidRPr="007C564B">
        <w:rPr>
          <w:rFonts w:ascii="Arial" w:hAnsi="Arial" w:cs="Arial"/>
          <w:sz w:val="22"/>
          <w:szCs w:val="22"/>
        </w:rPr>
        <w:t>edn</w:t>
      </w:r>
      <w:proofErr w:type="spellEnd"/>
      <w:r w:rsidRPr="007C564B">
        <w:rPr>
          <w:rFonts w:ascii="Arial" w:hAnsi="Arial" w:cs="Arial"/>
          <w:sz w:val="22"/>
          <w:szCs w:val="22"/>
        </w:rPr>
        <w:t>. New York: Guilford Press.</w:t>
      </w:r>
      <w:r w:rsidRPr="007C564B">
        <w:rPr>
          <w:rFonts w:ascii="Arial" w:hAnsi="Arial" w:cs="Arial"/>
          <w:sz w:val="22"/>
          <w:szCs w:val="22"/>
        </w:rPr>
        <w:br/>
        <w:t xml:space="preserve">Available at: </w:t>
      </w:r>
      <w:hyperlink r:id="rId16" w:history="1">
        <w:r w:rsidRPr="007C564B">
          <w:rPr>
            <w:rStyle w:val="Hyperlink"/>
            <w:rFonts w:ascii="Arial" w:hAnsi="Arial" w:cs="Arial"/>
            <w:sz w:val="22"/>
            <w:szCs w:val="22"/>
          </w:rPr>
          <w:t>https://www.guilford.com/books/The-Bipolar-Disorder-Survival-Guide/David-J-Miklowitz/9781462534988</w:t>
        </w:r>
      </w:hyperlink>
      <w:r w:rsidRPr="007C564B">
        <w:rPr>
          <w:rFonts w:ascii="Arial" w:hAnsi="Arial" w:cs="Arial"/>
          <w:sz w:val="22"/>
          <w:szCs w:val="22"/>
        </w:rPr>
        <w:br/>
        <w:t>(Accessed: 23 November 2025).</w:t>
      </w:r>
    </w:p>
    <w:p w14:paraId="32BC1618" w14:textId="77777777" w:rsidR="00E50208" w:rsidRPr="007C564B" w:rsidRDefault="00E50208" w:rsidP="007C564B">
      <w:pPr>
        <w:spacing w:line="360" w:lineRule="auto"/>
        <w:rPr>
          <w:rFonts w:ascii="Arial" w:hAnsi="Arial" w:cs="Arial"/>
          <w:sz w:val="22"/>
          <w:szCs w:val="22"/>
        </w:rPr>
      </w:pPr>
      <w:proofErr w:type="spellStart"/>
      <w:r w:rsidRPr="007C564B">
        <w:rPr>
          <w:rFonts w:ascii="Arial" w:hAnsi="Arial" w:cs="Arial"/>
          <w:sz w:val="22"/>
          <w:szCs w:val="22"/>
        </w:rPr>
        <w:t>Miklowitz</w:t>
      </w:r>
      <w:proofErr w:type="spellEnd"/>
      <w:r w:rsidRPr="007C564B">
        <w:rPr>
          <w:rFonts w:ascii="Arial" w:hAnsi="Arial" w:cs="Arial"/>
          <w:sz w:val="22"/>
          <w:szCs w:val="22"/>
        </w:rPr>
        <w:t xml:space="preserve">, D.J. and Chung, B. (2016) ‘Family-focused therapy for bipolar disorder: Reflections on 30 years of research’, </w:t>
      </w:r>
      <w:r w:rsidRPr="007C564B">
        <w:rPr>
          <w:rFonts w:ascii="Arial" w:hAnsi="Arial" w:cs="Arial"/>
          <w:i/>
          <w:iCs/>
          <w:sz w:val="22"/>
          <w:szCs w:val="22"/>
        </w:rPr>
        <w:t>Family Process</w:t>
      </w:r>
      <w:r w:rsidRPr="007C564B">
        <w:rPr>
          <w:rFonts w:ascii="Arial" w:hAnsi="Arial" w:cs="Arial"/>
          <w:sz w:val="22"/>
          <w:szCs w:val="22"/>
        </w:rPr>
        <w:t>, 55(3), pp. 483–499.</w:t>
      </w:r>
    </w:p>
    <w:p w14:paraId="74A8526F" w14:textId="77777777" w:rsidR="00E50208" w:rsidRPr="007C564B" w:rsidRDefault="00E50208" w:rsidP="007C564B">
      <w:pPr>
        <w:spacing w:line="360" w:lineRule="auto"/>
        <w:rPr>
          <w:rFonts w:ascii="Arial" w:hAnsi="Arial" w:cs="Arial"/>
          <w:sz w:val="22"/>
          <w:szCs w:val="22"/>
        </w:rPr>
      </w:pPr>
      <w:proofErr w:type="spellStart"/>
      <w:r w:rsidRPr="007C564B">
        <w:rPr>
          <w:rFonts w:ascii="Arial" w:hAnsi="Arial" w:cs="Arial"/>
          <w:sz w:val="22"/>
          <w:szCs w:val="22"/>
        </w:rPr>
        <w:t>Miklowitz</w:t>
      </w:r>
      <w:proofErr w:type="spellEnd"/>
      <w:r w:rsidRPr="007C564B">
        <w:rPr>
          <w:rFonts w:ascii="Arial" w:hAnsi="Arial" w:cs="Arial"/>
          <w:sz w:val="22"/>
          <w:szCs w:val="22"/>
        </w:rPr>
        <w:t xml:space="preserve">, D.J. and Scott, J. (2020) </w:t>
      </w:r>
      <w:r w:rsidRPr="007C564B">
        <w:rPr>
          <w:rFonts w:ascii="Arial" w:hAnsi="Arial" w:cs="Arial"/>
          <w:i/>
          <w:iCs/>
          <w:sz w:val="22"/>
          <w:szCs w:val="22"/>
        </w:rPr>
        <w:t>Treatment of bipolar disorder: Integrating pharmacotherapy and psychosocial approaches</w:t>
      </w:r>
      <w:r w:rsidRPr="007C564B">
        <w:rPr>
          <w:rFonts w:ascii="Arial" w:hAnsi="Arial" w:cs="Arial"/>
          <w:sz w:val="22"/>
          <w:szCs w:val="22"/>
        </w:rPr>
        <w:t xml:space="preserve">. 3rd </w:t>
      </w:r>
      <w:proofErr w:type="spellStart"/>
      <w:r w:rsidRPr="007C564B">
        <w:rPr>
          <w:rFonts w:ascii="Arial" w:hAnsi="Arial" w:cs="Arial"/>
          <w:sz w:val="22"/>
          <w:szCs w:val="22"/>
        </w:rPr>
        <w:t>edn</w:t>
      </w:r>
      <w:proofErr w:type="spellEnd"/>
      <w:r w:rsidRPr="007C564B">
        <w:rPr>
          <w:rFonts w:ascii="Arial" w:hAnsi="Arial" w:cs="Arial"/>
          <w:sz w:val="22"/>
          <w:szCs w:val="22"/>
        </w:rPr>
        <w:t>. New York: Guilford Press.</w:t>
      </w:r>
    </w:p>
    <w:p w14:paraId="786F639B" w14:textId="77777777" w:rsidR="00E50208" w:rsidRPr="007C564B" w:rsidRDefault="00E50208" w:rsidP="007C564B">
      <w:pPr>
        <w:spacing w:line="360" w:lineRule="auto"/>
        <w:rPr>
          <w:rFonts w:ascii="Arial" w:hAnsi="Arial" w:cs="Arial"/>
          <w:sz w:val="22"/>
          <w:szCs w:val="22"/>
        </w:rPr>
      </w:pPr>
      <w:proofErr w:type="spellStart"/>
      <w:r w:rsidRPr="007C564B">
        <w:rPr>
          <w:rFonts w:ascii="Arial" w:hAnsi="Arial" w:cs="Arial"/>
          <w:sz w:val="22"/>
          <w:szCs w:val="22"/>
        </w:rPr>
        <w:t>Pacchiarotti</w:t>
      </w:r>
      <w:proofErr w:type="spellEnd"/>
      <w:r w:rsidRPr="007C564B">
        <w:rPr>
          <w:rFonts w:ascii="Arial" w:hAnsi="Arial" w:cs="Arial"/>
          <w:sz w:val="22"/>
          <w:szCs w:val="22"/>
        </w:rPr>
        <w:t xml:space="preserve">, I. et al. (2013) ‘The International Society for Bipolar Disorders (ISBD) task force report on antidepressant use in bipolar disorders’, </w:t>
      </w:r>
      <w:r w:rsidRPr="007C564B">
        <w:rPr>
          <w:rFonts w:ascii="Arial" w:hAnsi="Arial" w:cs="Arial"/>
          <w:i/>
          <w:iCs/>
          <w:sz w:val="22"/>
          <w:szCs w:val="22"/>
        </w:rPr>
        <w:t>American Journal of Psychiatry</w:t>
      </w:r>
      <w:r w:rsidRPr="007C564B">
        <w:rPr>
          <w:rFonts w:ascii="Arial" w:hAnsi="Arial" w:cs="Arial"/>
          <w:sz w:val="22"/>
          <w:szCs w:val="22"/>
        </w:rPr>
        <w:t>, 170(11), pp. 1249–1262.</w:t>
      </w:r>
    </w:p>
    <w:p w14:paraId="644D381A" w14:textId="77777777" w:rsidR="00E50208" w:rsidRPr="007C564B" w:rsidRDefault="00E50208" w:rsidP="007C564B">
      <w:pPr>
        <w:spacing w:line="360" w:lineRule="auto"/>
        <w:rPr>
          <w:rFonts w:ascii="Arial" w:hAnsi="Arial" w:cs="Arial"/>
          <w:sz w:val="22"/>
          <w:szCs w:val="22"/>
        </w:rPr>
      </w:pPr>
      <w:r w:rsidRPr="007C564B">
        <w:rPr>
          <w:rFonts w:ascii="Arial" w:hAnsi="Arial" w:cs="Arial"/>
          <w:sz w:val="22"/>
          <w:szCs w:val="22"/>
        </w:rPr>
        <w:t xml:space="preserve">Parker, G. (2012) </w:t>
      </w:r>
      <w:r w:rsidRPr="007C564B">
        <w:rPr>
          <w:rFonts w:ascii="Arial" w:hAnsi="Arial" w:cs="Arial"/>
          <w:i/>
          <w:iCs/>
          <w:sz w:val="22"/>
          <w:szCs w:val="22"/>
        </w:rPr>
        <w:t xml:space="preserve">Bipolar II disorder: Modelling, </w:t>
      </w:r>
      <w:proofErr w:type="gramStart"/>
      <w:r w:rsidRPr="007C564B">
        <w:rPr>
          <w:rFonts w:ascii="Arial" w:hAnsi="Arial" w:cs="Arial"/>
          <w:i/>
          <w:iCs/>
          <w:sz w:val="22"/>
          <w:szCs w:val="22"/>
        </w:rPr>
        <w:t>measuring</w:t>
      </w:r>
      <w:proofErr w:type="gramEnd"/>
      <w:r w:rsidRPr="007C564B">
        <w:rPr>
          <w:rFonts w:ascii="Arial" w:hAnsi="Arial" w:cs="Arial"/>
          <w:i/>
          <w:iCs/>
          <w:sz w:val="22"/>
          <w:szCs w:val="22"/>
        </w:rPr>
        <w:t xml:space="preserve"> and managing</w:t>
      </w:r>
      <w:r w:rsidRPr="007C564B">
        <w:rPr>
          <w:rFonts w:ascii="Arial" w:hAnsi="Arial" w:cs="Arial"/>
          <w:sz w:val="22"/>
          <w:szCs w:val="22"/>
        </w:rPr>
        <w:t>. Cambridge: Cambridge University Press.</w:t>
      </w:r>
    </w:p>
    <w:p w14:paraId="016E34F6" w14:textId="77777777" w:rsidR="00E50208" w:rsidRPr="007C564B" w:rsidRDefault="00E50208" w:rsidP="007C564B">
      <w:pPr>
        <w:spacing w:line="360" w:lineRule="auto"/>
        <w:rPr>
          <w:rFonts w:ascii="Arial" w:hAnsi="Arial" w:cs="Arial"/>
          <w:sz w:val="22"/>
          <w:szCs w:val="22"/>
        </w:rPr>
      </w:pPr>
      <w:r w:rsidRPr="007C564B">
        <w:rPr>
          <w:rFonts w:ascii="Arial" w:hAnsi="Arial" w:cs="Arial"/>
          <w:sz w:val="22"/>
          <w:szCs w:val="22"/>
        </w:rPr>
        <w:t xml:space="preserve">Singh, I. (2013) ‘Normality, psychiatric diagnosis and childhood’, </w:t>
      </w:r>
      <w:r w:rsidRPr="007C564B">
        <w:rPr>
          <w:rFonts w:ascii="Arial" w:hAnsi="Arial" w:cs="Arial"/>
          <w:i/>
          <w:iCs/>
          <w:sz w:val="22"/>
          <w:szCs w:val="22"/>
        </w:rPr>
        <w:t>Anthropology &amp; Medicine</w:t>
      </w:r>
      <w:r w:rsidRPr="007C564B">
        <w:rPr>
          <w:rFonts w:ascii="Arial" w:hAnsi="Arial" w:cs="Arial"/>
          <w:sz w:val="22"/>
          <w:szCs w:val="22"/>
        </w:rPr>
        <w:t>, 20(3), pp. 290–299.</w:t>
      </w:r>
    </w:p>
    <w:p w14:paraId="7BF269FA" w14:textId="77777777" w:rsidR="00E50208" w:rsidRPr="007C564B" w:rsidRDefault="00E50208" w:rsidP="007C564B">
      <w:pPr>
        <w:spacing w:line="360" w:lineRule="auto"/>
        <w:rPr>
          <w:rFonts w:ascii="Arial" w:hAnsi="Arial" w:cs="Arial"/>
          <w:sz w:val="22"/>
          <w:szCs w:val="22"/>
        </w:rPr>
      </w:pPr>
      <w:r w:rsidRPr="007C564B">
        <w:rPr>
          <w:rFonts w:ascii="Arial" w:hAnsi="Arial" w:cs="Arial"/>
          <w:sz w:val="22"/>
          <w:szCs w:val="22"/>
        </w:rPr>
        <w:t xml:space="preserve">Skirrow, C., Hosking, J., McLoughlin, G. and </w:t>
      </w:r>
      <w:proofErr w:type="spellStart"/>
      <w:r w:rsidRPr="007C564B">
        <w:rPr>
          <w:rFonts w:ascii="Arial" w:hAnsi="Arial" w:cs="Arial"/>
          <w:sz w:val="22"/>
          <w:szCs w:val="22"/>
        </w:rPr>
        <w:t>Kuntsi</w:t>
      </w:r>
      <w:proofErr w:type="spellEnd"/>
      <w:r w:rsidRPr="007C564B">
        <w:rPr>
          <w:rFonts w:ascii="Arial" w:hAnsi="Arial" w:cs="Arial"/>
          <w:sz w:val="22"/>
          <w:szCs w:val="22"/>
        </w:rPr>
        <w:t xml:space="preserve">, J. (2022) ‘The role of emotional dysregulation in ADHD: A systematic review’, </w:t>
      </w:r>
      <w:r w:rsidRPr="007C564B">
        <w:rPr>
          <w:rFonts w:ascii="Arial" w:hAnsi="Arial" w:cs="Arial"/>
          <w:i/>
          <w:iCs/>
          <w:sz w:val="22"/>
          <w:szCs w:val="22"/>
        </w:rPr>
        <w:t xml:space="preserve">Neuroscience &amp; </w:t>
      </w:r>
      <w:proofErr w:type="spellStart"/>
      <w:r w:rsidRPr="007C564B">
        <w:rPr>
          <w:rFonts w:ascii="Arial" w:hAnsi="Arial" w:cs="Arial"/>
          <w:i/>
          <w:iCs/>
          <w:sz w:val="22"/>
          <w:szCs w:val="22"/>
        </w:rPr>
        <w:t>Biobehavioral</w:t>
      </w:r>
      <w:proofErr w:type="spellEnd"/>
      <w:r w:rsidRPr="007C564B">
        <w:rPr>
          <w:rFonts w:ascii="Arial" w:hAnsi="Arial" w:cs="Arial"/>
          <w:i/>
          <w:iCs/>
          <w:sz w:val="22"/>
          <w:szCs w:val="22"/>
        </w:rPr>
        <w:t xml:space="preserve"> Reviews</w:t>
      </w:r>
      <w:r w:rsidRPr="007C564B">
        <w:rPr>
          <w:rFonts w:ascii="Arial" w:hAnsi="Arial" w:cs="Arial"/>
          <w:sz w:val="22"/>
          <w:szCs w:val="22"/>
        </w:rPr>
        <w:t>, 137, 104643.</w:t>
      </w:r>
    </w:p>
    <w:p w14:paraId="1DD886E5" w14:textId="77777777" w:rsidR="00E50208" w:rsidRPr="007C564B" w:rsidRDefault="00E50208" w:rsidP="007C564B">
      <w:pPr>
        <w:spacing w:line="360" w:lineRule="auto"/>
        <w:rPr>
          <w:rFonts w:ascii="Arial" w:hAnsi="Arial" w:cs="Arial"/>
          <w:sz w:val="22"/>
          <w:szCs w:val="22"/>
        </w:rPr>
      </w:pPr>
      <w:r w:rsidRPr="007C564B">
        <w:rPr>
          <w:rFonts w:ascii="Arial" w:hAnsi="Arial" w:cs="Arial"/>
          <w:sz w:val="22"/>
          <w:szCs w:val="22"/>
        </w:rPr>
        <w:lastRenderedPageBreak/>
        <w:t xml:space="preserve">Smoller, J.W. and Finn, C.T. (2003) ‘Family, twin, and adoption studies of bipolar disorder’, </w:t>
      </w:r>
      <w:r w:rsidRPr="007C564B">
        <w:rPr>
          <w:rFonts w:ascii="Arial" w:hAnsi="Arial" w:cs="Arial"/>
          <w:i/>
          <w:iCs/>
          <w:sz w:val="22"/>
          <w:szCs w:val="22"/>
        </w:rPr>
        <w:t>American Journal of Medical Genetics Part C: Seminars in Medical Genetics</w:t>
      </w:r>
      <w:r w:rsidRPr="007C564B">
        <w:rPr>
          <w:rFonts w:ascii="Arial" w:hAnsi="Arial" w:cs="Arial"/>
          <w:sz w:val="22"/>
          <w:szCs w:val="22"/>
        </w:rPr>
        <w:t>, 123</w:t>
      </w:r>
      <w:proofErr w:type="gramStart"/>
      <w:r w:rsidRPr="007C564B">
        <w:rPr>
          <w:rFonts w:ascii="Arial" w:hAnsi="Arial" w:cs="Arial"/>
          <w:sz w:val="22"/>
          <w:szCs w:val="22"/>
        </w:rPr>
        <w:t>C(</w:t>
      </w:r>
      <w:proofErr w:type="gramEnd"/>
      <w:r w:rsidRPr="007C564B">
        <w:rPr>
          <w:rFonts w:ascii="Arial" w:hAnsi="Arial" w:cs="Arial"/>
          <w:sz w:val="22"/>
          <w:szCs w:val="22"/>
        </w:rPr>
        <w:t>1), pp. 48–58.</w:t>
      </w:r>
    </w:p>
    <w:p w14:paraId="16BBD3F0" w14:textId="77777777" w:rsidR="00E50208" w:rsidRPr="007C564B" w:rsidRDefault="00E50208" w:rsidP="007C564B">
      <w:pPr>
        <w:spacing w:line="360" w:lineRule="auto"/>
        <w:rPr>
          <w:rFonts w:ascii="Arial" w:hAnsi="Arial" w:cs="Arial"/>
          <w:sz w:val="22"/>
          <w:szCs w:val="22"/>
        </w:rPr>
      </w:pPr>
      <w:r w:rsidRPr="007C564B">
        <w:rPr>
          <w:rFonts w:ascii="Arial" w:hAnsi="Arial" w:cs="Arial"/>
          <w:sz w:val="22"/>
          <w:szCs w:val="22"/>
        </w:rPr>
        <w:t xml:space="preserve">Van Meter, A.R. et al. (2019) ‘The bipolar spectrum: A review of diagnostic challenges and future directions’, </w:t>
      </w:r>
      <w:proofErr w:type="gramStart"/>
      <w:r w:rsidRPr="007C564B">
        <w:rPr>
          <w:rFonts w:ascii="Arial" w:hAnsi="Arial" w:cs="Arial"/>
          <w:i/>
          <w:iCs/>
          <w:sz w:val="22"/>
          <w:szCs w:val="22"/>
        </w:rPr>
        <w:t>Bipolar Disorders</w:t>
      </w:r>
      <w:proofErr w:type="gramEnd"/>
      <w:r w:rsidRPr="007C564B">
        <w:rPr>
          <w:rFonts w:ascii="Arial" w:hAnsi="Arial" w:cs="Arial"/>
          <w:sz w:val="22"/>
          <w:szCs w:val="22"/>
        </w:rPr>
        <w:t>, 21(2), pp. 121–133.</w:t>
      </w:r>
    </w:p>
    <w:p w14:paraId="3EBE625F" w14:textId="77777777" w:rsidR="00E50208" w:rsidRPr="007C564B" w:rsidRDefault="00E50208" w:rsidP="007C564B">
      <w:pPr>
        <w:spacing w:line="360" w:lineRule="auto"/>
        <w:rPr>
          <w:rFonts w:ascii="Arial" w:hAnsi="Arial" w:cs="Arial"/>
          <w:sz w:val="22"/>
          <w:szCs w:val="22"/>
        </w:rPr>
      </w:pPr>
      <w:r w:rsidRPr="007C564B">
        <w:rPr>
          <w:rFonts w:ascii="Arial" w:hAnsi="Arial" w:cs="Arial"/>
          <w:sz w:val="22"/>
          <w:szCs w:val="22"/>
        </w:rPr>
        <w:t xml:space="preserve">van </w:t>
      </w:r>
      <w:proofErr w:type="spellStart"/>
      <w:r w:rsidRPr="007C564B">
        <w:rPr>
          <w:rFonts w:ascii="Arial" w:hAnsi="Arial" w:cs="Arial"/>
          <w:sz w:val="22"/>
          <w:szCs w:val="22"/>
        </w:rPr>
        <w:t>Os</w:t>
      </w:r>
      <w:proofErr w:type="spellEnd"/>
      <w:r w:rsidRPr="007C564B">
        <w:rPr>
          <w:rFonts w:ascii="Arial" w:hAnsi="Arial" w:cs="Arial"/>
          <w:sz w:val="22"/>
          <w:szCs w:val="22"/>
        </w:rPr>
        <w:t xml:space="preserve">, J. and </w:t>
      </w:r>
      <w:proofErr w:type="spellStart"/>
      <w:r w:rsidRPr="007C564B">
        <w:rPr>
          <w:rFonts w:ascii="Arial" w:hAnsi="Arial" w:cs="Arial"/>
          <w:sz w:val="22"/>
          <w:szCs w:val="22"/>
        </w:rPr>
        <w:t>Guloksuz</w:t>
      </w:r>
      <w:proofErr w:type="spellEnd"/>
      <w:r w:rsidRPr="007C564B">
        <w:rPr>
          <w:rFonts w:ascii="Arial" w:hAnsi="Arial" w:cs="Arial"/>
          <w:sz w:val="22"/>
          <w:szCs w:val="22"/>
        </w:rPr>
        <w:t xml:space="preserve">, S. (2017) ‘A critique of the “ultra-high risk” and “transition” paradigm’, </w:t>
      </w:r>
      <w:r w:rsidRPr="007C564B">
        <w:rPr>
          <w:rFonts w:ascii="Arial" w:hAnsi="Arial" w:cs="Arial"/>
          <w:i/>
          <w:iCs/>
          <w:sz w:val="22"/>
          <w:szCs w:val="22"/>
        </w:rPr>
        <w:t>World Psychiatry</w:t>
      </w:r>
      <w:r w:rsidRPr="007C564B">
        <w:rPr>
          <w:rFonts w:ascii="Arial" w:hAnsi="Arial" w:cs="Arial"/>
          <w:sz w:val="22"/>
          <w:szCs w:val="22"/>
        </w:rPr>
        <w:t>, 16(2), pp. 200–206.</w:t>
      </w:r>
    </w:p>
    <w:p w14:paraId="28D0BB97" w14:textId="77777777" w:rsidR="00E50208" w:rsidRPr="007C564B" w:rsidRDefault="00E50208" w:rsidP="007C564B">
      <w:pPr>
        <w:spacing w:line="360" w:lineRule="auto"/>
        <w:rPr>
          <w:rFonts w:ascii="Arial" w:hAnsi="Arial" w:cs="Arial"/>
          <w:sz w:val="22"/>
          <w:szCs w:val="22"/>
        </w:rPr>
      </w:pPr>
    </w:p>
    <w:p w14:paraId="07786E37" w14:textId="77777777" w:rsidR="000264A1" w:rsidRPr="007C564B" w:rsidRDefault="000264A1" w:rsidP="007C564B">
      <w:pPr>
        <w:pStyle w:val="NormalWeb"/>
        <w:spacing w:line="360" w:lineRule="auto"/>
        <w:rPr>
          <w:rFonts w:ascii="Arial" w:hAnsi="Arial" w:cs="Arial"/>
          <w:sz w:val="22"/>
          <w:szCs w:val="22"/>
        </w:rPr>
      </w:pPr>
    </w:p>
    <w:sectPr w:rsidR="000264A1" w:rsidRPr="007C564B">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7B2DA" w14:textId="77777777" w:rsidR="00141D67" w:rsidRDefault="00141D67" w:rsidP="000264A1">
      <w:pPr>
        <w:spacing w:after="0" w:line="240" w:lineRule="auto"/>
      </w:pPr>
      <w:r>
        <w:separator/>
      </w:r>
    </w:p>
  </w:endnote>
  <w:endnote w:type="continuationSeparator" w:id="0">
    <w:p w14:paraId="4444A38F" w14:textId="77777777" w:rsidR="00141D67" w:rsidRDefault="00141D67"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F8456" w14:textId="77777777" w:rsidR="00141D67" w:rsidRDefault="00141D67" w:rsidP="000264A1">
      <w:pPr>
        <w:spacing w:after="0" w:line="240" w:lineRule="auto"/>
      </w:pPr>
      <w:r>
        <w:separator/>
      </w:r>
    </w:p>
  </w:footnote>
  <w:footnote w:type="continuationSeparator" w:id="0">
    <w:p w14:paraId="1997B10D" w14:textId="77777777" w:rsidR="00141D67" w:rsidRDefault="00141D67"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E2AD4"/>
    <w:multiLevelType w:val="hybridMultilevel"/>
    <w:tmpl w:val="8FA42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90A43"/>
    <w:multiLevelType w:val="hybridMultilevel"/>
    <w:tmpl w:val="CEB0D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607661"/>
    <w:multiLevelType w:val="hybridMultilevel"/>
    <w:tmpl w:val="95685576"/>
    <w:lvl w:ilvl="0" w:tplc="08090001">
      <w:start w:val="1"/>
      <w:numFmt w:val="bullet"/>
      <w:lvlText w:val=""/>
      <w:lvlJc w:val="left"/>
      <w:pPr>
        <w:ind w:left="720" w:hanging="360"/>
      </w:pPr>
      <w:rPr>
        <w:rFonts w:ascii="Symbol" w:hAnsi="Symbol" w:hint="default"/>
      </w:rPr>
    </w:lvl>
    <w:lvl w:ilvl="1" w:tplc="1A189124">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D954C0"/>
    <w:multiLevelType w:val="hybridMultilevel"/>
    <w:tmpl w:val="42C6F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6D420D"/>
    <w:multiLevelType w:val="hybridMultilevel"/>
    <w:tmpl w:val="60F61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2B6B48"/>
    <w:multiLevelType w:val="hybridMultilevel"/>
    <w:tmpl w:val="958EF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E1793E"/>
    <w:multiLevelType w:val="hybridMultilevel"/>
    <w:tmpl w:val="B792F2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2031B0"/>
    <w:multiLevelType w:val="hybridMultilevel"/>
    <w:tmpl w:val="6A3E5B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6108612">
    <w:abstractNumId w:val="0"/>
  </w:num>
  <w:num w:numId="2" w16cid:durableId="357894908">
    <w:abstractNumId w:val="1"/>
  </w:num>
  <w:num w:numId="3" w16cid:durableId="675498200">
    <w:abstractNumId w:val="7"/>
  </w:num>
  <w:num w:numId="4" w16cid:durableId="571084897">
    <w:abstractNumId w:val="3"/>
  </w:num>
  <w:num w:numId="5" w16cid:durableId="1282834042">
    <w:abstractNumId w:val="6"/>
  </w:num>
  <w:num w:numId="6" w16cid:durableId="1207061460">
    <w:abstractNumId w:val="5"/>
  </w:num>
  <w:num w:numId="7" w16cid:durableId="1939093389">
    <w:abstractNumId w:val="4"/>
  </w:num>
  <w:num w:numId="8" w16cid:durableId="15712354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264A1"/>
    <w:rsid w:val="00060FB4"/>
    <w:rsid w:val="000E4D16"/>
    <w:rsid w:val="00141D67"/>
    <w:rsid w:val="00280678"/>
    <w:rsid w:val="004355CB"/>
    <w:rsid w:val="00450F6E"/>
    <w:rsid w:val="00504494"/>
    <w:rsid w:val="00556503"/>
    <w:rsid w:val="005B61A4"/>
    <w:rsid w:val="006229AA"/>
    <w:rsid w:val="00637171"/>
    <w:rsid w:val="006B0C28"/>
    <w:rsid w:val="00722ABC"/>
    <w:rsid w:val="007C564B"/>
    <w:rsid w:val="00843325"/>
    <w:rsid w:val="008A6D32"/>
    <w:rsid w:val="009639D0"/>
    <w:rsid w:val="00D75C6A"/>
    <w:rsid w:val="00D821F5"/>
    <w:rsid w:val="00E50208"/>
    <w:rsid w:val="00E705CD"/>
    <w:rsid w:val="00F76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Hyperlink">
    <w:name w:val="Hyperlink"/>
    <w:basedOn w:val="DefaultParagraphFont"/>
    <w:uiPriority w:val="99"/>
    <w:unhideWhenUsed/>
    <w:rsid w:val="00F76ABA"/>
    <w:rPr>
      <w:color w:val="467886" w:themeColor="hyperlink"/>
      <w:u w:val="single"/>
    </w:rPr>
  </w:style>
  <w:style w:type="character" w:styleId="UnresolvedMention">
    <w:name w:val="Unresolved Mention"/>
    <w:basedOn w:val="DefaultParagraphFont"/>
    <w:uiPriority w:val="99"/>
    <w:semiHidden/>
    <w:unhideWhenUsed/>
    <w:rsid w:val="00F76ABA"/>
    <w:rPr>
      <w:color w:val="605E5C"/>
      <w:shd w:val="clear" w:color="auto" w:fill="E1DFDD"/>
    </w:rPr>
  </w:style>
  <w:style w:type="paragraph" w:styleId="TOCHeading">
    <w:name w:val="TOC Heading"/>
    <w:basedOn w:val="Heading1"/>
    <w:next w:val="Normal"/>
    <w:uiPriority w:val="39"/>
    <w:unhideWhenUsed/>
    <w:qFormat/>
    <w:rsid w:val="0028067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80678"/>
    <w:pPr>
      <w:spacing w:after="100"/>
    </w:pPr>
  </w:style>
  <w:style w:type="paragraph" w:styleId="TOC2">
    <w:name w:val="toc 2"/>
    <w:basedOn w:val="Normal"/>
    <w:next w:val="Normal"/>
    <w:autoRedefine/>
    <w:uiPriority w:val="39"/>
    <w:unhideWhenUsed/>
    <w:rsid w:val="0028067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 w:id="842744700">
      <w:bodyDiv w:val="1"/>
      <w:marLeft w:val="0"/>
      <w:marRight w:val="0"/>
      <w:marTop w:val="0"/>
      <w:marBottom w:val="0"/>
      <w:divBdr>
        <w:top w:val="none" w:sz="0" w:space="0" w:color="auto"/>
        <w:left w:val="none" w:sz="0" w:space="0" w:color="auto"/>
        <w:bottom w:val="none" w:sz="0" w:space="0" w:color="auto"/>
        <w:right w:val="none" w:sz="0" w:space="0" w:color="auto"/>
      </w:divBdr>
    </w:div>
    <w:div w:id="205183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16/S0140-6736(15)00241-X"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92/bjp.bp.115.17755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uilford.com/books/The-Bipolar-Disorder-Survival-Guide/David-J-Miklowitz/978146253498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6/appi.ajp.161.9.1631" TargetMode="External"/><Relationship Id="rId5" Type="http://schemas.openxmlformats.org/officeDocument/2006/relationships/webSettings" Target="webSettings.xml"/><Relationship Id="rId15" Type="http://schemas.openxmlformats.org/officeDocument/2006/relationships/hyperlink" Target="https://doi.org/10.1007/s40263-020-00773-9" TargetMode="External"/><Relationship Id="rId10" Type="http://schemas.openxmlformats.org/officeDocument/2006/relationships/hyperlink" Target="https://doi.org/10.1136/bmj.f364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6/appi.books.9780890425596" TargetMode="External"/><Relationship Id="rId14" Type="http://schemas.openxmlformats.org/officeDocument/2006/relationships/hyperlink" Target="https://icd.who.int/browse11/l-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BDC0D-C03F-45FB-805C-BF7169458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3614</Words>
  <Characters>20604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Larry Osei Kofi (2308809)</cp:lastModifiedBy>
  <cp:revision>2</cp:revision>
  <dcterms:created xsi:type="dcterms:W3CDTF">2025-11-29T01:43:00Z</dcterms:created>
  <dcterms:modified xsi:type="dcterms:W3CDTF">2025-11-29T01:43:00Z</dcterms:modified>
</cp:coreProperties>
</file>