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center"/>
        <w:rPr>
          <w:rFonts w:ascii="Times New Roman" w:hAnsi="Times New Roman"/>
          <w:sz w:val="18"/>
          <w:szCs w:val="18"/>
          <w:u w:color="000000"/>
          <w:rtl w:val="0"/>
          <w:lang w:val="en-US"/>
        </w:rPr>
      </w:pPr>
      <w:r>
        <w:rPr>
          <w:rFonts w:ascii="Times New Roman" w:hAnsi="Times New Roman"/>
          <w:sz w:val="18"/>
          <w:szCs w:val="18"/>
          <w:u w:color="000000"/>
          <w:rtl w:val="0"/>
          <w:lang w:val="en-US"/>
        </w:rPr>
        <w:drawing xmlns:a="http://schemas.openxmlformats.org/drawingml/2006/main">
          <wp:inline distT="0" distB="0" distL="0" distR="0">
            <wp:extent cx="2242763" cy="894081"/>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4">
                      <a:extLst/>
                    </a:blip>
                    <a:stretch>
                      <a:fillRect/>
                    </a:stretch>
                  </pic:blipFill>
                  <pic:spPr>
                    <a:xfrm>
                      <a:off x="0" y="0"/>
                      <a:ext cx="2242763" cy="894081"/>
                    </a:xfrm>
                    <a:prstGeom prst="rect">
                      <a:avLst/>
                    </a:prstGeom>
                    <a:ln w="12700" cap="flat">
                      <a:noFill/>
                      <a:miter lim="400000"/>
                    </a:ln>
                    <a:effectLst/>
                  </pic:spPr>
                </pic:pic>
              </a:graphicData>
            </a:graphic>
          </wp:inline>
        </w:drawing>
      </w:r>
    </w:p>
    <w:p>
      <w:pPr>
        <w:pStyle w:val="Body"/>
        <w:bidi w:val="0"/>
        <w:ind w:left="0" w:right="0" w:firstLine="0"/>
        <w:jc w:val="center"/>
        <w:rPr>
          <w:rFonts w:ascii="Arial" w:hAnsi="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Fonts w:ascii="Arial" w:hAnsi="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Fonts w:ascii="Arial" w:cs="Arial" w:hAnsi="Arial" w:eastAsia="Arial"/>
          <w:b w:val="1"/>
          <w:bCs w:val="1"/>
          <w:outline w:val="0"/>
          <w:color w:val="000000"/>
          <w:sz w:val="28"/>
          <w:szCs w:val="28"/>
          <w:u w:color="000000"/>
          <w:rtl w:val="0"/>
          <w:lang w:val="en-US"/>
          <w14:textFill>
            <w14:solidFill>
              <w14:srgbClr w14:val="000000"/>
            </w14:solidFill>
          </w14:textFill>
        </w:rPr>
      </w:pPr>
      <w:r>
        <w:rPr>
          <w:rFonts w:ascii="Arial" w:hAnsi="Arial"/>
          <w:b w:val="1"/>
          <w:bCs w:val="1"/>
          <w:outline w:val="0"/>
          <w:color w:val="000000"/>
          <w:sz w:val="28"/>
          <w:szCs w:val="28"/>
          <w:u w:color="000000"/>
          <w:rtl w:val="0"/>
          <w:lang w:val="en-US"/>
          <w14:textFill>
            <w14:solidFill>
              <w14:srgbClr w14:val="000000"/>
            </w14:solidFill>
          </w14:textFill>
        </w:rPr>
        <w:t>University of Wales Trinity St Davids, Swansea</w:t>
      </w:r>
    </w:p>
    <w:p>
      <w:pPr>
        <w:pStyle w:val="Body"/>
        <w:bidi w:val="0"/>
        <w:ind w:left="0" w:right="0" w:firstLine="0"/>
        <w:jc w:val="center"/>
        <w:rPr>
          <w:rFonts w:ascii="Arial" w:cs="Arial" w:hAnsi="Arial" w:eastAsia="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center"/>
        <w:rPr>
          <w:rFonts w:ascii="Arial" w:cs="Arial" w:hAnsi="Arial" w:eastAsia="Arial"/>
          <w:b w:val="1"/>
          <w:bCs w:val="1"/>
          <w:outline w:val="0"/>
          <w:color w:val="000000"/>
          <w:sz w:val="28"/>
          <w:szCs w:val="28"/>
          <w:u w:color="000000"/>
          <w:rtl w:val="0"/>
          <w:lang w:val="en-US"/>
          <w14:textFill>
            <w14:solidFill>
              <w14:srgbClr w14:val="000000"/>
            </w14:solidFill>
          </w14:textFill>
        </w:rPr>
      </w:pPr>
      <w:r>
        <w:rPr>
          <w:rFonts w:ascii="Arial" w:hAnsi="Arial"/>
          <w:b w:val="1"/>
          <w:bCs w:val="1"/>
          <w:outline w:val="0"/>
          <w:color w:val="000000"/>
          <w:sz w:val="28"/>
          <w:szCs w:val="28"/>
          <w:u w:color="000000"/>
          <w:rtl w:val="0"/>
          <w:lang w:val="en-US"/>
          <w14:textFill>
            <w14:solidFill>
              <w14:srgbClr w14:val="000000"/>
            </w14:solidFill>
          </w14:textFill>
        </w:rPr>
        <w:t>Critically Analysis of 2 Research Methodologies and 2 research methods</w:t>
      </w:r>
    </w:p>
    <w:p>
      <w:pPr>
        <w:pStyle w:val="Body"/>
        <w:bidi w:val="0"/>
        <w:ind w:left="0" w:right="0" w:firstLine="0"/>
        <w:jc w:val="left"/>
        <w:rPr>
          <w:rFonts w:ascii="Arial" w:cs="Arial" w:hAnsi="Arial" w:eastAsia="Arial"/>
          <w:b w:val="1"/>
          <w:bCs w:val="1"/>
          <w:outline w:val="0"/>
          <w:color w:val="000000"/>
          <w:sz w:val="28"/>
          <w:szCs w:val="28"/>
          <w:u w:color="000000"/>
          <w:rtl w:val="0"/>
          <w:lang w:val="en-US"/>
          <w14:textFill>
            <w14:solidFill>
              <w14:srgbClr w14:val="000000"/>
            </w14:solidFill>
          </w14:textFill>
        </w:rPr>
      </w:pPr>
    </w:p>
    <w:p>
      <w:pPr>
        <w:pStyle w:val="Body"/>
        <w:bidi w:val="0"/>
        <w:ind w:left="0" w:right="0" w:firstLine="0"/>
        <w:jc w:val="left"/>
        <w:rPr>
          <w:rFonts w:ascii="Times New Roman" w:cs="Times New Roman" w:hAnsi="Times New Roman" w:eastAsia="Times New Roman"/>
          <w:outline w:val="0"/>
          <w:color w:val="000000"/>
          <w:sz w:val="28"/>
          <w:szCs w:val="28"/>
          <w:u w:color="000000"/>
          <w:rtl w:val="0"/>
          <w:lang w:val="en-US"/>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Weidong Li</w:t>
      </w:r>
    </w:p>
    <w:p>
      <w:pPr>
        <w:pStyle w:val="Body"/>
        <w:bidi w:val="0"/>
        <w:ind w:left="0" w:right="0" w:firstLine="0"/>
        <w:jc w:val="left"/>
        <w:rPr>
          <w:rFonts w:ascii="Times New Roman" w:cs="Times New Roman" w:hAnsi="Times New Roman" w:eastAsia="Times New Roman"/>
          <w:outline w:val="0"/>
          <w:color w:val="000000"/>
          <w:sz w:val="24"/>
          <w:szCs w:val="24"/>
          <w:u w:color="000000"/>
          <w:rtl w:val="0"/>
          <w:lang w:val="en-US"/>
          <w14:textFill>
            <w14:solidFill>
              <w14:srgbClr w14:val="000000"/>
            </w14:solidFill>
          </w14:textFill>
        </w:rPr>
      </w:pPr>
      <w:r>
        <w:rPr>
          <w:rFonts w:ascii="Times New Roman" w:hAnsi="Times New Roman"/>
          <w:sz w:val="24"/>
          <w:szCs w:val="24"/>
          <w:u w:color="000000"/>
          <w:rtl w:val="0"/>
          <w:lang w:val="zh-CN" w:eastAsia="zh-CN"/>
        </w:rPr>
        <w:t>Timi O'Nell</w:t>
      </w:r>
    </w:p>
    <w:p>
      <w:pPr>
        <w:pStyle w:val="Body"/>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outline w:val="0"/>
          <w:color w:val="000000"/>
          <w:sz w:val="24"/>
          <w:szCs w:val="24"/>
          <w:u w:color="000000"/>
          <w:rtl w:val="0"/>
          <w:lang w:val="en-US"/>
          <w14:textFill>
            <w14:solidFill>
              <w14:srgbClr w14:val="000000"/>
            </w14:solidFill>
          </w14:textFill>
        </w:rPr>
        <w:t>timi.oneill@uwtsd.ac.uk, Swansea College of Art, University of Wales TrinitySaint David</w:t>
      </w:r>
      <w:r>
        <w:rPr>
          <w:rFonts w:ascii="Arial Unicode MS" w:cs="Arial Unicode MS" w:hAnsi="Arial Unicode MS" w:eastAsia="Arial Unicode MS" w:hint="eastAsia"/>
          <w:b w:val="0"/>
          <w:bCs w:val="0"/>
          <w:i w:val="0"/>
          <w:iCs w:val="0"/>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Swansea</w:t>
      </w:r>
    </w:p>
    <w:p>
      <w:pPr>
        <w:pStyle w:val="Body"/>
        <w:rPr>
          <w:rFonts w:ascii="Times New Roman" w:cs="Times New Roman" w:hAnsi="Times New Roman" w:eastAsia="Times New Roman"/>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zh-CN" w:eastAsia="zh-CN"/>
        </w:rPr>
        <w:t>Introduction</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spread of the Internet and the digitisation of the earth are important signs of mankind's entry into the information age (Zhang, Y. J., 2003). The advent of the information society has gone hand in hand with the rapid development of Internet technology. Various smart public facilities based on the Internet, mobile phones, computers and other applications mounted on terminals have become essential tools for people's daily life such as office work, socializing, shopping and medical treatment. The spread of information and smart technologies has prompted a digital transformation of people's daily lives and forced every citizen of society to become a deep participant in the Internet environment (Liu Zhenyan, 2021).</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However, while we are enjoying the convenience of the information society, we seem to have neglected the elderly as a group. Apps built into mobile phones are widely adopted as tools for everyday shopping, taxi rides, ticket purchases and other venues. However, this seemingly smart and user-friendly app is difficult for many elderly people. Most of them need to ask or get help from others to use it. Some older elders have taken the initiative to reduce their activities for this reason. The experience of older people seems to go unnoticed and they become non-affinity users and marginalised groups of digital technology. They experience a generational gap and exclusion, a phenomenon that some scholars call the 'grey digital divide'.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As a result, discussions have emerged in the design field on how to bridge the grey data divide by reducing the fear of technology use among older people. From the perspective of interaction experience design, existing research frameworks on user experience do not fully express the user experience of mobile apps for the first-time elderly. Before seniors develop the psychology of being afraid, not daring to use, or not knowing how to use an app, it is important to deeply explore the user cognitive model of seniors as well as critically consider why the interaction experience of most commercially available apps has a negative or positive impact on seniors' psychological cognition. Therefore, the author's research question emerges: to improve and enhance the interactive user experience in the use of apps for the first-time elderly. To enable them to better integrate into the information society bridging the grey digital divide.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Experience anticipates a philosophy, just as philosophy is nothing more than a clarified experience (Merleau-Ponty). Before improving the user experience of older people with apps, it is more important to plan and understand the group characteristics of older people as a group and the way users perceive and think. Therefore, the aim of this article is to discuss what methodologies can be used to better analyse older people as a group scientifically and objectively using various methodologies and approaches. The paper critically considers the need for and the advantages and disadvantages of two research methodologies, phenomenology and ethnography, as well as two methods, usability testing and questionnaire research, in the study of the topic. This will guide the author in obtaining better data, gaining insights into the psychology and perceptions of older people and guiding the design practice in subsequent studies.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Phenomenology</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central concern of UX design is how to enhance the human experience (Die Fuping, 2022). Phenomenology provides the philosophical basis for the author's study of how older people experience mobile applications. Design anthropologists Mike Anusas and Tim Ingold say, "What we are calling for is a design practice that: reflects on innovation in its own discipline, shares an understanding of life, understands the relationship between perception, culture and materials, and participates creatively and actively in the continuous improvement of human life." In today's information society, the user's quest for experience is a legitimate need. Design has consequently shifted from the creation of artefacts to the creation of meaning to meet the experiences of different users. Phenomenology, by its very nature, seeks to describe pure experience in order to restore the richness of meaning to people and to the world in which older people live. It provides a solid foundation for the methodology of interactive experience design or the philosophy of interactive experience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relationship between phenomenology and interactive experience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Husserl's original intention in creating phenomenology was to help science overcome a "crisis". This crisis was the one-sided development of science in recent times towards the instrumental rationality of the natural sciences, to the detriment of the rich experience of life by marginalised groups. It is surprising that the interactive experiences brought about by technological progress do not include the fact that people actually feel meaning and value in their lives. Husserl therefore proposed a "return to the thing in itself", which is seen as the spirit of phenomenology.</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"thing in itself" is what people actually experience. What one experiences cannot be measured only by so-called scientific criteria. Rather, it should be the measure of meaningfulness. Phenomenology is the descriptive essentialism of pure experience (Husserl). In his view, the content of experience is all the objects of intention that are given to people in their consciousness. Phenomenology is about describing human experience. The reason why phenomenology is a "purely descriptive essentialism of experience" is that it is about the universal, essential structure of experience. On this basis, the author can delve into the interactive user experience of older people. Husserl's exact definition of experience in his Studies in Logic is: in this sense, perception, imaginative and pictorial consciousness, acts of conceptual thought, speculation and doubt, pleasure and pain, hopes and apprehensions, wishes and demands, etc. As long as they occur in our consciousness, they are all 'experiences' or 'contents of consciousness'. Thus, the concept of experience becomes for Husserl an all-encompassing term for all kinds of consciousness that are essentially characterised by intentionality (Hans-Georg Gadamer, 2011).</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importance and necessity of using phenomenological research</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Phenomenology, with its fundamental aim of 'describing pure experience', has an important role to play in the study of the design of experiences for older people. It allows us to return to the experience itself and gain insight into the essential structure of the experience. The various phenomena of perception, emotion and volition that occur in the consciousness of older people are examined as experiences of the elderly. At the same time, since the phenomenological attitude reflects precisely the attitude of the elderly as a group towards the world of life in its original sense. Only this attitude is indifferent to the rationality of recent technological information technology. The world as experienced by people is not recognised by technical reason and is not considered 'rational'.</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Husserl, on the other hand, restored rationality to its original meaning, namely the intuitive self-explanatory nature of experience. Thus, when studying the design of experience, the 'thing in itself' of human experience necessarily requires the researcher to switch to a phenomenological attitude. Although the researcher is not necessarily aware of the phenomenological attitude he holds, and may not even have heard of the word phenomenology, he often unconsciously takes this attitude to gain insight into experience and to intuit design problems. Phenomenology provides the theoretical underpinning for the legitimacy of this attitude (Die Fuping, 2022).</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Of course, although the word 'experience' strikes a chord with older people today, and although the concept of age-friendly design has resonated with a wide range of people, including manufacturers, designers and consumers, and it seems that the era of the experience economy has a solid conceptual foundation, it does not. The vast majority of current research on user experience and experience design for the elderly is still habitually conducted according to the instrumental rational thinking of natural science. People think that this is the only way to do "scientific" research. When researchers use mathematics, statistics, physics and empirical psychology to study experience design, they rely on the rigour of the data to convince themselves and others, often filtering out many details of the real experience. The natural science approach to thinking is useful in experience design research, but it is not sufficient. When researchers are aware of this limitation, they often naturally, but not consciously, use phenomenological methods to study experience design. The insights gained are then packaged in a form of instrumental rationality in order to gain 'legitimacy' of understanding.</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 study on the application of phenomenology to interaction and service experience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paper 'Service Interface Design: A Post-Phenomenological Approach' by Ferando Secomandi of Delft University of Technology and Dirk Snelders of Eindhoven University of Technology, published in </w:t>
      </w:r>
      <w:r>
        <w:rPr>
          <w:rFonts w:ascii="Times New Roman" w:hAnsi="Times New Roman"/>
          <w:i w:val="1"/>
          <w:iCs w:val="1"/>
          <w:sz w:val="24"/>
          <w:szCs w:val="24"/>
          <w:rtl w:val="0"/>
          <w:lang w:val="en-US"/>
        </w:rPr>
        <w:t>Design Issues</w:t>
      </w:r>
      <w:r>
        <w:rPr>
          <w:rFonts w:ascii="Times New Roman" w:hAnsi="Times New Roman"/>
          <w:sz w:val="24"/>
          <w:szCs w:val="24"/>
          <w:rtl w:val="0"/>
        </w:rPr>
        <w:t xml:space="preserve">, Vol. 1, 2013, </w:t>
      </w:r>
      <w:r>
        <w:rPr>
          <w:rFonts w:ascii="Times New Roman" w:hAnsi="Times New Roman"/>
          <w:i w:val="1"/>
          <w:iCs w:val="1"/>
          <w:sz w:val="24"/>
          <w:szCs w:val="24"/>
          <w:rtl w:val="0"/>
          <w:lang w:val="en-US"/>
        </w:rPr>
        <w:t>uses Heideggerian phenomenology</w:t>
      </w:r>
      <w:r>
        <w:rPr>
          <w:rFonts w:ascii="Times New Roman" w:hAnsi="Times New Roman"/>
          <w:sz w:val="24"/>
          <w:szCs w:val="24"/>
          <w:rtl w:val="0"/>
          <w:lang w:val="en-US"/>
        </w:rPr>
        <w:t>, Merleau-Ponty's phenomenology of perception and Eide's phenomenology of technology. They explore the four relations of the 'user-interface': the embodied, the interpretative, the other, and the contextual. This paper demonstrates the unique advantages of understanding interfaces from a phenomenological perspective. Phenomenology allows us to identify four types of experience when interacting with an interface in the context of the usual interface. There is a careful distinction between them. Without a phenomenological perspective, this nuanced distinction might remain in a state of unconscious chaos. This also provides an inspiration for experience design research in that once researchers apply phenomenological ideas, perspectives or methods to the experience of interactions and services, they will be able to see the deeper issues and find the right terminology to articulate them.</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American scholar Thomas Wendt published </w:t>
      </w:r>
      <w:r>
        <w:rPr>
          <w:rFonts w:ascii="Times New Roman" w:hAnsi="Times New Roman"/>
          <w:i w:val="1"/>
          <w:iCs w:val="1"/>
          <w:sz w:val="24"/>
          <w:szCs w:val="24"/>
          <w:rtl w:val="0"/>
          <w:lang w:val="en-US"/>
        </w:rPr>
        <w:t>Design for Dasein: Understanding the Design of Experience</w:t>
      </w:r>
      <w:r>
        <w:rPr>
          <w:rFonts w:ascii="Times New Roman" w:hAnsi="Times New Roman"/>
          <w:sz w:val="24"/>
          <w:szCs w:val="24"/>
          <w:rtl w:val="0"/>
          <w:lang w:val="en-US"/>
        </w:rPr>
        <w:t>. Dasein is a German word that translates as 'life' in the everyday sense of the word. In phenomenological terms it is usually translated as 'this being'. With his research interests and knowledge of design and phenomenology, Winter's work is a good blend of phenomenology and design. Despite its short length, the work explores in some detail the intrinsic relevance of phenomenological theories such as those of Husserl and Heidegger to experience design, as well as the inspiration of Ide's phenomenological theory of technology for experience design (Thomas Wendt 2015). This marks the latest advancement in the intersection of experience design and phenomenology research.</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Phenomenology as a philosophical methodology of design does not rely on a limited number of cases to prove, nor can it be disproved by a limited number of cases. What phenomenology reminds us of is the need to always return to the thing itself in the process of design thinking. But what is 'the thing itself'? But what is the 'thing itself'? It will help me understand the user experience of the elderly and deepen my thinking about interaction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Ethnolograpy</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Ethnography comes from the Greek word "</w:t>
      </w:r>
      <w:r>
        <w:rPr>
          <w:rFonts w:ascii="Times New Roman" w:hAnsi="Times New Roman"/>
          <w:i w:val="1"/>
          <w:iCs w:val="1"/>
          <w:sz w:val="24"/>
          <w:szCs w:val="24"/>
          <w:rtl w:val="0"/>
          <w:lang w:val="en-US"/>
        </w:rPr>
        <w:t>ethnos</w:t>
      </w:r>
      <w:r>
        <w:rPr>
          <w:rFonts w:ascii="Times New Roman" w:hAnsi="Times New Roman"/>
          <w:sz w:val="24"/>
          <w:szCs w:val="24"/>
          <w:rtl w:val="0"/>
          <w:lang w:val="en-US"/>
        </w:rPr>
        <w:t xml:space="preserve">", meaning "a people", "a group of people", or "a cultural group " (David Fetterman, 2007). Ethnography is an in-depth, detailed method of observing and analysing people and their culture, depicting and exploring the group life, attitudes and behavioural characteristics of a culture. It requires the researcher to live with the group for a long time, to understand the group through first-hand experience, and to gain an understanding of the group's understanding of the culture (Wang, 2014). In this regard, the author considers that an important issue for user interaction experience is that different older users have different perceptions of using interaction. They have different educational backgrounds, different ways of understanding, different learning methods and different skills. The ethnography, however, is designed to be used to study the everyday lives of older people in the data divide, with the aim of exploring user culture and cognition, and with user behaviour as the central focus of the study. The researcher acts as an internal perspective to study the culture of the target user group, working towards transformation without sacrificing empathy and deep understanding (You Mo Yan, 2022). </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importance of ethnography for experience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late 1980s and early 1990s, some researchers and designers working in corporations realised that user research had to be contextualised in socio-cultural contexts, which formed an opportunity for ethnographic methods to intervene in design (Guan, 2019). The ethnographic approach has great appeal for interactive experience research. In </w:t>
      </w:r>
      <w:r>
        <w:rPr>
          <w:rFonts w:ascii="Times New Roman" w:hAnsi="Times New Roman"/>
          <w:i w:val="1"/>
          <w:iCs w:val="1"/>
          <w:sz w:val="24"/>
          <w:szCs w:val="24"/>
          <w:rtl w:val="0"/>
          <w:lang w:val="fr-FR"/>
        </w:rPr>
        <w:t>Context</w:t>
      </w:r>
      <w:r>
        <w:rPr>
          <w:rFonts w:ascii="Times New Roman" w:hAnsi="Times New Roman"/>
          <w:i w:val="1"/>
          <w:iCs w:val="1"/>
          <w:sz w:val="24"/>
          <w:szCs w:val="24"/>
          <w:rtl w:val="0"/>
          <w:lang w:val="zh-CN" w:eastAsia="zh-CN"/>
        </w:rPr>
        <w:t xml:space="preserve"> </w:t>
      </w:r>
      <w:r>
        <w:rPr>
          <w:rFonts w:ascii="Times New Roman" w:hAnsi="Times New Roman"/>
          <w:i w:val="1"/>
          <w:iCs w:val="1"/>
          <w:sz w:val="24"/>
          <w:szCs w:val="24"/>
          <w:rtl w:val="0"/>
        </w:rPr>
        <w:t>u</w:t>
      </w:r>
      <w:r>
        <w:rPr>
          <w:rFonts w:ascii="Times New Roman" w:hAnsi="Times New Roman"/>
          <w:i w:val="1"/>
          <w:iCs w:val="1"/>
          <w:sz w:val="24"/>
          <w:szCs w:val="24"/>
          <w:rtl w:val="0"/>
          <w:lang w:val="zh-CN" w:eastAsia="zh-CN"/>
        </w:rPr>
        <w:t xml:space="preserve">i </w:t>
      </w:r>
      <w:r>
        <w:rPr>
          <w:rFonts w:ascii="Times New Roman" w:hAnsi="Times New Roman"/>
          <w:i w:val="1"/>
          <w:iCs w:val="1"/>
          <w:sz w:val="24"/>
          <w:szCs w:val="24"/>
          <w:rtl w:val="0"/>
          <w:lang w:val="en-US"/>
        </w:rPr>
        <w:t>Design: Defining Customer-Centred Systems</w:t>
      </w:r>
      <w:r>
        <w:rPr>
          <w:rFonts w:ascii="Times New Roman" w:hAnsi="Times New Roman"/>
          <w:sz w:val="24"/>
          <w:szCs w:val="24"/>
          <w:rtl w:val="0"/>
          <w:lang w:val="en-US"/>
        </w:rPr>
        <w:t>, Hugh Bayer and Karen Holtzblatt cite several advantages of ethnographic interventions in the field of experience design:</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Interviews with users in their natural living-work environment.</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alternation between on-site observation of users and discussion of details.</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Systematic analysis and interpretation of user behavioural statements and environments.</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Guiding the interviewer in order to obtain information relevant to the research topic.</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Thus, the author can gain insight into the lifestyles, cultural backgrounds and details of the lives of the older user groups through these means. This is something that cannot be matched by traditional design procedures. The goal of ethnography as a research methodology is to construct a universal theory for studying the behavioural characteristics of a population. The goal of user interaction experience design, on the other hand, is to provide solutions to problems in specific interaction situations.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On the other hand, ethnography brings several advantages to the field of interactive experience design. First, design itself emphasises practice and lacks a tradition of theorising it, which is where ethnography excels (Guan, 2019). It is adept at theorising the behaviour of the older population that is the focus of the research and guides the eventual design practice. The use of ethnography to obtain data for theorising and analysis is combined with design practice to reinforce the critique of theory on practice. In Sachman's book </w:t>
      </w:r>
      <w:r>
        <w:rPr>
          <w:rFonts w:ascii="Times New Roman" w:hAnsi="Times New Roman"/>
          <w:i w:val="1"/>
          <w:iCs w:val="1"/>
          <w:sz w:val="24"/>
          <w:szCs w:val="24"/>
          <w:rtl w:val="0"/>
          <w:lang w:val="en-US"/>
        </w:rPr>
        <w:t>Human Machine Reconfigurations: Plans and SituateoAction</w:t>
      </w:r>
      <w:r>
        <w:rPr>
          <w:rFonts w:ascii="Times New Roman" w:hAnsi="Times New Roman"/>
          <w:sz w:val="24"/>
          <w:szCs w:val="24"/>
          <w:rtl w:val="0"/>
          <w:lang w:val="en-US"/>
        </w:rPr>
        <w:t>, she draws on ethnographic theory to describe workflows and programme design processes and to analyse how cultural perceptions influence design and technological change. She finds that ethnographic interviewing and behavioural analysis are particularly appropriate for software design because they look at users' immediate responses at a micro level. Secondly, while design focuses on transforming the future, ethnography generally examines the cultural background (past) and current situation of the people of concern. Therefore, the use of ethnography can extend the temporal dimension of the final experience design study and make the author's case for transforming the future 'grey data divide' more compelling. Thirdly, ethnography enables researchers to increase their sensitivity to the values of different groups, such as older people. It makes the 'real world' of older people socially visible and presents a picture of life as seen and understood by older people living and working within the technological divide. It is this ability of ethnography that allows the author to understand the social environment as perceived by their older people. For example, Spanish scholar Seyago et al. used an ethnographic approach to investigate older people's use of the Internet over a three-year period. The article examines the interaction process between older people and email systems, identifying and explaining the psychological and physical barriers to user experience presented during the interaction process, as well as the functional and semantic barriers to device use. Identifying problems in the interaction process provides research directions for experience design.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inevitability of ethnography</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the 1960s, the anthropologist Geertz argued that human social behaviour is meaningful and interpretable, and that social behaviour needs to be read as a text (Yang, 2000). In the 1980s, social behaviour was interpreted in a postmodernist context as the result of human agency, and that human behaviour also influences social structures. In this context, anthropologists began to rethink the concept of 'field', which should also encompass complex social relations and practices of social transformation. In the practice of social transformation, the activities of the designer occupy an increasingly important place and undoubtedly constitute an important part of the 'field'. The researcher should be aware that culture and design are no longer separate fields from each other. Rather, they intersect at the level of people and objects. As Balsamo says: "Various social phenomena show that design practices have become so ingrained in culture that, by designing objects, technologies and systems, we are in fact designing the culture of the future." This phenomenon undoubtedly contributes to the forward-looking nature of future design research.</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The difference between the two approaches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Ethnography focuses more on a group of people and is used to study and describe people with a common culture in order to understand their values and beliefs and how their environment influences their behaviour (Abukari Kwame). At the same time, the researcher needs to observe for a long time and immerse himself in the environment to understand the cultural practices, beliefs and values of a group of people. Phenomenology, on the other hand, concentrates on the needs of human consciousness by focusing on the world as subjectively experienced by the research participants. In doing so, a deeper insight into human nature can be gained. The combination of the two can provide a good understanding of the depth and breadth of older people's perceptions of the mobile phone interaction experience and a more comprehensive view of the social aspects of the data divide. At the same time, however, both methods can be subjective and rely heavily on the interpretation and skills of the evaluator. In future research the author should avoid preconceptions about data acquisition.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Interview</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Interviewing is a method in which the interviewer follows an interview outline or questionnaire according to the requirements and objectives defined by the research. The researcher collects data systematically and systematically through individual interviews or group conversations. It is a process of social interaction between both the interviewer and the interviewee, and through this interactive process information is obtained (Donald Norman, 2003). Through the process and content of the interview, the researcher uncovers and analyses the behavioural motivations, beliefs, attitudes and perceptions of the target user. Generally speaking, qualitative research is much more difficult to manage than quantitative research. The difficulty comes mainly from the uncertainty of the interview results (Henan University of Technology, Division of Social Sciences, 2023). Therefore, in order to ensure that the interviews do not deviate from the subject matter and needs, while leaving enough room for the interviewees to play freely, the author believes that semi-structured interviews are most suitable.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Advantages of semi-structured interviews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Compared to other survey methods, the most important feature of semi-structured interviews is that they are conducted in a completely face-to-face process. The interviewer and the interviewee interact with each other and have an impact on the findings (Wang, Yafang, 2019). This method not only allows for the collection of information, but also ensures the authenticity as well as the reliability of the information collected by observing the author while interviewing to understand the psychology of the elderly. This interactive communication effect and the information obtained through the collision of language and body language between the two parties are more authentic and reliable than other interview methods and have more reference value.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Secondly, semi-structured interviews are more flexible as they do not require a fully formed questionnaire or outline. In this type of interview, the interviewer has the flexibility to make the necessary adjustments according to the actual situation of the interview. There are no specific requirements on the way and order of questions, the way interviewees answer, the form of interview recording, as well as the time and place of the interview, all of which are handled flexibly by the interviewer according to the situation (NetEase User Experience Centre, 2020). Thus, semi-structured interviews can prompt the author to fully engage the initiative of the older user group and can generate and discuss new brainstorming ideas and questions during the interviews. lee and Koubek (2018) conducted semi-structured interviews with Chinese and American users to explore cultural differences in their use of mobile devices. The study found that semi-structured interviews helped create a more relaxed and informal environment for users, which encouraged them to share their thoughts and feelings more freely. The study also revealed cultural differences between Chinese and American users in the way they perceive mobile devices and use them in their daily lives.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zh-CN" w:eastAsia="zh-CN"/>
        </w:rPr>
        <w:t>Limitations</w:t>
      </w:r>
      <w:r>
        <w:rPr>
          <w:rFonts w:ascii="Times New Roman" w:hAnsi="Times New Roman"/>
          <w:b w:val="1"/>
          <w:bCs w:val="1"/>
          <w:sz w:val="24"/>
          <w:szCs w:val="24"/>
          <w:rtl w:val="0"/>
          <w:lang w:val="en-US"/>
        </w:rPr>
        <w:t xml:space="preserve"> of semi-structured interviews</w:t>
      </w:r>
    </w:p>
    <w:p>
      <w:pPr>
        <w:pStyle w:val="Body"/>
        <w:jc w:val="both"/>
        <w:rPr>
          <w:rFonts w:ascii="Times New Roman" w:cs="Times New Roman" w:hAnsi="Times New Roman" w:eastAsia="Times New Roman"/>
          <w:b w:val="1"/>
          <w:bCs w:val="1"/>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relationship established between interviewer and respondent, the personalities and emotions of both interviewer and respondent can all affect the quality of the interview.</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Some of the common problems can be found in the older age groups. For example, anxiety is felt and the interviewee will want to end the interview as soon as possible in a tense atmosphere and the answers will not go far enough. The choice of a comfortable environment that makes the interviewee feel more at ease can generally be left to the interviewee. A public place, such as a bright and spacious caf</w:t>
      </w:r>
      <w:r>
        <w:rPr>
          <w:rFonts w:ascii="Times New Roman" w:hAnsi="Times New Roman" w:hint="default"/>
          <w:sz w:val="24"/>
          <w:szCs w:val="24"/>
          <w:rtl w:val="0"/>
          <w:lang w:val="fr-FR"/>
        </w:rPr>
        <w:t>é</w:t>
      </w:r>
      <w:r>
        <w:rPr>
          <w:rFonts w:ascii="Times New Roman" w:hAnsi="Times New Roman"/>
          <w:sz w:val="24"/>
          <w:szCs w:val="24"/>
          <w:rtl w:val="0"/>
          <w:lang w:val="en-US"/>
        </w:rPr>
        <w:t>, is a good choice, as the quiet environment and a drink can help them to relax quickly. In addition, sometimes interviewees may feel that the interviewer is overbearing or misunderstand the purpose of the interview and want to accommodate the interviewer by giving 'standard answers'. The author needs to listen more and talk less, and avoid appearing to be extremely concerned about the answers, or showing disappointment or blame for not getting them. These data are obtained in relation to the quality of the interviewer. If the interviewer is not competent or does not have a clear understanding of the target, the information obtained and its credibility will be greatly reduced. This complex pattern of interaction also makes this method more complex and difficult to master than other interview methods (Wang, Yafang, 2019).</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Usability Test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concept of usability was introduced in the late 1970s with the rapid development of computer technology. A product is used in a typical user and in a specific context to achieve specific metrics such as effectiveness, efficiency and satisfaction. Effectiveness refers to how well a user achieves a given goal with the right degree of accuracy and completion. Efficiency refers to the amount of resources a user consumes to achieve a given goal with a certain degree of correctness and completion. Satisfaction refers to how satisfied users are with the product they are using (Tarumoto Huiya, 2015)</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Jakob Niesen, who is regarded as a master in the field of usability, sees usability as a quality attribute used to evaluate how well users can use the functionality of a system. The concept is not broad, but usability has five attributes that directly affect the user's experience: learnability, efficiency, ease of memory, low error rate and satisfaction (Sauro J, 2012).</w:t>
      </w: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Tarumoto logo also makes it clear that usability is not ease of use, i.e. what is easiest to use is not necessarily what users prefer. If usability is understood as ease of use, it will deviate from the path of usability, leading to an increasing lack of attention to the usability of products and the loss of the core view of usability (Liu Y, 2014).</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Usability testing can determine the degree of usability of a product or service. The concept of usability testing was first introduced in 1981. It was first introduced by the American company Xerox in the Xerox 8010 Information System development project, and then by Intuit Inc in the development of the software Ouicke. After decades of development and application, usability testing has become an integral part of developing, designing, improving and maintaining products or services. In short, usability testing is a systematic approach to testing. In his book </w:t>
      </w:r>
      <w:r>
        <w:rPr>
          <w:rFonts w:ascii="Times New Roman" w:hAnsi="Times New Roman"/>
          <w:i w:val="1"/>
          <w:iCs w:val="1"/>
          <w:sz w:val="24"/>
          <w:szCs w:val="24"/>
          <w:rtl w:val="0"/>
          <w:lang w:val="en-US"/>
        </w:rPr>
        <w:t>Usability Engineering</w:t>
      </w:r>
      <w:r>
        <w:rPr>
          <w:rFonts w:ascii="Times New Roman" w:hAnsi="Times New Roman"/>
          <w:sz w:val="24"/>
          <w:szCs w:val="24"/>
          <w:rtl w:val="0"/>
          <w:lang w:val="en-US"/>
        </w:rPr>
        <w:t>, Jakob Nielsen describes usability testing as the process of evaluating a product's testability from the user's perspective. The process is irreplaceable and authentic. The core of usability testing is therefore the evaluation of the usability of a product or service in order to optimise the problems that older users have in using it in practice.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In general, usability testing can be divided into formative testing, where problems are found and solved, and summative testing, where indicators are used to formulate problems. Most of the tests are small sample, qualitative and quantitative summative tests. The author then used usability testing to evaluate the usability of the app interaction experience for older users and to translate it into directions for improvement in the design of the interaction interface.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zh-CN" w:eastAsia="zh-CN"/>
        </w:rPr>
        <w:t>Conclusion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The research premise of bridging the grey digital divide by enhancing the user experience of first-time older people using smartphones to enable them to better integrate into the information society. This paper has analysed in a limited way two methodologies and two approaches to bring a theoretical approach and a broader interdisciplinary perspective to age-appropriate experience design, making the final research findings science a more effective way to transform future practices for bridging the grey data divide. The location, opportunities and challenges of the research questions will be made clearer in the context of the aspirations of older people to construct their future in an effective and rational and humane manner.</w:t>
      </w:r>
    </w:p>
    <w:p>
      <w:pPr>
        <w:pStyle w:val="Body"/>
        <w:spacing w:line="288" w:lineRule="auto"/>
        <w:jc w:val="both"/>
        <w:rPr>
          <w:rFonts w:ascii="Times New Roman" w:cs="Times New Roman" w:hAnsi="Times New Roman" w:eastAsia="Times New Roman"/>
          <w:sz w:val="24"/>
          <w:szCs w:val="24"/>
        </w:rPr>
      </w:pPr>
    </w:p>
    <w:p>
      <w:pPr>
        <w:pStyle w:val="Body"/>
        <w:spacing w:line="288" w:lineRule="auto"/>
        <w:jc w:val="both"/>
        <w:rPr>
          <w:rFonts w:ascii="Times New Roman" w:cs="Times New Roman" w:hAnsi="Times New Roman" w:eastAsia="Times New Roman"/>
          <w:sz w:val="24"/>
          <w:szCs w:val="24"/>
        </w:rPr>
      </w:pPr>
    </w:p>
    <w:p>
      <w:pPr>
        <w:pStyle w:val="Body"/>
        <w:spacing w:line="288" w:lineRule="auto"/>
        <w:jc w:val="both"/>
      </w:pPr>
      <w:r>
        <w:rPr>
          <w:rFonts w:ascii="Arial Unicode MS" w:cs="Arial Unicode MS" w:hAnsi="Arial Unicode MS" w:eastAsia="Arial Unicode MS"/>
          <w:b w:val="0"/>
          <w:bCs w:val="0"/>
          <w:i w:val="0"/>
          <w:iCs w:val="0"/>
          <w:sz w:val="24"/>
          <w:szCs w:val="24"/>
        </w:rPr>
        <w:br w:type="page"/>
      </w: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zh-CN" w:eastAsia="zh-CN"/>
        </w:rPr>
        <w:t>References</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en-US"/>
        </w:rPr>
        <w:t xml:space="preserve">Barnard, Y., Bradley, M. D., Hodgson, F., et al. (2013). </w:t>
      </w:r>
      <w:r>
        <w:rPr>
          <w:rFonts w:ascii="Times Roman" w:hAnsi="Times Roman"/>
          <w:i w:val="1"/>
          <w:iCs w:val="1"/>
          <w:rtl w:val="0"/>
          <w:lang w:val="en-US"/>
        </w:rPr>
        <w:t>Learning to Use New Technologies by Older Adults: Perceived Difficulties, Experimentation Behavior, and Usability. Computers in Human Behavior</w:t>
      </w:r>
      <w:r>
        <w:rPr>
          <w:rFonts w:ascii="Times Roman" w:hAnsi="Times Roman"/>
          <w:sz w:val="24"/>
          <w:szCs w:val="24"/>
          <w:rtl w:val="0"/>
        </w:rPr>
        <w:t>, 29(4), 1715-1724.</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en-US"/>
        </w:rPr>
        <w:t xml:space="preserve">Chen, X., Kong, P., &amp; Niu, Y. (2021). </w:t>
      </w:r>
      <w:r>
        <w:rPr>
          <w:rFonts w:ascii="Times Roman" w:hAnsi="Times Roman"/>
          <w:i w:val="1"/>
          <w:iCs w:val="1"/>
          <w:rtl w:val="0"/>
          <w:lang w:val="en-US"/>
        </w:rPr>
        <w:t>Study on the Mechanism of Tactile Degradation in the Elderly</w:t>
      </w:r>
      <w:r>
        <w:rPr>
          <w:rFonts w:ascii="Times Roman" w:hAnsi="Times Roman"/>
          <w:sz w:val="24"/>
          <w:szCs w:val="24"/>
          <w:rtl w:val="0"/>
          <w:lang w:val="en-US"/>
        </w:rPr>
        <w:t>. Chinese Journal of Dermatology, 53(8), 673-674.</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it-IT"/>
        </w:rPr>
        <w:t xml:space="preserve">Damodaran, L., Olphert, C. W., &amp; Sandhu, J. (2014). </w:t>
      </w:r>
      <w:r>
        <w:rPr>
          <w:rFonts w:ascii="Times Roman" w:hAnsi="Times Roman"/>
          <w:i w:val="1"/>
          <w:iCs w:val="1"/>
          <w:rtl w:val="0"/>
          <w:lang w:val="en-US"/>
        </w:rPr>
        <w:t>Falling off the Bandwagon? Exploring the Challenges to Sustained Digital Engagement by Older People</w:t>
      </w:r>
      <w:r>
        <w:rPr>
          <w:rFonts w:ascii="Times Roman" w:hAnsi="Times Roman"/>
          <w:sz w:val="24"/>
          <w:szCs w:val="24"/>
          <w:rtl w:val="0"/>
        </w:rPr>
        <w:t>. Gerontology.</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en-US"/>
        </w:rPr>
        <w:t xml:space="preserve">Dodd, C., Athauda, R., &amp; Adam, M. (2017). </w:t>
      </w:r>
      <w:r>
        <w:rPr>
          <w:rFonts w:ascii="Times Roman" w:hAnsi="Times Roman"/>
          <w:i w:val="1"/>
          <w:iCs w:val="1"/>
          <w:rtl w:val="0"/>
          <w:lang w:val="en-US"/>
        </w:rPr>
        <w:t>Designing User Interfaces for the Elderly: A Systematic Literature Review</w:t>
      </w:r>
      <w:r>
        <w:rPr>
          <w:rFonts w:ascii="Times Roman" w:hAnsi="Times Roman"/>
          <w:sz w:val="24"/>
          <w:szCs w:val="24"/>
          <w:rtl w:val="0"/>
        </w:rPr>
        <w:t>.</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pt-PT"/>
        </w:rPr>
        <w:t xml:space="preserve">Gadamer, H. (2010). </w:t>
      </w:r>
      <w:r>
        <w:rPr>
          <w:rFonts w:ascii="Times Roman" w:hAnsi="Times Roman"/>
          <w:i w:val="1"/>
          <w:iCs w:val="1"/>
          <w:rtl w:val="0"/>
          <w:lang w:val="en-US"/>
        </w:rPr>
        <w:t xml:space="preserve">Truth and Method </w:t>
      </w:r>
      <w:r>
        <w:rPr>
          <w:rFonts w:ascii="Times Roman" w:hAnsi="Times Roman"/>
          <w:sz w:val="24"/>
          <w:szCs w:val="24"/>
          <w:rtl w:val="0"/>
        </w:rPr>
        <w:t>(H. Honghan, Trans.). Beijing: Commercial Press.</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Guan, X. (2019). </w:t>
      </w:r>
      <w:r>
        <w:rPr>
          <w:rFonts w:ascii="Times Roman" w:hAnsi="Times Roman"/>
          <w:i w:val="1"/>
          <w:iCs w:val="1"/>
          <w:rtl w:val="0"/>
          <w:lang w:val="en-US"/>
        </w:rPr>
        <w:t>Perspectives and Practices of Design Anthropology</w:t>
      </w:r>
      <w:r>
        <w:rPr>
          <w:rFonts w:ascii="Times Roman" w:hAnsi="Times Roman"/>
          <w:sz w:val="24"/>
          <w:szCs w:val="24"/>
          <w:rtl w:val="0"/>
          <w:lang w:val="en-US"/>
        </w:rPr>
        <w:t>. Art Exploration, 33(3), 126-128.</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de-DE"/>
        </w:rPr>
        <w:t xml:space="preserve">Hertzog, C., Kramer, A. F., Wilson, R. S., et al. (2008). </w:t>
      </w:r>
      <w:r>
        <w:rPr>
          <w:rFonts w:ascii="Times Roman" w:hAnsi="Times Roman"/>
          <w:i w:val="1"/>
          <w:iCs w:val="1"/>
          <w:rtl w:val="0"/>
          <w:lang w:val="en-US"/>
        </w:rPr>
        <w:t xml:space="preserve">Enrichment Effects on Adult Cognitive Development: Can the Functional Capacity of Older Adults Be Preserved and Enhanced? </w:t>
      </w:r>
      <w:r>
        <w:rPr>
          <w:rFonts w:ascii="Times Roman" w:hAnsi="Times Roman"/>
          <w:sz w:val="24"/>
          <w:szCs w:val="24"/>
          <w:rtl w:val="0"/>
          <w:lang w:val="en-US"/>
        </w:rPr>
        <w:t>Psychological Science in the Public Interest, 9(1), 1-65.</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 xml:space="preserve">Liu, Z. (2021). </w:t>
      </w:r>
      <w:r>
        <w:rPr>
          <w:rFonts w:ascii="Times New Roman" w:hAnsi="Times New Roman"/>
          <w:i w:val="1"/>
          <w:iCs w:val="1"/>
          <w:rtl w:val="0"/>
          <w:lang w:val="en-US"/>
        </w:rPr>
        <w:t>Research on the Marginalization of Urban Elderly in the Digital Age</w:t>
      </w:r>
      <w:r>
        <w:rPr>
          <w:rFonts w:ascii="Times New Roman" w:hAnsi="Times New Roman"/>
          <w:rtl w:val="0"/>
          <w:lang w:val="en-US"/>
        </w:rPr>
        <w:t>. Talent Resource Development, (03), 47-48.</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New Roman" w:hAnsi="Times New Roman"/>
          <w:rtl w:val="0"/>
          <w:lang w:val="en-US"/>
        </w:rPr>
        <w:t xml:space="preserve">Merleau-Ponty, M. (2001). </w:t>
      </w:r>
      <w:r>
        <w:rPr>
          <w:rFonts w:ascii="Times New Roman" w:hAnsi="Times New Roman"/>
          <w:i w:val="1"/>
          <w:iCs w:val="1"/>
          <w:rtl w:val="0"/>
          <w:lang w:val="en-US"/>
        </w:rPr>
        <w:t>Phenomenology of Perception</w:t>
      </w:r>
      <w:r>
        <w:rPr>
          <w:rFonts w:ascii="Times New Roman" w:hAnsi="Times New Roman"/>
          <w:rtl w:val="0"/>
        </w:rPr>
        <w:t xml:space="preserve"> (Z. Jiang, Trans.). Beijing: Commercial Press.</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Ni, L., &amp; Hu, S. (2007). </w:t>
      </w:r>
      <w:r>
        <w:rPr>
          <w:rFonts w:ascii="Times Roman" w:hAnsi="Times Roman"/>
          <w:i w:val="1"/>
          <w:iCs w:val="1"/>
          <w:rtl w:val="0"/>
          <w:lang w:val="en-US"/>
        </w:rPr>
        <w:t>Explanation of Husserl's Phenomenology Concepts</w:t>
      </w:r>
      <w:r>
        <w:rPr>
          <w:rFonts w:ascii="Times Roman" w:hAnsi="Times Roman"/>
          <w:sz w:val="24"/>
          <w:szCs w:val="24"/>
          <w:rtl w:val="0"/>
          <w:lang w:val="en-US"/>
        </w:rPr>
        <w:t xml:space="preserve"> (Revised Edition). Beijing: Life Reading Xin Zhi San Lian Bookstore.</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it-IT"/>
        </w:rPr>
        <w:t xml:space="preserve">Norman, D. A., &amp; Verganti, R. (2014). </w:t>
      </w:r>
      <w:r>
        <w:rPr>
          <w:rFonts w:ascii="Times Roman" w:hAnsi="Times Roman"/>
          <w:i w:val="1"/>
          <w:iCs w:val="1"/>
          <w:rtl w:val="0"/>
          <w:lang w:val="en-US"/>
        </w:rPr>
        <w:t>Incremental and Radical Innovation: Design Research vs Technology and Meaning Change. Design Issues</w:t>
      </w:r>
      <w:r>
        <w:rPr>
          <w:rFonts w:ascii="Times Roman" w:hAnsi="Times Roman"/>
          <w:sz w:val="24"/>
          <w:szCs w:val="24"/>
          <w:rtl w:val="0"/>
        </w:rPr>
        <w:t>, 30(1), 78-96.</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Sauro, J. (2012). </w:t>
      </w:r>
      <w:r>
        <w:rPr>
          <w:rFonts w:ascii="Times Roman" w:hAnsi="Times Roman"/>
          <w:i w:val="1"/>
          <w:iCs w:val="1"/>
          <w:rtl w:val="0"/>
          <w:lang w:val="en-US"/>
        </w:rPr>
        <w:t>Quantifying the User Experience</w:t>
      </w:r>
      <w:r>
        <w:rPr>
          <w:rFonts w:ascii="Times Roman" w:hAnsi="Times Roman"/>
          <w:sz w:val="24"/>
          <w:szCs w:val="24"/>
          <w:rtl w:val="0"/>
          <w:lang w:val="en-US"/>
        </w:rPr>
        <w:t>. Quantifying the User Experience, 60(2), 291-295.</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it-IT"/>
        </w:rPr>
        <w:t xml:space="preserve">Secomandi, F., &amp; Snelders, D. (2013). </w:t>
      </w:r>
      <w:r>
        <w:rPr>
          <w:rFonts w:ascii="Times Roman" w:hAnsi="Times Roman"/>
          <w:i w:val="1"/>
          <w:iCs w:val="1"/>
          <w:rtl w:val="0"/>
          <w:lang w:val="en-US"/>
        </w:rPr>
        <w:t>Interface Design in Services: A Postphenomenological Approach.</w:t>
      </w:r>
      <w:r>
        <w:rPr>
          <w:rFonts w:ascii="Times Roman" w:hAnsi="Times Roman"/>
          <w:sz w:val="24"/>
          <w:szCs w:val="24"/>
          <w:rtl w:val="0"/>
          <w:lang w:val="en-US"/>
        </w:rPr>
        <w:t xml:space="preserve"> Design Issues, 29(1), 3-15.</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lang w:val="de-DE"/>
        </w:rPr>
        <w:t xml:space="preserve">Suchman, L. (1987). </w:t>
      </w:r>
      <w:r>
        <w:rPr>
          <w:rFonts w:ascii="Times Roman" w:hAnsi="Times Roman"/>
          <w:i w:val="1"/>
          <w:iCs w:val="1"/>
          <w:rtl w:val="0"/>
          <w:lang w:val="en-US"/>
        </w:rPr>
        <w:t>Human-Machine Reconfigurations: Plans and Situated Actions</w:t>
      </w:r>
      <w:r>
        <w:rPr>
          <w:rFonts w:ascii="Times Roman" w:hAnsi="Times Roman"/>
          <w:sz w:val="24"/>
          <w:szCs w:val="24"/>
          <w:rtl w:val="0"/>
          <w:lang w:val="en-US"/>
        </w:rPr>
        <w:t>. London: Cambridge University Press.</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Wang, M. (2014). </w:t>
      </w:r>
      <w:r>
        <w:rPr>
          <w:rFonts w:ascii="Times Roman" w:hAnsi="Times Roman"/>
          <w:i w:val="1"/>
          <w:iCs w:val="1"/>
          <w:rtl w:val="0"/>
          <w:lang w:val="en-US"/>
        </w:rPr>
        <w:t>Research on "Street Snap" Service Development Based on Cultural Anthropology</w:t>
      </w:r>
      <w:r>
        <w:rPr>
          <w:rFonts w:ascii="Times Roman" w:hAnsi="Times Roman"/>
          <w:sz w:val="24"/>
          <w:szCs w:val="24"/>
          <w:rtl w:val="0"/>
        </w:rPr>
        <w:t>. 3</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Wang, Y. (2009). </w:t>
      </w:r>
      <w:r>
        <w:rPr>
          <w:rFonts w:ascii="Times Roman" w:hAnsi="Times Roman"/>
          <w:i w:val="1"/>
          <w:iCs w:val="1"/>
          <w:rtl w:val="0"/>
          <w:lang w:val="en-US"/>
        </w:rPr>
        <w:t>Observation and Interview Methods in User Research</w:t>
      </w:r>
      <w:r>
        <w:rPr>
          <w:rFonts w:ascii="Times Roman" w:hAnsi="Times Roman"/>
          <w:sz w:val="24"/>
          <w:szCs w:val="24"/>
          <w:rtl w:val="0"/>
        </w:rPr>
        <w:t>. 28</w:t>
      </w:r>
      <w:r>
        <w:rPr>
          <w:rFonts w:ascii="Times Roman" w:hAnsi="Times Roman"/>
          <w:sz w:val="24"/>
          <w:szCs w:val="24"/>
          <w:rtl w:val="0"/>
          <w:lang w:val="zh-CN" w:eastAsia="zh-CN"/>
        </w:rPr>
        <w:t>-</w:t>
      </w:r>
      <w:r>
        <w:rPr>
          <w:rFonts w:ascii="Times Roman" w:hAnsi="Times Roman"/>
          <w:sz w:val="24"/>
          <w:szCs w:val="24"/>
          <w:rtl w:val="0"/>
        </w:rPr>
        <w:t>36.</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rtl w:val="0"/>
        </w:rPr>
        <w:t>Wang, P. (20</w:t>
      </w:r>
      <w:r>
        <w:rPr>
          <w:rFonts w:ascii="Times New Roman" w:hAnsi="Times New Roman"/>
          <w:rtl w:val="0"/>
          <w:lang w:val="zh-CN" w:eastAsia="zh-CN"/>
        </w:rPr>
        <w:t>22</w:t>
      </w:r>
      <w:r>
        <w:rPr>
          <w:rFonts w:ascii="Times New Roman" w:hAnsi="Times New Roman"/>
          <w:rtl w:val="0"/>
        </w:rPr>
        <w:t xml:space="preserve">). </w:t>
      </w:r>
      <w:r>
        <w:rPr>
          <w:rFonts w:ascii="Times New Roman" w:hAnsi="Times New Roman"/>
          <w:i w:val="1"/>
          <w:iCs w:val="1"/>
          <w:rtl w:val="0"/>
          <w:lang w:val="en-US"/>
        </w:rPr>
        <w:t>Design Research on the Usability of Mobile Payment Interfaces for Older Users</w:t>
      </w:r>
      <w:r>
        <w:rPr>
          <w:rFonts w:ascii="Times New Roman" w:hAnsi="Times New Roman"/>
          <w:rtl w:val="0"/>
        </w:rPr>
        <w:t>. 15-17.</w:t>
      </w:r>
    </w:p>
    <w:p>
      <w:pPr>
        <w:pStyle w:val="Default"/>
        <w:tabs>
          <w:tab w:val="left" w:pos="220"/>
          <w:tab w:val="left" w:pos="720"/>
        </w:tabs>
        <w:bidi w:val="0"/>
        <w:spacing w:before="0" w:line="240" w:lineRule="auto"/>
        <w:ind w:left="720" w:right="0" w:hanging="720"/>
        <w:jc w:val="left"/>
        <w:rPr>
          <w:rFonts w:ascii="Times Roman" w:cs="Times Roman" w:hAnsi="Times Roman" w:eastAsia="Times Roman"/>
          <w:outline w:val="0"/>
          <w:color w:val="d1d5db"/>
          <w:sz w:val="24"/>
          <w:szCs w:val="24"/>
          <w:shd w:val="clear" w:color="auto" w:fill="444654"/>
          <w:rtl w:val="0"/>
          <w14:textFill>
            <w14:solidFill>
              <w14:srgbClr w14:val="D1D5DB"/>
            </w14:solidFill>
          </w14:textFill>
        </w:rPr>
      </w:pP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Yang, W. (2000). </w:t>
      </w:r>
      <w:r>
        <w:rPr>
          <w:rFonts w:ascii="Times Roman" w:hAnsi="Times Roman"/>
          <w:i w:val="1"/>
          <w:iCs w:val="1"/>
          <w:rtl w:val="0"/>
          <w:lang w:val="en-US"/>
        </w:rPr>
        <w:t>The Charm of Cultural Interpretation: A Review of Clifford Geertz's "The Interpretation of Cultures"</w:t>
      </w:r>
      <w:r>
        <w:rPr>
          <w:rFonts w:ascii="Times Roman" w:hAnsi="Times Roman"/>
          <w:sz w:val="24"/>
          <w:szCs w:val="24"/>
          <w:rtl w:val="0"/>
          <w:lang w:val="en-US"/>
        </w:rPr>
        <w:t>. Folklore Research, (3).</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Roman" w:cs="Times Roman" w:hAnsi="Times Roman" w:eastAsia="Times Roman"/>
          <w:sz w:val="24"/>
          <w:szCs w:val="24"/>
          <w:rtl w:val="0"/>
        </w:rPr>
      </w:pPr>
      <w:r>
        <w:rPr>
          <w:rFonts w:ascii="Times Roman" w:hAnsi="Times Roman"/>
          <w:sz w:val="24"/>
          <w:szCs w:val="24"/>
          <w:rtl w:val="0"/>
        </w:rPr>
        <w:t xml:space="preserve">You, M. (2022). </w:t>
      </w:r>
      <w:r>
        <w:rPr>
          <w:rFonts w:ascii="Times Roman" w:hAnsi="Times Roman"/>
          <w:i w:val="1"/>
          <w:iCs w:val="1"/>
          <w:rtl w:val="0"/>
          <w:lang w:val="en-US"/>
        </w:rPr>
        <w:t>Research on Rural Design Based on Design Anthropology</w:t>
      </w:r>
      <w:r>
        <w:rPr>
          <w:rFonts w:ascii="Times Roman" w:hAnsi="Times Roman"/>
          <w:sz w:val="24"/>
          <w:szCs w:val="24"/>
          <w:rtl w:val="0"/>
        </w:rPr>
        <w:t>. 11.</w:t>
      </w:r>
    </w:p>
    <w:p>
      <w:pPr>
        <w:pStyle w:val="Default"/>
        <w:bidi w:val="0"/>
        <w:spacing w:before="0" w:line="240" w:lineRule="auto"/>
        <w:ind w:left="0" w:right="0" w:firstLine="0"/>
        <w:jc w:val="both"/>
        <w:rPr>
          <w:rFonts w:ascii="Times Roman" w:cs="Times Roman" w:hAnsi="Times Roman" w:eastAsia="Times Roman"/>
          <w:sz w:val="24"/>
          <w:szCs w:val="24"/>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 xml:space="preserve">Zhang, Y. (2003). </w:t>
      </w:r>
      <w:r>
        <w:rPr>
          <w:rFonts w:ascii="Times New Roman" w:hAnsi="Times New Roman"/>
          <w:i w:val="1"/>
          <w:iCs w:val="1"/>
          <w:rtl w:val="0"/>
          <w:lang w:val="en-US"/>
        </w:rPr>
        <w:t>Modern Productivity Theory</w:t>
      </w:r>
      <w:r>
        <w:rPr>
          <w:rFonts w:ascii="Times New Roman" w:hAnsi="Times New Roman"/>
          <w:rtl w:val="0"/>
          <w:lang w:val="en-US"/>
        </w:rPr>
        <w:t>. Beijing: Central Party School Press.</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rPr>
        <w:t xml:space="preserve">Zheng, Y., Liu, Y., Wang, Q., et al. (2014). </w:t>
      </w:r>
      <w:r>
        <w:rPr>
          <w:rFonts w:ascii="Times New Roman" w:hAnsi="Times New Roman"/>
          <w:i w:val="1"/>
          <w:iCs w:val="1"/>
          <w:rtl w:val="0"/>
          <w:lang w:val="en-US"/>
        </w:rPr>
        <w:t>Research Summary of Product Usability Evaluation Index System</w:t>
      </w:r>
      <w:r>
        <w:rPr>
          <w:rFonts w:ascii="Times New Roman" w:hAnsi="Times New Roman"/>
          <w:rtl w:val="0"/>
          <w:lang w:val="it-IT"/>
        </w:rPr>
        <w:t>. Ergonomics, 20(003), 83-87.</w:t>
      </w:r>
    </w:p>
    <w:p>
      <w:pPr>
        <w:pStyle w:val="Default"/>
        <w:bidi w:val="0"/>
        <w:spacing w:before="0" w:line="240" w:lineRule="auto"/>
        <w:ind w:left="0" w:right="0" w:firstLine="0"/>
        <w:jc w:val="both"/>
        <w:rPr>
          <w:rFonts w:ascii="Times New Roman" w:cs="Times New Roman" w:hAnsi="Times New Roman" w:eastAsia="Times New Roman"/>
          <w:rtl w:val="0"/>
        </w:rPr>
      </w:pPr>
    </w:p>
    <w:p>
      <w:pPr>
        <w:pStyle w:val="Default"/>
        <w:bidi w:val="0"/>
        <w:spacing w:before="0" w:line="240" w:lineRule="auto"/>
        <w:ind w:left="0" w:right="0" w:firstLine="0"/>
        <w:jc w:val="both"/>
        <w:rPr>
          <w:rtl w:val="0"/>
        </w:rPr>
      </w:pPr>
      <w:r>
        <w:rPr>
          <w:rFonts w:ascii="Times New Roman" w:hAnsi="Times New Roman"/>
          <w:rtl w:val="0"/>
          <w:lang w:val="de-DE"/>
        </w:rPr>
        <w:t xml:space="preserve">Zunben, H. (2015). </w:t>
      </w:r>
      <w:r>
        <w:rPr>
          <w:rFonts w:ascii="Times New Roman" w:hAnsi="Times New Roman"/>
          <w:i w:val="1"/>
          <w:iCs w:val="1"/>
          <w:rtl w:val="0"/>
          <w:lang w:val="en-US"/>
        </w:rPr>
        <w:t>User Experience and Usability Testing</w:t>
      </w:r>
      <w:r>
        <w:rPr>
          <w:rFonts w:ascii="Times New Roman" w:hAnsi="Times New Roman"/>
          <w:rtl w:val="0"/>
          <w:lang w:val="en-US"/>
        </w:rPr>
        <w:t>. People's Posts and Telecommunications Press.</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