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ackground w:color="FFFFFF"/>
  <w:body>
    <w:p w14:paraId="7718F5B3" w14:textId="77777777" w:rsidR="00B322E0" w:rsidRPr="007E6044" w:rsidRDefault="00B322E0" w:rsidP="009C2D59">
      <w:pPr>
        <w:rPr>
          <w:rFonts w:ascii="Arial" w:hAnsi="Arial" w:cs="Arial"/>
          <w:b/>
          <w:i/>
          <w:color w:val="auto"/>
          <w:sz w:val="88"/>
          <w:szCs w:val="88"/>
        </w:rPr>
      </w:pPr>
      <w:bookmarkStart w:id="0" w:name="__RefHeading___Toc82856599"/>
      <w:bookmarkEnd w:id="0"/>
    </w:p>
    <w:p w14:paraId="1396BEE1" w14:textId="77777777" w:rsidR="00A168E5" w:rsidRPr="007E6044" w:rsidRDefault="00A168E5" w:rsidP="00A168E5">
      <w:pPr>
        <w:jc w:val="center"/>
        <w:rPr>
          <w:rFonts w:ascii="Arial" w:hAnsi="Arial" w:cs="Arial"/>
        </w:rPr>
      </w:pPr>
      <w:r w:rsidRPr="007E6044">
        <w:rPr>
          <w:rFonts w:ascii="Arial" w:hAnsi="Arial" w:cs="Arial"/>
        </w:rPr>
        <w:t>BMHP6026 | Digital Transformation in the Health and Care Professions | Component 1</w:t>
      </w:r>
    </w:p>
    <w:p w14:paraId="192588E5" w14:textId="77777777" w:rsidR="00B322E0" w:rsidRPr="007E6044" w:rsidRDefault="00B322E0">
      <w:pPr>
        <w:jc w:val="center"/>
        <w:rPr>
          <w:rFonts w:ascii="Arial" w:hAnsi="Arial" w:cs="Arial"/>
          <w:b/>
          <w:i/>
          <w:color w:val="auto"/>
          <w:sz w:val="88"/>
          <w:szCs w:val="88"/>
        </w:rPr>
      </w:pPr>
    </w:p>
    <w:p w14:paraId="500173C9" w14:textId="77777777" w:rsidR="00793373" w:rsidRPr="007E6044" w:rsidRDefault="00A168E5">
      <w:pPr>
        <w:jc w:val="center"/>
        <w:rPr>
          <w:rFonts w:ascii="Arial" w:hAnsi="Arial" w:cs="Arial"/>
          <w:b/>
          <w:i/>
          <w:color w:val="auto"/>
          <w:sz w:val="44"/>
          <w:szCs w:val="44"/>
        </w:rPr>
      </w:pPr>
      <w:r w:rsidRPr="007E6044">
        <w:rPr>
          <w:rFonts w:ascii="Arial" w:hAnsi="Arial" w:cs="Arial"/>
          <w:b/>
          <w:bCs/>
          <w:i/>
          <w:color w:val="auto"/>
          <w:sz w:val="44"/>
          <w:szCs w:val="44"/>
        </w:rPr>
        <w:t>A Critical Evaluation of Technology-Enabled Virtual Wards and Remote Patient Monitoring as a Digital Transformation in NHS England</w:t>
      </w:r>
      <w:r w:rsidR="009C2D59" w:rsidRPr="007E6044">
        <w:rPr>
          <w:rFonts w:ascii="Arial" w:hAnsi="Arial" w:cs="Arial"/>
          <w:b/>
          <w:bCs/>
          <w:i/>
          <w:color w:val="auto"/>
          <w:sz w:val="44"/>
          <w:szCs w:val="44"/>
        </w:rPr>
        <w:t> </w:t>
      </w:r>
      <w:r w:rsidR="00B57A65" w:rsidRPr="007E6044">
        <w:rPr>
          <w:rFonts w:ascii="Arial" w:hAnsi="Arial" w:cs="Arial"/>
          <w:b/>
          <w:i/>
          <w:color w:val="auto"/>
          <w:sz w:val="44"/>
          <w:szCs w:val="44"/>
        </w:rPr>
        <w:t xml:space="preserve"> </w:t>
      </w:r>
    </w:p>
    <w:p w14:paraId="62C3C181" w14:textId="77777777" w:rsidR="00793373" w:rsidRPr="007E6044" w:rsidRDefault="00793373">
      <w:pPr>
        <w:pStyle w:val="ContentsHeading"/>
        <w:pageBreakBefore/>
        <w:rPr>
          <w:rFonts w:ascii="Arial" w:hAnsi="Arial" w:cs="Arial"/>
          <w:color w:val="auto"/>
        </w:rPr>
      </w:pPr>
      <w:r w:rsidRPr="007E6044">
        <w:rPr>
          <w:rFonts w:ascii="Arial" w:hAnsi="Arial" w:cs="Arial"/>
          <w:color w:val="auto"/>
        </w:rPr>
        <w:t>Table of Contents</w:t>
      </w:r>
    </w:p>
    <w:p w14:paraId="0AE369C1" w14:textId="77777777" w:rsidR="00101DF4" w:rsidRPr="00FE3624" w:rsidRDefault="00793373">
      <w:pPr>
        <w:pStyle w:val="TOC1"/>
        <w:rPr>
          <w:rFonts w:ascii="Arial" w:eastAsia="Times New Roman" w:hAnsi="Arial" w:cs="Arial"/>
          <w:noProof/>
          <w:color w:val="auto"/>
          <w:sz w:val="22"/>
          <w:lang w:eastAsia="en-GB"/>
        </w:rPr>
      </w:pPr>
      <w:r w:rsidRPr="007E6044">
        <w:rPr>
          <w:rFonts w:ascii="Arial" w:hAnsi="Arial" w:cs="Arial"/>
          <w:color w:val="auto"/>
        </w:rPr>
        <w:fldChar w:fldCharType="begin"/>
      </w:r>
      <w:r w:rsidRPr="007E6044">
        <w:rPr>
          <w:rFonts w:ascii="Arial" w:hAnsi="Arial" w:cs="Arial"/>
          <w:color w:val="auto"/>
        </w:rPr>
        <w:instrText xml:space="preserve"> TOC \f \o "1-9" \o "1-9" </w:instrText>
      </w:r>
      <w:r w:rsidRPr="007E6044">
        <w:rPr>
          <w:rFonts w:ascii="Arial" w:hAnsi="Arial" w:cs="Arial"/>
          <w:color w:val="auto"/>
        </w:rPr>
        <w:fldChar w:fldCharType="separate"/>
      </w:r>
      <w:r w:rsidR="00101DF4" w:rsidRPr="007E6044">
        <w:rPr>
          <w:rFonts w:ascii="Arial" w:hAnsi="Arial" w:cs="Arial"/>
          <w:noProof/>
        </w:rPr>
        <w:t>1. Introduction</w:t>
      </w:r>
      <w:r w:rsidR="00101DF4" w:rsidRPr="007E6044">
        <w:rPr>
          <w:rFonts w:ascii="Arial" w:hAnsi="Arial" w:cs="Arial"/>
          <w:noProof/>
        </w:rPr>
        <w:tab/>
      </w:r>
      <w:r w:rsidR="00101DF4" w:rsidRPr="007E6044">
        <w:rPr>
          <w:rFonts w:ascii="Arial" w:hAnsi="Arial" w:cs="Arial"/>
          <w:noProof/>
        </w:rPr>
        <w:fldChar w:fldCharType="begin"/>
      </w:r>
      <w:r w:rsidR="00101DF4" w:rsidRPr="007E6044">
        <w:rPr>
          <w:rFonts w:ascii="Arial" w:hAnsi="Arial" w:cs="Arial"/>
          <w:noProof/>
        </w:rPr>
        <w:instrText xml:space="preserve"> PAGEREF _Toc242793932 \h </w:instrText>
      </w:r>
      <w:r w:rsidR="00101DF4" w:rsidRPr="007E6044">
        <w:rPr>
          <w:rFonts w:ascii="Arial" w:hAnsi="Arial" w:cs="Arial"/>
          <w:noProof/>
        </w:rPr>
      </w:r>
      <w:r w:rsidR="00101DF4" w:rsidRPr="007E6044">
        <w:rPr>
          <w:rFonts w:ascii="Arial" w:hAnsi="Arial" w:cs="Arial"/>
          <w:noProof/>
        </w:rPr>
        <w:fldChar w:fldCharType="separate"/>
      </w:r>
      <w:r w:rsidR="00101DF4" w:rsidRPr="007E6044">
        <w:rPr>
          <w:rFonts w:ascii="Arial" w:hAnsi="Arial" w:cs="Arial"/>
          <w:noProof/>
        </w:rPr>
        <w:t>3</w:t>
      </w:r>
      <w:r w:rsidR="00101DF4" w:rsidRPr="007E6044">
        <w:rPr>
          <w:rFonts w:ascii="Arial" w:hAnsi="Arial" w:cs="Arial"/>
          <w:noProof/>
        </w:rPr>
        <w:fldChar w:fldCharType="end"/>
      </w:r>
    </w:p>
    <w:p w14:paraId="515CB634" w14:textId="77777777" w:rsidR="00101DF4" w:rsidRPr="00FE3624" w:rsidRDefault="00101DF4">
      <w:pPr>
        <w:pStyle w:val="TOC1"/>
        <w:rPr>
          <w:rFonts w:ascii="Arial" w:eastAsia="Times New Roman" w:hAnsi="Arial" w:cs="Arial"/>
          <w:noProof/>
          <w:color w:val="auto"/>
          <w:sz w:val="22"/>
          <w:lang w:eastAsia="en-GB"/>
        </w:rPr>
      </w:pPr>
      <w:r w:rsidRPr="007E6044">
        <w:rPr>
          <w:rFonts w:ascii="Arial" w:hAnsi="Arial" w:cs="Arial"/>
          <w:noProof/>
        </w:rPr>
        <w:t>2. Nature and implementation of digital transformation</w:t>
      </w:r>
      <w:r w:rsidRPr="007E6044">
        <w:rPr>
          <w:rFonts w:ascii="Arial" w:hAnsi="Arial" w:cs="Arial"/>
          <w:noProof/>
        </w:rPr>
        <w:tab/>
      </w:r>
      <w:r w:rsidRPr="007E6044">
        <w:rPr>
          <w:rFonts w:ascii="Arial" w:hAnsi="Arial" w:cs="Arial"/>
          <w:noProof/>
        </w:rPr>
        <w:fldChar w:fldCharType="begin"/>
      </w:r>
      <w:r w:rsidRPr="007E6044">
        <w:rPr>
          <w:rFonts w:ascii="Arial" w:hAnsi="Arial" w:cs="Arial"/>
          <w:noProof/>
        </w:rPr>
        <w:instrText xml:space="preserve"> PAGEREF _Toc242793933 \h </w:instrText>
      </w:r>
      <w:r w:rsidRPr="007E6044">
        <w:rPr>
          <w:rFonts w:ascii="Arial" w:hAnsi="Arial" w:cs="Arial"/>
          <w:noProof/>
        </w:rPr>
      </w:r>
      <w:r w:rsidRPr="007E6044">
        <w:rPr>
          <w:rFonts w:ascii="Arial" w:hAnsi="Arial" w:cs="Arial"/>
          <w:noProof/>
        </w:rPr>
        <w:fldChar w:fldCharType="separate"/>
      </w:r>
      <w:r w:rsidRPr="007E6044">
        <w:rPr>
          <w:rFonts w:ascii="Arial" w:hAnsi="Arial" w:cs="Arial"/>
          <w:noProof/>
        </w:rPr>
        <w:t>3</w:t>
      </w:r>
      <w:r w:rsidRPr="007E6044">
        <w:rPr>
          <w:rFonts w:ascii="Arial" w:hAnsi="Arial" w:cs="Arial"/>
          <w:noProof/>
        </w:rPr>
        <w:fldChar w:fldCharType="end"/>
      </w:r>
    </w:p>
    <w:p w14:paraId="6CC6BF5B" w14:textId="77777777" w:rsidR="00101DF4" w:rsidRPr="00FE3624" w:rsidRDefault="00101DF4">
      <w:pPr>
        <w:pStyle w:val="TOC1"/>
        <w:rPr>
          <w:rFonts w:ascii="Arial" w:eastAsia="Times New Roman" w:hAnsi="Arial" w:cs="Arial"/>
          <w:noProof/>
          <w:color w:val="auto"/>
          <w:sz w:val="22"/>
          <w:lang w:eastAsia="en-GB"/>
        </w:rPr>
      </w:pPr>
      <w:r w:rsidRPr="007E6044">
        <w:rPr>
          <w:rFonts w:ascii="Arial" w:hAnsi="Arial" w:cs="Arial"/>
          <w:noProof/>
        </w:rPr>
        <w:t>3. Workforce and professional competence</w:t>
      </w:r>
      <w:r w:rsidRPr="007E6044">
        <w:rPr>
          <w:rFonts w:ascii="Arial" w:hAnsi="Arial" w:cs="Arial"/>
          <w:noProof/>
        </w:rPr>
        <w:tab/>
      </w:r>
      <w:r w:rsidRPr="007E6044">
        <w:rPr>
          <w:rFonts w:ascii="Arial" w:hAnsi="Arial" w:cs="Arial"/>
          <w:noProof/>
        </w:rPr>
        <w:fldChar w:fldCharType="begin"/>
      </w:r>
      <w:r w:rsidRPr="007E6044">
        <w:rPr>
          <w:rFonts w:ascii="Arial" w:hAnsi="Arial" w:cs="Arial"/>
          <w:noProof/>
        </w:rPr>
        <w:instrText xml:space="preserve"> PAGEREF _Toc242793934 \h </w:instrText>
      </w:r>
      <w:r w:rsidRPr="007E6044">
        <w:rPr>
          <w:rFonts w:ascii="Arial" w:hAnsi="Arial" w:cs="Arial"/>
          <w:noProof/>
        </w:rPr>
      </w:r>
      <w:r w:rsidRPr="007E6044">
        <w:rPr>
          <w:rFonts w:ascii="Arial" w:hAnsi="Arial" w:cs="Arial"/>
          <w:noProof/>
        </w:rPr>
        <w:fldChar w:fldCharType="separate"/>
      </w:r>
      <w:r w:rsidRPr="007E6044">
        <w:rPr>
          <w:rFonts w:ascii="Arial" w:hAnsi="Arial" w:cs="Arial"/>
          <w:noProof/>
        </w:rPr>
        <w:t>4</w:t>
      </w:r>
      <w:r w:rsidRPr="007E6044">
        <w:rPr>
          <w:rFonts w:ascii="Arial" w:hAnsi="Arial" w:cs="Arial"/>
          <w:noProof/>
        </w:rPr>
        <w:fldChar w:fldCharType="end"/>
      </w:r>
    </w:p>
    <w:p w14:paraId="1FA7F76D" w14:textId="77777777" w:rsidR="00101DF4" w:rsidRPr="00FE3624" w:rsidRDefault="00101DF4">
      <w:pPr>
        <w:pStyle w:val="TOC1"/>
        <w:rPr>
          <w:rFonts w:ascii="Arial" w:eastAsia="Times New Roman" w:hAnsi="Arial" w:cs="Arial"/>
          <w:noProof/>
          <w:color w:val="auto"/>
          <w:sz w:val="22"/>
          <w:lang w:eastAsia="en-GB"/>
        </w:rPr>
      </w:pPr>
      <w:r w:rsidRPr="007E6044">
        <w:rPr>
          <w:rFonts w:ascii="Arial" w:hAnsi="Arial" w:cs="Arial"/>
          <w:noProof/>
        </w:rPr>
        <w:t>4. Service delivery, effectiveness and economic value</w:t>
      </w:r>
      <w:r w:rsidRPr="007E6044">
        <w:rPr>
          <w:rFonts w:ascii="Arial" w:hAnsi="Arial" w:cs="Arial"/>
          <w:noProof/>
        </w:rPr>
        <w:tab/>
      </w:r>
      <w:r w:rsidRPr="007E6044">
        <w:rPr>
          <w:rFonts w:ascii="Arial" w:hAnsi="Arial" w:cs="Arial"/>
          <w:noProof/>
        </w:rPr>
        <w:fldChar w:fldCharType="begin"/>
      </w:r>
      <w:r w:rsidRPr="007E6044">
        <w:rPr>
          <w:rFonts w:ascii="Arial" w:hAnsi="Arial" w:cs="Arial"/>
          <w:noProof/>
        </w:rPr>
        <w:instrText xml:space="preserve"> PAGEREF _Toc242793935 \h </w:instrText>
      </w:r>
      <w:r w:rsidRPr="007E6044">
        <w:rPr>
          <w:rFonts w:ascii="Arial" w:hAnsi="Arial" w:cs="Arial"/>
          <w:noProof/>
        </w:rPr>
      </w:r>
      <w:r w:rsidRPr="007E6044">
        <w:rPr>
          <w:rFonts w:ascii="Arial" w:hAnsi="Arial" w:cs="Arial"/>
          <w:noProof/>
        </w:rPr>
        <w:fldChar w:fldCharType="separate"/>
      </w:r>
      <w:r w:rsidRPr="007E6044">
        <w:rPr>
          <w:rFonts w:ascii="Arial" w:hAnsi="Arial" w:cs="Arial"/>
          <w:noProof/>
        </w:rPr>
        <w:t>5</w:t>
      </w:r>
      <w:r w:rsidRPr="007E6044">
        <w:rPr>
          <w:rFonts w:ascii="Arial" w:hAnsi="Arial" w:cs="Arial"/>
          <w:noProof/>
        </w:rPr>
        <w:fldChar w:fldCharType="end"/>
      </w:r>
    </w:p>
    <w:p w14:paraId="09CBE3B2" w14:textId="77777777" w:rsidR="00101DF4" w:rsidRPr="00FE3624" w:rsidRDefault="00101DF4">
      <w:pPr>
        <w:pStyle w:val="TOC1"/>
        <w:rPr>
          <w:rFonts w:ascii="Arial" w:eastAsia="Times New Roman" w:hAnsi="Arial" w:cs="Arial"/>
          <w:noProof/>
          <w:color w:val="auto"/>
          <w:sz w:val="22"/>
          <w:lang w:eastAsia="en-GB"/>
        </w:rPr>
      </w:pPr>
      <w:r w:rsidRPr="007E6044">
        <w:rPr>
          <w:rFonts w:ascii="Arial" w:hAnsi="Arial" w:cs="Arial"/>
          <w:noProof/>
        </w:rPr>
        <w:t>5. Patients, safety and service-user experience</w:t>
      </w:r>
      <w:r w:rsidRPr="007E6044">
        <w:rPr>
          <w:rFonts w:ascii="Arial" w:hAnsi="Arial" w:cs="Arial"/>
          <w:noProof/>
        </w:rPr>
        <w:tab/>
      </w:r>
      <w:r w:rsidRPr="007E6044">
        <w:rPr>
          <w:rFonts w:ascii="Arial" w:hAnsi="Arial" w:cs="Arial"/>
          <w:noProof/>
        </w:rPr>
        <w:fldChar w:fldCharType="begin"/>
      </w:r>
      <w:r w:rsidRPr="007E6044">
        <w:rPr>
          <w:rFonts w:ascii="Arial" w:hAnsi="Arial" w:cs="Arial"/>
          <w:noProof/>
        </w:rPr>
        <w:instrText xml:space="preserve"> PAGEREF _Toc242793936 \h </w:instrText>
      </w:r>
      <w:r w:rsidRPr="007E6044">
        <w:rPr>
          <w:rFonts w:ascii="Arial" w:hAnsi="Arial" w:cs="Arial"/>
          <w:noProof/>
        </w:rPr>
      </w:r>
      <w:r w:rsidRPr="007E6044">
        <w:rPr>
          <w:rFonts w:ascii="Arial" w:hAnsi="Arial" w:cs="Arial"/>
          <w:noProof/>
        </w:rPr>
        <w:fldChar w:fldCharType="separate"/>
      </w:r>
      <w:r w:rsidRPr="007E6044">
        <w:rPr>
          <w:rFonts w:ascii="Arial" w:hAnsi="Arial" w:cs="Arial"/>
          <w:noProof/>
        </w:rPr>
        <w:t>6</w:t>
      </w:r>
      <w:r w:rsidRPr="007E6044">
        <w:rPr>
          <w:rFonts w:ascii="Arial" w:hAnsi="Arial" w:cs="Arial"/>
          <w:noProof/>
        </w:rPr>
        <w:fldChar w:fldCharType="end"/>
      </w:r>
    </w:p>
    <w:p w14:paraId="6DEAE7FF" w14:textId="77777777" w:rsidR="00101DF4" w:rsidRPr="00FE3624" w:rsidRDefault="00101DF4">
      <w:pPr>
        <w:pStyle w:val="TOC1"/>
        <w:rPr>
          <w:rFonts w:ascii="Arial" w:eastAsia="Times New Roman" w:hAnsi="Arial" w:cs="Arial"/>
          <w:noProof/>
          <w:color w:val="auto"/>
          <w:sz w:val="22"/>
          <w:lang w:eastAsia="en-GB"/>
        </w:rPr>
      </w:pPr>
      <w:r w:rsidRPr="007E6044">
        <w:rPr>
          <w:rFonts w:ascii="Arial" w:hAnsi="Arial" w:cs="Arial"/>
          <w:noProof/>
        </w:rPr>
        <w:t>6. Community consequences and inequalities</w:t>
      </w:r>
      <w:r w:rsidRPr="007E6044">
        <w:rPr>
          <w:rFonts w:ascii="Arial" w:hAnsi="Arial" w:cs="Arial"/>
          <w:noProof/>
        </w:rPr>
        <w:tab/>
      </w:r>
      <w:r w:rsidRPr="007E6044">
        <w:rPr>
          <w:rFonts w:ascii="Arial" w:hAnsi="Arial" w:cs="Arial"/>
          <w:noProof/>
        </w:rPr>
        <w:fldChar w:fldCharType="begin"/>
      </w:r>
      <w:r w:rsidRPr="007E6044">
        <w:rPr>
          <w:rFonts w:ascii="Arial" w:hAnsi="Arial" w:cs="Arial"/>
          <w:noProof/>
        </w:rPr>
        <w:instrText xml:space="preserve"> PAGEREF _Toc242793937 \h </w:instrText>
      </w:r>
      <w:r w:rsidRPr="007E6044">
        <w:rPr>
          <w:rFonts w:ascii="Arial" w:hAnsi="Arial" w:cs="Arial"/>
          <w:noProof/>
        </w:rPr>
      </w:r>
      <w:r w:rsidRPr="007E6044">
        <w:rPr>
          <w:rFonts w:ascii="Arial" w:hAnsi="Arial" w:cs="Arial"/>
          <w:noProof/>
        </w:rPr>
        <w:fldChar w:fldCharType="separate"/>
      </w:r>
      <w:r w:rsidRPr="007E6044">
        <w:rPr>
          <w:rFonts w:ascii="Arial" w:hAnsi="Arial" w:cs="Arial"/>
          <w:noProof/>
        </w:rPr>
        <w:t>7</w:t>
      </w:r>
      <w:r w:rsidRPr="007E6044">
        <w:rPr>
          <w:rFonts w:ascii="Arial" w:hAnsi="Arial" w:cs="Arial"/>
          <w:noProof/>
        </w:rPr>
        <w:fldChar w:fldCharType="end"/>
      </w:r>
    </w:p>
    <w:p w14:paraId="67D314A6" w14:textId="77777777" w:rsidR="00101DF4" w:rsidRPr="00FE3624" w:rsidRDefault="00101DF4">
      <w:pPr>
        <w:pStyle w:val="TOC1"/>
        <w:rPr>
          <w:rFonts w:ascii="Arial" w:eastAsia="Times New Roman" w:hAnsi="Arial" w:cs="Arial"/>
          <w:noProof/>
          <w:color w:val="auto"/>
          <w:sz w:val="22"/>
          <w:lang w:eastAsia="en-GB"/>
        </w:rPr>
      </w:pPr>
      <w:r w:rsidRPr="007E6044">
        <w:rPr>
          <w:rFonts w:ascii="Arial" w:hAnsi="Arial" w:cs="Arial"/>
          <w:noProof/>
        </w:rPr>
        <w:t>7. Conclusion and recommendations</w:t>
      </w:r>
      <w:r w:rsidRPr="007E6044">
        <w:rPr>
          <w:rFonts w:ascii="Arial" w:hAnsi="Arial" w:cs="Arial"/>
          <w:noProof/>
        </w:rPr>
        <w:tab/>
      </w:r>
      <w:r w:rsidRPr="007E6044">
        <w:rPr>
          <w:rFonts w:ascii="Arial" w:hAnsi="Arial" w:cs="Arial"/>
          <w:noProof/>
        </w:rPr>
        <w:fldChar w:fldCharType="begin"/>
      </w:r>
      <w:r w:rsidRPr="007E6044">
        <w:rPr>
          <w:rFonts w:ascii="Arial" w:hAnsi="Arial" w:cs="Arial"/>
          <w:noProof/>
        </w:rPr>
        <w:instrText xml:space="preserve"> PAGEREF _Toc242793938 \h </w:instrText>
      </w:r>
      <w:r w:rsidRPr="007E6044">
        <w:rPr>
          <w:rFonts w:ascii="Arial" w:hAnsi="Arial" w:cs="Arial"/>
          <w:noProof/>
        </w:rPr>
      </w:r>
      <w:r w:rsidRPr="007E6044">
        <w:rPr>
          <w:rFonts w:ascii="Arial" w:hAnsi="Arial" w:cs="Arial"/>
          <w:noProof/>
        </w:rPr>
        <w:fldChar w:fldCharType="separate"/>
      </w:r>
      <w:r w:rsidRPr="007E6044">
        <w:rPr>
          <w:rFonts w:ascii="Arial" w:hAnsi="Arial" w:cs="Arial"/>
          <w:noProof/>
        </w:rPr>
        <w:t>8</w:t>
      </w:r>
      <w:r w:rsidRPr="007E6044">
        <w:rPr>
          <w:rFonts w:ascii="Arial" w:hAnsi="Arial" w:cs="Arial"/>
          <w:noProof/>
        </w:rPr>
        <w:fldChar w:fldCharType="end"/>
      </w:r>
    </w:p>
    <w:p w14:paraId="27CC1D9E" w14:textId="77777777" w:rsidR="00101DF4" w:rsidRPr="00FE3624" w:rsidRDefault="00101DF4">
      <w:pPr>
        <w:pStyle w:val="TOC1"/>
        <w:rPr>
          <w:rFonts w:ascii="Arial" w:eastAsia="Times New Roman" w:hAnsi="Arial" w:cs="Arial"/>
          <w:noProof/>
          <w:color w:val="auto"/>
          <w:sz w:val="22"/>
          <w:lang w:eastAsia="en-GB"/>
        </w:rPr>
      </w:pPr>
      <w:r w:rsidRPr="007E6044">
        <w:rPr>
          <w:rFonts w:ascii="Arial" w:hAnsi="Arial" w:cs="Arial"/>
          <w:noProof/>
        </w:rPr>
        <w:t>References</w:t>
      </w:r>
      <w:r w:rsidRPr="007E6044">
        <w:rPr>
          <w:rFonts w:ascii="Arial" w:hAnsi="Arial" w:cs="Arial"/>
          <w:noProof/>
        </w:rPr>
        <w:tab/>
      </w:r>
      <w:r w:rsidRPr="007E6044">
        <w:rPr>
          <w:rFonts w:ascii="Arial" w:hAnsi="Arial" w:cs="Arial"/>
          <w:noProof/>
        </w:rPr>
        <w:fldChar w:fldCharType="begin"/>
      </w:r>
      <w:r w:rsidRPr="007E6044">
        <w:rPr>
          <w:rFonts w:ascii="Arial" w:hAnsi="Arial" w:cs="Arial"/>
          <w:noProof/>
        </w:rPr>
        <w:instrText xml:space="preserve"> PAGEREF _Toc242793939 \h </w:instrText>
      </w:r>
      <w:r w:rsidRPr="007E6044">
        <w:rPr>
          <w:rFonts w:ascii="Arial" w:hAnsi="Arial" w:cs="Arial"/>
          <w:noProof/>
        </w:rPr>
      </w:r>
      <w:r w:rsidRPr="007E6044">
        <w:rPr>
          <w:rFonts w:ascii="Arial" w:hAnsi="Arial" w:cs="Arial"/>
          <w:noProof/>
        </w:rPr>
        <w:fldChar w:fldCharType="separate"/>
      </w:r>
      <w:r w:rsidRPr="007E6044">
        <w:rPr>
          <w:rFonts w:ascii="Arial" w:hAnsi="Arial" w:cs="Arial"/>
          <w:noProof/>
        </w:rPr>
        <w:t>9</w:t>
      </w:r>
      <w:r w:rsidRPr="007E6044">
        <w:rPr>
          <w:rFonts w:ascii="Arial" w:hAnsi="Arial" w:cs="Arial"/>
          <w:noProof/>
        </w:rPr>
        <w:fldChar w:fldCharType="end"/>
      </w:r>
    </w:p>
    <w:p w14:paraId="5C98ECCC" w14:textId="77777777" w:rsidR="005901D0" w:rsidRPr="007E6044" w:rsidRDefault="00793373" w:rsidP="005901D0">
      <w:pPr>
        <w:pStyle w:val="TOC1"/>
        <w:rPr>
          <w:rFonts w:ascii="Arial" w:hAnsi="Arial" w:cs="Arial"/>
          <w:color w:val="auto"/>
          <w:szCs w:val="24"/>
        </w:rPr>
      </w:pPr>
      <w:r w:rsidRPr="007E6044">
        <w:rPr>
          <w:rFonts w:ascii="Arial" w:hAnsi="Arial" w:cs="Arial"/>
          <w:color w:val="auto"/>
        </w:rPr>
        <w:fldChar w:fldCharType="end"/>
      </w:r>
    </w:p>
    <w:p w14:paraId="71C12300" w14:textId="77777777" w:rsidR="00793373" w:rsidRPr="007E6044" w:rsidRDefault="00793373">
      <w:pPr>
        <w:rPr>
          <w:rFonts w:ascii="Arial" w:hAnsi="Arial" w:cs="Arial"/>
          <w:color w:val="auto"/>
          <w:szCs w:val="24"/>
        </w:rPr>
      </w:pPr>
    </w:p>
    <w:p w14:paraId="1968AF7D" w14:textId="77777777" w:rsidR="00FA3835" w:rsidRPr="007E6044" w:rsidRDefault="00FA3835">
      <w:pPr>
        <w:rPr>
          <w:rFonts w:ascii="Arial" w:hAnsi="Arial" w:cs="Arial"/>
          <w:color w:val="auto"/>
          <w:szCs w:val="24"/>
        </w:rPr>
      </w:pPr>
    </w:p>
    <w:p w14:paraId="602104E2" w14:textId="77777777" w:rsidR="00FA3835" w:rsidRPr="007E6044" w:rsidRDefault="00FA3835">
      <w:pPr>
        <w:rPr>
          <w:rFonts w:ascii="Arial" w:hAnsi="Arial" w:cs="Arial"/>
          <w:color w:val="auto"/>
          <w:szCs w:val="24"/>
        </w:rPr>
      </w:pPr>
    </w:p>
    <w:p w14:paraId="6DC52DF6" w14:textId="77777777" w:rsidR="000824D7" w:rsidRPr="007E6044" w:rsidRDefault="006407FE" w:rsidP="004A42D9">
      <w:pPr>
        <w:pStyle w:val="Heading1"/>
        <w:rPr>
          <w:rFonts w:ascii="Arial" w:hAnsi="Arial" w:cs="Arial"/>
        </w:rPr>
      </w:pPr>
      <w:r w:rsidRPr="007E6044">
        <w:rPr>
          <w:rFonts w:ascii="Arial" w:hAnsi="Arial" w:cs="Arial"/>
        </w:rPr>
        <w:br w:type="page"/>
      </w:r>
      <w:bookmarkStart w:id="1" w:name="_Toc242793932"/>
      <w:r w:rsidR="00A168E5" w:rsidRPr="007E6044">
        <w:rPr>
          <w:rFonts w:ascii="Arial" w:hAnsi="Arial" w:cs="Arial"/>
        </w:rPr>
        <w:t xml:space="preserve">1. </w:t>
      </w:r>
      <w:r w:rsidR="00607926" w:rsidRPr="007E6044">
        <w:rPr>
          <w:rFonts w:ascii="Arial" w:hAnsi="Arial" w:cs="Arial"/>
        </w:rPr>
        <w:t>Introduction</w:t>
      </w:r>
      <w:bookmarkEnd w:id="1"/>
    </w:p>
    <w:p w14:paraId="40812ABB" w14:textId="77777777" w:rsidR="00A168E5" w:rsidRPr="007E6044" w:rsidRDefault="00A168E5" w:rsidP="00A168E5">
      <w:pPr>
        <w:rPr>
          <w:rFonts w:ascii="Arial" w:hAnsi="Arial" w:cs="Arial"/>
        </w:rPr>
      </w:pPr>
      <w:r w:rsidRPr="007E6044">
        <w:rPr>
          <w:rFonts w:ascii="Arial" w:hAnsi="Arial" w:cs="Arial"/>
        </w:rPr>
        <w:t>The technology-driven VWs can be viewed as an ambitious approach to re-design acute healthcare in NHS England, whereby hospital-based assessment and treatment services can be provided at patients' usual place of residence using multidisciplinary team approach, face-to-face interventions and remote patient monitoring (RPM) whenever applicable. Since 2022, the NHS has been trying to meet their national ambitions using the VWs, in order to decrease inpatient capacity without compromising the safety of patient-centred care. However, RPM is just a facilitator rather than a replacement of clinical judgment, and VWs may differ significantly by staffing, criteria for selecting patients, and technology used. This report critically analyses the implementation of VWs across the workforce, service provision, patients and community perspective, primarily with respect to adults with frailty and acute respiratory diseases with some comparisons with specialised cardiac pathways. The major argument of the report is that the VWs have the potential to benefit certain patients but the number of implemented VWs, patients' satisfaction and estimated bed savings cannot prove efficiency or equity on their own. A study based on the national commissioner interviews (McGowan et al., 2024).</w:t>
      </w:r>
    </w:p>
    <w:p w14:paraId="36512538" w14:textId="77777777" w:rsidR="00A168E5" w:rsidRPr="007E6044" w:rsidRDefault="00A168E5" w:rsidP="00A168E5">
      <w:pPr>
        <w:rPr>
          <w:rFonts w:ascii="Arial" w:hAnsi="Arial" w:cs="Arial"/>
        </w:rPr>
      </w:pPr>
    </w:p>
    <w:p w14:paraId="620DB4A7" w14:textId="77777777" w:rsidR="00A168E5" w:rsidRPr="007E6044" w:rsidRDefault="00A168E5" w:rsidP="00A168E5">
      <w:pPr>
        <w:pStyle w:val="Heading1"/>
        <w:rPr>
          <w:rFonts w:ascii="Arial" w:hAnsi="Arial" w:cs="Arial"/>
        </w:rPr>
      </w:pPr>
      <w:bookmarkStart w:id="2" w:name="_Toc242793933"/>
      <w:r w:rsidRPr="007E6044">
        <w:rPr>
          <w:rFonts w:ascii="Arial" w:hAnsi="Arial" w:cs="Arial"/>
        </w:rPr>
        <w:t>2. Nature and implementation of digital transformation</w:t>
      </w:r>
      <w:bookmarkEnd w:id="2"/>
    </w:p>
    <w:p w14:paraId="42D8464E" w14:textId="77777777" w:rsidR="00A168E5" w:rsidRPr="007E6044" w:rsidRDefault="00A168E5" w:rsidP="00A168E5">
      <w:pPr>
        <w:rPr>
          <w:rFonts w:ascii="Arial" w:hAnsi="Arial" w:cs="Arial"/>
        </w:rPr>
      </w:pPr>
      <w:r w:rsidRPr="007E6044">
        <w:rPr>
          <w:rFonts w:ascii="Arial" w:hAnsi="Arial" w:cs="Arial"/>
        </w:rPr>
        <w:t>The typical RPM system is a combination of wearable sensors or sporadic blood pressure, oxygen saturation, and symptom measurements along with electronic dashboards, clinician assessment, and predetermined escalation. Step up protocols strive to prevent admission, while step down protocols help to discharge early. All these procedures do not remove the reliance on examinations, diagnostic tests, medications administration, and fast referral to hospital. This distinction has important implications when assessing the matter, as the clinical impact of consultant-delivered care at home can never be separated from the role of the pulse oximeter simply due to the fact that both belong to the same pathway. At the same time, having a working monitoring device does not imply having an adequate clinical service and dealing with any unusual results. Treating all cases of home monitoring as a virtual ward will mean confusing low-risk monitoring with high-risk replacement.</w:t>
      </w:r>
    </w:p>
    <w:p w14:paraId="7E0DFDCB" w14:textId="77777777" w:rsidR="00A168E5" w:rsidRPr="007E6044" w:rsidRDefault="00A168E5" w:rsidP="00A168E5">
      <w:pPr>
        <w:rPr>
          <w:rFonts w:ascii="Arial" w:hAnsi="Arial" w:cs="Arial"/>
        </w:rPr>
      </w:pPr>
      <w:r w:rsidRPr="007E6044">
        <w:rPr>
          <w:rFonts w:ascii="Arial" w:hAnsi="Arial" w:cs="Arial"/>
        </w:rPr>
        <w:t xml:space="preserve">However, implementation has required considerable adaptation rather than pure digitisation. In a qualitative research conducted on 42 participants about frailty services, it was noted that remote monitoring was quite challenging to implement due to mismatch of equipment, patient capabilities, and clinical needs. The authors noted the low level of technology use in frailty services compared to respiratory and circulatory pathways, thus making it less plausible for mandatory levels of digital intensity </w:t>
      </w:r>
      <w:r w:rsidR="007E6044" w:rsidRPr="007E6044">
        <w:rPr>
          <w:rFonts w:ascii="Arial" w:hAnsi="Arial" w:cs="Arial"/>
        </w:rPr>
        <w:t>(Lindsay, C</w:t>
      </w:r>
      <w:r w:rsidR="007E6044">
        <w:rPr>
          <w:rFonts w:ascii="Arial" w:hAnsi="Arial" w:cs="Arial"/>
        </w:rPr>
        <w:t>unnington and Dixon-Woods, 2025</w:t>
      </w:r>
      <w:r w:rsidRPr="007E6044">
        <w:rPr>
          <w:rFonts w:ascii="Arial" w:hAnsi="Arial" w:cs="Arial"/>
        </w:rPr>
        <w:t xml:space="preserve">). Another implementation research which made use of documentary analysis, stakeholder interviews, and consensus building created both intended benefit and potential harm logic models. It is especially useful in situations where wider access and unaccounted costs and clinical risks may go together; yet, the conceptually generated outputs cannot measure outcomes </w:t>
      </w:r>
      <w:r w:rsidR="007E6044" w:rsidRPr="007E6044">
        <w:rPr>
          <w:rFonts w:ascii="Arial" w:hAnsi="Arial" w:cs="Arial"/>
        </w:rPr>
        <w:t>(</w:t>
      </w:r>
      <w:proofErr w:type="spellStart"/>
      <w:r w:rsidR="007E6044" w:rsidRPr="007E6044">
        <w:rPr>
          <w:rFonts w:ascii="Arial" w:hAnsi="Arial" w:cs="Arial"/>
        </w:rPr>
        <w:t>Yahya</w:t>
      </w:r>
      <w:proofErr w:type="spellEnd"/>
      <w:r w:rsidR="007E6044" w:rsidRPr="007E6044">
        <w:rPr>
          <w:rFonts w:ascii="Arial" w:hAnsi="Arial" w:cs="Arial"/>
        </w:rPr>
        <w:t>, Cooper and Nazar, 2025)</w:t>
      </w:r>
      <w:r w:rsidRPr="007E6044">
        <w:rPr>
          <w:rFonts w:ascii="Arial" w:hAnsi="Arial" w:cs="Arial"/>
        </w:rPr>
        <w:t>.</w:t>
      </w:r>
    </w:p>
    <w:p w14:paraId="79CE3E51" w14:textId="77777777" w:rsidR="00A168E5" w:rsidRPr="007E6044" w:rsidRDefault="00A168E5" w:rsidP="00A168E5">
      <w:pPr>
        <w:rPr>
          <w:rFonts w:ascii="Arial" w:hAnsi="Arial" w:cs="Arial"/>
        </w:rPr>
      </w:pPr>
    </w:p>
    <w:p w14:paraId="7839A714" w14:textId="77777777" w:rsidR="00A168E5" w:rsidRPr="007E6044" w:rsidRDefault="00A168E5" w:rsidP="00A168E5">
      <w:pPr>
        <w:pStyle w:val="Heading1"/>
        <w:rPr>
          <w:rFonts w:ascii="Arial" w:hAnsi="Arial" w:cs="Arial"/>
        </w:rPr>
      </w:pPr>
      <w:bookmarkStart w:id="3" w:name="_Toc242793934"/>
      <w:r w:rsidRPr="007E6044">
        <w:rPr>
          <w:rFonts w:ascii="Arial" w:hAnsi="Arial" w:cs="Arial"/>
        </w:rPr>
        <w:t>3. Workforce and professional competence</w:t>
      </w:r>
      <w:bookmarkEnd w:id="3"/>
    </w:p>
    <w:p w14:paraId="56CB9BA2" w14:textId="77777777" w:rsidR="00A168E5" w:rsidRPr="007E6044" w:rsidRDefault="00A168E5" w:rsidP="00A168E5">
      <w:pPr>
        <w:rPr>
          <w:rFonts w:ascii="Arial" w:hAnsi="Arial" w:cs="Arial"/>
        </w:rPr>
      </w:pPr>
      <w:r w:rsidRPr="007E6044">
        <w:rPr>
          <w:rFonts w:ascii="Arial" w:hAnsi="Arial" w:cs="Arial"/>
        </w:rPr>
        <w:t>The virtual ward does not reduce but reallocates clinical workload. Nurses, consultants, therapists, pharmacists, and community workers need to understand the significance of remote measurements, intervene appropriately across organisational boundaries, and know when a seemingly positive digital measurement hides a deteriorating patient condition. Staff thus need competencies in medical devices, escalation, information management, risk communication, and shared decision making. Based on qualitative interviews with 20 staff members working in one large English integrated care organisation, implementation was dependent upon pre-existing relationships, role clarification, and time for training. The single-system study provides transferable explanations rather than national prevalence estimates (Litchfield et al., 2025).</w:t>
      </w:r>
    </w:p>
    <w:p w14:paraId="5C1E68F2" w14:textId="77777777" w:rsidR="00A168E5" w:rsidRPr="007E6044" w:rsidRDefault="00A168E5" w:rsidP="00A168E5">
      <w:pPr>
        <w:rPr>
          <w:rFonts w:ascii="Arial" w:hAnsi="Arial" w:cs="Arial"/>
        </w:rPr>
      </w:pPr>
      <w:r w:rsidRPr="007E6044">
        <w:rPr>
          <w:rFonts w:ascii="Arial" w:hAnsi="Arial" w:cs="Arial"/>
        </w:rPr>
        <w:t xml:space="preserve">Professional development could on one hand widen the scope of practice, while at the same time increase pressures. In the case of the heart-failure virtual ward in London, medication </w:t>
      </w:r>
      <w:proofErr w:type="spellStart"/>
      <w:r w:rsidRPr="007E6044">
        <w:rPr>
          <w:rFonts w:ascii="Arial" w:hAnsi="Arial" w:cs="Arial"/>
        </w:rPr>
        <w:t>uptitration</w:t>
      </w:r>
      <w:proofErr w:type="spellEnd"/>
      <w:r w:rsidRPr="007E6044">
        <w:rPr>
          <w:rFonts w:ascii="Arial" w:hAnsi="Arial" w:cs="Arial"/>
        </w:rPr>
        <w:t xml:space="preserve"> through pharmacists' guidance showed how multidisciplinary digital processes might facilitate more timely optimisation by specialists beyond traditional outpatient consultations. However, any changes in medications will have to depend on laboratory testing, patient understanding and subsequent follow up, and no service evaluation can establish that the same functions would be possible in cases of resource-limited settings (</w:t>
      </w:r>
      <w:proofErr w:type="spellStart"/>
      <w:r w:rsidRPr="007E6044">
        <w:rPr>
          <w:rFonts w:ascii="Arial" w:hAnsi="Arial" w:cs="Arial"/>
        </w:rPr>
        <w:t>Alhakem</w:t>
      </w:r>
      <w:proofErr w:type="spellEnd"/>
      <w:r w:rsidRPr="007E6044">
        <w:rPr>
          <w:rFonts w:ascii="Arial" w:hAnsi="Arial" w:cs="Arial"/>
        </w:rPr>
        <w:t xml:space="preserve"> et al., 2025). Therefore, the organisational issue here goes beyond staff training in order to use monitoring systems.</w:t>
      </w:r>
    </w:p>
    <w:p w14:paraId="15ACF69D" w14:textId="77777777" w:rsidR="00A168E5" w:rsidRPr="007E6044" w:rsidRDefault="00A168E5" w:rsidP="00A168E5">
      <w:pPr>
        <w:rPr>
          <w:rFonts w:ascii="Arial" w:hAnsi="Arial" w:cs="Arial"/>
        </w:rPr>
      </w:pPr>
      <w:r w:rsidRPr="007E6044">
        <w:rPr>
          <w:rFonts w:ascii="Arial" w:hAnsi="Arial" w:cs="Arial"/>
        </w:rPr>
        <w:t>Service evaluation conducted in England using clinical and device information retrospectively observed very high levels of compliance for remote monitoring, which shows that combining both patient and healthcare professional workflow processes is achievable. However, the use of a single-centre approach, lack of randomised trials and industry connections of the authors make it imperative to exercise caution in the interpretation of the findings about general effectiveness (</w:t>
      </w:r>
      <w:proofErr w:type="spellStart"/>
      <w:r w:rsidRPr="007E6044">
        <w:rPr>
          <w:rFonts w:ascii="Arial" w:hAnsi="Arial" w:cs="Arial"/>
        </w:rPr>
        <w:t>Pugmire</w:t>
      </w:r>
      <w:proofErr w:type="spellEnd"/>
      <w:r w:rsidRPr="007E6044">
        <w:rPr>
          <w:rFonts w:ascii="Arial" w:hAnsi="Arial" w:cs="Arial"/>
        </w:rPr>
        <w:t xml:space="preserve"> et al., 2025). Evaluation of the success of the workforce ought to consider reaction time, cost, competence and adverse event escalation, not just training.</w:t>
      </w:r>
    </w:p>
    <w:p w14:paraId="277DB1B0" w14:textId="77777777" w:rsidR="00A168E5" w:rsidRPr="007E6044" w:rsidRDefault="00A168E5" w:rsidP="00A168E5">
      <w:pPr>
        <w:rPr>
          <w:rFonts w:ascii="Arial" w:hAnsi="Arial" w:cs="Arial"/>
        </w:rPr>
      </w:pPr>
    </w:p>
    <w:p w14:paraId="1C167FD0" w14:textId="77777777" w:rsidR="00A168E5" w:rsidRPr="007E6044" w:rsidRDefault="00A168E5" w:rsidP="00A168E5">
      <w:pPr>
        <w:pStyle w:val="Heading1"/>
        <w:rPr>
          <w:rFonts w:ascii="Arial" w:hAnsi="Arial" w:cs="Arial"/>
        </w:rPr>
      </w:pPr>
      <w:bookmarkStart w:id="4" w:name="_Toc242793935"/>
      <w:r w:rsidRPr="007E6044">
        <w:rPr>
          <w:rFonts w:ascii="Arial" w:hAnsi="Arial" w:cs="Arial"/>
        </w:rPr>
        <w:t>4. Service delivery, effectiveness and economic value</w:t>
      </w:r>
      <w:bookmarkEnd w:id="4"/>
    </w:p>
    <w:p w14:paraId="2631FDFE" w14:textId="77777777" w:rsidR="00A168E5" w:rsidRPr="007E6044" w:rsidRDefault="00A168E5" w:rsidP="00A168E5">
      <w:pPr>
        <w:rPr>
          <w:rFonts w:ascii="Arial" w:hAnsi="Arial" w:cs="Arial"/>
        </w:rPr>
      </w:pPr>
      <w:r w:rsidRPr="007E6044">
        <w:rPr>
          <w:rFonts w:ascii="Arial" w:hAnsi="Arial" w:cs="Arial"/>
        </w:rPr>
        <w:t>Substitution for avoidable inpatient stays, without producing more problems later on, constitutes the most persuasive argument for providing services. An English study compared 318 virtual ward patients with 350 patients in hospital through a matched comparison. The design of this study is more enlightening than just comparing “before” and “after”, but there could still be unknown differences between the two groups clinically and socially; and a bed saved isn’t necessarily money saved if staff and infrastructure haven’t changed (</w:t>
      </w:r>
      <w:proofErr w:type="spellStart"/>
      <w:r w:rsidRPr="007E6044">
        <w:rPr>
          <w:rFonts w:ascii="Arial" w:hAnsi="Arial" w:cs="Arial"/>
        </w:rPr>
        <w:t>Jalilian</w:t>
      </w:r>
      <w:proofErr w:type="spellEnd"/>
      <w:r w:rsidRPr="007E6044">
        <w:rPr>
          <w:rFonts w:ascii="Arial" w:hAnsi="Arial" w:cs="Arial"/>
        </w:rPr>
        <w:t xml:space="preserve"> et al., 2024).</w:t>
      </w:r>
    </w:p>
    <w:p w14:paraId="66E9D249" w14:textId="77777777" w:rsidR="00A168E5" w:rsidRPr="007E6044" w:rsidRDefault="00A168E5" w:rsidP="00A168E5">
      <w:pPr>
        <w:rPr>
          <w:rFonts w:ascii="Arial" w:hAnsi="Arial" w:cs="Arial"/>
        </w:rPr>
      </w:pPr>
      <w:r w:rsidRPr="007E6044">
        <w:rPr>
          <w:rFonts w:ascii="Arial" w:hAnsi="Arial" w:cs="Arial"/>
        </w:rPr>
        <w:t>Condition-based studies offers better insights into operations along with the limitations of generalisability. Telehealth-assisted heart failure in Liverpool was found to have notable d</w:t>
      </w:r>
      <w:r w:rsidR="00101DF4" w:rsidRPr="007E6044">
        <w:rPr>
          <w:rFonts w:ascii="Arial" w:hAnsi="Arial" w:cs="Arial"/>
        </w:rPr>
        <w:t>ifferences between the specialis</w:t>
      </w:r>
      <w:r w:rsidRPr="007E6044">
        <w:rPr>
          <w:rFonts w:ascii="Arial" w:hAnsi="Arial" w:cs="Arial"/>
        </w:rPr>
        <w:t xml:space="preserve">ed virtual ward assistance and usual care, which means that structured </w:t>
      </w:r>
      <w:proofErr w:type="spellStart"/>
      <w:r w:rsidRPr="007E6044">
        <w:rPr>
          <w:rFonts w:ascii="Arial" w:hAnsi="Arial" w:cs="Arial"/>
        </w:rPr>
        <w:t>telehealth</w:t>
      </w:r>
      <w:proofErr w:type="spellEnd"/>
      <w:r w:rsidRPr="007E6044">
        <w:rPr>
          <w:rFonts w:ascii="Arial" w:hAnsi="Arial" w:cs="Arial"/>
        </w:rPr>
        <w:t xml:space="preserve"> assistance at home can be an alternative for some patients. These results cannot be easily translated to people suffering from frailty or acute infection because their decline paths and needs differ (</w:t>
      </w:r>
      <w:proofErr w:type="spellStart"/>
      <w:r w:rsidRPr="007E6044">
        <w:rPr>
          <w:rFonts w:ascii="Arial" w:hAnsi="Arial" w:cs="Arial"/>
        </w:rPr>
        <w:t>Sankaranarayanan</w:t>
      </w:r>
      <w:proofErr w:type="spellEnd"/>
      <w:r w:rsidRPr="007E6044">
        <w:rPr>
          <w:rFonts w:ascii="Arial" w:hAnsi="Arial" w:cs="Arial"/>
        </w:rPr>
        <w:t xml:space="preserve"> et al., 2024). In an associated economic evaluation, the incremental savings per episode of heart failure was estimated to be £1,135, taking into account the pathway costs; yet, the comparison was based on modelling and made conditional on certain assumptions regarding reduced hospital usage and capacity use (</w:t>
      </w:r>
      <w:proofErr w:type="spellStart"/>
      <w:r w:rsidRPr="007E6044">
        <w:rPr>
          <w:rFonts w:ascii="Arial" w:hAnsi="Arial" w:cs="Arial"/>
        </w:rPr>
        <w:t>Rasoul</w:t>
      </w:r>
      <w:proofErr w:type="spellEnd"/>
      <w:r w:rsidRPr="007E6044">
        <w:rPr>
          <w:rFonts w:ascii="Arial" w:hAnsi="Arial" w:cs="Arial"/>
        </w:rPr>
        <w:t xml:space="preserve"> et al., 2024).</w:t>
      </w:r>
    </w:p>
    <w:p w14:paraId="333532A1" w14:textId="77777777" w:rsidR="00A168E5" w:rsidRPr="007E6044" w:rsidRDefault="00A168E5" w:rsidP="00A168E5">
      <w:pPr>
        <w:rPr>
          <w:rFonts w:ascii="Arial" w:hAnsi="Arial" w:cs="Arial"/>
        </w:rPr>
      </w:pPr>
      <w:r w:rsidRPr="007E6044">
        <w:rPr>
          <w:rFonts w:ascii="Arial" w:hAnsi="Arial" w:cs="Arial"/>
        </w:rPr>
        <w:t xml:space="preserve">Within an atrial-fibrillation pathway in North West London, monitoring of rhythm using smartphones led to review and escalation once discharge or ambulatory assessment had taken place. According to </w:t>
      </w:r>
      <w:proofErr w:type="spellStart"/>
      <w:r w:rsidRPr="007E6044">
        <w:rPr>
          <w:rFonts w:ascii="Arial" w:hAnsi="Arial" w:cs="Arial"/>
        </w:rPr>
        <w:t>Saleh</w:t>
      </w:r>
      <w:proofErr w:type="spellEnd"/>
      <w:r w:rsidRPr="007E6044">
        <w:rPr>
          <w:rFonts w:ascii="Arial" w:hAnsi="Arial" w:cs="Arial"/>
        </w:rPr>
        <w:t xml:space="preserve"> et al. (2024), eighty-six per cent of respondents felt the app was user-friendly, but the specific patient population makes it relevant for fragile patients with co-morbidities. Previous atrial-fibrillation care pathways in the UK have also shown the possibility of remote transmission of ECGs, blood pressure readings, and symptomatology, although they failed to show the effect of technology on admissions (</w:t>
      </w:r>
      <w:proofErr w:type="spellStart"/>
      <w:r w:rsidRPr="007E6044">
        <w:rPr>
          <w:rFonts w:ascii="Arial" w:hAnsi="Arial" w:cs="Arial"/>
        </w:rPr>
        <w:t>Kotb</w:t>
      </w:r>
      <w:proofErr w:type="spellEnd"/>
      <w:r w:rsidRPr="007E6044">
        <w:rPr>
          <w:rFonts w:ascii="Arial" w:hAnsi="Arial" w:cs="Arial"/>
        </w:rPr>
        <w:t xml:space="preserve"> et al., 2022).</w:t>
      </w:r>
    </w:p>
    <w:p w14:paraId="1AE42AD9" w14:textId="77777777" w:rsidR="00A168E5" w:rsidRPr="007E6044" w:rsidRDefault="00A168E5" w:rsidP="00A168E5">
      <w:pPr>
        <w:rPr>
          <w:rFonts w:ascii="Arial" w:hAnsi="Arial" w:cs="Arial"/>
        </w:rPr>
      </w:pPr>
      <w:r w:rsidRPr="007E6044">
        <w:rPr>
          <w:rFonts w:ascii="Arial" w:hAnsi="Arial" w:cs="Arial"/>
        </w:rPr>
        <w:t>The use of counterfactuals is critical for broader assessment purposes. In the national matched cohort study of COVID-19 oximetry monitoring, the researchers identified reduced mortality rates but higher emer</w:t>
      </w:r>
      <w:r w:rsidR="00101DF4" w:rsidRPr="007E6044">
        <w:rPr>
          <w:rFonts w:ascii="Arial" w:hAnsi="Arial" w:cs="Arial"/>
        </w:rPr>
        <w:t>gency room visits and hospitalis</w:t>
      </w:r>
      <w:r w:rsidRPr="007E6044">
        <w:rPr>
          <w:rFonts w:ascii="Arial" w:hAnsi="Arial" w:cs="Arial"/>
        </w:rPr>
        <w:t>ations for the cohort under observation. Better escalation may be an indication of proper detection rather than poor services, although there is some confounding involved (</w:t>
      </w:r>
      <w:proofErr w:type="spellStart"/>
      <w:r w:rsidRPr="007E6044">
        <w:rPr>
          <w:rFonts w:ascii="Arial" w:hAnsi="Arial" w:cs="Arial"/>
        </w:rPr>
        <w:t>Beaney</w:t>
      </w:r>
      <w:proofErr w:type="spellEnd"/>
      <w:r w:rsidRPr="007E6044">
        <w:rPr>
          <w:rFonts w:ascii="Arial" w:hAnsi="Arial" w:cs="Arial"/>
        </w:rPr>
        <w:t xml:space="preserve"> et al., 2023). In an analysis following that approach, there were no statistically significant impacts found on chosen hospital activities and mortality measures among areas with varying participation in the program, showing how heterogeneity in national implementation may limit any impact assessment </w:t>
      </w:r>
      <w:r w:rsidR="007E6044" w:rsidRPr="007E6044">
        <w:rPr>
          <w:rFonts w:ascii="Arial" w:hAnsi="Arial" w:cs="Arial"/>
        </w:rPr>
        <w:t xml:space="preserve">(Conti, </w:t>
      </w:r>
      <w:proofErr w:type="spellStart"/>
      <w:r w:rsidR="007E6044" w:rsidRPr="007E6044">
        <w:rPr>
          <w:rFonts w:ascii="Arial" w:hAnsi="Arial" w:cs="Arial"/>
        </w:rPr>
        <w:t>Pariza</w:t>
      </w:r>
      <w:proofErr w:type="spellEnd"/>
      <w:r w:rsidR="007E6044" w:rsidRPr="007E6044">
        <w:rPr>
          <w:rFonts w:ascii="Arial" w:hAnsi="Arial" w:cs="Arial"/>
        </w:rPr>
        <w:t xml:space="preserve"> and </w:t>
      </w:r>
      <w:proofErr w:type="spellStart"/>
      <w:r w:rsidR="007E6044" w:rsidRPr="007E6044">
        <w:rPr>
          <w:rFonts w:ascii="Arial" w:hAnsi="Arial" w:cs="Arial"/>
        </w:rPr>
        <w:t>Wolters</w:t>
      </w:r>
      <w:proofErr w:type="spellEnd"/>
      <w:r w:rsidR="007E6044" w:rsidRPr="007E6044">
        <w:rPr>
          <w:rFonts w:ascii="Arial" w:hAnsi="Arial" w:cs="Arial"/>
        </w:rPr>
        <w:t>, 2025)</w:t>
      </w:r>
      <w:r w:rsidRPr="007E6044">
        <w:rPr>
          <w:rFonts w:ascii="Arial" w:hAnsi="Arial" w:cs="Arial"/>
        </w:rPr>
        <w:t>. This way, the results question the validity of concluding that patients under monitoring consume fewer healthcare resources. Acute virtual wards should be compared with matched alternative programs according to mortality, unscheduled transfers, re-admissions, functional improvement, and overall costs. As an example, one could consider a 2022 study of community-based oximetry in England that revealed the connection between oximetry monitoring and low hospital mortality and length of stay in the hospital, but which, being a retrospective study of patients undergoing and not undergoing monitoring, suffered from selection effects and prognostic imbalance between the groups (Boniface et al., 2022).</w:t>
      </w:r>
    </w:p>
    <w:p w14:paraId="3E4C90F0" w14:textId="77777777" w:rsidR="00A168E5" w:rsidRPr="007E6044" w:rsidRDefault="00A168E5" w:rsidP="00A168E5">
      <w:pPr>
        <w:rPr>
          <w:rFonts w:ascii="Arial" w:hAnsi="Arial" w:cs="Arial"/>
        </w:rPr>
      </w:pPr>
    </w:p>
    <w:p w14:paraId="1A611351" w14:textId="77777777" w:rsidR="00A168E5" w:rsidRPr="007E6044" w:rsidRDefault="00A168E5" w:rsidP="00A168E5">
      <w:pPr>
        <w:pStyle w:val="Heading1"/>
        <w:rPr>
          <w:rFonts w:ascii="Arial" w:hAnsi="Arial" w:cs="Arial"/>
        </w:rPr>
      </w:pPr>
      <w:bookmarkStart w:id="5" w:name="_Toc242793936"/>
      <w:r w:rsidRPr="007E6044">
        <w:rPr>
          <w:rFonts w:ascii="Arial" w:hAnsi="Arial" w:cs="Arial"/>
        </w:rPr>
        <w:t>5. Patients, safety and service-user experience</w:t>
      </w:r>
      <w:bookmarkEnd w:id="5"/>
    </w:p>
    <w:p w14:paraId="192ED2E2" w14:textId="77777777" w:rsidR="00A168E5" w:rsidRPr="007E6044" w:rsidRDefault="00A168E5" w:rsidP="00A168E5">
      <w:pPr>
        <w:rPr>
          <w:rFonts w:ascii="Arial" w:hAnsi="Arial" w:cs="Arial"/>
        </w:rPr>
      </w:pPr>
      <w:r w:rsidRPr="007E6044">
        <w:rPr>
          <w:rFonts w:ascii="Arial" w:hAnsi="Arial" w:cs="Arial"/>
        </w:rPr>
        <w:t xml:space="preserve">While patients would certainly be able to benefit from sleep at home, retaining their routines and minimising </w:t>
      </w:r>
      <w:proofErr w:type="spellStart"/>
      <w:r w:rsidRPr="007E6044">
        <w:rPr>
          <w:rFonts w:ascii="Arial" w:hAnsi="Arial" w:cs="Arial"/>
        </w:rPr>
        <w:t>deconditioning</w:t>
      </w:r>
      <w:proofErr w:type="spellEnd"/>
      <w:r w:rsidRPr="007E6044">
        <w:rPr>
          <w:rFonts w:ascii="Arial" w:hAnsi="Arial" w:cs="Arial"/>
        </w:rPr>
        <w:t xml:space="preserve"> associated with the hospital environment, being supported does not equate with being safe. The study conducted in Cornwall found that while patients felt very confident in the abilities of clinicians, there were issues surrounding poor connectivity, incompatibility of systems, and challenges in use of the technology </w:t>
      </w:r>
      <w:r w:rsidR="007E6044" w:rsidRPr="007E6044">
        <w:rPr>
          <w:rFonts w:ascii="Arial" w:hAnsi="Arial" w:cs="Arial"/>
        </w:rPr>
        <w:t xml:space="preserve">(Lyndon, </w:t>
      </w:r>
      <w:proofErr w:type="spellStart"/>
      <w:r w:rsidR="007E6044" w:rsidRPr="007E6044">
        <w:rPr>
          <w:rFonts w:ascii="Arial" w:hAnsi="Arial" w:cs="Arial"/>
        </w:rPr>
        <w:t>Viney</w:t>
      </w:r>
      <w:proofErr w:type="spellEnd"/>
      <w:r w:rsidR="007E6044" w:rsidRPr="007E6044">
        <w:rPr>
          <w:rFonts w:ascii="Arial" w:hAnsi="Arial" w:cs="Arial"/>
        </w:rPr>
        <w:t xml:space="preserve"> and </w:t>
      </w:r>
      <w:proofErr w:type="spellStart"/>
      <w:r w:rsidR="007E6044" w:rsidRPr="007E6044">
        <w:rPr>
          <w:rFonts w:ascii="Arial" w:hAnsi="Arial" w:cs="Arial"/>
        </w:rPr>
        <w:t>Slade</w:t>
      </w:r>
      <w:proofErr w:type="spellEnd"/>
      <w:r w:rsidR="007E6044" w:rsidRPr="007E6044">
        <w:rPr>
          <w:rFonts w:ascii="Arial" w:hAnsi="Arial" w:cs="Arial"/>
        </w:rPr>
        <w:t>, 2025)</w:t>
      </w:r>
      <w:r w:rsidRPr="007E6044">
        <w:rPr>
          <w:rFonts w:ascii="Arial" w:hAnsi="Arial" w:cs="Arial"/>
        </w:rPr>
        <w:t>.</w:t>
      </w:r>
    </w:p>
    <w:p w14:paraId="345CF461" w14:textId="77777777" w:rsidR="00A168E5" w:rsidRPr="007E6044" w:rsidRDefault="00A168E5" w:rsidP="00A168E5">
      <w:pPr>
        <w:rPr>
          <w:rFonts w:ascii="Arial" w:hAnsi="Arial" w:cs="Arial"/>
        </w:rPr>
      </w:pPr>
      <w:r w:rsidRPr="007E6044">
        <w:rPr>
          <w:rFonts w:ascii="Arial" w:hAnsi="Arial" w:cs="Arial"/>
        </w:rPr>
        <w:t xml:space="preserve">Evaluation that involves economics and results is inadequate if the care pathway does not respect patient autonomy. Patients must be informed about the frequency of observations, data sharing, and family participation, as well as what happens when the office is closed. Hearing, vision, or mental impairments that cause usability problems need to be part of clinical considerations rather than mere annoyances. A study in London of a hospital at home for children showed promising results regarding </w:t>
      </w:r>
      <w:proofErr w:type="spellStart"/>
      <w:r w:rsidRPr="007E6044">
        <w:rPr>
          <w:rFonts w:ascii="Arial" w:hAnsi="Arial" w:cs="Arial"/>
        </w:rPr>
        <w:t>reattendance</w:t>
      </w:r>
      <w:proofErr w:type="spellEnd"/>
      <w:r w:rsidRPr="007E6044">
        <w:rPr>
          <w:rFonts w:ascii="Arial" w:hAnsi="Arial" w:cs="Arial"/>
        </w:rPr>
        <w:t xml:space="preserve"> and days not spent in the hospital, but the nursing staff requirements are different from </w:t>
      </w:r>
      <w:r w:rsidR="007E6044" w:rsidRPr="007E6044">
        <w:rPr>
          <w:rFonts w:ascii="Arial" w:hAnsi="Arial" w:cs="Arial"/>
        </w:rPr>
        <w:t>adult cases (Cheung et al., 2024</w:t>
      </w:r>
      <w:r w:rsidRPr="007E6044">
        <w:rPr>
          <w:rFonts w:ascii="Arial" w:hAnsi="Arial" w:cs="Arial"/>
        </w:rPr>
        <w:t>).</w:t>
      </w:r>
    </w:p>
    <w:p w14:paraId="6D1803A1" w14:textId="77777777" w:rsidR="00A168E5" w:rsidRPr="007E6044" w:rsidRDefault="00A168E5" w:rsidP="00A168E5">
      <w:pPr>
        <w:rPr>
          <w:rFonts w:ascii="Arial" w:hAnsi="Arial" w:cs="Arial"/>
        </w:rPr>
      </w:pPr>
      <w:r w:rsidRPr="007E6044">
        <w:rPr>
          <w:rFonts w:ascii="Arial" w:hAnsi="Arial" w:cs="Arial"/>
        </w:rPr>
        <w:t>Patient selection could lead to seemingly positive outcomes in that low-risk, technology-savvy people are more inclined to participate. The ethical question is not if those participating in the virtual ward feel satisfied, but rather if someone who would be like them in an alternative form of care would achieve similar levels of safety, rehabilitation and accessibility. Positive accounts in the literature should be taken into consideration in conjunction with failed recruitment cases and unnoticed harms. In terms of safety, there is also a dynamic aspect: monitoring processes involve a set of criteria to determine if certain symptoms are abnormal, if escalation is required during nights and on the weekend, awareness on the part of the patient of non-sensor symptoms and face-to-face consultations if the seemingly normal reading is in conflict with the concerns of a clinician. It makes sense if a patient chooses the hospital option if the home environment is overcrowded and/or private.</w:t>
      </w:r>
    </w:p>
    <w:p w14:paraId="4D5021E3" w14:textId="77777777" w:rsidR="00A168E5" w:rsidRPr="007E6044" w:rsidRDefault="00A168E5" w:rsidP="00A168E5">
      <w:pPr>
        <w:rPr>
          <w:rFonts w:ascii="Arial" w:hAnsi="Arial" w:cs="Arial"/>
        </w:rPr>
      </w:pPr>
    </w:p>
    <w:p w14:paraId="1630D89C" w14:textId="77777777" w:rsidR="00A168E5" w:rsidRPr="007E6044" w:rsidRDefault="00A168E5" w:rsidP="00A168E5">
      <w:pPr>
        <w:pStyle w:val="Heading1"/>
        <w:rPr>
          <w:rFonts w:ascii="Arial" w:hAnsi="Arial" w:cs="Arial"/>
        </w:rPr>
      </w:pPr>
      <w:bookmarkStart w:id="6" w:name="_Toc242793937"/>
      <w:r w:rsidRPr="007E6044">
        <w:rPr>
          <w:rFonts w:ascii="Arial" w:hAnsi="Arial" w:cs="Arial"/>
        </w:rPr>
        <w:t>6. Community consequences and inequalities</w:t>
      </w:r>
      <w:bookmarkEnd w:id="6"/>
    </w:p>
    <w:p w14:paraId="6AF295A9" w14:textId="77777777" w:rsidR="00A168E5" w:rsidRPr="007E6044" w:rsidRDefault="00A168E5" w:rsidP="00A168E5">
      <w:pPr>
        <w:rPr>
          <w:rFonts w:ascii="Arial" w:hAnsi="Arial" w:cs="Arial"/>
        </w:rPr>
      </w:pPr>
      <w:r w:rsidRPr="007E6044">
        <w:rPr>
          <w:rFonts w:ascii="Arial" w:hAnsi="Arial" w:cs="Arial"/>
        </w:rPr>
        <w:t>Moving acute care to the domestic realm will save time, maintain links to the social milieu and support community-based integration. Yet, it could also bring about monitoring, technical troubles and anxiety alleviation into the realm of free domestic work. Qualitative interviews across countries with patients and their caregivers revealed that guidance and shared responsibility matter; however, these contextual findings do not allow determining the NHS-specific prevalence (Ko et al., 2023).</w:t>
      </w:r>
    </w:p>
    <w:p w14:paraId="77646F0D" w14:textId="77777777" w:rsidR="00A168E5" w:rsidRPr="007E6044" w:rsidRDefault="00A168E5" w:rsidP="00A168E5">
      <w:pPr>
        <w:rPr>
          <w:rFonts w:ascii="Arial" w:hAnsi="Arial" w:cs="Arial"/>
        </w:rPr>
      </w:pPr>
      <w:r w:rsidRPr="007E6044">
        <w:rPr>
          <w:rFonts w:ascii="Arial" w:hAnsi="Arial" w:cs="Arial"/>
        </w:rPr>
        <w:t>Digital inclusion is, thus, vital in relation to population impacts. An observational study within England on enrolment in remote pulse oximetry services during the COVID-19 pandemic period revealed differences in program access among different population segments. The pandemic situation here differs from the current hospital-based virtual wards, but it is enough reason to examine how referral criteria, connectivity, and health literacy affect access to digital approaches (Clarke et al., 2023). In a randomised economic evaluation of comprehensive-geriatric-assessment hospital-at-home service within the UK, lower healthcare costs were found in selected elderly patients; however, the hospital-at-home intervention's clinical visits element means that the outcomes could not be due to RP</w:t>
      </w:r>
      <w:r w:rsidR="007E6044">
        <w:rPr>
          <w:rFonts w:ascii="Arial" w:hAnsi="Arial" w:cs="Arial"/>
        </w:rPr>
        <w:t>M technology (Singh et al., 2021</w:t>
      </w:r>
      <w:r w:rsidRPr="007E6044">
        <w:rPr>
          <w:rFonts w:ascii="Arial" w:hAnsi="Arial" w:cs="Arial"/>
        </w:rPr>
        <w:t>).</w:t>
      </w:r>
    </w:p>
    <w:p w14:paraId="63052CE6" w14:textId="77777777" w:rsidR="00A168E5" w:rsidRPr="007E6044" w:rsidRDefault="00A168E5" w:rsidP="00A168E5">
      <w:pPr>
        <w:rPr>
          <w:rFonts w:ascii="Arial" w:hAnsi="Arial" w:cs="Arial"/>
        </w:rPr>
      </w:pPr>
      <w:r w:rsidRPr="007E6044">
        <w:rPr>
          <w:rFonts w:ascii="Arial" w:hAnsi="Arial" w:cs="Arial"/>
        </w:rPr>
        <w:t>A final difficulty is that of opportunity cost. A cost analysis of 26 English home-monitoring projects for COVID-19 revealed differences in staffing and resource usage. This shows how net savings are contingent on the local delivery model and that household costs, electricity charges, broadband costs and informal care costs should not be overlooked in policy appraisals (</w:t>
      </w:r>
      <w:proofErr w:type="spellStart"/>
      <w:r w:rsidRPr="007E6044">
        <w:rPr>
          <w:rFonts w:ascii="Arial" w:hAnsi="Arial" w:cs="Arial"/>
        </w:rPr>
        <w:t>Tomini</w:t>
      </w:r>
      <w:proofErr w:type="spellEnd"/>
      <w:r w:rsidRPr="007E6044">
        <w:rPr>
          <w:rFonts w:ascii="Arial" w:hAnsi="Arial" w:cs="Arial"/>
        </w:rPr>
        <w:t xml:space="preserve"> et al., 2024). Community benefit thus entails ensuring that there are pathways for participation that do not involve using digital technologies, providing devices and connectivity, conducting care needs assessments and monitoring enrolment and outcomes by deprivation, disability, ethnicity and geography. Delivery must be assessed at all points along the referral pathway – clinically eligible patients, patients offered enrolment, those enrolled, those who are being monitored, those being escalated and those who are discharged. Otherwise, positive outcomes for patients completing virtual ward treatment could mask the systematic exclusion of disadvantaged households.</w:t>
      </w:r>
    </w:p>
    <w:p w14:paraId="5898520A" w14:textId="77777777" w:rsidR="00A168E5" w:rsidRPr="007E6044" w:rsidRDefault="00A168E5" w:rsidP="00A168E5">
      <w:pPr>
        <w:rPr>
          <w:rFonts w:ascii="Arial" w:hAnsi="Arial" w:cs="Arial"/>
        </w:rPr>
      </w:pPr>
    </w:p>
    <w:p w14:paraId="66902558" w14:textId="77777777" w:rsidR="00A168E5" w:rsidRPr="007E6044" w:rsidRDefault="00A168E5" w:rsidP="00A168E5">
      <w:pPr>
        <w:pStyle w:val="Heading1"/>
        <w:rPr>
          <w:rFonts w:ascii="Arial" w:hAnsi="Arial" w:cs="Arial"/>
        </w:rPr>
      </w:pPr>
      <w:bookmarkStart w:id="7" w:name="_Toc242793938"/>
      <w:r w:rsidRPr="007E6044">
        <w:rPr>
          <w:rFonts w:ascii="Arial" w:hAnsi="Arial" w:cs="Arial"/>
        </w:rPr>
        <w:t>7. Conclusion and recommendations</w:t>
      </w:r>
      <w:bookmarkEnd w:id="7"/>
    </w:p>
    <w:p w14:paraId="42F58765" w14:textId="77777777" w:rsidR="00A168E5" w:rsidRPr="007E6044" w:rsidRDefault="00A168E5" w:rsidP="00A168E5">
      <w:pPr>
        <w:rPr>
          <w:rFonts w:ascii="Arial" w:hAnsi="Arial" w:cs="Arial"/>
        </w:rPr>
      </w:pPr>
      <w:r w:rsidRPr="007E6044">
        <w:rPr>
          <w:rFonts w:ascii="Arial" w:hAnsi="Arial" w:cs="Arial"/>
        </w:rPr>
        <w:t>Virtual wards made possible by technology represent a plausible but also a contingent development of acute care within NHS England. Research from proven virtual wards shows that a selected group of patients can be provided with good quality care at home, whereas specialised pathways demonstrate possibilities for early discharges and efficiencies. On the other hand, there is the existence of positive outcomes alongside a lack of rigorous methods of evaluation, lack of causative comparisons, technological appropriateness and exclusion through technology.</w:t>
      </w:r>
    </w:p>
    <w:p w14:paraId="60581325" w14:textId="77777777" w:rsidR="00A168E5" w:rsidRPr="007E6044" w:rsidRDefault="00A168E5" w:rsidP="00A168E5">
      <w:pPr>
        <w:rPr>
          <w:rFonts w:ascii="Arial" w:hAnsi="Arial" w:cs="Arial"/>
        </w:rPr>
      </w:pPr>
      <w:r w:rsidRPr="007E6044">
        <w:rPr>
          <w:rFonts w:ascii="Arial" w:hAnsi="Arial" w:cs="Arial"/>
        </w:rPr>
        <w:t>The implementation process should thus focus on differentiating clinical pathways and individual assessment of patients’ home environments, digital skills and carers’ consent. Accountability for physiological triggers for alerts, assessments, and escalations should be assigned in NHS providers along with provision of resources to train multidisciplinary teams and technical staff. Commissioners need to commission risk-adjusted assessments of virtual wards at various sites that will include assessment of outcomes such as mortality and readmission rates, functional status, patient and carer experience, staffing times, and overall cost of care. Equity reviews need to be conducted to ascertain which patients and ca</w:t>
      </w:r>
      <w:r w:rsidR="00101DF4" w:rsidRPr="007E6044">
        <w:rPr>
          <w:rFonts w:ascii="Arial" w:hAnsi="Arial" w:cs="Arial"/>
        </w:rPr>
        <w:t>rers access, consent, and utilis</w:t>
      </w:r>
      <w:r w:rsidRPr="007E6044">
        <w:rPr>
          <w:rFonts w:ascii="Arial" w:hAnsi="Arial" w:cs="Arial"/>
        </w:rPr>
        <w:t>e virtual wards.</w:t>
      </w:r>
    </w:p>
    <w:p w14:paraId="2DE34A09" w14:textId="77777777" w:rsidR="0074789A" w:rsidRPr="007E6044" w:rsidRDefault="00E61475" w:rsidP="00073CCE">
      <w:pPr>
        <w:pStyle w:val="Heading1"/>
        <w:ind w:left="0" w:firstLine="0"/>
        <w:rPr>
          <w:rFonts w:ascii="Arial" w:hAnsi="Arial" w:cs="Arial"/>
        </w:rPr>
      </w:pPr>
      <w:r w:rsidRPr="007E6044">
        <w:rPr>
          <w:rFonts w:ascii="Arial" w:hAnsi="Arial" w:cs="Arial"/>
        </w:rPr>
        <w:br w:type="page"/>
      </w:r>
      <w:bookmarkStart w:id="8" w:name="_Toc242793939"/>
      <w:r w:rsidR="00BB7F6A" w:rsidRPr="007E6044">
        <w:rPr>
          <w:rFonts w:ascii="Arial" w:hAnsi="Arial" w:cs="Arial"/>
        </w:rPr>
        <w:t>References</w:t>
      </w:r>
      <w:bookmarkEnd w:id="8"/>
    </w:p>
    <w:p w14:paraId="039BFBB6" w14:textId="77777777" w:rsidR="007E6044" w:rsidRPr="007E6044" w:rsidRDefault="007E6044" w:rsidP="007E6044">
      <w:pPr>
        <w:pStyle w:val="NormalWeb"/>
        <w:spacing w:after="240" w:line="240" w:lineRule="auto"/>
        <w:ind w:left="720" w:hanging="720"/>
        <w:rPr>
          <w:rFonts w:ascii="Arial" w:hAnsi="Arial" w:cs="Arial"/>
        </w:rPr>
      </w:pPr>
      <w:proofErr w:type="spellStart"/>
      <w:r w:rsidRPr="007E6044">
        <w:rPr>
          <w:rFonts w:ascii="Arial" w:hAnsi="Arial" w:cs="Arial"/>
        </w:rPr>
        <w:t>Alhakem</w:t>
      </w:r>
      <w:proofErr w:type="spellEnd"/>
      <w:r w:rsidRPr="007E6044">
        <w:rPr>
          <w:rFonts w:ascii="Arial" w:hAnsi="Arial" w:cs="Arial"/>
        </w:rPr>
        <w:t xml:space="preserve">, H., Murphy, A., Fusco, L., McQueen, G., Pearse, S., Barrett, J., </w:t>
      </w:r>
      <w:proofErr w:type="spellStart"/>
      <w:r w:rsidRPr="007E6044">
        <w:rPr>
          <w:rFonts w:ascii="Arial" w:hAnsi="Arial" w:cs="Arial"/>
        </w:rPr>
        <w:t>Linnard</w:t>
      </w:r>
      <w:proofErr w:type="spellEnd"/>
      <w:r w:rsidRPr="007E6044">
        <w:rPr>
          <w:rFonts w:ascii="Arial" w:hAnsi="Arial" w:cs="Arial"/>
        </w:rPr>
        <w:t xml:space="preserve">, D. and Khan, S. (2025). Pharmacist-led rapid </w:t>
      </w:r>
      <w:proofErr w:type="spellStart"/>
      <w:r w:rsidRPr="007E6044">
        <w:rPr>
          <w:rFonts w:ascii="Arial" w:hAnsi="Arial" w:cs="Arial"/>
        </w:rPr>
        <w:t>uptitration</w:t>
      </w:r>
      <w:proofErr w:type="spellEnd"/>
      <w:r w:rsidRPr="007E6044">
        <w:rPr>
          <w:rFonts w:ascii="Arial" w:hAnsi="Arial" w:cs="Arial"/>
        </w:rPr>
        <w:t xml:space="preserve"> clinic in heart failure patients with reduced ejection fraction: Our experience within a virtual ward. </w:t>
      </w:r>
      <w:r w:rsidRPr="007E6044">
        <w:rPr>
          <w:rFonts w:ascii="Arial" w:hAnsi="Arial" w:cs="Arial"/>
          <w:i/>
          <w:iCs/>
        </w:rPr>
        <w:t>PLOS Digital Health</w:t>
      </w:r>
      <w:r w:rsidRPr="007E6044">
        <w:rPr>
          <w:rFonts w:ascii="Arial" w:hAnsi="Arial" w:cs="Arial"/>
        </w:rPr>
        <w:t xml:space="preserve">, 4(6), p.e0000868. </w:t>
      </w:r>
      <w:hyperlink r:id="rId8" w:history="1">
        <w:r w:rsidRPr="007E6044">
          <w:rPr>
            <w:rStyle w:val="Hyperlink"/>
            <w:rFonts w:ascii="Arial" w:hAnsi="Arial" w:cs="Arial"/>
          </w:rPr>
          <w:t>https://doi.org/10.1371/journal.pdig.0000868</w:t>
        </w:r>
      </w:hyperlink>
      <w:r w:rsidRPr="007E6044">
        <w:rPr>
          <w:rFonts w:ascii="Arial" w:hAnsi="Arial" w:cs="Arial"/>
        </w:rPr>
        <w:t xml:space="preserve">. </w:t>
      </w:r>
    </w:p>
    <w:p w14:paraId="121430B0" w14:textId="77777777" w:rsidR="007E6044" w:rsidRPr="007E6044" w:rsidRDefault="007E6044" w:rsidP="007E6044">
      <w:pPr>
        <w:pStyle w:val="NormalWeb"/>
        <w:spacing w:after="240" w:line="240" w:lineRule="auto"/>
        <w:ind w:left="720" w:hanging="720"/>
        <w:rPr>
          <w:rFonts w:ascii="Arial" w:hAnsi="Arial" w:cs="Arial"/>
        </w:rPr>
      </w:pPr>
      <w:proofErr w:type="spellStart"/>
      <w:r w:rsidRPr="007E6044">
        <w:rPr>
          <w:rFonts w:ascii="Arial" w:hAnsi="Arial" w:cs="Arial"/>
        </w:rPr>
        <w:t>Beaney</w:t>
      </w:r>
      <w:proofErr w:type="spellEnd"/>
      <w:r w:rsidRPr="007E6044">
        <w:rPr>
          <w:rFonts w:ascii="Arial" w:hAnsi="Arial" w:cs="Arial"/>
        </w:rPr>
        <w:t xml:space="preserve">, T., Clarke, J., </w:t>
      </w:r>
      <w:proofErr w:type="spellStart"/>
      <w:r w:rsidRPr="007E6044">
        <w:rPr>
          <w:rFonts w:ascii="Arial" w:hAnsi="Arial" w:cs="Arial"/>
        </w:rPr>
        <w:t>Alboksmaty</w:t>
      </w:r>
      <w:proofErr w:type="spellEnd"/>
      <w:r w:rsidRPr="007E6044">
        <w:rPr>
          <w:rFonts w:ascii="Arial" w:hAnsi="Arial" w:cs="Arial"/>
        </w:rPr>
        <w:t xml:space="preserve">, A., </w:t>
      </w:r>
      <w:proofErr w:type="spellStart"/>
      <w:r w:rsidRPr="007E6044">
        <w:rPr>
          <w:rFonts w:ascii="Arial" w:hAnsi="Arial" w:cs="Arial"/>
        </w:rPr>
        <w:t>Flott</w:t>
      </w:r>
      <w:proofErr w:type="spellEnd"/>
      <w:r w:rsidRPr="007E6044">
        <w:rPr>
          <w:rFonts w:ascii="Arial" w:hAnsi="Arial" w:cs="Arial"/>
        </w:rPr>
        <w:t xml:space="preserve">, K., Fowler, A., </w:t>
      </w:r>
      <w:proofErr w:type="spellStart"/>
      <w:r w:rsidRPr="007E6044">
        <w:rPr>
          <w:rFonts w:ascii="Arial" w:hAnsi="Arial" w:cs="Arial"/>
        </w:rPr>
        <w:t>Benger</w:t>
      </w:r>
      <w:proofErr w:type="spellEnd"/>
      <w:r w:rsidRPr="007E6044">
        <w:rPr>
          <w:rFonts w:ascii="Arial" w:hAnsi="Arial" w:cs="Arial"/>
        </w:rPr>
        <w:t xml:space="preserve">, J., Aylin, P.P., </w:t>
      </w:r>
      <w:proofErr w:type="spellStart"/>
      <w:r w:rsidRPr="007E6044">
        <w:rPr>
          <w:rFonts w:ascii="Arial" w:hAnsi="Arial" w:cs="Arial"/>
        </w:rPr>
        <w:t>Elkin</w:t>
      </w:r>
      <w:proofErr w:type="spellEnd"/>
      <w:r w:rsidRPr="007E6044">
        <w:rPr>
          <w:rFonts w:ascii="Arial" w:hAnsi="Arial" w:cs="Arial"/>
        </w:rPr>
        <w:t xml:space="preserve">, S., </w:t>
      </w:r>
      <w:proofErr w:type="spellStart"/>
      <w:r w:rsidRPr="007E6044">
        <w:rPr>
          <w:rFonts w:ascii="Arial" w:hAnsi="Arial" w:cs="Arial"/>
        </w:rPr>
        <w:t>Darzi</w:t>
      </w:r>
      <w:proofErr w:type="spellEnd"/>
      <w:r w:rsidRPr="007E6044">
        <w:rPr>
          <w:rFonts w:ascii="Arial" w:hAnsi="Arial" w:cs="Arial"/>
        </w:rPr>
        <w:t xml:space="preserve">, A. and Neves, A.L. (2023). Evaluating the impact of a pulse oximetry remote monitoring programme on mortality and healthcare utilisation in patients with COVID-19 assessed in emergency departments in England: A retrospective matched cohort study. </w:t>
      </w:r>
      <w:r w:rsidRPr="007E6044">
        <w:rPr>
          <w:rFonts w:ascii="Arial" w:hAnsi="Arial" w:cs="Arial"/>
          <w:i/>
          <w:iCs/>
        </w:rPr>
        <w:t>Emergency Medicine Journal</w:t>
      </w:r>
      <w:r w:rsidRPr="007E6044">
        <w:rPr>
          <w:rFonts w:ascii="Arial" w:hAnsi="Arial" w:cs="Arial"/>
        </w:rPr>
        <w:t xml:space="preserve">. [online] </w:t>
      </w:r>
      <w:hyperlink r:id="rId9" w:history="1">
        <w:r w:rsidRPr="007E6044">
          <w:rPr>
            <w:rStyle w:val="Hyperlink"/>
            <w:rFonts w:ascii="Arial" w:hAnsi="Arial" w:cs="Arial"/>
          </w:rPr>
          <w:t>https://doi.org/10.1136/emermed-2022-212377</w:t>
        </w:r>
      </w:hyperlink>
      <w:r w:rsidRPr="007E6044">
        <w:rPr>
          <w:rFonts w:ascii="Arial" w:hAnsi="Arial" w:cs="Arial"/>
        </w:rPr>
        <w:t xml:space="preserve">. </w:t>
      </w:r>
    </w:p>
    <w:p w14:paraId="2B9C92ED" w14:textId="77777777" w:rsidR="007E6044" w:rsidRPr="007E6044" w:rsidRDefault="007E6044" w:rsidP="007E6044">
      <w:pPr>
        <w:pStyle w:val="NormalWeb"/>
        <w:spacing w:after="240" w:line="240" w:lineRule="auto"/>
        <w:ind w:left="720" w:hanging="720"/>
        <w:rPr>
          <w:rFonts w:ascii="Arial" w:hAnsi="Arial" w:cs="Arial"/>
        </w:rPr>
      </w:pPr>
      <w:r w:rsidRPr="007E6044">
        <w:rPr>
          <w:rFonts w:ascii="Arial" w:hAnsi="Arial" w:cs="Arial"/>
        </w:rPr>
        <w:t xml:space="preserve">Boniface, M., Burns, D., Duckworth, C., Ahmed, M., </w:t>
      </w:r>
      <w:proofErr w:type="spellStart"/>
      <w:r w:rsidRPr="007E6044">
        <w:rPr>
          <w:rFonts w:ascii="Arial" w:hAnsi="Arial" w:cs="Arial"/>
        </w:rPr>
        <w:t>Duruiheoma</w:t>
      </w:r>
      <w:proofErr w:type="spellEnd"/>
      <w:r w:rsidRPr="007E6044">
        <w:rPr>
          <w:rFonts w:ascii="Arial" w:hAnsi="Arial" w:cs="Arial"/>
        </w:rPr>
        <w:t xml:space="preserve">, F., </w:t>
      </w:r>
      <w:proofErr w:type="spellStart"/>
      <w:r w:rsidRPr="007E6044">
        <w:rPr>
          <w:rFonts w:ascii="Arial" w:hAnsi="Arial" w:cs="Arial"/>
        </w:rPr>
        <w:t>Armitage</w:t>
      </w:r>
      <w:proofErr w:type="spellEnd"/>
      <w:r w:rsidRPr="007E6044">
        <w:rPr>
          <w:rFonts w:ascii="Arial" w:hAnsi="Arial" w:cs="Arial"/>
        </w:rPr>
        <w:t xml:space="preserve">, H., Ratcliffe, N., Duffy, J., O’Keeffe, C. and </w:t>
      </w:r>
      <w:proofErr w:type="spellStart"/>
      <w:r w:rsidRPr="007E6044">
        <w:rPr>
          <w:rFonts w:ascii="Arial" w:hAnsi="Arial" w:cs="Arial"/>
        </w:rPr>
        <w:t>Inada-Kim</w:t>
      </w:r>
      <w:proofErr w:type="spellEnd"/>
      <w:r w:rsidRPr="007E6044">
        <w:rPr>
          <w:rFonts w:ascii="Arial" w:hAnsi="Arial" w:cs="Arial"/>
        </w:rPr>
        <w:t xml:space="preserve">, M. (2022). COVID-19 oximetry @home: Evaluation of patient outcomes. </w:t>
      </w:r>
      <w:r w:rsidRPr="007E6044">
        <w:rPr>
          <w:rFonts w:ascii="Arial" w:hAnsi="Arial" w:cs="Arial"/>
          <w:i/>
          <w:iCs/>
        </w:rPr>
        <w:t>BMJ Open Quality</w:t>
      </w:r>
      <w:r w:rsidRPr="007E6044">
        <w:rPr>
          <w:rFonts w:ascii="Arial" w:hAnsi="Arial" w:cs="Arial"/>
        </w:rPr>
        <w:t xml:space="preserve">, [online] 11(1), p.e001584. </w:t>
      </w:r>
      <w:hyperlink r:id="rId10" w:history="1">
        <w:r w:rsidRPr="007E6044">
          <w:rPr>
            <w:rStyle w:val="Hyperlink"/>
            <w:rFonts w:ascii="Arial" w:hAnsi="Arial" w:cs="Arial"/>
          </w:rPr>
          <w:t>https://doi.org/10.1136/bmjoq-2021-001584</w:t>
        </w:r>
      </w:hyperlink>
      <w:r w:rsidRPr="007E6044">
        <w:rPr>
          <w:rFonts w:ascii="Arial" w:hAnsi="Arial" w:cs="Arial"/>
        </w:rPr>
        <w:t xml:space="preserve">. </w:t>
      </w:r>
    </w:p>
    <w:p w14:paraId="30BD5069" w14:textId="77777777" w:rsidR="007E6044" w:rsidRPr="007E6044" w:rsidRDefault="007E6044" w:rsidP="007E6044">
      <w:pPr>
        <w:pStyle w:val="NormalWeb"/>
        <w:spacing w:after="240" w:line="240" w:lineRule="auto"/>
        <w:ind w:left="720" w:hanging="720"/>
        <w:rPr>
          <w:rFonts w:ascii="Arial" w:hAnsi="Arial" w:cs="Arial"/>
        </w:rPr>
      </w:pPr>
      <w:r w:rsidRPr="007E6044">
        <w:rPr>
          <w:rFonts w:ascii="Arial" w:hAnsi="Arial" w:cs="Arial"/>
        </w:rPr>
        <w:t xml:space="preserve">Cheung, C.R., Farnham, L., Al-Mukhtar, R., </w:t>
      </w:r>
      <w:proofErr w:type="spellStart"/>
      <w:r w:rsidRPr="007E6044">
        <w:rPr>
          <w:rFonts w:ascii="Arial" w:hAnsi="Arial" w:cs="Arial"/>
        </w:rPr>
        <w:t>Chahal</w:t>
      </w:r>
      <w:proofErr w:type="spellEnd"/>
      <w:r w:rsidRPr="007E6044">
        <w:rPr>
          <w:rFonts w:ascii="Arial" w:hAnsi="Arial" w:cs="Arial"/>
        </w:rPr>
        <w:t xml:space="preserve">, A., </w:t>
      </w:r>
      <w:proofErr w:type="spellStart"/>
      <w:r w:rsidRPr="007E6044">
        <w:rPr>
          <w:rFonts w:ascii="Arial" w:hAnsi="Arial" w:cs="Arial"/>
        </w:rPr>
        <w:t>Karcz</w:t>
      </w:r>
      <w:proofErr w:type="spellEnd"/>
      <w:r w:rsidRPr="007E6044">
        <w:rPr>
          <w:rFonts w:ascii="Arial" w:hAnsi="Arial" w:cs="Arial"/>
        </w:rPr>
        <w:t xml:space="preserve">, K., Nagano, C. and Abraham, B. (2024). Are virtual wards for children safe and effective? A 3-year retrospective service evaluation of an Urban Hospital at home service for children and young people. </w:t>
      </w:r>
      <w:r w:rsidRPr="007E6044">
        <w:rPr>
          <w:rFonts w:ascii="Arial" w:hAnsi="Arial" w:cs="Arial"/>
          <w:i/>
          <w:iCs/>
        </w:rPr>
        <w:t>Archives of Disease in Childhood</w:t>
      </w:r>
      <w:r w:rsidRPr="007E6044">
        <w:rPr>
          <w:rFonts w:ascii="Arial" w:hAnsi="Arial" w:cs="Arial"/>
        </w:rPr>
        <w:t xml:space="preserve">, 110(5), pp.369–376. </w:t>
      </w:r>
      <w:hyperlink r:id="rId11" w:history="1">
        <w:r w:rsidRPr="007E6044">
          <w:rPr>
            <w:rStyle w:val="Hyperlink"/>
            <w:rFonts w:ascii="Arial" w:hAnsi="Arial" w:cs="Arial"/>
          </w:rPr>
          <w:t>https://doi.org/10.1136/archdischild-2024-327582</w:t>
        </w:r>
      </w:hyperlink>
      <w:r w:rsidRPr="007E6044">
        <w:rPr>
          <w:rFonts w:ascii="Arial" w:hAnsi="Arial" w:cs="Arial"/>
        </w:rPr>
        <w:t xml:space="preserve">. </w:t>
      </w:r>
    </w:p>
    <w:p w14:paraId="69C29C77" w14:textId="77777777" w:rsidR="007E6044" w:rsidRPr="007E6044" w:rsidRDefault="007E6044" w:rsidP="007E6044">
      <w:pPr>
        <w:pStyle w:val="NormalWeb"/>
        <w:spacing w:after="240" w:line="240" w:lineRule="auto"/>
        <w:ind w:left="720" w:hanging="720"/>
        <w:rPr>
          <w:rFonts w:ascii="Arial" w:hAnsi="Arial" w:cs="Arial"/>
        </w:rPr>
      </w:pPr>
      <w:r w:rsidRPr="007E6044">
        <w:rPr>
          <w:rFonts w:ascii="Arial" w:hAnsi="Arial" w:cs="Arial"/>
        </w:rPr>
        <w:t xml:space="preserve">Clarke, J., </w:t>
      </w:r>
      <w:proofErr w:type="spellStart"/>
      <w:r w:rsidRPr="007E6044">
        <w:rPr>
          <w:rFonts w:ascii="Arial" w:hAnsi="Arial" w:cs="Arial"/>
        </w:rPr>
        <w:t>Beaney</w:t>
      </w:r>
      <w:proofErr w:type="spellEnd"/>
      <w:r w:rsidRPr="007E6044">
        <w:rPr>
          <w:rFonts w:ascii="Arial" w:hAnsi="Arial" w:cs="Arial"/>
        </w:rPr>
        <w:t xml:space="preserve">, T., </w:t>
      </w:r>
      <w:proofErr w:type="spellStart"/>
      <w:r w:rsidRPr="007E6044">
        <w:rPr>
          <w:rFonts w:ascii="Arial" w:hAnsi="Arial" w:cs="Arial"/>
        </w:rPr>
        <w:t>Alboksmaty</w:t>
      </w:r>
      <w:proofErr w:type="spellEnd"/>
      <w:r w:rsidRPr="007E6044">
        <w:rPr>
          <w:rFonts w:ascii="Arial" w:hAnsi="Arial" w:cs="Arial"/>
        </w:rPr>
        <w:t xml:space="preserve">, A., </w:t>
      </w:r>
      <w:proofErr w:type="spellStart"/>
      <w:r w:rsidRPr="007E6044">
        <w:rPr>
          <w:rFonts w:ascii="Arial" w:hAnsi="Arial" w:cs="Arial"/>
        </w:rPr>
        <w:t>Flott</w:t>
      </w:r>
      <w:proofErr w:type="spellEnd"/>
      <w:r w:rsidRPr="007E6044">
        <w:rPr>
          <w:rFonts w:ascii="Arial" w:hAnsi="Arial" w:cs="Arial"/>
        </w:rPr>
        <w:t xml:space="preserve">, K., </w:t>
      </w:r>
      <w:proofErr w:type="spellStart"/>
      <w:r w:rsidRPr="007E6044">
        <w:rPr>
          <w:rFonts w:ascii="Arial" w:hAnsi="Arial" w:cs="Arial"/>
        </w:rPr>
        <w:t>Hutan</w:t>
      </w:r>
      <w:proofErr w:type="spellEnd"/>
      <w:r w:rsidRPr="007E6044">
        <w:rPr>
          <w:rFonts w:ascii="Arial" w:hAnsi="Arial" w:cs="Arial"/>
        </w:rPr>
        <w:t xml:space="preserve"> </w:t>
      </w:r>
      <w:proofErr w:type="spellStart"/>
      <w:r w:rsidRPr="007E6044">
        <w:rPr>
          <w:rFonts w:ascii="Arial" w:hAnsi="Arial" w:cs="Arial"/>
        </w:rPr>
        <w:t>Ashrafian</w:t>
      </w:r>
      <w:proofErr w:type="spellEnd"/>
      <w:r w:rsidRPr="007E6044">
        <w:rPr>
          <w:rFonts w:ascii="Arial" w:hAnsi="Arial" w:cs="Arial"/>
        </w:rPr>
        <w:t xml:space="preserve">, Fowler, A., </w:t>
      </w:r>
      <w:proofErr w:type="spellStart"/>
      <w:r w:rsidRPr="007E6044">
        <w:rPr>
          <w:rFonts w:ascii="Arial" w:hAnsi="Arial" w:cs="Arial"/>
        </w:rPr>
        <w:t>Benger</w:t>
      </w:r>
      <w:proofErr w:type="spellEnd"/>
      <w:r w:rsidRPr="007E6044">
        <w:rPr>
          <w:rFonts w:ascii="Arial" w:hAnsi="Arial" w:cs="Arial"/>
        </w:rPr>
        <w:t xml:space="preserve">, J.R., Aylin, P., </w:t>
      </w:r>
      <w:proofErr w:type="spellStart"/>
      <w:r w:rsidRPr="007E6044">
        <w:rPr>
          <w:rFonts w:ascii="Arial" w:hAnsi="Arial" w:cs="Arial"/>
        </w:rPr>
        <w:t>Elkin</w:t>
      </w:r>
      <w:proofErr w:type="spellEnd"/>
      <w:r w:rsidRPr="007E6044">
        <w:rPr>
          <w:rFonts w:ascii="Arial" w:hAnsi="Arial" w:cs="Arial"/>
        </w:rPr>
        <w:t xml:space="preserve">, S., Ana Luisa Neves and </w:t>
      </w:r>
      <w:proofErr w:type="spellStart"/>
      <w:r w:rsidRPr="007E6044">
        <w:rPr>
          <w:rFonts w:ascii="Arial" w:hAnsi="Arial" w:cs="Arial"/>
        </w:rPr>
        <w:t>Darzi</w:t>
      </w:r>
      <w:proofErr w:type="spellEnd"/>
      <w:r w:rsidRPr="007E6044">
        <w:rPr>
          <w:rFonts w:ascii="Arial" w:hAnsi="Arial" w:cs="Arial"/>
        </w:rPr>
        <w:t xml:space="preserve">, A. (2023). Factors associated with enrolment into a national COVID-19 pulse oximetry remote monitoring programme in England: A retrospective observational study. </w:t>
      </w:r>
      <w:r w:rsidRPr="007E6044">
        <w:rPr>
          <w:rFonts w:ascii="Arial" w:hAnsi="Arial" w:cs="Arial"/>
          <w:i/>
          <w:iCs/>
        </w:rPr>
        <w:t>The Lancet Digital Health</w:t>
      </w:r>
      <w:r w:rsidRPr="007E6044">
        <w:rPr>
          <w:rFonts w:ascii="Arial" w:hAnsi="Arial" w:cs="Arial"/>
        </w:rPr>
        <w:t xml:space="preserve">, 5(4), pp.e194-e205. </w:t>
      </w:r>
      <w:hyperlink r:id="rId12" w:history="1">
        <w:r w:rsidRPr="007E6044">
          <w:rPr>
            <w:rStyle w:val="Hyperlink"/>
            <w:rFonts w:ascii="Arial" w:hAnsi="Arial" w:cs="Arial"/>
          </w:rPr>
          <w:t>https://doi.org/10.1016/s2589-7500(23)00001-8</w:t>
        </w:r>
      </w:hyperlink>
      <w:r w:rsidRPr="007E6044">
        <w:rPr>
          <w:rFonts w:ascii="Arial" w:hAnsi="Arial" w:cs="Arial"/>
        </w:rPr>
        <w:t xml:space="preserve">. </w:t>
      </w:r>
    </w:p>
    <w:p w14:paraId="69F976A4" w14:textId="77777777" w:rsidR="007E6044" w:rsidRPr="007E6044" w:rsidRDefault="007E6044" w:rsidP="007E6044">
      <w:pPr>
        <w:pStyle w:val="NormalWeb"/>
        <w:spacing w:after="240" w:line="240" w:lineRule="auto"/>
        <w:ind w:left="720" w:hanging="720"/>
        <w:rPr>
          <w:rFonts w:ascii="Arial" w:hAnsi="Arial" w:cs="Arial"/>
        </w:rPr>
      </w:pPr>
      <w:r w:rsidRPr="007E6044">
        <w:rPr>
          <w:rFonts w:ascii="Arial" w:hAnsi="Arial" w:cs="Arial"/>
        </w:rPr>
        <w:t xml:space="preserve">Conti, S., </w:t>
      </w:r>
      <w:proofErr w:type="spellStart"/>
      <w:r w:rsidRPr="007E6044">
        <w:rPr>
          <w:rFonts w:ascii="Arial" w:hAnsi="Arial" w:cs="Arial"/>
        </w:rPr>
        <w:t>Pariza</w:t>
      </w:r>
      <w:proofErr w:type="spellEnd"/>
      <w:r w:rsidRPr="007E6044">
        <w:rPr>
          <w:rFonts w:ascii="Arial" w:hAnsi="Arial" w:cs="Arial"/>
        </w:rPr>
        <w:t xml:space="preserve">, P. and </w:t>
      </w:r>
      <w:proofErr w:type="spellStart"/>
      <w:r w:rsidRPr="007E6044">
        <w:rPr>
          <w:rFonts w:ascii="Arial" w:hAnsi="Arial" w:cs="Arial"/>
        </w:rPr>
        <w:t>Wolters</w:t>
      </w:r>
      <w:proofErr w:type="spellEnd"/>
      <w:r w:rsidRPr="007E6044">
        <w:rPr>
          <w:rFonts w:ascii="Arial" w:hAnsi="Arial" w:cs="Arial"/>
        </w:rPr>
        <w:t xml:space="preserve">, A. (2025). A synthetic control evaluation of the use of pulse oximeters in response to the COVID-19 pandemic in England. </w:t>
      </w:r>
      <w:r w:rsidRPr="007E6044">
        <w:rPr>
          <w:rFonts w:ascii="Arial" w:hAnsi="Arial" w:cs="Arial"/>
          <w:i/>
          <w:iCs/>
        </w:rPr>
        <w:t>PLOS One</w:t>
      </w:r>
      <w:r w:rsidRPr="007E6044">
        <w:rPr>
          <w:rFonts w:ascii="Arial" w:hAnsi="Arial" w:cs="Arial"/>
        </w:rPr>
        <w:t xml:space="preserve">, 20(12), p.e0337617. </w:t>
      </w:r>
      <w:hyperlink r:id="rId13" w:history="1">
        <w:r w:rsidRPr="007E6044">
          <w:rPr>
            <w:rStyle w:val="Hyperlink"/>
            <w:rFonts w:ascii="Arial" w:hAnsi="Arial" w:cs="Arial"/>
          </w:rPr>
          <w:t>https://doi.org/10.1371/journal.pone.0337617</w:t>
        </w:r>
      </w:hyperlink>
      <w:r w:rsidRPr="007E6044">
        <w:rPr>
          <w:rFonts w:ascii="Arial" w:hAnsi="Arial" w:cs="Arial"/>
        </w:rPr>
        <w:t xml:space="preserve">. </w:t>
      </w:r>
    </w:p>
    <w:p w14:paraId="2249639F" w14:textId="77777777" w:rsidR="007E6044" w:rsidRPr="007E6044" w:rsidRDefault="007E6044" w:rsidP="007E6044">
      <w:pPr>
        <w:pStyle w:val="NormalWeb"/>
        <w:spacing w:after="240" w:line="240" w:lineRule="auto"/>
        <w:ind w:left="720" w:hanging="720"/>
        <w:rPr>
          <w:rFonts w:ascii="Arial" w:hAnsi="Arial" w:cs="Arial"/>
        </w:rPr>
      </w:pPr>
      <w:proofErr w:type="spellStart"/>
      <w:r w:rsidRPr="007E6044">
        <w:rPr>
          <w:rFonts w:ascii="Arial" w:hAnsi="Arial" w:cs="Arial"/>
        </w:rPr>
        <w:t>Jalilian</w:t>
      </w:r>
      <w:proofErr w:type="spellEnd"/>
      <w:r w:rsidRPr="007E6044">
        <w:rPr>
          <w:rFonts w:ascii="Arial" w:hAnsi="Arial" w:cs="Arial"/>
        </w:rPr>
        <w:t xml:space="preserve">, A., </w:t>
      </w:r>
      <w:proofErr w:type="spellStart"/>
      <w:r w:rsidRPr="007E6044">
        <w:rPr>
          <w:rFonts w:ascii="Arial" w:hAnsi="Arial" w:cs="Arial"/>
        </w:rPr>
        <w:t>Sedda</w:t>
      </w:r>
      <w:proofErr w:type="spellEnd"/>
      <w:r w:rsidRPr="007E6044">
        <w:rPr>
          <w:rFonts w:ascii="Arial" w:hAnsi="Arial" w:cs="Arial"/>
        </w:rPr>
        <w:t xml:space="preserve">, L., </w:t>
      </w:r>
      <w:proofErr w:type="spellStart"/>
      <w:r w:rsidRPr="007E6044">
        <w:rPr>
          <w:rFonts w:ascii="Arial" w:hAnsi="Arial" w:cs="Arial"/>
        </w:rPr>
        <w:t>Unsworth</w:t>
      </w:r>
      <w:proofErr w:type="spellEnd"/>
      <w:r w:rsidRPr="007E6044">
        <w:rPr>
          <w:rFonts w:ascii="Arial" w:hAnsi="Arial" w:cs="Arial"/>
        </w:rPr>
        <w:t xml:space="preserve">, A. and Farrier, M. (2024). Length of stay and economic sustainability of virtual ward care in a medium-sized hospital of the UK: A retrospective longitudinal study. </w:t>
      </w:r>
      <w:r w:rsidRPr="007E6044">
        <w:rPr>
          <w:rFonts w:ascii="Arial" w:hAnsi="Arial" w:cs="Arial"/>
          <w:i/>
          <w:iCs/>
        </w:rPr>
        <w:t>BMJ Open</w:t>
      </w:r>
      <w:r w:rsidRPr="007E6044">
        <w:rPr>
          <w:rFonts w:ascii="Arial" w:hAnsi="Arial" w:cs="Arial"/>
        </w:rPr>
        <w:t xml:space="preserve">, 14(1), pp.e081378-e081378. </w:t>
      </w:r>
      <w:hyperlink r:id="rId14" w:history="1">
        <w:r w:rsidRPr="007E6044">
          <w:rPr>
            <w:rStyle w:val="Hyperlink"/>
            <w:rFonts w:ascii="Arial" w:hAnsi="Arial" w:cs="Arial"/>
          </w:rPr>
          <w:t>https://doi.org/10.1136/bmjopen-2023-081378</w:t>
        </w:r>
      </w:hyperlink>
      <w:r w:rsidRPr="007E6044">
        <w:rPr>
          <w:rFonts w:ascii="Arial" w:hAnsi="Arial" w:cs="Arial"/>
        </w:rPr>
        <w:t xml:space="preserve">. </w:t>
      </w:r>
    </w:p>
    <w:p w14:paraId="747F8FC5" w14:textId="77777777" w:rsidR="007E6044" w:rsidRPr="007E6044" w:rsidRDefault="007E6044" w:rsidP="007E6044">
      <w:pPr>
        <w:pStyle w:val="NormalWeb"/>
        <w:spacing w:after="240" w:line="240" w:lineRule="auto"/>
        <w:ind w:left="720" w:hanging="720"/>
        <w:rPr>
          <w:rFonts w:ascii="Arial" w:hAnsi="Arial" w:cs="Arial"/>
        </w:rPr>
      </w:pPr>
      <w:r w:rsidRPr="007E6044">
        <w:rPr>
          <w:rFonts w:ascii="Arial" w:hAnsi="Arial" w:cs="Arial"/>
        </w:rPr>
        <w:t xml:space="preserve">Ko, S.Q., Min, C., Koh, S.H., Lim, Y.W. and Shorey, S. (2023). Experiences of patients and their caregivers in a Virtual Ward in Singapore: A descriptive qualitative study. </w:t>
      </w:r>
      <w:r w:rsidRPr="007E6044">
        <w:rPr>
          <w:rFonts w:ascii="Arial" w:hAnsi="Arial" w:cs="Arial"/>
          <w:i/>
          <w:iCs/>
        </w:rPr>
        <w:t>International Journal of Medical Informatics</w:t>
      </w:r>
      <w:r w:rsidRPr="007E6044">
        <w:rPr>
          <w:rFonts w:ascii="Arial" w:hAnsi="Arial" w:cs="Arial"/>
        </w:rPr>
        <w:t xml:space="preserve">, 177, pp.105111–105111. </w:t>
      </w:r>
      <w:hyperlink r:id="rId15" w:history="1">
        <w:r w:rsidRPr="007E6044">
          <w:rPr>
            <w:rStyle w:val="Hyperlink"/>
            <w:rFonts w:ascii="Arial" w:hAnsi="Arial" w:cs="Arial"/>
          </w:rPr>
          <w:t>https://doi.org/10.1016/j.ijmedinf.2023.105111</w:t>
        </w:r>
      </w:hyperlink>
      <w:r w:rsidRPr="007E6044">
        <w:rPr>
          <w:rFonts w:ascii="Arial" w:hAnsi="Arial" w:cs="Arial"/>
        </w:rPr>
        <w:t xml:space="preserve">. </w:t>
      </w:r>
    </w:p>
    <w:p w14:paraId="5CBB5D91" w14:textId="77777777" w:rsidR="007E6044" w:rsidRPr="007E6044" w:rsidRDefault="007E6044" w:rsidP="007E6044">
      <w:pPr>
        <w:pStyle w:val="NormalWeb"/>
        <w:spacing w:after="240" w:line="240" w:lineRule="auto"/>
        <w:ind w:left="720" w:hanging="720"/>
        <w:rPr>
          <w:rFonts w:ascii="Arial" w:hAnsi="Arial" w:cs="Arial"/>
        </w:rPr>
      </w:pPr>
      <w:proofErr w:type="spellStart"/>
      <w:r w:rsidRPr="007E6044">
        <w:rPr>
          <w:rFonts w:ascii="Arial" w:hAnsi="Arial" w:cs="Arial"/>
        </w:rPr>
        <w:t>Kotb</w:t>
      </w:r>
      <w:proofErr w:type="spellEnd"/>
      <w:r w:rsidRPr="007E6044">
        <w:rPr>
          <w:rFonts w:ascii="Arial" w:hAnsi="Arial" w:cs="Arial"/>
        </w:rPr>
        <w:t xml:space="preserve">, A., Armstrong, S., </w:t>
      </w:r>
      <w:proofErr w:type="spellStart"/>
      <w:r w:rsidRPr="007E6044">
        <w:rPr>
          <w:rFonts w:ascii="Arial" w:hAnsi="Arial" w:cs="Arial"/>
        </w:rPr>
        <w:t>Antoun</w:t>
      </w:r>
      <w:proofErr w:type="spellEnd"/>
      <w:r w:rsidRPr="007E6044">
        <w:rPr>
          <w:rFonts w:ascii="Arial" w:hAnsi="Arial" w:cs="Arial"/>
        </w:rPr>
        <w:t xml:space="preserve">, I., </w:t>
      </w:r>
      <w:proofErr w:type="spellStart"/>
      <w:r w:rsidRPr="007E6044">
        <w:rPr>
          <w:rFonts w:ascii="Arial" w:hAnsi="Arial" w:cs="Arial"/>
        </w:rPr>
        <w:t>Koev</w:t>
      </w:r>
      <w:proofErr w:type="spellEnd"/>
      <w:r w:rsidRPr="007E6044">
        <w:rPr>
          <w:rFonts w:ascii="Arial" w:hAnsi="Arial" w:cs="Arial"/>
        </w:rPr>
        <w:t xml:space="preserve">, I., </w:t>
      </w:r>
      <w:proofErr w:type="spellStart"/>
      <w:r w:rsidRPr="007E6044">
        <w:rPr>
          <w:rFonts w:ascii="Arial" w:hAnsi="Arial" w:cs="Arial"/>
        </w:rPr>
        <w:t>Mavilakandy</w:t>
      </w:r>
      <w:proofErr w:type="spellEnd"/>
      <w:r w:rsidRPr="007E6044">
        <w:rPr>
          <w:rFonts w:ascii="Arial" w:hAnsi="Arial" w:cs="Arial"/>
        </w:rPr>
        <w:t xml:space="preserve">, A., Barker, J., </w:t>
      </w:r>
      <w:proofErr w:type="spellStart"/>
      <w:r w:rsidRPr="007E6044">
        <w:rPr>
          <w:rFonts w:ascii="Arial" w:hAnsi="Arial" w:cs="Arial"/>
        </w:rPr>
        <w:t>Vali</w:t>
      </w:r>
      <w:proofErr w:type="spellEnd"/>
      <w:r w:rsidRPr="007E6044">
        <w:rPr>
          <w:rFonts w:ascii="Arial" w:hAnsi="Arial" w:cs="Arial"/>
        </w:rPr>
        <w:t xml:space="preserve">, Z., </w:t>
      </w:r>
      <w:proofErr w:type="spellStart"/>
      <w:r w:rsidRPr="007E6044">
        <w:rPr>
          <w:rFonts w:ascii="Arial" w:hAnsi="Arial" w:cs="Arial"/>
        </w:rPr>
        <w:t>Panchal</w:t>
      </w:r>
      <w:proofErr w:type="spellEnd"/>
      <w:r w:rsidRPr="007E6044">
        <w:rPr>
          <w:rFonts w:ascii="Arial" w:hAnsi="Arial" w:cs="Arial"/>
        </w:rPr>
        <w:t xml:space="preserve">, G., Li, X., </w:t>
      </w:r>
      <w:proofErr w:type="spellStart"/>
      <w:r w:rsidRPr="007E6044">
        <w:rPr>
          <w:rFonts w:ascii="Arial" w:hAnsi="Arial" w:cs="Arial"/>
        </w:rPr>
        <w:t>Lazdam</w:t>
      </w:r>
      <w:proofErr w:type="spellEnd"/>
      <w:r w:rsidRPr="007E6044">
        <w:rPr>
          <w:rFonts w:ascii="Arial" w:hAnsi="Arial" w:cs="Arial"/>
        </w:rPr>
        <w:t xml:space="preserve">, M., Ibrahim, M., Sandilands, A., Chin, S., </w:t>
      </w:r>
      <w:proofErr w:type="spellStart"/>
      <w:r w:rsidRPr="007E6044">
        <w:rPr>
          <w:rFonts w:ascii="Arial" w:hAnsi="Arial" w:cs="Arial"/>
        </w:rPr>
        <w:t>Somani</w:t>
      </w:r>
      <w:proofErr w:type="spellEnd"/>
      <w:r w:rsidRPr="007E6044">
        <w:rPr>
          <w:rFonts w:ascii="Arial" w:hAnsi="Arial" w:cs="Arial"/>
        </w:rPr>
        <w:t xml:space="preserve">, R. and Andre Ng, G. (2022). Atrial fibrillation virtual ward: Reshaping the future of AF care. </w:t>
      </w:r>
      <w:r w:rsidRPr="007E6044">
        <w:rPr>
          <w:rFonts w:ascii="Arial" w:hAnsi="Arial" w:cs="Arial"/>
          <w:i/>
          <w:iCs/>
        </w:rPr>
        <w:t>European Heart Journal - Digital Health</w:t>
      </w:r>
      <w:r w:rsidRPr="007E6044">
        <w:rPr>
          <w:rFonts w:ascii="Arial" w:hAnsi="Arial" w:cs="Arial"/>
        </w:rPr>
        <w:t xml:space="preserve">, [online] 3(4). </w:t>
      </w:r>
      <w:hyperlink r:id="rId16" w:history="1">
        <w:r w:rsidRPr="007E6044">
          <w:rPr>
            <w:rStyle w:val="Hyperlink"/>
            <w:rFonts w:ascii="Arial" w:hAnsi="Arial" w:cs="Arial"/>
          </w:rPr>
          <w:t>https://doi.org/10.1093/ehjdh/ztac076.2804</w:t>
        </w:r>
      </w:hyperlink>
      <w:r w:rsidRPr="007E6044">
        <w:rPr>
          <w:rFonts w:ascii="Arial" w:hAnsi="Arial" w:cs="Arial"/>
        </w:rPr>
        <w:t xml:space="preserve">. </w:t>
      </w:r>
    </w:p>
    <w:p w14:paraId="1B017E30" w14:textId="77777777" w:rsidR="007E6044" w:rsidRPr="007E6044" w:rsidRDefault="007E6044" w:rsidP="007E6044">
      <w:pPr>
        <w:pStyle w:val="NormalWeb"/>
        <w:spacing w:after="240" w:line="240" w:lineRule="auto"/>
        <w:ind w:left="720" w:hanging="720"/>
        <w:rPr>
          <w:rFonts w:ascii="Arial" w:hAnsi="Arial" w:cs="Arial"/>
        </w:rPr>
      </w:pPr>
      <w:r w:rsidRPr="007E6044">
        <w:rPr>
          <w:rFonts w:ascii="Arial" w:hAnsi="Arial" w:cs="Arial"/>
        </w:rPr>
        <w:t xml:space="preserve">Lindsay, R.K., Cunnington, P. and Dixon-Woods, M. (2025). Why is implementing remote monitoring in virtual wards (hospital at home) for people living with frailty so hard? Qualitative interview study. </w:t>
      </w:r>
      <w:r w:rsidRPr="007E6044">
        <w:rPr>
          <w:rFonts w:ascii="Arial" w:hAnsi="Arial" w:cs="Arial"/>
          <w:i/>
          <w:iCs/>
        </w:rPr>
        <w:t>Age and Ageing</w:t>
      </w:r>
      <w:r w:rsidRPr="007E6044">
        <w:rPr>
          <w:rFonts w:ascii="Arial" w:hAnsi="Arial" w:cs="Arial"/>
        </w:rPr>
        <w:t xml:space="preserve">, [online] 54(1). </w:t>
      </w:r>
      <w:hyperlink r:id="rId17" w:history="1">
        <w:r w:rsidRPr="007E6044">
          <w:rPr>
            <w:rStyle w:val="Hyperlink"/>
            <w:rFonts w:ascii="Arial" w:hAnsi="Arial" w:cs="Arial"/>
          </w:rPr>
          <w:t>https://doi.org/10.1093/ageing/afaf003</w:t>
        </w:r>
      </w:hyperlink>
      <w:r w:rsidRPr="007E6044">
        <w:rPr>
          <w:rFonts w:ascii="Arial" w:hAnsi="Arial" w:cs="Arial"/>
        </w:rPr>
        <w:t xml:space="preserve">. </w:t>
      </w:r>
    </w:p>
    <w:p w14:paraId="2352AA3E" w14:textId="77777777" w:rsidR="007E6044" w:rsidRPr="007E6044" w:rsidRDefault="007E6044" w:rsidP="007E6044">
      <w:pPr>
        <w:pStyle w:val="NormalWeb"/>
        <w:spacing w:after="240" w:line="240" w:lineRule="auto"/>
        <w:ind w:left="720" w:hanging="720"/>
        <w:rPr>
          <w:rFonts w:ascii="Arial" w:hAnsi="Arial" w:cs="Arial"/>
        </w:rPr>
      </w:pPr>
      <w:r w:rsidRPr="007E6044">
        <w:rPr>
          <w:rFonts w:ascii="Arial" w:hAnsi="Arial" w:cs="Arial"/>
        </w:rPr>
        <w:t xml:space="preserve">Litchfield, I., Lewis, R., </w:t>
      </w:r>
      <w:proofErr w:type="spellStart"/>
      <w:r w:rsidRPr="007E6044">
        <w:rPr>
          <w:rFonts w:ascii="Arial" w:hAnsi="Arial" w:cs="Arial"/>
        </w:rPr>
        <w:t>Delanerolle</w:t>
      </w:r>
      <w:proofErr w:type="spellEnd"/>
      <w:r w:rsidRPr="007E6044">
        <w:rPr>
          <w:rFonts w:ascii="Arial" w:hAnsi="Arial" w:cs="Arial"/>
        </w:rPr>
        <w:t xml:space="preserve">, G., </w:t>
      </w:r>
      <w:proofErr w:type="spellStart"/>
      <w:r w:rsidRPr="007E6044">
        <w:rPr>
          <w:rFonts w:ascii="Arial" w:hAnsi="Arial" w:cs="Arial"/>
        </w:rPr>
        <w:t>Melyda</w:t>
      </w:r>
      <w:proofErr w:type="spellEnd"/>
      <w:r w:rsidRPr="007E6044">
        <w:rPr>
          <w:rFonts w:ascii="Arial" w:hAnsi="Arial" w:cs="Arial"/>
        </w:rPr>
        <w:t xml:space="preserve">, M. and Harper, L. (2025). Factors influencing the implementation of a multi-speciality virtual ward programme in the UK: A qualitative study of staff experiences and perspectives (preprint). </w:t>
      </w:r>
      <w:r w:rsidRPr="007E6044">
        <w:rPr>
          <w:rFonts w:ascii="Arial" w:hAnsi="Arial" w:cs="Arial"/>
          <w:i/>
          <w:iCs/>
        </w:rPr>
        <w:t>Journal of Medical Internet Research</w:t>
      </w:r>
      <w:r w:rsidRPr="007E6044">
        <w:rPr>
          <w:rFonts w:ascii="Arial" w:hAnsi="Arial" w:cs="Arial"/>
        </w:rPr>
        <w:t xml:space="preserve">, [online] 27, pp.e75406-e75406. </w:t>
      </w:r>
      <w:hyperlink r:id="rId18" w:history="1">
        <w:r w:rsidRPr="007E6044">
          <w:rPr>
            <w:rStyle w:val="Hyperlink"/>
            <w:rFonts w:ascii="Arial" w:hAnsi="Arial" w:cs="Arial"/>
          </w:rPr>
          <w:t>https://doi.org/10.2196/75406</w:t>
        </w:r>
      </w:hyperlink>
      <w:r w:rsidRPr="007E6044">
        <w:rPr>
          <w:rFonts w:ascii="Arial" w:hAnsi="Arial" w:cs="Arial"/>
        </w:rPr>
        <w:t xml:space="preserve">. </w:t>
      </w:r>
    </w:p>
    <w:p w14:paraId="3559C5D8" w14:textId="77777777" w:rsidR="007E6044" w:rsidRPr="007E6044" w:rsidRDefault="007E6044" w:rsidP="007E6044">
      <w:pPr>
        <w:pStyle w:val="NormalWeb"/>
        <w:spacing w:after="240" w:line="240" w:lineRule="auto"/>
        <w:ind w:left="720" w:hanging="720"/>
        <w:rPr>
          <w:rFonts w:ascii="Arial" w:hAnsi="Arial" w:cs="Arial"/>
        </w:rPr>
      </w:pPr>
      <w:r w:rsidRPr="007E6044">
        <w:rPr>
          <w:rFonts w:ascii="Arial" w:hAnsi="Arial" w:cs="Arial"/>
        </w:rPr>
        <w:t xml:space="preserve">Lyndon, H., </w:t>
      </w:r>
      <w:proofErr w:type="spellStart"/>
      <w:r w:rsidRPr="007E6044">
        <w:rPr>
          <w:rFonts w:ascii="Arial" w:hAnsi="Arial" w:cs="Arial"/>
        </w:rPr>
        <w:t>Viney</w:t>
      </w:r>
      <w:proofErr w:type="spellEnd"/>
      <w:r w:rsidRPr="007E6044">
        <w:rPr>
          <w:rFonts w:ascii="Arial" w:hAnsi="Arial" w:cs="Arial"/>
        </w:rPr>
        <w:t xml:space="preserve">, T. and </w:t>
      </w:r>
      <w:proofErr w:type="spellStart"/>
      <w:r w:rsidRPr="007E6044">
        <w:rPr>
          <w:rFonts w:ascii="Arial" w:hAnsi="Arial" w:cs="Arial"/>
        </w:rPr>
        <w:t>Slade</w:t>
      </w:r>
      <w:proofErr w:type="spellEnd"/>
      <w:r w:rsidRPr="007E6044">
        <w:rPr>
          <w:rFonts w:ascii="Arial" w:hAnsi="Arial" w:cs="Arial"/>
        </w:rPr>
        <w:t xml:space="preserve">, V. (2025). A service evaluation of virtual wards in Cornwall, UK. </w:t>
      </w:r>
      <w:r w:rsidRPr="007E6044">
        <w:rPr>
          <w:rFonts w:ascii="Arial" w:hAnsi="Arial" w:cs="Arial"/>
          <w:i/>
          <w:iCs/>
        </w:rPr>
        <w:t>Oxford Open Digital Health</w:t>
      </w:r>
      <w:r w:rsidRPr="007E6044">
        <w:rPr>
          <w:rFonts w:ascii="Arial" w:hAnsi="Arial" w:cs="Arial"/>
        </w:rPr>
        <w:t xml:space="preserve">. [online] </w:t>
      </w:r>
      <w:hyperlink r:id="rId19" w:history="1">
        <w:r w:rsidRPr="007E6044">
          <w:rPr>
            <w:rStyle w:val="Hyperlink"/>
            <w:rFonts w:ascii="Arial" w:hAnsi="Arial" w:cs="Arial"/>
          </w:rPr>
          <w:t>https://doi.org/10.1093/oodh/oqaf008</w:t>
        </w:r>
      </w:hyperlink>
      <w:r w:rsidRPr="007E6044">
        <w:rPr>
          <w:rFonts w:ascii="Arial" w:hAnsi="Arial" w:cs="Arial"/>
        </w:rPr>
        <w:t xml:space="preserve">. </w:t>
      </w:r>
    </w:p>
    <w:p w14:paraId="5007C795" w14:textId="77777777" w:rsidR="007E6044" w:rsidRPr="007E6044" w:rsidRDefault="007E6044" w:rsidP="007E6044">
      <w:pPr>
        <w:pStyle w:val="NormalWeb"/>
        <w:spacing w:after="240" w:line="240" w:lineRule="auto"/>
        <w:ind w:left="720" w:hanging="720"/>
        <w:rPr>
          <w:rFonts w:ascii="Arial" w:hAnsi="Arial" w:cs="Arial"/>
        </w:rPr>
      </w:pPr>
      <w:r w:rsidRPr="007E6044">
        <w:rPr>
          <w:rFonts w:ascii="Arial" w:hAnsi="Arial" w:cs="Arial"/>
        </w:rPr>
        <w:t xml:space="preserve">McGowan, L.J., Graham, F., </w:t>
      </w:r>
      <w:proofErr w:type="spellStart"/>
      <w:r w:rsidRPr="007E6044">
        <w:rPr>
          <w:rFonts w:ascii="Arial" w:hAnsi="Arial" w:cs="Arial"/>
        </w:rPr>
        <w:t>Lecouturier</w:t>
      </w:r>
      <w:proofErr w:type="spellEnd"/>
      <w:r w:rsidRPr="007E6044">
        <w:rPr>
          <w:rFonts w:ascii="Arial" w:hAnsi="Arial" w:cs="Arial"/>
        </w:rPr>
        <w:t xml:space="preserve">, J., </w:t>
      </w:r>
      <w:proofErr w:type="spellStart"/>
      <w:r w:rsidRPr="007E6044">
        <w:rPr>
          <w:rFonts w:ascii="Arial" w:hAnsi="Arial" w:cs="Arial"/>
        </w:rPr>
        <w:t>Goffe</w:t>
      </w:r>
      <w:proofErr w:type="spellEnd"/>
      <w:r w:rsidRPr="007E6044">
        <w:rPr>
          <w:rFonts w:ascii="Arial" w:hAnsi="Arial" w:cs="Arial"/>
        </w:rPr>
        <w:t xml:space="preserve">, L., </w:t>
      </w:r>
      <w:proofErr w:type="spellStart"/>
      <w:r w:rsidRPr="007E6044">
        <w:rPr>
          <w:rFonts w:ascii="Arial" w:hAnsi="Arial" w:cs="Arial"/>
        </w:rPr>
        <w:t>Echevarria</w:t>
      </w:r>
      <w:proofErr w:type="spellEnd"/>
      <w:r w:rsidRPr="007E6044">
        <w:rPr>
          <w:rFonts w:ascii="Arial" w:hAnsi="Arial" w:cs="Arial"/>
        </w:rPr>
        <w:t xml:space="preserve">, C., Kelly, M.P. and </w:t>
      </w:r>
      <w:proofErr w:type="spellStart"/>
      <w:r w:rsidRPr="007E6044">
        <w:rPr>
          <w:rFonts w:ascii="Arial" w:hAnsi="Arial" w:cs="Arial"/>
        </w:rPr>
        <w:t>Sniehotta</w:t>
      </w:r>
      <w:proofErr w:type="spellEnd"/>
      <w:r w:rsidRPr="007E6044">
        <w:rPr>
          <w:rFonts w:ascii="Arial" w:hAnsi="Arial" w:cs="Arial"/>
        </w:rPr>
        <w:t xml:space="preserve">, F.F. (2024). The views and experiences of Integrated Care System Commissioners about the adoption and implementation of virtual wards in England: Qualitative exploration study. </w:t>
      </w:r>
      <w:r w:rsidRPr="007E6044">
        <w:rPr>
          <w:rFonts w:ascii="Arial" w:hAnsi="Arial" w:cs="Arial"/>
          <w:i/>
          <w:iCs/>
        </w:rPr>
        <w:t>Journal of Medical Internet Research</w:t>
      </w:r>
      <w:r w:rsidRPr="007E6044">
        <w:rPr>
          <w:rFonts w:ascii="Arial" w:hAnsi="Arial" w:cs="Arial"/>
        </w:rPr>
        <w:t xml:space="preserve">, [online] 26, p.e56494. </w:t>
      </w:r>
      <w:hyperlink r:id="rId20" w:history="1">
        <w:r w:rsidRPr="007E6044">
          <w:rPr>
            <w:rStyle w:val="Hyperlink"/>
            <w:rFonts w:ascii="Arial" w:hAnsi="Arial" w:cs="Arial"/>
          </w:rPr>
          <w:t>https://doi.org/10.2196/56494</w:t>
        </w:r>
      </w:hyperlink>
      <w:r w:rsidRPr="007E6044">
        <w:rPr>
          <w:rFonts w:ascii="Arial" w:hAnsi="Arial" w:cs="Arial"/>
        </w:rPr>
        <w:t xml:space="preserve">. </w:t>
      </w:r>
    </w:p>
    <w:p w14:paraId="55809058" w14:textId="77777777" w:rsidR="007E6044" w:rsidRPr="007E6044" w:rsidRDefault="007E6044" w:rsidP="007E6044">
      <w:pPr>
        <w:pStyle w:val="NormalWeb"/>
        <w:spacing w:after="240" w:line="240" w:lineRule="auto"/>
        <w:ind w:left="720" w:hanging="720"/>
        <w:rPr>
          <w:rFonts w:ascii="Arial" w:hAnsi="Arial" w:cs="Arial"/>
        </w:rPr>
      </w:pPr>
      <w:proofErr w:type="spellStart"/>
      <w:r w:rsidRPr="007E6044">
        <w:rPr>
          <w:rFonts w:ascii="Arial" w:hAnsi="Arial" w:cs="Arial"/>
        </w:rPr>
        <w:t>Pugmire</w:t>
      </w:r>
      <w:proofErr w:type="spellEnd"/>
      <w:r w:rsidRPr="007E6044">
        <w:rPr>
          <w:rFonts w:ascii="Arial" w:hAnsi="Arial" w:cs="Arial"/>
        </w:rPr>
        <w:t xml:space="preserve">, J., Ashish, A., Chadwick, A., Wilkes, M., </w:t>
      </w:r>
      <w:proofErr w:type="spellStart"/>
      <w:r w:rsidRPr="007E6044">
        <w:rPr>
          <w:rFonts w:ascii="Arial" w:hAnsi="Arial" w:cs="Arial"/>
        </w:rPr>
        <w:t>Meekin</w:t>
      </w:r>
      <w:proofErr w:type="spellEnd"/>
      <w:r w:rsidRPr="007E6044">
        <w:rPr>
          <w:rFonts w:ascii="Arial" w:hAnsi="Arial" w:cs="Arial"/>
        </w:rPr>
        <w:t xml:space="preserve">, D., </w:t>
      </w:r>
      <w:proofErr w:type="spellStart"/>
      <w:r w:rsidRPr="007E6044">
        <w:rPr>
          <w:rFonts w:ascii="Arial" w:hAnsi="Arial" w:cs="Arial"/>
        </w:rPr>
        <w:t>Zaniello</w:t>
      </w:r>
      <w:proofErr w:type="spellEnd"/>
      <w:r w:rsidRPr="007E6044">
        <w:rPr>
          <w:rFonts w:ascii="Arial" w:hAnsi="Arial" w:cs="Arial"/>
        </w:rPr>
        <w:t xml:space="preserve">, B. and </w:t>
      </w:r>
      <w:proofErr w:type="spellStart"/>
      <w:r w:rsidRPr="007E6044">
        <w:rPr>
          <w:rFonts w:ascii="Arial" w:hAnsi="Arial" w:cs="Arial"/>
        </w:rPr>
        <w:t>Zahradka</w:t>
      </w:r>
      <w:proofErr w:type="spellEnd"/>
      <w:r w:rsidRPr="007E6044">
        <w:rPr>
          <w:rFonts w:ascii="Arial" w:hAnsi="Arial" w:cs="Arial"/>
        </w:rPr>
        <w:t xml:space="preserve">, N. (2025). A 2-Year retrospective clinical evaluation of A novel virtual ward model. </w:t>
      </w:r>
      <w:r w:rsidRPr="007E6044">
        <w:rPr>
          <w:rFonts w:ascii="Arial" w:hAnsi="Arial" w:cs="Arial"/>
          <w:i/>
          <w:iCs/>
        </w:rPr>
        <w:t>Journal of Primary Care &amp; Community Health</w:t>
      </w:r>
      <w:r w:rsidRPr="007E6044">
        <w:rPr>
          <w:rFonts w:ascii="Arial" w:hAnsi="Arial" w:cs="Arial"/>
        </w:rPr>
        <w:t xml:space="preserve">, 16. </w:t>
      </w:r>
      <w:hyperlink r:id="rId21" w:history="1">
        <w:r w:rsidRPr="007E6044">
          <w:rPr>
            <w:rStyle w:val="Hyperlink"/>
            <w:rFonts w:ascii="Arial" w:hAnsi="Arial" w:cs="Arial"/>
          </w:rPr>
          <w:t>https://doi.org/10.1177/21501319251326750</w:t>
        </w:r>
      </w:hyperlink>
      <w:r w:rsidRPr="007E6044">
        <w:rPr>
          <w:rFonts w:ascii="Arial" w:hAnsi="Arial" w:cs="Arial"/>
        </w:rPr>
        <w:t xml:space="preserve">. </w:t>
      </w:r>
    </w:p>
    <w:p w14:paraId="402E6B6B" w14:textId="77777777" w:rsidR="007E6044" w:rsidRPr="007E6044" w:rsidRDefault="007E6044" w:rsidP="007E6044">
      <w:pPr>
        <w:pStyle w:val="NormalWeb"/>
        <w:spacing w:after="240" w:line="240" w:lineRule="auto"/>
        <w:ind w:left="720" w:hanging="720"/>
        <w:rPr>
          <w:rFonts w:ascii="Arial" w:hAnsi="Arial" w:cs="Arial"/>
        </w:rPr>
      </w:pPr>
      <w:proofErr w:type="spellStart"/>
      <w:r w:rsidRPr="007E6044">
        <w:rPr>
          <w:rFonts w:ascii="Arial" w:hAnsi="Arial" w:cs="Arial"/>
        </w:rPr>
        <w:t>Rasoul</w:t>
      </w:r>
      <w:proofErr w:type="spellEnd"/>
      <w:r w:rsidRPr="007E6044">
        <w:rPr>
          <w:rFonts w:ascii="Arial" w:hAnsi="Arial" w:cs="Arial"/>
        </w:rPr>
        <w:t xml:space="preserve">, D., Chattopadhyay, I., Mayer, T., West, J., </w:t>
      </w:r>
      <w:proofErr w:type="spellStart"/>
      <w:r w:rsidRPr="007E6044">
        <w:rPr>
          <w:rFonts w:ascii="Arial" w:hAnsi="Arial" w:cs="Arial"/>
        </w:rPr>
        <w:t>Stollar</w:t>
      </w:r>
      <w:proofErr w:type="spellEnd"/>
      <w:r w:rsidRPr="007E6044">
        <w:rPr>
          <w:rFonts w:ascii="Arial" w:hAnsi="Arial" w:cs="Arial"/>
        </w:rPr>
        <w:t xml:space="preserve">, H., Black, C., </w:t>
      </w:r>
      <w:proofErr w:type="spellStart"/>
      <w:r w:rsidRPr="007E6044">
        <w:rPr>
          <w:rFonts w:ascii="Arial" w:hAnsi="Arial" w:cs="Arial"/>
        </w:rPr>
        <w:t>Oguguo</w:t>
      </w:r>
      <w:proofErr w:type="spellEnd"/>
      <w:r w:rsidRPr="007E6044">
        <w:rPr>
          <w:rFonts w:ascii="Arial" w:hAnsi="Arial" w:cs="Arial"/>
        </w:rPr>
        <w:t xml:space="preserve">, C., Kaur, R., MacDonald, R., </w:t>
      </w:r>
      <w:proofErr w:type="spellStart"/>
      <w:r w:rsidRPr="007E6044">
        <w:rPr>
          <w:rFonts w:ascii="Arial" w:hAnsi="Arial" w:cs="Arial"/>
        </w:rPr>
        <w:t>Pocock</w:t>
      </w:r>
      <w:proofErr w:type="spellEnd"/>
      <w:r w:rsidRPr="007E6044">
        <w:rPr>
          <w:rFonts w:ascii="Arial" w:hAnsi="Arial" w:cs="Arial"/>
        </w:rPr>
        <w:t xml:space="preserve">, J., </w:t>
      </w:r>
      <w:proofErr w:type="spellStart"/>
      <w:r w:rsidRPr="007E6044">
        <w:rPr>
          <w:rFonts w:ascii="Arial" w:hAnsi="Arial" w:cs="Arial"/>
        </w:rPr>
        <w:t>Uzdzinska</w:t>
      </w:r>
      <w:proofErr w:type="spellEnd"/>
      <w:r w:rsidRPr="007E6044">
        <w:rPr>
          <w:rFonts w:ascii="Arial" w:hAnsi="Arial" w:cs="Arial"/>
        </w:rPr>
        <w:t xml:space="preserve">, B., </w:t>
      </w:r>
      <w:proofErr w:type="spellStart"/>
      <w:r w:rsidRPr="007E6044">
        <w:rPr>
          <w:rFonts w:ascii="Arial" w:hAnsi="Arial" w:cs="Arial"/>
        </w:rPr>
        <w:t>Umpleby</w:t>
      </w:r>
      <w:proofErr w:type="spellEnd"/>
      <w:r w:rsidRPr="007E6044">
        <w:rPr>
          <w:rFonts w:ascii="Arial" w:hAnsi="Arial" w:cs="Arial"/>
        </w:rPr>
        <w:t xml:space="preserve">, B., Hex, N., Lip, G.Y.H. and </w:t>
      </w:r>
      <w:proofErr w:type="spellStart"/>
      <w:r w:rsidRPr="007E6044">
        <w:rPr>
          <w:rFonts w:ascii="Arial" w:hAnsi="Arial" w:cs="Arial"/>
        </w:rPr>
        <w:t>Sankaranarayanan</w:t>
      </w:r>
      <w:proofErr w:type="spellEnd"/>
      <w:r w:rsidRPr="007E6044">
        <w:rPr>
          <w:rFonts w:ascii="Arial" w:hAnsi="Arial" w:cs="Arial"/>
        </w:rPr>
        <w:t xml:space="preserve">, R. (2024). Economic evaluation of the Liverpool heart failure virtual ward model. </w:t>
      </w:r>
      <w:r w:rsidRPr="007E6044">
        <w:rPr>
          <w:rFonts w:ascii="Arial" w:hAnsi="Arial" w:cs="Arial"/>
          <w:i/>
          <w:iCs/>
        </w:rPr>
        <w:t>European Heart Journal - Quality of Care and Clinical Outcomes</w:t>
      </w:r>
      <w:r w:rsidRPr="007E6044">
        <w:rPr>
          <w:rFonts w:ascii="Arial" w:hAnsi="Arial" w:cs="Arial"/>
        </w:rPr>
        <w:t xml:space="preserve">. [online] </w:t>
      </w:r>
      <w:hyperlink r:id="rId22" w:history="1">
        <w:r w:rsidRPr="007E6044">
          <w:rPr>
            <w:rStyle w:val="Hyperlink"/>
            <w:rFonts w:ascii="Arial" w:hAnsi="Arial" w:cs="Arial"/>
          </w:rPr>
          <w:t>https://doi.org/10.1093/ehjqcco/qcae095</w:t>
        </w:r>
      </w:hyperlink>
      <w:r w:rsidRPr="007E6044">
        <w:rPr>
          <w:rFonts w:ascii="Arial" w:hAnsi="Arial" w:cs="Arial"/>
        </w:rPr>
        <w:t xml:space="preserve">. </w:t>
      </w:r>
    </w:p>
    <w:p w14:paraId="4FDBAD7B" w14:textId="77777777" w:rsidR="007E6044" w:rsidRPr="007E6044" w:rsidRDefault="007E6044" w:rsidP="007E6044">
      <w:pPr>
        <w:pStyle w:val="NormalWeb"/>
        <w:spacing w:after="240" w:line="240" w:lineRule="auto"/>
        <w:ind w:left="720" w:hanging="720"/>
        <w:rPr>
          <w:rFonts w:ascii="Arial" w:hAnsi="Arial" w:cs="Arial"/>
        </w:rPr>
      </w:pPr>
      <w:proofErr w:type="spellStart"/>
      <w:r w:rsidRPr="007E6044">
        <w:rPr>
          <w:rFonts w:ascii="Arial" w:hAnsi="Arial" w:cs="Arial"/>
        </w:rPr>
        <w:t>Saleh</w:t>
      </w:r>
      <w:proofErr w:type="spellEnd"/>
      <w:r w:rsidRPr="007E6044">
        <w:rPr>
          <w:rFonts w:ascii="Arial" w:hAnsi="Arial" w:cs="Arial"/>
        </w:rPr>
        <w:t xml:space="preserve">, K., </w:t>
      </w:r>
      <w:proofErr w:type="spellStart"/>
      <w:r w:rsidRPr="007E6044">
        <w:rPr>
          <w:rFonts w:ascii="Arial" w:hAnsi="Arial" w:cs="Arial"/>
        </w:rPr>
        <w:t>Syan</w:t>
      </w:r>
      <w:proofErr w:type="spellEnd"/>
      <w:r w:rsidRPr="007E6044">
        <w:rPr>
          <w:rFonts w:ascii="Arial" w:hAnsi="Arial" w:cs="Arial"/>
        </w:rPr>
        <w:t xml:space="preserve">, J., </w:t>
      </w:r>
      <w:proofErr w:type="spellStart"/>
      <w:r w:rsidRPr="007E6044">
        <w:rPr>
          <w:rFonts w:ascii="Arial" w:hAnsi="Arial" w:cs="Arial"/>
        </w:rPr>
        <w:t>Sivanandarajah</w:t>
      </w:r>
      <w:proofErr w:type="spellEnd"/>
      <w:r w:rsidRPr="007E6044">
        <w:rPr>
          <w:rFonts w:ascii="Arial" w:hAnsi="Arial" w:cs="Arial"/>
        </w:rPr>
        <w:t xml:space="preserve">, P., Wright, M., Pearse, S., Barrett, J., Bird, J., McQueen, G. and Khan, S. (2024). Insights from a single centre implementation of a digitally-enabled atrial fibrillation virtual ward. </w:t>
      </w:r>
      <w:r w:rsidRPr="007E6044">
        <w:rPr>
          <w:rFonts w:ascii="Arial" w:hAnsi="Arial" w:cs="Arial"/>
          <w:i/>
          <w:iCs/>
        </w:rPr>
        <w:t>PLOS Digital Health</w:t>
      </w:r>
      <w:r w:rsidRPr="007E6044">
        <w:rPr>
          <w:rFonts w:ascii="Arial" w:hAnsi="Arial" w:cs="Arial"/>
        </w:rPr>
        <w:t xml:space="preserve">, 3(3), p.e0000475. </w:t>
      </w:r>
      <w:hyperlink r:id="rId23" w:history="1">
        <w:r w:rsidRPr="007E6044">
          <w:rPr>
            <w:rStyle w:val="Hyperlink"/>
            <w:rFonts w:ascii="Arial" w:hAnsi="Arial" w:cs="Arial"/>
          </w:rPr>
          <w:t>https://doi.org/10.1371/journal.pdig.0000475</w:t>
        </w:r>
      </w:hyperlink>
      <w:r w:rsidRPr="007E6044">
        <w:rPr>
          <w:rFonts w:ascii="Arial" w:hAnsi="Arial" w:cs="Arial"/>
        </w:rPr>
        <w:t xml:space="preserve">. </w:t>
      </w:r>
    </w:p>
    <w:p w14:paraId="399B17B5" w14:textId="77777777" w:rsidR="007E6044" w:rsidRPr="007E6044" w:rsidRDefault="007E6044" w:rsidP="007E6044">
      <w:pPr>
        <w:pStyle w:val="NormalWeb"/>
        <w:spacing w:after="240" w:line="240" w:lineRule="auto"/>
        <w:ind w:left="720" w:hanging="720"/>
        <w:rPr>
          <w:rFonts w:ascii="Arial" w:hAnsi="Arial" w:cs="Arial"/>
        </w:rPr>
      </w:pPr>
      <w:proofErr w:type="spellStart"/>
      <w:r w:rsidRPr="007E6044">
        <w:rPr>
          <w:rFonts w:ascii="Arial" w:hAnsi="Arial" w:cs="Arial"/>
        </w:rPr>
        <w:t>Sankaranarayanan</w:t>
      </w:r>
      <w:proofErr w:type="spellEnd"/>
      <w:r w:rsidRPr="007E6044">
        <w:rPr>
          <w:rFonts w:ascii="Arial" w:hAnsi="Arial" w:cs="Arial"/>
        </w:rPr>
        <w:t xml:space="preserve">, R., </w:t>
      </w:r>
      <w:proofErr w:type="spellStart"/>
      <w:r w:rsidRPr="007E6044">
        <w:rPr>
          <w:rFonts w:ascii="Arial" w:hAnsi="Arial" w:cs="Arial"/>
        </w:rPr>
        <w:t>Rasoul</w:t>
      </w:r>
      <w:proofErr w:type="spellEnd"/>
      <w:r w:rsidRPr="007E6044">
        <w:rPr>
          <w:rFonts w:ascii="Arial" w:hAnsi="Arial" w:cs="Arial"/>
        </w:rPr>
        <w:t xml:space="preserve">, D., Murphy, N., Kelly, A., </w:t>
      </w:r>
      <w:proofErr w:type="spellStart"/>
      <w:r w:rsidRPr="007E6044">
        <w:rPr>
          <w:rFonts w:ascii="Arial" w:hAnsi="Arial" w:cs="Arial"/>
        </w:rPr>
        <w:t>Nyjo</w:t>
      </w:r>
      <w:proofErr w:type="spellEnd"/>
      <w:r w:rsidRPr="007E6044">
        <w:rPr>
          <w:rFonts w:ascii="Arial" w:hAnsi="Arial" w:cs="Arial"/>
        </w:rPr>
        <w:t xml:space="preserve">, S., Jackson, C., O’Connor, J., Almond, P., Jose, N., West, J., Kaur, R., </w:t>
      </w:r>
      <w:proofErr w:type="spellStart"/>
      <w:r w:rsidRPr="007E6044">
        <w:rPr>
          <w:rFonts w:ascii="Arial" w:hAnsi="Arial" w:cs="Arial"/>
        </w:rPr>
        <w:t>Oguguo</w:t>
      </w:r>
      <w:proofErr w:type="spellEnd"/>
      <w:r w:rsidRPr="007E6044">
        <w:rPr>
          <w:rFonts w:ascii="Arial" w:hAnsi="Arial" w:cs="Arial"/>
        </w:rPr>
        <w:t xml:space="preserve">, C., Douglas, H. and Lip, G.Y.H. (2024). Telehealth-aided outpatient management of acute heart failure in a specialist virtual ward compared with Standard Care. </w:t>
      </w:r>
      <w:r w:rsidRPr="007E6044">
        <w:rPr>
          <w:rFonts w:ascii="Arial" w:hAnsi="Arial" w:cs="Arial"/>
          <w:i/>
          <w:iCs/>
        </w:rPr>
        <w:t>ESC Heart Failure</w:t>
      </w:r>
      <w:r w:rsidRPr="007E6044">
        <w:rPr>
          <w:rFonts w:ascii="Arial" w:hAnsi="Arial" w:cs="Arial"/>
        </w:rPr>
        <w:t xml:space="preserve">, 11(6), pp.4172–4184. </w:t>
      </w:r>
      <w:hyperlink r:id="rId24" w:history="1">
        <w:r w:rsidRPr="007E6044">
          <w:rPr>
            <w:rStyle w:val="Hyperlink"/>
            <w:rFonts w:ascii="Arial" w:hAnsi="Arial" w:cs="Arial"/>
          </w:rPr>
          <w:t>https://doi.org/10.1002/ehf2.15003</w:t>
        </w:r>
      </w:hyperlink>
      <w:r w:rsidRPr="007E6044">
        <w:rPr>
          <w:rFonts w:ascii="Arial" w:hAnsi="Arial" w:cs="Arial"/>
        </w:rPr>
        <w:t xml:space="preserve">. </w:t>
      </w:r>
    </w:p>
    <w:p w14:paraId="0DE9544C" w14:textId="77777777" w:rsidR="007E6044" w:rsidRPr="007E6044" w:rsidRDefault="007E6044" w:rsidP="007E6044">
      <w:pPr>
        <w:pStyle w:val="NormalWeb"/>
        <w:spacing w:after="240" w:line="240" w:lineRule="auto"/>
        <w:ind w:left="720" w:hanging="720"/>
        <w:rPr>
          <w:rFonts w:ascii="Arial" w:hAnsi="Arial" w:cs="Arial"/>
        </w:rPr>
      </w:pPr>
      <w:r w:rsidRPr="007E6044">
        <w:rPr>
          <w:rFonts w:ascii="Arial" w:hAnsi="Arial" w:cs="Arial"/>
        </w:rPr>
        <w:t xml:space="preserve">Singh, S., </w:t>
      </w:r>
      <w:proofErr w:type="spellStart"/>
      <w:r w:rsidRPr="007E6044">
        <w:rPr>
          <w:rFonts w:ascii="Arial" w:hAnsi="Arial" w:cs="Arial"/>
        </w:rPr>
        <w:t>Gray</w:t>
      </w:r>
      <w:proofErr w:type="spellEnd"/>
      <w:r w:rsidRPr="007E6044">
        <w:rPr>
          <w:rFonts w:ascii="Arial" w:hAnsi="Arial" w:cs="Arial"/>
        </w:rPr>
        <w:t xml:space="preserve">, A., </w:t>
      </w:r>
      <w:proofErr w:type="spellStart"/>
      <w:r w:rsidRPr="007E6044">
        <w:rPr>
          <w:rFonts w:ascii="Arial" w:hAnsi="Arial" w:cs="Arial"/>
        </w:rPr>
        <w:t>Shepperd</w:t>
      </w:r>
      <w:proofErr w:type="spellEnd"/>
      <w:r w:rsidRPr="007E6044">
        <w:rPr>
          <w:rFonts w:ascii="Arial" w:hAnsi="Arial" w:cs="Arial"/>
        </w:rPr>
        <w:t xml:space="preserve">, S., Stott, D.J., Ellis, G., </w:t>
      </w:r>
      <w:proofErr w:type="spellStart"/>
      <w:r w:rsidRPr="007E6044">
        <w:rPr>
          <w:rFonts w:ascii="Arial" w:hAnsi="Arial" w:cs="Arial"/>
        </w:rPr>
        <w:t>Hemsley</w:t>
      </w:r>
      <w:proofErr w:type="spellEnd"/>
      <w:r w:rsidRPr="007E6044">
        <w:rPr>
          <w:rFonts w:ascii="Arial" w:hAnsi="Arial" w:cs="Arial"/>
        </w:rPr>
        <w:t xml:space="preserve">, A., </w:t>
      </w:r>
      <w:proofErr w:type="spellStart"/>
      <w:r w:rsidRPr="007E6044">
        <w:rPr>
          <w:rFonts w:ascii="Arial" w:hAnsi="Arial" w:cs="Arial"/>
        </w:rPr>
        <w:t>Khanna</w:t>
      </w:r>
      <w:proofErr w:type="spellEnd"/>
      <w:r w:rsidRPr="007E6044">
        <w:rPr>
          <w:rFonts w:ascii="Arial" w:hAnsi="Arial" w:cs="Arial"/>
        </w:rPr>
        <w:t xml:space="preserve">, P., Ramsay, S., Schiff, R., </w:t>
      </w:r>
      <w:proofErr w:type="spellStart"/>
      <w:r w:rsidRPr="007E6044">
        <w:rPr>
          <w:rFonts w:ascii="Arial" w:hAnsi="Arial" w:cs="Arial"/>
        </w:rPr>
        <w:t>Tsiachristas</w:t>
      </w:r>
      <w:proofErr w:type="spellEnd"/>
      <w:r w:rsidRPr="007E6044">
        <w:rPr>
          <w:rFonts w:ascii="Arial" w:hAnsi="Arial" w:cs="Arial"/>
        </w:rPr>
        <w:t xml:space="preserve">, A., Wilkinson, A. and Young, J. (2021). Is comprehensive geriatric assessment hospital at home a cost-effective alternative to hospital admission for older people? </w:t>
      </w:r>
      <w:r w:rsidRPr="007E6044">
        <w:rPr>
          <w:rFonts w:ascii="Arial" w:hAnsi="Arial" w:cs="Arial"/>
          <w:i/>
          <w:iCs/>
        </w:rPr>
        <w:t>Age and Ageing</w:t>
      </w:r>
      <w:r w:rsidRPr="007E6044">
        <w:rPr>
          <w:rFonts w:ascii="Arial" w:hAnsi="Arial" w:cs="Arial"/>
        </w:rPr>
        <w:t xml:space="preserve">, [online] 51(1). </w:t>
      </w:r>
      <w:hyperlink r:id="rId25" w:history="1">
        <w:r w:rsidRPr="007E6044">
          <w:rPr>
            <w:rStyle w:val="Hyperlink"/>
            <w:rFonts w:ascii="Arial" w:hAnsi="Arial" w:cs="Arial"/>
          </w:rPr>
          <w:t>https://doi.org/10.1093/ageing/afab220</w:t>
        </w:r>
      </w:hyperlink>
      <w:r w:rsidRPr="007E6044">
        <w:rPr>
          <w:rFonts w:ascii="Arial" w:hAnsi="Arial" w:cs="Arial"/>
        </w:rPr>
        <w:t xml:space="preserve">. </w:t>
      </w:r>
    </w:p>
    <w:p w14:paraId="4B539D68" w14:textId="77777777" w:rsidR="007E6044" w:rsidRPr="007E6044" w:rsidRDefault="007E6044" w:rsidP="007E6044">
      <w:pPr>
        <w:pStyle w:val="NormalWeb"/>
        <w:spacing w:after="240" w:line="240" w:lineRule="auto"/>
        <w:ind w:left="720" w:hanging="720"/>
        <w:rPr>
          <w:rFonts w:ascii="Arial" w:hAnsi="Arial" w:cs="Arial"/>
        </w:rPr>
      </w:pPr>
      <w:proofErr w:type="spellStart"/>
      <w:r w:rsidRPr="007E6044">
        <w:rPr>
          <w:rFonts w:ascii="Arial" w:hAnsi="Arial" w:cs="Arial"/>
        </w:rPr>
        <w:t>Tomini</w:t>
      </w:r>
      <w:proofErr w:type="spellEnd"/>
      <w:r w:rsidRPr="007E6044">
        <w:rPr>
          <w:rFonts w:ascii="Arial" w:hAnsi="Arial" w:cs="Arial"/>
        </w:rPr>
        <w:t xml:space="preserve">, S.M., </w:t>
      </w:r>
      <w:proofErr w:type="spellStart"/>
      <w:r w:rsidRPr="007E6044">
        <w:rPr>
          <w:rFonts w:ascii="Arial" w:hAnsi="Arial" w:cs="Arial"/>
        </w:rPr>
        <w:t>Massou</w:t>
      </w:r>
      <w:proofErr w:type="spellEnd"/>
      <w:r w:rsidRPr="007E6044">
        <w:rPr>
          <w:rFonts w:ascii="Arial" w:hAnsi="Arial" w:cs="Arial"/>
        </w:rPr>
        <w:t xml:space="preserve">, E., </w:t>
      </w:r>
      <w:proofErr w:type="spellStart"/>
      <w:r w:rsidRPr="007E6044">
        <w:rPr>
          <w:rFonts w:ascii="Arial" w:hAnsi="Arial" w:cs="Arial"/>
        </w:rPr>
        <w:t>Crellin</w:t>
      </w:r>
      <w:proofErr w:type="spellEnd"/>
      <w:r w:rsidRPr="007E6044">
        <w:rPr>
          <w:rFonts w:ascii="Arial" w:hAnsi="Arial" w:cs="Arial"/>
        </w:rPr>
        <w:t xml:space="preserve">, N.E., </w:t>
      </w:r>
      <w:proofErr w:type="spellStart"/>
      <w:r w:rsidRPr="007E6044">
        <w:rPr>
          <w:rFonts w:ascii="Arial" w:hAnsi="Arial" w:cs="Arial"/>
        </w:rPr>
        <w:t>Fulop</w:t>
      </w:r>
      <w:proofErr w:type="spellEnd"/>
      <w:r w:rsidRPr="007E6044">
        <w:rPr>
          <w:rFonts w:ascii="Arial" w:hAnsi="Arial" w:cs="Arial"/>
        </w:rPr>
        <w:t xml:space="preserve">, N.J., </w:t>
      </w:r>
      <w:proofErr w:type="spellStart"/>
      <w:r w:rsidRPr="007E6044">
        <w:rPr>
          <w:rFonts w:ascii="Arial" w:hAnsi="Arial" w:cs="Arial"/>
        </w:rPr>
        <w:t>Georghiou</w:t>
      </w:r>
      <w:proofErr w:type="spellEnd"/>
      <w:r w:rsidRPr="007E6044">
        <w:rPr>
          <w:rFonts w:ascii="Arial" w:hAnsi="Arial" w:cs="Arial"/>
        </w:rPr>
        <w:t xml:space="preserve">, T., </w:t>
      </w:r>
      <w:proofErr w:type="spellStart"/>
      <w:r w:rsidRPr="007E6044">
        <w:rPr>
          <w:rFonts w:ascii="Arial" w:hAnsi="Arial" w:cs="Arial"/>
        </w:rPr>
        <w:t>Herlitz</w:t>
      </w:r>
      <w:proofErr w:type="spellEnd"/>
      <w:r w:rsidRPr="007E6044">
        <w:rPr>
          <w:rFonts w:ascii="Arial" w:hAnsi="Arial" w:cs="Arial"/>
        </w:rPr>
        <w:t xml:space="preserve">, L., Litchfield, I., Pei Li Ng, </w:t>
      </w:r>
      <w:proofErr w:type="spellStart"/>
      <w:r w:rsidRPr="007E6044">
        <w:rPr>
          <w:rFonts w:ascii="Arial" w:hAnsi="Arial" w:cs="Arial"/>
        </w:rPr>
        <w:t>Sherlaw-Johnson</w:t>
      </w:r>
      <w:proofErr w:type="spellEnd"/>
      <w:r w:rsidRPr="007E6044">
        <w:rPr>
          <w:rFonts w:ascii="Arial" w:hAnsi="Arial" w:cs="Arial"/>
        </w:rPr>
        <w:t xml:space="preserve">, C., </w:t>
      </w:r>
      <w:proofErr w:type="spellStart"/>
      <w:r w:rsidRPr="007E6044">
        <w:rPr>
          <w:rFonts w:ascii="Arial" w:hAnsi="Arial" w:cs="Arial"/>
        </w:rPr>
        <w:t>Sidhu</w:t>
      </w:r>
      <w:proofErr w:type="spellEnd"/>
      <w:r w:rsidRPr="007E6044">
        <w:rPr>
          <w:rFonts w:ascii="Arial" w:hAnsi="Arial" w:cs="Arial"/>
        </w:rPr>
        <w:t xml:space="preserve">, M.S., Walton, H. and Morris, S. (2024). A cost evaluation of COVID-19 remote home monitoring services in England. </w:t>
      </w:r>
      <w:proofErr w:type="spellStart"/>
      <w:r w:rsidRPr="007E6044">
        <w:rPr>
          <w:rFonts w:ascii="Arial" w:hAnsi="Arial" w:cs="Arial"/>
          <w:i/>
          <w:iCs/>
        </w:rPr>
        <w:t>PharmacoEconomics</w:t>
      </w:r>
      <w:proofErr w:type="spellEnd"/>
      <w:r w:rsidRPr="007E6044">
        <w:rPr>
          <w:rFonts w:ascii="Arial" w:hAnsi="Arial" w:cs="Arial"/>
          <w:i/>
          <w:iCs/>
        </w:rPr>
        <w:t xml:space="preserve"> - Open</w:t>
      </w:r>
      <w:r w:rsidRPr="007E6044">
        <w:rPr>
          <w:rFonts w:ascii="Arial" w:hAnsi="Arial" w:cs="Arial"/>
        </w:rPr>
        <w:t xml:space="preserve">. </w:t>
      </w:r>
      <w:hyperlink r:id="rId26" w:history="1">
        <w:r w:rsidRPr="007E6044">
          <w:rPr>
            <w:rStyle w:val="Hyperlink"/>
            <w:rFonts w:ascii="Arial" w:hAnsi="Arial" w:cs="Arial"/>
          </w:rPr>
          <w:t>https://doi.org/10.1007/s41669-024-00498-3</w:t>
        </w:r>
      </w:hyperlink>
      <w:r w:rsidRPr="007E6044">
        <w:rPr>
          <w:rFonts w:ascii="Arial" w:hAnsi="Arial" w:cs="Arial"/>
        </w:rPr>
        <w:t xml:space="preserve">. </w:t>
      </w:r>
    </w:p>
    <w:p w14:paraId="61CA88A7" w14:textId="77777777" w:rsidR="007E6044" w:rsidRPr="007E6044" w:rsidRDefault="007E6044" w:rsidP="007E6044">
      <w:pPr>
        <w:pStyle w:val="NormalWeb"/>
        <w:spacing w:after="240" w:line="240" w:lineRule="auto"/>
        <w:ind w:left="720" w:hanging="720"/>
        <w:rPr>
          <w:rFonts w:ascii="Arial" w:hAnsi="Arial" w:cs="Arial"/>
        </w:rPr>
      </w:pPr>
      <w:proofErr w:type="spellStart"/>
      <w:r w:rsidRPr="007E6044">
        <w:rPr>
          <w:rFonts w:ascii="Arial" w:hAnsi="Arial" w:cs="Arial"/>
        </w:rPr>
        <w:t>Yahya</w:t>
      </w:r>
      <w:proofErr w:type="spellEnd"/>
      <w:r w:rsidRPr="007E6044">
        <w:rPr>
          <w:rFonts w:ascii="Arial" w:hAnsi="Arial" w:cs="Arial"/>
        </w:rPr>
        <w:t xml:space="preserve">, F., Cooper, M. and Nazar, H. (2025). Hospital at home (virtual wards): Developing a logic model and dark logic model. </w:t>
      </w:r>
      <w:r w:rsidRPr="007E6044">
        <w:rPr>
          <w:rFonts w:ascii="Arial" w:hAnsi="Arial" w:cs="Arial"/>
          <w:i/>
          <w:iCs/>
        </w:rPr>
        <w:t>BMC Health Services Research</w:t>
      </w:r>
      <w:r w:rsidRPr="007E6044">
        <w:rPr>
          <w:rFonts w:ascii="Arial" w:hAnsi="Arial" w:cs="Arial"/>
        </w:rPr>
        <w:t xml:space="preserve">, 25(1). </w:t>
      </w:r>
      <w:hyperlink r:id="rId27" w:history="1">
        <w:r w:rsidRPr="007E6044">
          <w:rPr>
            <w:rStyle w:val="Hyperlink"/>
            <w:rFonts w:ascii="Arial" w:hAnsi="Arial" w:cs="Arial"/>
          </w:rPr>
          <w:t>https://doi.org/10.1186/s12913-025-12872-w</w:t>
        </w:r>
      </w:hyperlink>
      <w:r w:rsidRPr="007E6044">
        <w:rPr>
          <w:rFonts w:ascii="Arial" w:hAnsi="Arial" w:cs="Arial"/>
        </w:rPr>
        <w:t xml:space="preserve">. </w:t>
      </w:r>
    </w:p>
    <w:p w14:paraId="31E961C2" w14:textId="77777777" w:rsidR="007E6044" w:rsidRPr="007E6044" w:rsidRDefault="007E6044" w:rsidP="007E6044">
      <w:pPr>
        <w:rPr>
          <w:rFonts w:ascii="Arial" w:hAnsi="Arial" w:cs="Arial"/>
        </w:rPr>
      </w:pPr>
    </w:p>
    <w:sectPr w:rsidR="007E6044" w:rsidRPr="007E6044">
      <w:headerReference w:type="even" r:id="rId28"/>
      <w:headerReference w:type="default" r:id="rId29"/>
      <w:footerReference w:type="even" r:id="rId30"/>
      <w:footerReference w:type="default" r:id="rId31"/>
      <w:headerReference w:type="first" r:id="rId32"/>
      <w:footerReference w:type="first" r:id="rId3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05FB111" w14:textId="77777777" w:rsidR="000B2372" w:rsidRDefault="000B2372" w:rsidP="00A87747">
      <w:pPr>
        <w:spacing w:line="240" w:lineRule="auto"/>
      </w:pPr>
      <w:r>
        <w:separator/>
      </w:r>
    </w:p>
  </w:endnote>
  <w:endnote w:type="continuationSeparator" w:id="0">
    <w:p w14:paraId="1AB4D9D0" w14:textId="77777777" w:rsidR="000B2372" w:rsidRDefault="000B2372" w:rsidP="00A8774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Droid Sans">
    <w:panose1 w:val="020B0604020202020204"/>
    <w:charset w:val="80"/>
    <w:family w:val="auto"/>
    <w:pitch w:val="variable"/>
  </w:font>
  <w:font w:name="OpenSymbol">
    <w:altName w:val="Arial Unicode MS"/>
    <w:panose1 w:val="020B0604020202020204"/>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jaVu Sans">
    <w:altName w:val="Yu Gothic"/>
    <w:panose1 w:val="020B0604020202020204"/>
    <w:charset w:val="80"/>
    <w:family w:val="auto"/>
    <w:pitch w:val="variable"/>
  </w:font>
  <w:font w:name="Cambria">
    <w:panose1 w:val="02040503050406030204"/>
    <w:charset w:val="00"/>
    <w:family w:val="roman"/>
    <w:pitch w:val="variable"/>
    <w:sig w:usb0="E00006FF" w:usb1="420024FF" w:usb2="02000000" w:usb3="00000000" w:csb0="0000019F" w:csb1="00000000"/>
  </w:font>
  <w:font w:name="Tinos">
    <w:altName w:val="MS Gothic"/>
    <w:panose1 w:val="020B0604020202020204"/>
    <w:charset w:val="80"/>
    <w:family w:val="roman"/>
    <w:pitch w:val="variable"/>
  </w:font>
  <w:font w:name="DejaVu Sans Mono">
    <w:panose1 w:val="020B0604020202020204"/>
    <w:charset w:val="80"/>
    <w:family w:val="modern"/>
    <w:pitch w:val="default"/>
  </w:font>
  <w:font w:name="MS Mincho">
    <w:altName w:val="ＭＳ 明朝"/>
    <w:panose1 w:val="02020609040205080304"/>
    <w:charset w:val="80"/>
    <w:family w:val="roman"/>
    <w:pitch w:val="fixed"/>
    <w:sig w:usb0="00000001"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AB81646" w14:textId="77777777" w:rsidR="007A50BE" w:rsidRDefault="007A50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C0E4715" w14:textId="77777777" w:rsidR="00A87747" w:rsidRDefault="00A87747">
    <w:pPr>
      <w:pStyle w:val="Footer"/>
      <w:jc w:val="center"/>
    </w:pPr>
    <w:r>
      <w:fldChar w:fldCharType="begin"/>
    </w:r>
    <w:r>
      <w:instrText xml:space="preserve"> PAGE   \* MERGEFORMAT </w:instrText>
    </w:r>
    <w:r>
      <w:fldChar w:fldCharType="separate"/>
    </w:r>
    <w:r w:rsidR="00045E1C">
      <w:rPr>
        <w:noProof/>
      </w:rPr>
      <w:t>4</w:t>
    </w:r>
    <w:r>
      <w:rPr>
        <w:noProof/>
      </w:rPr>
      <w:fldChar w:fldCharType="end"/>
    </w:r>
  </w:p>
  <w:p w14:paraId="6AC9C081" w14:textId="77777777" w:rsidR="00A87747" w:rsidRDefault="00A877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D7D2CD7" w14:textId="77777777" w:rsidR="007A50BE" w:rsidRDefault="007A50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E35DA1A" w14:textId="77777777" w:rsidR="000B2372" w:rsidRDefault="000B2372" w:rsidP="00A87747">
      <w:pPr>
        <w:spacing w:line="240" w:lineRule="auto"/>
      </w:pPr>
      <w:r>
        <w:separator/>
      </w:r>
    </w:p>
  </w:footnote>
  <w:footnote w:type="continuationSeparator" w:id="0">
    <w:p w14:paraId="76F0522E" w14:textId="77777777" w:rsidR="000B2372" w:rsidRDefault="000B2372" w:rsidP="00A8774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4DAC0CC" w14:textId="77777777" w:rsidR="007A50BE" w:rsidRDefault="007A50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D81C21E" w14:textId="77777777" w:rsidR="007A50BE" w:rsidRDefault="007A50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92491EE" w14:textId="77777777" w:rsidR="007A50BE" w:rsidRDefault="007A50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2"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eastAsia="Droid Sans" w:hAnsi="Symbol" w:cs="OpenSymbol"/>
        <w:sz w:val="28"/>
        <w:szCs w:val="24"/>
        <w:lang w:val="en-GB"/>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3" w15:restartNumberingAfterBreak="0">
    <w:nsid w:val="01C16FAC"/>
    <w:multiLevelType w:val="hybridMultilevel"/>
    <w:tmpl w:val="BBD6A784"/>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223342E"/>
    <w:multiLevelType w:val="hybridMultilevel"/>
    <w:tmpl w:val="1B8886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6A754E0"/>
    <w:multiLevelType w:val="hybridMultilevel"/>
    <w:tmpl w:val="2BCA318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3D63B8E"/>
    <w:multiLevelType w:val="hybridMultilevel"/>
    <w:tmpl w:val="DE7A8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49A1246"/>
    <w:multiLevelType w:val="hybridMultilevel"/>
    <w:tmpl w:val="6EC2A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AF00D24"/>
    <w:multiLevelType w:val="multilevel"/>
    <w:tmpl w:val="AC6665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734712"/>
    <w:multiLevelType w:val="hybridMultilevel"/>
    <w:tmpl w:val="83C83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0A5D14"/>
    <w:multiLevelType w:val="hybridMultilevel"/>
    <w:tmpl w:val="16B0A1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FA95D68"/>
    <w:multiLevelType w:val="hybridMultilevel"/>
    <w:tmpl w:val="CEE26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5E162E4"/>
    <w:multiLevelType w:val="hybridMultilevel"/>
    <w:tmpl w:val="2D4AEA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2B5D5B67"/>
    <w:multiLevelType w:val="hybridMultilevel"/>
    <w:tmpl w:val="850ECF0E"/>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2FC00F71"/>
    <w:multiLevelType w:val="hybridMultilevel"/>
    <w:tmpl w:val="3D3443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307A64A0"/>
    <w:multiLevelType w:val="hybridMultilevel"/>
    <w:tmpl w:val="32427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D077094"/>
    <w:multiLevelType w:val="hybridMultilevel"/>
    <w:tmpl w:val="7054DA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2382EFF"/>
    <w:multiLevelType w:val="hybridMultilevel"/>
    <w:tmpl w:val="4C1C35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423E0B20"/>
    <w:multiLevelType w:val="hybridMultilevel"/>
    <w:tmpl w:val="E4AE93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43DA3416"/>
    <w:multiLevelType w:val="hybridMultilevel"/>
    <w:tmpl w:val="ED94DCC2"/>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C3012BA"/>
    <w:multiLevelType w:val="hybridMultilevel"/>
    <w:tmpl w:val="507E7A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1057060"/>
    <w:multiLevelType w:val="hybridMultilevel"/>
    <w:tmpl w:val="DC683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1E86E9B"/>
    <w:multiLevelType w:val="hybridMultilevel"/>
    <w:tmpl w:val="D9DC6A2A"/>
    <w:lvl w:ilvl="0" w:tplc="6A187440">
      <w:start w:val="1"/>
      <w:numFmt w:val="bullet"/>
      <w:lvlText w:val="•"/>
      <w:lvlJc w:val="left"/>
      <w:pPr>
        <w:tabs>
          <w:tab w:val="num" w:pos="720"/>
        </w:tabs>
        <w:ind w:left="720" w:hanging="360"/>
      </w:pPr>
      <w:rPr>
        <w:rFonts w:ascii="Arial" w:hAnsi="Arial" w:hint="default"/>
      </w:rPr>
    </w:lvl>
    <w:lvl w:ilvl="1" w:tplc="4F82AF94" w:tentative="1">
      <w:start w:val="1"/>
      <w:numFmt w:val="bullet"/>
      <w:lvlText w:val="•"/>
      <w:lvlJc w:val="left"/>
      <w:pPr>
        <w:tabs>
          <w:tab w:val="num" w:pos="1440"/>
        </w:tabs>
        <w:ind w:left="1440" w:hanging="360"/>
      </w:pPr>
      <w:rPr>
        <w:rFonts w:ascii="Arial" w:hAnsi="Arial" w:hint="default"/>
      </w:rPr>
    </w:lvl>
    <w:lvl w:ilvl="2" w:tplc="54CEB2D8" w:tentative="1">
      <w:start w:val="1"/>
      <w:numFmt w:val="bullet"/>
      <w:lvlText w:val="•"/>
      <w:lvlJc w:val="left"/>
      <w:pPr>
        <w:tabs>
          <w:tab w:val="num" w:pos="2160"/>
        </w:tabs>
        <w:ind w:left="2160" w:hanging="360"/>
      </w:pPr>
      <w:rPr>
        <w:rFonts w:ascii="Arial" w:hAnsi="Arial" w:hint="default"/>
      </w:rPr>
    </w:lvl>
    <w:lvl w:ilvl="3" w:tplc="AAEA6156" w:tentative="1">
      <w:start w:val="1"/>
      <w:numFmt w:val="bullet"/>
      <w:lvlText w:val="•"/>
      <w:lvlJc w:val="left"/>
      <w:pPr>
        <w:tabs>
          <w:tab w:val="num" w:pos="2880"/>
        </w:tabs>
        <w:ind w:left="2880" w:hanging="360"/>
      </w:pPr>
      <w:rPr>
        <w:rFonts w:ascii="Arial" w:hAnsi="Arial" w:hint="default"/>
      </w:rPr>
    </w:lvl>
    <w:lvl w:ilvl="4" w:tplc="A4FAA4F0" w:tentative="1">
      <w:start w:val="1"/>
      <w:numFmt w:val="bullet"/>
      <w:lvlText w:val="•"/>
      <w:lvlJc w:val="left"/>
      <w:pPr>
        <w:tabs>
          <w:tab w:val="num" w:pos="3600"/>
        </w:tabs>
        <w:ind w:left="3600" w:hanging="360"/>
      </w:pPr>
      <w:rPr>
        <w:rFonts w:ascii="Arial" w:hAnsi="Arial" w:hint="default"/>
      </w:rPr>
    </w:lvl>
    <w:lvl w:ilvl="5" w:tplc="32100022" w:tentative="1">
      <w:start w:val="1"/>
      <w:numFmt w:val="bullet"/>
      <w:lvlText w:val="•"/>
      <w:lvlJc w:val="left"/>
      <w:pPr>
        <w:tabs>
          <w:tab w:val="num" w:pos="4320"/>
        </w:tabs>
        <w:ind w:left="4320" w:hanging="360"/>
      </w:pPr>
      <w:rPr>
        <w:rFonts w:ascii="Arial" w:hAnsi="Arial" w:hint="default"/>
      </w:rPr>
    </w:lvl>
    <w:lvl w:ilvl="6" w:tplc="79787F26" w:tentative="1">
      <w:start w:val="1"/>
      <w:numFmt w:val="bullet"/>
      <w:lvlText w:val="•"/>
      <w:lvlJc w:val="left"/>
      <w:pPr>
        <w:tabs>
          <w:tab w:val="num" w:pos="5040"/>
        </w:tabs>
        <w:ind w:left="5040" w:hanging="360"/>
      </w:pPr>
      <w:rPr>
        <w:rFonts w:ascii="Arial" w:hAnsi="Arial" w:hint="default"/>
      </w:rPr>
    </w:lvl>
    <w:lvl w:ilvl="7" w:tplc="5AE8D476" w:tentative="1">
      <w:start w:val="1"/>
      <w:numFmt w:val="bullet"/>
      <w:lvlText w:val="•"/>
      <w:lvlJc w:val="left"/>
      <w:pPr>
        <w:tabs>
          <w:tab w:val="num" w:pos="5760"/>
        </w:tabs>
        <w:ind w:left="5760" w:hanging="360"/>
      </w:pPr>
      <w:rPr>
        <w:rFonts w:ascii="Arial" w:hAnsi="Arial" w:hint="default"/>
      </w:rPr>
    </w:lvl>
    <w:lvl w:ilvl="8" w:tplc="4A561D38"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05D271A"/>
    <w:multiLevelType w:val="hybridMultilevel"/>
    <w:tmpl w:val="D38E8CC0"/>
    <w:lvl w:ilvl="0" w:tplc="78C21A42">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4" w15:restartNumberingAfterBreak="0">
    <w:nsid w:val="63AC0ABA"/>
    <w:multiLevelType w:val="hybridMultilevel"/>
    <w:tmpl w:val="8EC247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6286114"/>
    <w:multiLevelType w:val="hybridMultilevel"/>
    <w:tmpl w:val="43127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7602BD6"/>
    <w:multiLevelType w:val="hybridMultilevel"/>
    <w:tmpl w:val="E304AD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67E92AA1"/>
    <w:multiLevelType w:val="hybridMultilevel"/>
    <w:tmpl w:val="3398C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FEE3B27"/>
    <w:multiLevelType w:val="hybridMultilevel"/>
    <w:tmpl w:val="E23E0B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7DF338A4"/>
    <w:multiLevelType w:val="multilevel"/>
    <w:tmpl w:val="49187E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54759050">
    <w:abstractNumId w:val="1"/>
  </w:num>
  <w:num w:numId="2" w16cid:durableId="1218393575">
    <w:abstractNumId w:val="2"/>
  </w:num>
  <w:num w:numId="3" w16cid:durableId="1606770854">
    <w:abstractNumId w:val="11"/>
  </w:num>
  <w:num w:numId="4" w16cid:durableId="1551304710">
    <w:abstractNumId w:val="25"/>
  </w:num>
  <w:num w:numId="5" w16cid:durableId="534122992">
    <w:abstractNumId w:val="10"/>
  </w:num>
  <w:num w:numId="6" w16cid:durableId="1527015134">
    <w:abstractNumId w:val="24"/>
  </w:num>
  <w:num w:numId="7" w16cid:durableId="387075116">
    <w:abstractNumId w:val="28"/>
  </w:num>
  <w:num w:numId="8" w16cid:durableId="935850">
    <w:abstractNumId w:val="20"/>
  </w:num>
  <w:num w:numId="9" w16cid:durableId="56250206">
    <w:abstractNumId w:val="7"/>
  </w:num>
  <w:num w:numId="10" w16cid:durableId="2029284450">
    <w:abstractNumId w:val="17"/>
  </w:num>
  <w:num w:numId="11" w16cid:durableId="395863976">
    <w:abstractNumId w:val="21"/>
  </w:num>
  <w:num w:numId="12" w16cid:durableId="1628274270">
    <w:abstractNumId w:val="12"/>
  </w:num>
  <w:num w:numId="13" w16cid:durableId="1529834597">
    <w:abstractNumId w:val="5"/>
  </w:num>
  <w:num w:numId="14" w16cid:durableId="257447824">
    <w:abstractNumId w:val="18"/>
  </w:num>
  <w:num w:numId="15" w16cid:durableId="98183483">
    <w:abstractNumId w:val="6"/>
  </w:num>
  <w:num w:numId="16" w16cid:durableId="120149213">
    <w:abstractNumId w:val="23"/>
  </w:num>
  <w:num w:numId="17" w16cid:durableId="1923949569">
    <w:abstractNumId w:val="4"/>
  </w:num>
  <w:num w:numId="18" w16cid:durableId="2053113375">
    <w:abstractNumId w:val="19"/>
  </w:num>
  <w:num w:numId="19" w16cid:durableId="481896191">
    <w:abstractNumId w:val="3"/>
  </w:num>
  <w:num w:numId="20" w16cid:durableId="417678931">
    <w:abstractNumId w:val="27"/>
  </w:num>
  <w:num w:numId="21" w16cid:durableId="1979987465">
    <w:abstractNumId w:val="14"/>
  </w:num>
  <w:num w:numId="22" w16cid:durableId="609509147">
    <w:abstractNumId w:val="13"/>
  </w:num>
  <w:num w:numId="23" w16cid:durableId="653684721">
    <w:abstractNumId w:val="26"/>
  </w:num>
  <w:num w:numId="24" w16cid:durableId="1511724752">
    <w:abstractNumId w:val="29"/>
  </w:num>
  <w:num w:numId="25" w16cid:durableId="595678299">
    <w:abstractNumId w:val="8"/>
  </w:num>
  <w:num w:numId="26" w16cid:durableId="1863861906">
    <w:abstractNumId w:val="16"/>
  </w:num>
  <w:num w:numId="27" w16cid:durableId="1683897489">
    <w:abstractNumId w:val="15"/>
  </w:num>
  <w:num w:numId="28" w16cid:durableId="434987289">
    <w:abstractNumId w:val="22"/>
  </w:num>
  <w:num w:numId="29" w16cid:durableId="1060441830">
    <w:abstractNumId w:val="9"/>
  </w:num>
  <w:num w:numId="30" w16cid:durableId="1287735400">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revisionView w:inkAnnotation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EyNbcwNTM0BXKMLJV0lIJTi4sz8/NACsxqAbKCQ3wsAAAA"/>
  </w:docVars>
  <w:rsids>
    <w:rsidRoot w:val="008D09FF"/>
    <w:rsid w:val="000143B4"/>
    <w:rsid w:val="000157F7"/>
    <w:rsid w:val="000169FC"/>
    <w:rsid w:val="00026F62"/>
    <w:rsid w:val="0003210E"/>
    <w:rsid w:val="00033E1E"/>
    <w:rsid w:val="00043DD1"/>
    <w:rsid w:val="00044E03"/>
    <w:rsid w:val="00045E1C"/>
    <w:rsid w:val="00051B13"/>
    <w:rsid w:val="0005499F"/>
    <w:rsid w:val="00073CCE"/>
    <w:rsid w:val="00077B6D"/>
    <w:rsid w:val="000824D7"/>
    <w:rsid w:val="0009752E"/>
    <w:rsid w:val="000A0300"/>
    <w:rsid w:val="000A2736"/>
    <w:rsid w:val="000A693F"/>
    <w:rsid w:val="000B2372"/>
    <w:rsid w:val="000B55F1"/>
    <w:rsid w:val="000B7C25"/>
    <w:rsid w:val="000C54FA"/>
    <w:rsid w:val="000D13F2"/>
    <w:rsid w:val="000D1E89"/>
    <w:rsid w:val="000D2291"/>
    <w:rsid w:val="000D5F91"/>
    <w:rsid w:val="000E3657"/>
    <w:rsid w:val="000E5B1D"/>
    <w:rsid w:val="000E7C63"/>
    <w:rsid w:val="000F7A29"/>
    <w:rsid w:val="0010080F"/>
    <w:rsid w:val="00101DF4"/>
    <w:rsid w:val="001127EC"/>
    <w:rsid w:val="00115FA2"/>
    <w:rsid w:val="0011725C"/>
    <w:rsid w:val="0012311E"/>
    <w:rsid w:val="00124129"/>
    <w:rsid w:val="00131CE2"/>
    <w:rsid w:val="00135FA8"/>
    <w:rsid w:val="0014081F"/>
    <w:rsid w:val="0014236D"/>
    <w:rsid w:val="001543C4"/>
    <w:rsid w:val="00155DFF"/>
    <w:rsid w:val="00171AB7"/>
    <w:rsid w:val="001959E7"/>
    <w:rsid w:val="001A2386"/>
    <w:rsid w:val="001A6CE4"/>
    <w:rsid w:val="001B148D"/>
    <w:rsid w:val="001B293F"/>
    <w:rsid w:val="001B2B71"/>
    <w:rsid w:val="001B3DA5"/>
    <w:rsid w:val="001C4B30"/>
    <w:rsid w:val="001C6C19"/>
    <w:rsid w:val="001C7C69"/>
    <w:rsid w:val="001D1CAC"/>
    <w:rsid w:val="001D46FF"/>
    <w:rsid w:val="001F2F9D"/>
    <w:rsid w:val="002037AB"/>
    <w:rsid w:val="00203ADA"/>
    <w:rsid w:val="00207BF7"/>
    <w:rsid w:val="0021152B"/>
    <w:rsid w:val="00214B85"/>
    <w:rsid w:val="002157B6"/>
    <w:rsid w:val="00245957"/>
    <w:rsid w:val="00245FD9"/>
    <w:rsid w:val="0024714F"/>
    <w:rsid w:val="00251842"/>
    <w:rsid w:val="00255300"/>
    <w:rsid w:val="00267D0D"/>
    <w:rsid w:val="00273F83"/>
    <w:rsid w:val="002923C2"/>
    <w:rsid w:val="0029461D"/>
    <w:rsid w:val="002A218E"/>
    <w:rsid w:val="002B1C88"/>
    <w:rsid w:val="002B6D16"/>
    <w:rsid w:val="002C58C6"/>
    <w:rsid w:val="002C5976"/>
    <w:rsid w:val="002C5AFE"/>
    <w:rsid w:val="002C5DF6"/>
    <w:rsid w:val="002D5608"/>
    <w:rsid w:val="002E2445"/>
    <w:rsid w:val="002F3715"/>
    <w:rsid w:val="002F4C8F"/>
    <w:rsid w:val="00306373"/>
    <w:rsid w:val="003347F4"/>
    <w:rsid w:val="003407C3"/>
    <w:rsid w:val="00341F1F"/>
    <w:rsid w:val="00352949"/>
    <w:rsid w:val="00354A83"/>
    <w:rsid w:val="003559FD"/>
    <w:rsid w:val="00355AA6"/>
    <w:rsid w:val="0035740A"/>
    <w:rsid w:val="00363625"/>
    <w:rsid w:val="003644F3"/>
    <w:rsid w:val="00371215"/>
    <w:rsid w:val="0037352A"/>
    <w:rsid w:val="00377720"/>
    <w:rsid w:val="00380505"/>
    <w:rsid w:val="00390787"/>
    <w:rsid w:val="003915E6"/>
    <w:rsid w:val="003A21CE"/>
    <w:rsid w:val="003B2223"/>
    <w:rsid w:val="003D2B08"/>
    <w:rsid w:val="003D6472"/>
    <w:rsid w:val="003E3CE3"/>
    <w:rsid w:val="003F321A"/>
    <w:rsid w:val="003F58CF"/>
    <w:rsid w:val="003F652C"/>
    <w:rsid w:val="003F6A34"/>
    <w:rsid w:val="004001C6"/>
    <w:rsid w:val="0040516B"/>
    <w:rsid w:val="00406F8A"/>
    <w:rsid w:val="004118BC"/>
    <w:rsid w:val="00412D04"/>
    <w:rsid w:val="00426EFB"/>
    <w:rsid w:val="004275E6"/>
    <w:rsid w:val="00430271"/>
    <w:rsid w:val="0043392D"/>
    <w:rsid w:val="00435F23"/>
    <w:rsid w:val="004510CC"/>
    <w:rsid w:val="00453DAB"/>
    <w:rsid w:val="00454D5E"/>
    <w:rsid w:val="00455304"/>
    <w:rsid w:val="00460545"/>
    <w:rsid w:val="0046208D"/>
    <w:rsid w:val="0047293C"/>
    <w:rsid w:val="00480840"/>
    <w:rsid w:val="004836C4"/>
    <w:rsid w:val="0049537E"/>
    <w:rsid w:val="00496C57"/>
    <w:rsid w:val="004A17F2"/>
    <w:rsid w:val="004A42D9"/>
    <w:rsid w:val="004A6F78"/>
    <w:rsid w:val="004A78C8"/>
    <w:rsid w:val="004B2DC1"/>
    <w:rsid w:val="004B6253"/>
    <w:rsid w:val="004B637E"/>
    <w:rsid w:val="004D5B16"/>
    <w:rsid w:val="004D5BFC"/>
    <w:rsid w:val="004E44CC"/>
    <w:rsid w:val="004F372C"/>
    <w:rsid w:val="00500202"/>
    <w:rsid w:val="005007FB"/>
    <w:rsid w:val="005025FB"/>
    <w:rsid w:val="0050612C"/>
    <w:rsid w:val="00514B64"/>
    <w:rsid w:val="00514C27"/>
    <w:rsid w:val="005244D0"/>
    <w:rsid w:val="00526156"/>
    <w:rsid w:val="00526B25"/>
    <w:rsid w:val="00531793"/>
    <w:rsid w:val="005363C9"/>
    <w:rsid w:val="00545BE1"/>
    <w:rsid w:val="005466F4"/>
    <w:rsid w:val="00556141"/>
    <w:rsid w:val="005575BB"/>
    <w:rsid w:val="00563005"/>
    <w:rsid w:val="00565E1A"/>
    <w:rsid w:val="00572E0C"/>
    <w:rsid w:val="00583DDF"/>
    <w:rsid w:val="005901D0"/>
    <w:rsid w:val="00591D3F"/>
    <w:rsid w:val="00592304"/>
    <w:rsid w:val="005955CD"/>
    <w:rsid w:val="005978A5"/>
    <w:rsid w:val="00597C27"/>
    <w:rsid w:val="005A4881"/>
    <w:rsid w:val="005B1D0F"/>
    <w:rsid w:val="005B3892"/>
    <w:rsid w:val="005C2B38"/>
    <w:rsid w:val="005C6F1F"/>
    <w:rsid w:val="005C729D"/>
    <w:rsid w:val="005C740A"/>
    <w:rsid w:val="005D49B9"/>
    <w:rsid w:val="005F292C"/>
    <w:rsid w:val="0060463A"/>
    <w:rsid w:val="00607926"/>
    <w:rsid w:val="0061173B"/>
    <w:rsid w:val="00615B24"/>
    <w:rsid w:val="00621B9C"/>
    <w:rsid w:val="006237FB"/>
    <w:rsid w:val="006302B6"/>
    <w:rsid w:val="006407FE"/>
    <w:rsid w:val="006438EC"/>
    <w:rsid w:val="006475FF"/>
    <w:rsid w:val="00654A6E"/>
    <w:rsid w:val="00661773"/>
    <w:rsid w:val="0066496D"/>
    <w:rsid w:val="00671F66"/>
    <w:rsid w:val="00674A76"/>
    <w:rsid w:val="00682A76"/>
    <w:rsid w:val="00682D74"/>
    <w:rsid w:val="00684916"/>
    <w:rsid w:val="006948E8"/>
    <w:rsid w:val="00697727"/>
    <w:rsid w:val="006A724A"/>
    <w:rsid w:val="006B65D2"/>
    <w:rsid w:val="006C51DB"/>
    <w:rsid w:val="006C5469"/>
    <w:rsid w:val="006C5728"/>
    <w:rsid w:val="006D07E0"/>
    <w:rsid w:val="006D6837"/>
    <w:rsid w:val="006D7C5E"/>
    <w:rsid w:val="006E177F"/>
    <w:rsid w:val="00705F33"/>
    <w:rsid w:val="007130F3"/>
    <w:rsid w:val="00720A6F"/>
    <w:rsid w:val="0072548E"/>
    <w:rsid w:val="00732B9B"/>
    <w:rsid w:val="00746466"/>
    <w:rsid w:val="0074789A"/>
    <w:rsid w:val="007515C4"/>
    <w:rsid w:val="00752C57"/>
    <w:rsid w:val="0075424F"/>
    <w:rsid w:val="00755616"/>
    <w:rsid w:val="00755E7B"/>
    <w:rsid w:val="007626C2"/>
    <w:rsid w:val="00764092"/>
    <w:rsid w:val="00772400"/>
    <w:rsid w:val="007739F9"/>
    <w:rsid w:val="00777727"/>
    <w:rsid w:val="00781B1F"/>
    <w:rsid w:val="007847BC"/>
    <w:rsid w:val="00784EBE"/>
    <w:rsid w:val="00793373"/>
    <w:rsid w:val="00796A0C"/>
    <w:rsid w:val="007A50BE"/>
    <w:rsid w:val="007B6BA5"/>
    <w:rsid w:val="007C0686"/>
    <w:rsid w:val="007C1004"/>
    <w:rsid w:val="007C3193"/>
    <w:rsid w:val="007D0A05"/>
    <w:rsid w:val="007D1B17"/>
    <w:rsid w:val="007D4E7D"/>
    <w:rsid w:val="007D6079"/>
    <w:rsid w:val="007E5D62"/>
    <w:rsid w:val="007E6044"/>
    <w:rsid w:val="007E61B3"/>
    <w:rsid w:val="007E79B8"/>
    <w:rsid w:val="007F543B"/>
    <w:rsid w:val="007F5B80"/>
    <w:rsid w:val="007F654B"/>
    <w:rsid w:val="00814EE5"/>
    <w:rsid w:val="0082293E"/>
    <w:rsid w:val="0083045C"/>
    <w:rsid w:val="0083094A"/>
    <w:rsid w:val="008309B1"/>
    <w:rsid w:val="00831ABD"/>
    <w:rsid w:val="00841350"/>
    <w:rsid w:val="00853117"/>
    <w:rsid w:val="00856D60"/>
    <w:rsid w:val="008645D9"/>
    <w:rsid w:val="0087207B"/>
    <w:rsid w:val="00872FDC"/>
    <w:rsid w:val="00884801"/>
    <w:rsid w:val="008934D6"/>
    <w:rsid w:val="008A4FEE"/>
    <w:rsid w:val="008A5AAC"/>
    <w:rsid w:val="008B1D5E"/>
    <w:rsid w:val="008B6785"/>
    <w:rsid w:val="008C4464"/>
    <w:rsid w:val="008C5894"/>
    <w:rsid w:val="008D09FF"/>
    <w:rsid w:val="008E6B1D"/>
    <w:rsid w:val="008F29E6"/>
    <w:rsid w:val="00900DD5"/>
    <w:rsid w:val="009022FD"/>
    <w:rsid w:val="0090744C"/>
    <w:rsid w:val="009125AD"/>
    <w:rsid w:val="00913FA1"/>
    <w:rsid w:val="00914249"/>
    <w:rsid w:val="009172DB"/>
    <w:rsid w:val="00924407"/>
    <w:rsid w:val="009309FB"/>
    <w:rsid w:val="00932737"/>
    <w:rsid w:val="0093725C"/>
    <w:rsid w:val="00941F56"/>
    <w:rsid w:val="0094548E"/>
    <w:rsid w:val="00956173"/>
    <w:rsid w:val="009561AE"/>
    <w:rsid w:val="00957CD0"/>
    <w:rsid w:val="00963740"/>
    <w:rsid w:val="00964B2F"/>
    <w:rsid w:val="00970C40"/>
    <w:rsid w:val="00975F56"/>
    <w:rsid w:val="009812B8"/>
    <w:rsid w:val="00982038"/>
    <w:rsid w:val="00991B22"/>
    <w:rsid w:val="00993BA5"/>
    <w:rsid w:val="009A205A"/>
    <w:rsid w:val="009A2AD5"/>
    <w:rsid w:val="009B08FC"/>
    <w:rsid w:val="009B0B1B"/>
    <w:rsid w:val="009B2391"/>
    <w:rsid w:val="009B53D8"/>
    <w:rsid w:val="009C2D59"/>
    <w:rsid w:val="009D18F1"/>
    <w:rsid w:val="009D1961"/>
    <w:rsid w:val="009D507B"/>
    <w:rsid w:val="009D7AE7"/>
    <w:rsid w:val="009E0198"/>
    <w:rsid w:val="009E22EF"/>
    <w:rsid w:val="009E31A5"/>
    <w:rsid w:val="009F0254"/>
    <w:rsid w:val="00A008EC"/>
    <w:rsid w:val="00A0522A"/>
    <w:rsid w:val="00A06682"/>
    <w:rsid w:val="00A168E5"/>
    <w:rsid w:val="00A2542B"/>
    <w:rsid w:val="00A31089"/>
    <w:rsid w:val="00A60F2E"/>
    <w:rsid w:val="00A62491"/>
    <w:rsid w:val="00A630B9"/>
    <w:rsid w:val="00A654E6"/>
    <w:rsid w:val="00A7011E"/>
    <w:rsid w:val="00A70CE1"/>
    <w:rsid w:val="00A73945"/>
    <w:rsid w:val="00A75675"/>
    <w:rsid w:val="00A801A0"/>
    <w:rsid w:val="00A82125"/>
    <w:rsid w:val="00A87747"/>
    <w:rsid w:val="00A90D99"/>
    <w:rsid w:val="00A9411B"/>
    <w:rsid w:val="00A954C7"/>
    <w:rsid w:val="00A97BE1"/>
    <w:rsid w:val="00AA470E"/>
    <w:rsid w:val="00AB326F"/>
    <w:rsid w:val="00AB5583"/>
    <w:rsid w:val="00AB5B5E"/>
    <w:rsid w:val="00AB73A8"/>
    <w:rsid w:val="00AC3A95"/>
    <w:rsid w:val="00AC52A2"/>
    <w:rsid w:val="00AD0E28"/>
    <w:rsid w:val="00AD2CBF"/>
    <w:rsid w:val="00AD2D58"/>
    <w:rsid w:val="00AD58AA"/>
    <w:rsid w:val="00AD7F58"/>
    <w:rsid w:val="00AE6BC8"/>
    <w:rsid w:val="00AF1F9B"/>
    <w:rsid w:val="00AF526C"/>
    <w:rsid w:val="00AF6143"/>
    <w:rsid w:val="00B01FD5"/>
    <w:rsid w:val="00B024B4"/>
    <w:rsid w:val="00B026C3"/>
    <w:rsid w:val="00B06232"/>
    <w:rsid w:val="00B07228"/>
    <w:rsid w:val="00B07373"/>
    <w:rsid w:val="00B10DA3"/>
    <w:rsid w:val="00B14771"/>
    <w:rsid w:val="00B179C2"/>
    <w:rsid w:val="00B17B92"/>
    <w:rsid w:val="00B20612"/>
    <w:rsid w:val="00B24C3C"/>
    <w:rsid w:val="00B2519F"/>
    <w:rsid w:val="00B313E9"/>
    <w:rsid w:val="00B31E9D"/>
    <w:rsid w:val="00B3225F"/>
    <w:rsid w:val="00B322E0"/>
    <w:rsid w:val="00B34CA4"/>
    <w:rsid w:val="00B462F2"/>
    <w:rsid w:val="00B465CF"/>
    <w:rsid w:val="00B46E41"/>
    <w:rsid w:val="00B51613"/>
    <w:rsid w:val="00B56352"/>
    <w:rsid w:val="00B57A65"/>
    <w:rsid w:val="00B61DB0"/>
    <w:rsid w:val="00B61FED"/>
    <w:rsid w:val="00B671A3"/>
    <w:rsid w:val="00B7065F"/>
    <w:rsid w:val="00B71230"/>
    <w:rsid w:val="00B74848"/>
    <w:rsid w:val="00B87943"/>
    <w:rsid w:val="00B91486"/>
    <w:rsid w:val="00B97BB3"/>
    <w:rsid w:val="00BA2FDA"/>
    <w:rsid w:val="00BA45F5"/>
    <w:rsid w:val="00BA67AD"/>
    <w:rsid w:val="00BB7F6A"/>
    <w:rsid w:val="00BC3B3A"/>
    <w:rsid w:val="00BD180E"/>
    <w:rsid w:val="00BD411F"/>
    <w:rsid w:val="00BE6EAE"/>
    <w:rsid w:val="00BF4E4E"/>
    <w:rsid w:val="00BF5CCF"/>
    <w:rsid w:val="00BF6034"/>
    <w:rsid w:val="00C00C12"/>
    <w:rsid w:val="00C106CE"/>
    <w:rsid w:val="00C14BE6"/>
    <w:rsid w:val="00C24BF1"/>
    <w:rsid w:val="00C41329"/>
    <w:rsid w:val="00C42A3F"/>
    <w:rsid w:val="00C42CEC"/>
    <w:rsid w:val="00C433FF"/>
    <w:rsid w:val="00C47BCC"/>
    <w:rsid w:val="00C52007"/>
    <w:rsid w:val="00C53CCD"/>
    <w:rsid w:val="00C57D30"/>
    <w:rsid w:val="00C66F95"/>
    <w:rsid w:val="00C73ADD"/>
    <w:rsid w:val="00C74D7D"/>
    <w:rsid w:val="00C8669D"/>
    <w:rsid w:val="00C8743A"/>
    <w:rsid w:val="00C919FB"/>
    <w:rsid w:val="00CA59F2"/>
    <w:rsid w:val="00CC3413"/>
    <w:rsid w:val="00CC671B"/>
    <w:rsid w:val="00CD2539"/>
    <w:rsid w:val="00CE4E4E"/>
    <w:rsid w:val="00CE5BDB"/>
    <w:rsid w:val="00CF15D8"/>
    <w:rsid w:val="00CF5F42"/>
    <w:rsid w:val="00D20ECD"/>
    <w:rsid w:val="00D2166C"/>
    <w:rsid w:val="00D23569"/>
    <w:rsid w:val="00D30910"/>
    <w:rsid w:val="00D35421"/>
    <w:rsid w:val="00D4151E"/>
    <w:rsid w:val="00D444CD"/>
    <w:rsid w:val="00D50037"/>
    <w:rsid w:val="00D73C7F"/>
    <w:rsid w:val="00D81130"/>
    <w:rsid w:val="00D942AF"/>
    <w:rsid w:val="00D9463B"/>
    <w:rsid w:val="00DA3189"/>
    <w:rsid w:val="00DA3A21"/>
    <w:rsid w:val="00DA5D0B"/>
    <w:rsid w:val="00DB19D0"/>
    <w:rsid w:val="00DB5216"/>
    <w:rsid w:val="00DC13DA"/>
    <w:rsid w:val="00DC49BD"/>
    <w:rsid w:val="00DC5F06"/>
    <w:rsid w:val="00DD45E3"/>
    <w:rsid w:val="00DD6A76"/>
    <w:rsid w:val="00DE0958"/>
    <w:rsid w:val="00DE64C4"/>
    <w:rsid w:val="00DF037E"/>
    <w:rsid w:val="00DF2060"/>
    <w:rsid w:val="00DF6304"/>
    <w:rsid w:val="00E000B9"/>
    <w:rsid w:val="00E039C5"/>
    <w:rsid w:val="00E03A4B"/>
    <w:rsid w:val="00E27145"/>
    <w:rsid w:val="00E315EE"/>
    <w:rsid w:val="00E37264"/>
    <w:rsid w:val="00E41AB6"/>
    <w:rsid w:val="00E5396E"/>
    <w:rsid w:val="00E61475"/>
    <w:rsid w:val="00E62EF6"/>
    <w:rsid w:val="00E71F36"/>
    <w:rsid w:val="00E811C1"/>
    <w:rsid w:val="00E859FA"/>
    <w:rsid w:val="00E85B3F"/>
    <w:rsid w:val="00E90A5A"/>
    <w:rsid w:val="00E928CA"/>
    <w:rsid w:val="00E94410"/>
    <w:rsid w:val="00E9780D"/>
    <w:rsid w:val="00EA0745"/>
    <w:rsid w:val="00EA2106"/>
    <w:rsid w:val="00EA7C96"/>
    <w:rsid w:val="00EB02D9"/>
    <w:rsid w:val="00EB0C0B"/>
    <w:rsid w:val="00EB32F9"/>
    <w:rsid w:val="00EB6093"/>
    <w:rsid w:val="00EC3B38"/>
    <w:rsid w:val="00EC3CED"/>
    <w:rsid w:val="00EC74AE"/>
    <w:rsid w:val="00ED6A6B"/>
    <w:rsid w:val="00EE04C1"/>
    <w:rsid w:val="00EE2BBA"/>
    <w:rsid w:val="00EE58F1"/>
    <w:rsid w:val="00EF0350"/>
    <w:rsid w:val="00F05440"/>
    <w:rsid w:val="00F10C64"/>
    <w:rsid w:val="00F16569"/>
    <w:rsid w:val="00F17CBC"/>
    <w:rsid w:val="00F31831"/>
    <w:rsid w:val="00F320B3"/>
    <w:rsid w:val="00F35020"/>
    <w:rsid w:val="00F42555"/>
    <w:rsid w:val="00F52B0E"/>
    <w:rsid w:val="00F71CCB"/>
    <w:rsid w:val="00FA1905"/>
    <w:rsid w:val="00FA3835"/>
    <w:rsid w:val="00FB012C"/>
    <w:rsid w:val="00FB44DD"/>
    <w:rsid w:val="00FB5913"/>
    <w:rsid w:val="00FB636C"/>
    <w:rsid w:val="00FD08F7"/>
    <w:rsid w:val="00FE007F"/>
    <w:rsid w:val="00FE1106"/>
    <w:rsid w:val="00FE22D5"/>
    <w:rsid w:val="00FE2AD0"/>
    <w:rsid w:val="00FE3624"/>
    <w:rsid w:val="00FE3A7A"/>
    <w:rsid w:val="00FE5D8F"/>
    <w:rsid w:val="00FF574F"/>
    <w:rsid w:val="00FF5C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740621CC"/>
  <w15:chartTrackingRefBased/>
  <w15:docId w15:val="{DA295720-426E-4BAF-AF24-B52C85784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eastAsia="Droid Sans" w:hAnsi="Symbol" w:cs="OpenSymbol"/>
      <w:sz w:val="28"/>
      <w:szCs w:val="24"/>
      <w:lang w:val="en-GB"/>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lang w:val="en-GB"/>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8Num4z0">
    <w:name w:val="WW8Num4z0"/>
    <w:rPr>
      <w:rFonts w:cs="Times New Roman"/>
      <w:lang w:val="en-GB"/>
    </w:rPr>
  </w:style>
  <w:style w:type="character" w:customStyle="1" w:styleId="WW8Num4z1">
    <w:name w:val="WW8Num4z1"/>
  </w:style>
  <w:style w:type="character" w:customStyle="1" w:styleId="WW8Num5z0">
    <w:name w:val="WW8Num5z0"/>
    <w:rPr>
      <w:rFonts w:ascii="Symbol" w:hAnsi="Symbol" w:cs="OpenSymbol"/>
    </w:rPr>
  </w:style>
  <w:style w:type="character" w:customStyle="1" w:styleId="WW8Num5z1">
    <w:name w:val="WW8Num5z1"/>
    <w:rPr>
      <w:rFonts w:ascii="OpenSymbol" w:hAnsi="OpenSymbol" w:cs="OpenSymbol"/>
    </w:rPr>
  </w:style>
  <w:style w:type="character" w:customStyle="1" w:styleId="WW8Num4z2">
    <w:name w:val="WW8Num4z2"/>
  </w:style>
  <w:style w:type="character" w:customStyle="1" w:styleId="WW8Num5z2">
    <w:name w:val="WW8Num5z2"/>
    <w:rPr>
      <w:rFonts w:ascii="Wingdings" w:hAnsi="Wingdings" w:cs="Wingdings" w:hint="default"/>
    </w:rPr>
  </w:style>
  <w:style w:type="character" w:customStyle="1" w:styleId="WW8Num6z0">
    <w:name w:val="WW8Num6z0"/>
    <w:rPr>
      <w:rFonts w:ascii="Symbol" w:eastAsia="Droid Sans" w:hAnsi="Symbol" w:cs="OpenSymbol"/>
      <w:szCs w:val="24"/>
    </w:rPr>
  </w:style>
  <w:style w:type="character" w:customStyle="1" w:styleId="WW8Num6z1">
    <w:name w:val="WW8Num6z1"/>
    <w:rPr>
      <w:rFonts w:ascii="OpenSymbol" w:hAnsi="OpenSymbol" w:cs="OpenSymbol"/>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OpenSymbol"/>
      <w:color w:val="ED7D31"/>
    </w:rPr>
  </w:style>
  <w:style w:type="character" w:customStyle="1" w:styleId="WW8Num7z1">
    <w:name w:val="WW8Num7z1"/>
    <w:rPr>
      <w:rFonts w:ascii="OpenSymbol" w:hAnsi="OpenSymbol" w:cs="OpenSymbol"/>
    </w:rPr>
  </w:style>
  <w:style w:type="character" w:customStyle="1" w:styleId="WW8Num7z2">
    <w:name w:val="WW8Num7z2"/>
  </w:style>
  <w:style w:type="character" w:customStyle="1" w:styleId="WW8Num8z0">
    <w:name w:val="WW8Num8z0"/>
    <w:rPr>
      <w:rFonts w:ascii="Symbol" w:hAnsi="Symbol" w:cs="OpenSymbol"/>
      <w:caps w:val="0"/>
      <w:smallCaps w:val="0"/>
      <w:color w:val="ED7D31"/>
      <w:spacing w:val="0"/>
      <w:sz w:val="24"/>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hint="default"/>
    </w:rPr>
  </w:style>
  <w:style w:type="character" w:customStyle="1" w:styleId="WW8Num9z0">
    <w:name w:val="WW8Num9z0"/>
    <w:rPr>
      <w:rFonts w:ascii="Symbol" w:eastAsia="Droid Sans" w:hAnsi="Symbol" w:cs="OpenSymbol"/>
      <w:color w:val="ED7D31"/>
      <w:szCs w:val="24"/>
    </w:rPr>
  </w:style>
  <w:style w:type="character" w:customStyle="1" w:styleId="WW8Num9z1">
    <w:name w:val="WW8Num9z1"/>
    <w:rPr>
      <w:rFonts w:ascii="OpenSymbol" w:hAnsi="OpenSymbol" w:cs="OpenSymbol"/>
    </w:rPr>
  </w:style>
  <w:style w:type="character" w:customStyle="1" w:styleId="WW8Num9z2">
    <w:name w:val="WW8Num9z2"/>
    <w:rPr>
      <w:rFonts w:ascii="Wingdings" w:hAnsi="Wingdings" w:cs="Wingdings" w:hint="default"/>
    </w:rPr>
  </w:style>
  <w:style w:type="character" w:customStyle="1" w:styleId="WW8Num10z0">
    <w:name w:val="WW8Num10z0"/>
    <w:rPr>
      <w:rFonts w:ascii="Symbol" w:hAnsi="Symbol" w:cs="Symbol" w:hint="default"/>
    </w:rPr>
  </w:style>
  <w:style w:type="character" w:customStyle="1" w:styleId="WW8Num10z1">
    <w:name w:val="WW8Num10z1"/>
    <w:rPr>
      <w:rFonts w:ascii="Courier New" w:hAnsi="Courier New" w:cs="Courier New" w:hint="default"/>
    </w:rPr>
  </w:style>
  <w:style w:type="character" w:customStyle="1" w:styleId="WW8Num10z2">
    <w:name w:val="WW8Num10z2"/>
    <w:rPr>
      <w:rFonts w:ascii="Wingdings" w:hAnsi="Wingdings" w:cs="Wingdings" w:hint="default"/>
    </w:rPr>
  </w:style>
  <w:style w:type="character" w:customStyle="1" w:styleId="WW8Num11z0">
    <w:name w:val="WW8Num11z0"/>
    <w:rPr>
      <w:rFonts w:ascii="Symbol" w:hAnsi="Symbol" w:cs="Symbol" w:hint="default"/>
    </w:rPr>
  </w:style>
  <w:style w:type="character" w:customStyle="1" w:styleId="WW8Num11z1">
    <w:name w:val="WW8Num11z1"/>
    <w:rPr>
      <w:rFonts w:ascii="Courier New" w:hAnsi="Courier New" w:cs="Courier New" w:hint="default"/>
    </w:rPr>
  </w:style>
  <w:style w:type="character" w:customStyle="1" w:styleId="WW8Num11z2">
    <w:name w:val="WW8Num11z2"/>
    <w:rPr>
      <w:rFonts w:ascii="Wingdings" w:hAnsi="Wingdings" w:cs="Wingdings" w:hint="default"/>
    </w:rPr>
  </w:style>
  <w:style w:type="character" w:customStyle="1" w:styleId="WW8Num12z0">
    <w:name w:val="WW8Num12z0"/>
    <w:rPr>
      <w:rFonts w:ascii="Symbol" w:hAnsi="Symbol" w:cs="Symbol" w:hint="default"/>
    </w:rPr>
  </w:style>
  <w:style w:type="character" w:customStyle="1" w:styleId="WW8Num12z1">
    <w:name w:val="WW8Num12z1"/>
    <w:rPr>
      <w:rFonts w:ascii="Courier New" w:hAnsi="Courier New" w:cs="Courier New" w:hint="default"/>
    </w:rPr>
  </w:style>
  <w:style w:type="character" w:customStyle="1" w:styleId="WW8Num12z2">
    <w:name w:val="WW8Num12z2"/>
    <w:rPr>
      <w:rFonts w:ascii="Wingdings" w:hAnsi="Wingdings" w:cs="Wingdings" w:hint="default"/>
    </w:rPr>
  </w:style>
  <w:style w:type="character" w:customStyle="1" w:styleId="WW-DefaultParagraphFont">
    <w:name w:val="WW-Default Paragraph Font"/>
  </w:style>
  <w:style w:type="character" w:customStyle="1" w:styleId="WW8Num4z3">
    <w:name w:val="WW8Num4z3"/>
  </w:style>
  <w:style w:type="character" w:customStyle="1" w:styleId="WW8Num4z4">
    <w:name w:val="WW8Num4z4"/>
  </w:style>
  <w:style w:type="character" w:customStyle="1" w:styleId="WW8Num4z5">
    <w:name w:val="WW8Num4z5"/>
  </w:style>
  <w:style w:type="character" w:customStyle="1" w:styleId="WW8Num4z6">
    <w:name w:val="WW8Num4z6"/>
  </w:style>
  <w:style w:type="character" w:customStyle="1" w:styleId="WW8Num4z7">
    <w:name w:val="WW8Num4z7"/>
  </w:style>
  <w:style w:type="character" w:customStyle="1" w:styleId="WW8Num4z8">
    <w:name w:val="WW8Num4z8"/>
  </w:style>
  <w:style w:type="character" w:customStyle="1" w:styleId="WW-DefaultParagraphFont1">
    <w:name w:val="WW-Default Paragraph Font1"/>
  </w:style>
  <w:style w:type="character" w:customStyle="1" w:styleId="WW-DefaultParagraphFont11">
    <w:name w:val="WW-Default Paragraph Font11"/>
  </w:style>
  <w:style w:type="character" w:customStyle="1" w:styleId="WW-DefaultParagraphFont111">
    <w:name w:val="WW-Default Paragraph Font111"/>
  </w:style>
  <w:style w:type="character" w:customStyle="1" w:styleId="HeaderChar">
    <w:name w:val="Header Char"/>
    <w:basedOn w:val="WW-DefaultParagraphFont111"/>
  </w:style>
  <w:style w:type="character" w:customStyle="1" w:styleId="FooterChar">
    <w:name w:val="Footer Char"/>
    <w:basedOn w:val="WW-DefaultParagraphFont1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styleId="CommentReference">
    <w:name w:val="annotation reference"/>
    <w:rPr>
      <w:sz w:val="16"/>
      <w:szCs w:val="16"/>
    </w:rPr>
  </w:style>
  <w:style w:type="character" w:customStyle="1" w:styleId="WW8Num7z3">
    <w:name w:val="WW8Num7z3"/>
  </w:style>
  <w:style w:type="character" w:customStyle="1" w:styleId="WW8Num7z4">
    <w:name w:val="WW8Num7z4"/>
  </w:style>
  <w:style w:type="character" w:customStyle="1" w:styleId="WW8Num7z5">
    <w:name w:val="WW8Num7z5"/>
  </w:style>
  <w:style w:type="character" w:customStyle="1" w:styleId="WW8Num7z6">
    <w:name w:val="WW8Num7z6"/>
  </w:style>
  <w:style w:type="character" w:customStyle="1" w:styleId="WW8Num7z7">
    <w:name w:val="WW8Num7z7"/>
  </w:style>
  <w:style w:type="character" w:customStyle="1" w:styleId="WW8Num7z8">
    <w:name w:val="WW8Num7z8"/>
  </w:style>
  <w:style w:type="character" w:customStyle="1" w:styleId="NumberingSymbols">
    <w:name w:val="Numbering Symbols"/>
  </w:style>
  <w:style w:type="character" w:styleId="Strong">
    <w:name w:val="Strong"/>
    <w:uiPriority w:val="22"/>
    <w:qFormat/>
    <w:rPr>
      <w:b/>
      <w:bCs/>
    </w:rPr>
  </w:style>
  <w:style w:type="character" w:customStyle="1" w:styleId="FootnoteCharacters">
    <w:name w:val="Footnote Characters"/>
  </w:style>
  <w:style w:type="character" w:styleId="FootnoteReference">
    <w:name w:val="footnote reference"/>
    <w:rPr>
      <w:vertAlign w:val="superscript"/>
    </w:rPr>
  </w:style>
  <w:style w:type="character" w:customStyle="1" w:styleId="EndnoteCharacters">
    <w:name w:val="Endnote Characters"/>
    <w:rPr>
      <w:vertAlign w:val="superscript"/>
    </w:rPr>
  </w:style>
  <w:style w:type="character" w:customStyle="1" w:styleId="WW-EndnoteCharacters">
    <w:name w:val="WW-Endnote Characters"/>
  </w:style>
  <w:style w:type="character" w:customStyle="1" w:styleId="IndexLink">
    <w:name w:val="Index Link"/>
  </w:style>
  <w:style w:type="character" w:customStyle="1" w:styleId="TitleChar">
    <w:name w:val="Title Char"/>
    <w:rPr>
      <w:rFonts w:ascii="Cambria" w:eastAsia="Times New Roman" w:hAnsi="Cambria" w:cs="Times New Roman"/>
      <w:b/>
      <w:bCs/>
      <w:color w:val="000000"/>
      <w:kern w:val="1"/>
      <w:sz w:val="32"/>
      <w:szCs w:val="32"/>
      <w:lang w:val="en-GB"/>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PreformattedText">
    <w:name w:val="Preformatted Text"/>
    <w:basedOn w:val="Normal"/>
    <w:rPr>
      <w:rFonts w:ascii="DejaVu Sans Mono" w:eastAsia="Droid Sans" w:hAnsi="DejaVu Sans Mono" w:cs="DejaVu Sans Mono"/>
      <w:sz w:val="20"/>
      <w:szCs w:val="20"/>
    </w:rPr>
  </w:style>
  <w:style w:type="paragraph" w:styleId="ListParagraph">
    <w:name w:val="List Paragraph"/>
    <w:basedOn w:val="Normal"/>
    <w:qFormat/>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styleId="FootnoteText">
    <w:name w:val="footnote text"/>
    <w:basedOn w:val="Normal"/>
    <w:pPr>
      <w:suppressLineNumbers/>
      <w:ind w:left="283" w:hanging="283"/>
    </w:pPr>
    <w:rPr>
      <w:sz w:val="20"/>
      <w:szCs w:val="20"/>
    </w:rPr>
  </w:style>
  <w:style w:type="paragraph" w:styleId="Title">
    <w:name w:val="Title"/>
    <w:basedOn w:val="Normal"/>
    <w:next w:val="Normal"/>
    <w:qFormat/>
    <w:pPr>
      <w:spacing w:before="240" w:after="60"/>
      <w:jc w:val="center"/>
    </w:pPr>
    <w:rPr>
      <w:rFonts w:ascii="Cambria" w:eastAsia="Times New Roman" w:hAnsi="Cambria"/>
      <w:b/>
      <w:bCs/>
      <w:kern w:val="1"/>
      <w:sz w:val="32"/>
      <w:szCs w:val="32"/>
    </w:rPr>
  </w:style>
  <w:style w:type="paragraph" w:styleId="Subtitle">
    <w:name w:val="Subtitle"/>
    <w:basedOn w:val="Heading"/>
    <w:next w:val="BodyText"/>
    <w:qFormat/>
    <w:pPr>
      <w:jc w:val="center"/>
    </w:pPr>
    <w:rPr>
      <w:i/>
      <w:iCs/>
    </w:rPr>
  </w:style>
  <w:style w:type="paragraph" w:styleId="NormalWeb">
    <w:name w:val="Normal (Web)"/>
    <w:basedOn w:val="Normal"/>
    <w:uiPriority w:val="99"/>
    <w:pPr>
      <w:spacing w:line="100" w:lineRule="atLeast"/>
    </w:pPr>
    <w:rPr>
      <w:szCs w:val="24"/>
    </w:rPr>
  </w:style>
  <w:style w:type="paragraph" w:customStyle="1" w:styleId="Heading10">
    <w:name w:val="Heading 10"/>
    <w:basedOn w:val="Heading"/>
    <w:next w:val="BodyText"/>
    <w:pPr>
      <w:numPr>
        <w:numId w:val="2"/>
      </w:numPr>
    </w:pPr>
    <w:rPr>
      <w:b/>
      <w:bCs/>
      <w:sz w:val="21"/>
      <w:szCs w:val="21"/>
    </w:rPr>
  </w:style>
  <w:style w:type="table" w:styleId="TableGrid">
    <w:name w:val="Table Grid"/>
    <w:basedOn w:val="TableNormal"/>
    <w:uiPriority w:val="39"/>
    <w:rsid w:val="006D683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565E1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character" w:styleId="Emphasis">
    <w:name w:val="Emphasis"/>
    <w:uiPriority w:val="20"/>
    <w:qFormat/>
    <w:rsid w:val="00454D5E"/>
    <w:rPr>
      <w:i/>
      <w:iCs/>
    </w:rPr>
  </w:style>
  <w:style w:type="paragraph" w:customStyle="1" w:styleId="Default">
    <w:name w:val="Default"/>
    <w:rsid w:val="003407C3"/>
    <w:pPr>
      <w:autoSpaceDE w:val="0"/>
      <w:autoSpaceDN w:val="0"/>
      <w:adjustRightInd w:val="0"/>
    </w:pPr>
    <w:rPr>
      <w:rFonts w:ascii="Arial" w:hAnsi="Arial" w:cs="Arial"/>
      <w:color w:val="000000"/>
      <w:sz w:val="24"/>
      <w:szCs w:val="24"/>
      <w:lang w:val="en-IN" w:eastAsia="en-IN"/>
    </w:rPr>
  </w:style>
  <w:style w:type="character" w:customStyle="1" w:styleId="UnresolvedMention1">
    <w:name w:val="Unresolved Mention1"/>
    <w:uiPriority w:val="99"/>
    <w:semiHidden/>
    <w:unhideWhenUsed/>
    <w:rsid w:val="003F6A34"/>
    <w:rPr>
      <w:color w:val="605E5C"/>
      <w:shd w:val="clear" w:color="auto" w:fill="E1DFDD"/>
    </w:rPr>
  </w:style>
  <w:style w:type="paragraph" w:styleId="TableofFigures">
    <w:name w:val="table of figures"/>
    <w:basedOn w:val="Normal"/>
    <w:next w:val="Normal"/>
    <w:uiPriority w:val="99"/>
    <w:unhideWhenUsed/>
    <w:rsid w:val="00DE64C4"/>
  </w:style>
  <w:style w:type="character" w:styleId="FollowedHyperlink">
    <w:name w:val="FollowedHyperlink"/>
    <w:uiPriority w:val="99"/>
    <w:semiHidden/>
    <w:unhideWhenUsed/>
    <w:rsid w:val="00171AB7"/>
    <w:rPr>
      <w:color w:val="954F72"/>
      <w:u w:val="single"/>
    </w:rPr>
  </w:style>
  <w:style w:type="paragraph" w:styleId="ListBullet">
    <w:name w:val="List Bullet"/>
    <w:basedOn w:val="Normal"/>
    <w:uiPriority w:val="99"/>
    <w:unhideWhenUsed/>
    <w:rsid w:val="00A168E5"/>
    <w:pPr>
      <w:numPr>
        <w:numId w:val="30"/>
      </w:numPr>
      <w:tabs>
        <w:tab w:val="clear" w:pos="360"/>
        <w:tab w:val="num" w:pos="0"/>
      </w:tabs>
      <w:suppressAutoHyphens w:val="0"/>
      <w:spacing w:after="140"/>
      <w:ind w:left="432" w:hanging="432"/>
      <w:contextualSpacing/>
      <w:jc w:val="left"/>
    </w:pPr>
    <w:rPr>
      <w:rFonts w:ascii="Arial" w:eastAsia="MS Mincho" w:hAnsi="Arial"/>
      <w:color w:val="auto"/>
      <w:sz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050050">
      <w:bodyDiv w:val="1"/>
      <w:marLeft w:val="0"/>
      <w:marRight w:val="0"/>
      <w:marTop w:val="0"/>
      <w:marBottom w:val="0"/>
      <w:divBdr>
        <w:top w:val="none" w:sz="0" w:space="0" w:color="auto"/>
        <w:left w:val="none" w:sz="0" w:space="0" w:color="auto"/>
        <w:bottom w:val="none" w:sz="0" w:space="0" w:color="auto"/>
        <w:right w:val="none" w:sz="0" w:space="0" w:color="auto"/>
      </w:divBdr>
    </w:div>
    <w:div w:id="3480001">
      <w:bodyDiv w:val="1"/>
      <w:marLeft w:val="0"/>
      <w:marRight w:val="0"/>
      <w:marTop w:val="0"/>
      <w:marBottom w:val="0"/>
      <w:divBdr>
        <w:top w:val="none" w:sz="0" w:space="0" w:color="auto"/>
        <w:left w:val="none" w:sz="0" w:space="0" w:color="auto"/>
        <w:bottom w:val="none" w:sz="0" w:space="0" w:color="auto"/>
        <w:right w:val="none" w:sz="0" w:space="0" w:color="auto"/>
      </w:divBdr>
    </w:div>
    <w:div w:id="25718191">
      <w:bodyDiv w:val="1"/>
      <w:marLeft w:val="0"/>
      <w:marRight w:val="0"/>
      <w:marTop w:val="0"/>
      <w:marBottom w:val="0"/>
      <w:divBdr>
        <w:top w:val="none" w:sz="0" w:space="0" w:color="auto"/>
        <w:left w:val="none" w:sz="0" w:space="0" w:color="auto"/>
        <w:bottom w:val="none" w:sz="0" w:space="0" w:color="auto"/>
        <w:right w:val="none" w:sz="0" w:space="0" w:color="auto"/>
      </w:divBdr>
    </w:div>
    <w:div w:id="61753856">
      <w:bodyDiv w:val="1"/>
      <w:marLeft w:val="0"/>
      <w:marRight w:val="0"/>
      <w:marTop w:val="0"/>
      <w:marBottom w:val="0"/>
      <w:divBdr>
        <w:top w:val="none" w:sz="0" w:space="0" w:color="auto"/>
        <w:left w:val="none" w:sz="0" w:space="0" w:color="auto"/>
        <w:bottom w:val="none" w:sz="0" w:space="0" w:color="auto"/>
        <w:right w:val="none" w:sz="0" w:space="0" w:color="auto"/>
      </w:divBdr>
    </w:div>
    <w:div w:id="90056786">
      <w:bodyDiv w:val="1"/>
      <w:marLeft w:val="0"/>
      <w:marRight w:val="0"/>
      <w:marTop w:val="0"/>
      <w:marBottom w:val="0"/>
      <w:divBdr>
        <w:top w:val="none" w:sz="0" w:space="0" w:color="auto"/>
        <w:left w:val="none" w:sz="0" w:space="0" w:color="auto"/>
        <w:bottom w:val="none" w:sz="0" w:space="0" w:color="auto"/>
        <w:right w:val="none" w:sz="0" w:space="0" w:color="auto"/>
      </w:divBdr>
    </w:div>
    <w:div w:id="133911487">
      <w:bodyDiv w:val="1"/>
      <w:marLeft w:val="0"/>
      <w:marRight w:val="0"/>
      <w:marTop w:val="0"/>
      <w:marBottom w:val="0"/>
      <w:divBdr>
        <w:top w:val="none" w:sz="0" w:space="0" w:color="auto"/>
        <w:left w:val="none" w:sz="0" w:space="0" w:color="auto"/>
        <w:bottom w:val="none" w:sz="0" w:space="0" w:color="auto"/>
        <w:right w:val="none" w:sz="0" w:space="0" w:color="auto"/>
      </w:divBdr>
    </w:div>
    <w:div w:id="334915502">
      <w:bodyDiv w:val="1"/>
      <w:marLeft w:val="0"/>
      <w:marRight w:val="0"/>
      <w:marTop w:val="0"/>
      <w:marBottom w:val="0"/>
      <w:divBdr>
        <w:top w:val="none" w:sz="0" w:space="0" w:color="auto"/>
        <w:left w:val="none" w:sz="0" w:space="0" w:color="auto"/>
        <w:bottom w:val="none" w:sz="0" w:space="0" w:color="auto"/>
        <w:right w:val="none" w:sz="0" w:space="0" w:color="auto"/>
      </w:divBdr>
    </w:div>
    <w:div w:id="362362471">
      <w:bodyDiv w:val="1"/>
      <w:marLeft w:val="0"/>
      <w:marRight w:val="0"/>
      <w:marTop w:val="0"/>
      <w:marBottom w:val="0"/>
      <w:divBdr>
        <w:top w:val="none" w:sz="0" w:space="0" w:color="auto"/>
        <w:left w:val="none" w:sz="0" w:space="0" w:color="auto"/>
        <w:bottom w:val="none" w:sz="0" w:space="0" w:color="auto"/>
        <w:right w:val="none" w:sz="0" w:space="0" w:color="auto"/>
      </w:divBdr>
    </w:div>
    <w:div w:id="362749758">
      <w:bodyDiv w:val="1"/>
      <w:marLeft w:val="0"/>
      <w:marRight w:val="0"/>
      <w:marTop w:val="0"/>
      <w:marBottom w:val="0"/>
      <w:divBdr>
        <w:top w:val="none" w:sz="0" w:space="0" w:color="auto"/>
        <w:left w:val="none" w:sz="0" w:space="0" w:color="auto"/>
        <w:bottom w:val="none" w:sz="0" w:space="0" w:color="auto"/>
        <w:right w:val="none" w:sz="0" w:space="0" w:color="auto"/>
      </w:divBdr>
    </w:div>
    <w:div w:id="405222852">
      <w:bodyDiv w:val="1"/>
      <w:marLeft w:val="0"/>
      <w:marRight w:val="0"/>
      <w:marTop w:val="0"/>
      <w:marBottom w:val="0"/>
      <w:divBdr>
        <w:top w:val="none" w:sz="0" w:space="0" w:color="auto"/>
        <w:left w:val="none" w:sz="0" w:space="0" w:color="auto"/>
        <w:bottom w:val="none" w:sz="0" w:space="0" w:color="auto"/>
        <w:right w:val="none" w:sz="0" w:space="0" w:color="auto"/>
      </w:divBdr>
    </w:div>
    <w:div w:id="412974138">
      <w:bodyDiv w:val="1"/>
      <w:marLeft w:val="0"/>
      <w:marRight w:val="0"/>
      <w:marTop w:val="0"/>
      <w:marBottom w:val="0"/>
      <w:divBdr>
        <w:top w:val="none" w:sz="0" w:space="0" w:color="auto"/>
        <w:left w:val="none" w:sz="0" w:space="0" w:color="auto"/>
        <w:bottom w:val="none" w:sz="0" w:space="0" w:color="auto"/>
        <w:right w:val="none" w:sz="0" w:space="0" w:color="auto"/>
      </w:divBdr>
    </w:div>
    <w:div w:id="448669286">
      <w:bodyDiv w:val="1"/>
      <w:marLeft w:val="0"/>
      <w:marRight w:val="0"/>
      <w:marTop w:val="0"/>
      <w:marBottom w:val="0"/>
      <w:divBdr>
        <w:top w:val="none" w:sz="0" w:space="0" w:color="auto"/>
        <w:left w:val="none" w:sz="0" w:space="0" w:color="auto"/>
        <w:bottom w:val="none" w:sz="0" w:space="0" w:color="auto"/>
        <w:right w:val="none" w:sz="0" w:space="0" w:color="auto"/>
      </w:divBdr>
    </w:div>
    <w:div w:id="502277651">
      <w:bodyDiv w:val="1"/>
      <w:marLeft w:val="0"/>
      <w:marRight w:val="0"/>
      <w:marTop w:val="0"/>
      <w:marBottom w:val="0"/>
      <w:divBdr>
        <w:top w:val="none" w:sz="0" w:space="0" w:color="auto"/>
        <w:left w:val="none" w:sz="0" w:space="0" w:color="auto"/>
        <w:bottom w:val="none" w:sz="0" w:space="0" w:color="auto"/>
        <w:right w:val="none" w:sz="0" w:space="0" w:color="auto"/>
      </w:divBdr>
      <w:divsChild>
        <w:div w:id="535122477">
          <w:marLeft w:val="360"/>
          <w:marRight w:val="0"/>
          <w:marTop w:val="200"/>
          <w:marBottom w:val="0"/>
          <w:divBdr>
            <w:top w:val="none" w:sz="0" w:space="0" w:color="auto"/>
            <w:left w:val="none" w:sz="0" w:space="0" w:color="auto"/>
            <w:bottom w:val="none" w:sz="0" w:space="0" w:color="auto"/>
            <w:right w:val="none" w:sz="0" w:space="0" w:color="auto"/>
          </w:divBdr>
        </w:div>
      </w:divsChild>
    </w:div>
    <w:div w:id="506095419">
      <w:bodyDiv w:val="1"/>
      <w:marLeft w:val="0"/>
      <w:marRight w:val="0"/>
      <w:marTop w:val="0"/>
      <w:marBottom w:val="0"/>
      <w:divBdr>
        <w:top w:val="none" w:sz="0" w:space="0" w:color="auto"/>
        <w:left w:val="none" w:sz="0" w:space="0" w:color="auto"/>
        <w:bottom w:val="none" w:sz="0" w:space="0" w:color="auto"/>
        <w:right w:val="none" w:sz="0" w:space="0" w:color="auto"/>
      </w:divBdr>
    </w:div>
    <w:div w:id="529027566">
      <w:bodyDiv w:val="1"/>
      <w:marLeft w:val="0"/>
      <w:marRight w:val="0"/>
      <w:marTop w:val="0"/>
      <w:marBottom w:val="0"/>
      <w:divBdr>
        <w:top w:val="none" w:sz="0" w:space="0" w:color="auto"/>
        <w:left w:val="none" w:sz="0" w:space="0" w:color="auto"/>
        <w:bottom w:val="none" w:sz="0" w:space="0" w:color="auto"/>
        <w:right w:val="none" w:sz="0" w:space="0" w:color="auto"/>
      </w:divBdr>
    </w:div>
    <w:div w:id="550385395">
      <w:bodyDiv w:val="1"/>
      <w:marLeft w:val="0"/>
      <w:marRight w:val="0"/>
      <w:marTop w:val="0"/>
      <w:marBottom w:val="0"/>
      <w:divBdr>
        <w:top w:val="none" w:sz="0" w:space="0" w:color="auto"/>
        <w:left w:val="none" w:sz="0" w:space="0" w:color="auto"/>
        <w:bottom w:val="none" w:sz="0" w:space="0" w:color="auto"/>
        <w:right w:val="none" w:sz="0" w:space="0" w:color="auto"/>
      </w:divBdr>
    </w:div>
    <w:div w:id="619726067">
      <w:bodyDiv w:val="1"/>
      <w:marLeft w:val="0"/>
      <w:marRight w:val="0"/>
      <w:marTop w:val="0"/>
      <w:marBottom w:val="0"/>
      <w:divBdr>
        <w:top w:val="none" w:sz="0" w:space="0" w:color="auto"/>
        <w:left w:val="none" w:sz="0" w:space="0" w:color="auto"/>
        <w:bottom w:val="none" w:sz="0" w:space="0" w:color="auto"/>
        <w:right w:val="none" w:sz="0" w:space="0" w:color="auto"/>
      </w:divBdr>
    </w:div>
    <w:div w:id="626080961">
      <w:bodyDiv w:val="1"/>
      <w:marLeft w:val="0"/>
      <w:marRight w:val="0"/>
      <w:marTop w:val="0"/>
      <w:marBottom w:val="0"/>
      <w:divBdr>
        <w:top w:val="none" w:sz="0" w:space="0" w:color="auto"/>
        <w:left w:val="none" w:sz="0" w:space="0" w:color="auto"/>
        <w:bottom w:val="none" w:sz="0" w:space="0" w:color="auto"/>
        <w:right w:val="none" w:sz="0" w:space="0" w:color="auto"/>
      </w:divBdr>
    </w:div>
    <w:div w:id="644162709">
      <w:bodyDiv w:val="1"/>
      <w:marLeft w:val="0"/>
      <w:marRight w:val="0"/>
      <w:marTop w:val="0"/>
      <w:marBottom w:val="0"/>
      <w:divBdr>
        <w:top w:val="none" w:sz="0" w:space="0" w:color="auto"/>
        <w:left w:val="none" w:sz="0" w:space="0" w:color="auto"/>
        <w:bottom w:val="none" w:sz="0" w:space="0" w:color="auto"/>
        <w:right w:val="none" w:sz="0" w:space="0" w:color="auto"/>
      </w:divBdr>
    </w:div>
    <w:div w:id="644774838">
      <w:bodyDiv w:val="1"/>
      <w:marLeft w:val="0"/>
      <w:marRight w:val="0"/>
      <w:marTop w:val="0"/>
      <w:marBottom w:val="0"/>
      <w:divBdr>
        <w:top w:val="none" w:sz="0" w:space="0" w:color="auto"/>
        <w:left w:val="none" w:sz="0" w:space="0" w:color="auto"/>
        <w:bottom w:val="none" w:sz="0" w:space="0" w:color="auto"/>
        <w:right w:val="none" w:sz="0" w:space="0" w:color="auto"/>
      </w:divBdr>
    </w:div>
    <w:div w:id="663555211">
      <w:bodyDiv w:val="1"/>
      <w:marLeft w:val="0"/>
      <w:marRight w:val="0"/>
      <w:marTop w:val="0"/>
      <w:marBottom w:val="0"/>
      <w:divBdr>
        <w:top w:val="none" w:sz="0" w:space="0" w:color="auto"/>
        <w:left w:val="none" w:sz="0" w:space="0" w:color="auto"/>
        <w:bottom w:val="none" w:sz="0" w:space="0" w:color="auto"/>
        <w:right w:val="none" w:sz="0" w:space="0" w:color="auto"/>
      </w:divBdr>
    </w:div>
    <w:div w:id="679698435">
      <w:bodyDiv w:val="1"/>
      <w:marLeft w:val="0"/>
      <w:marRight w:val="0"/>
      <w:marTop w:val="0"/>
      <w:marBottom w:val="0"/>
      <w:divBdr>
        <w:top w:val="none" w:sz="0" w:space="0" w:color="auto"/>
        <w:left w:val="none" w:sz="0" w:space="0" w:color="auto"/>
        <w:bottom w:val="none" w:sz="0" w:space="0" w:color="auto"/>
        <w:right w:val="none" w:sz="0" w:space="0" w:color="auto"/>
      </w:divBdr>
      <w:divsChild>
        <w:div w:id="1256282703">
          <w:marLeft w:val="0"/>
          <w:marRight w:val="0"/>
          <w:marTop w:val="0"/>
          <w:marBottom w:val="0"/>
          <w:divBdr>
            <w:top w:val="single" w:sz="2" w:space="0" w:color="auto"/>
            <w:left w:val="single" w:sz="2" w:space="0" w:color="auto"/>
            <w:bottom w:val="single" w:sz="2" w:space="0" w:color="auto"/>
            <w:right w:val="single" w:sz="2" w:space="0" w:color="auto"/>
          </w:divBdr>
        </w:div>
      </w:divsChild>
    </w:div>
    <w:div w:id="685012795">
      <w:bodyDiv w:val="1"/>
      <w:marLeft w:val="0"/>
      <w:marRight w:val="0"/>
      <w:marTop w:val="0"/>
      <w:marBottom w:val="0"/>
      <w:divBdr>
        <w:top w:val="none" w:sz="0" w:space="0" w:color="auto"/>
        <w:left w:val="none" w:sz="0" w:space="0" w:color="auto"/>
        <w:bottom w:val="none" w:sz="0" w:space="0" w:color="auto"/>
        <w:right w:val="none" w:sz="0" w:space="0" w:color="auto"/>
      </w:divBdr>
    </w:div>
    <w:div w:id="721708770">
      <w:bodyDiv w:val="1"/>
      <w:marLeft w:val="0"/>
      <w:marRight w:val="0"/>
      <w:marTop w:val="0"/>
      <w:marBottom w:val="0"/>
      <w:divBdr>
        <w:top w:val="none" w:sz="0" w:space="0" w:color="auto"/>
        <w:left w:val="none" w:sz="0" w:space="0" w:color="auto"/>
        <w:bottom w:val="none" w:sz="0" w:space="0" w:color="auto"/>
        <w:right w:val="none" w:sz="0" w:space="0" w:color="auto"/>
      </w:divBdr>
      <w:divsChild>
        <w:div w:id="1547253561">
          <w:marLeft w:val="0"/>
          <w:marRight w:val="0"/>
          <w:marTop w:val="0"/>
          <w:marBottom w:val="0"/>
          <w:divBdr>
            <w:top w:val="none" w:sz="0" w:space="0" w:color="auto"/>
            <w:left w:val="none" w:sz="0" w:space="0" w:color="auto"/>
            <w:bottom w:val="none" w:sz="0" w:space="0" w:color="auto"/>
            <w:right w:val="none" w:sz="0" w:space="0" w:color="auto"/>
          </w:divBdr>
        </w:div>
      </w:divsChild>
    </w:div>
    <w:div w:id="752245274">
      <w:bodyDiv w:val="1"/>
      <w:marLeft w:val="0"/>
      <w:marRight w:val="0"/>
      <w:marTop w:val="0"/>
      <w:marBottom w:val="0"/>
      <w:divBdr>
        <w:top w:val="none" w:sz="0" w:space="0" w:color="auto"/>
        <w:left w:val="none" w:sz="0" w:space="0" w:color="auto"/>
        <w:bottom w:val="none" w:sz="0" w:space="0" w:color="auto"/>
        <w:right w:val="none" w:sz="0" w:space="0" w:color="auto"/>
      </w:divBdr>
    </w:div>
    <w:div w:id="793016470">
      <w:bodyDiv w:val="1"/>
      <w:marLeft w:val="0"/>
      <w:marRight w:val="0"/>
      <w:marTop w:val="0"/>
      <w:marBottom w:val="0"/>
      <w:divBdr>
        <w:top w:val="none" w:sz="0" w:space="0" w:color="auto"/>
        <w:left w:val="none" w:sz="0" w:space="0" w:color="auto"/>
        <w:bottom w:val="none" w:sz="0" w:space="0" w:color="auto"/>
        <w:right w:val="none" w:sz="0" w:space="0" w:color="auto"/>
      </w:divBdr>
    </w:div>
    <w:div w:id="795491876">
      <w:bodyDiv w:val="1"/>
      <w:marLeft w:val="0"/>
      <w:marRight w:val="0"/>
      <w:marTop w:val="0"/>
      <w:marBottom w:val="0"/>
      <w:divBdr>
        <w:top w:val="none" w:sz="0" w:space="0" w:color="auto"/>
        <w:left w:val="none" w:sz="0" w:space="0" w:color="auto"/>
        <w:bottom w:val="none" w:sz="0" w:space="0" w:color="auto"/>
        <w:right w:val="none" w:sz="0" w:space="0" w:color="auto"/>
      </w:divBdr>
    </w:div>
    <w:div w:id="832067041">
      <w:bodyDiv w:val="1"/>
      <w:marLeft w:val="0"/>
      <w:marRight w:val="0"/>
      <w:marTop w:val="0"/>
      <w:marBottom w:val="0"/>
      <w:divBdr>
        <w:top w:val="none" w:sz="0" w:space="0" w:color="auto"/>
        <w:left w:val="none" w:sz="0" w:space="0" w:color="auto"/>
        <w:bottom w:val="none" w:sz="0" w:space="0" w:color="auto"/>
        <w:right w:val="none" w:sz="0" w:space="0" w:color="auto"/>
      </w:divBdr>
    </w:div>
    <w:div w:id="835419115">
      <w:bodyDiv w:val="1"/>
      <w:marLeft w:val="0"/>
      <w:marRight w:val="0"/>
      <w:marTop w:val="0"/>
      <w:marBottom w:val="0"/>
      <w:divBdr>
        <w:top w:val="none" w:sz="0" w:space="0" w:color="auto"/>
        <w:left w:val="none" w:sz="0" w:space="0" w:color="auto"/>
        <w:bottom w:val="none" w:sz="0" w:space="0" w:color="auto"/>
        <w:right w:val="none" w:sz="0" w:space="0" w:color="auto"/>
      </w:divBdr>
    </w:div>
    <w:div w:id="840581698">
      <w:bodyDiv w:val="1"/>
      <w:marLeft w:val="0"/>
      <w:marRight w:val="0"/>
      <w:marTop w:val="0"/>
      <w:marBottom w:val="0"/>
      <w:divBdr>
        <w:top w:val="none" w:sz="0" w:space="0" w:color="auto"/>
        <w:left w:val="none" w:sz="0" w:space="0" w:color="auto"/>
        <w:bottom w:val="none" w:sz="0" w:space="0" w:color="auto"/>
        <w:right w:val="none" w:sz="0" w:space="0" w:color="auto"/>
      </w:divBdr>
    </w:div>
    <w:div w:id="847019412">
      <w:bodyDiv w:val="1"/>
      <w:marLeft w:val="0"/>
      <w:marRight w:val="0"/>
      <w:marTop w:val="0"/>
      <w:marBottom w:val="0"/>
      <w:divBdr>
        <w:top w:val="none" w:sz="0" w:space="0" w:color="auto"/>
        <w:left w:val="none" w:sz="0" w:space="0" w:color="auto"/>
        <w:bottom w:val="none" w:sz="0" w:space="0" w:color="auto"/>
        <w:right w:val="none" w:sz="0" w:space="0" w:color="auto"/>
      </w:divBdr>
    </w:div>
    <w:div w:id="918755828">
      <w:bodyDiv w:val="1"/>
      <w:marLeft w:val="0"/>
      <w:marRight w:val="0"/>
      <w:marTop w:val="0"/>
      <w:marBottom w:val="0"/>
      <w:divBdr>
        <w:top w:val="none" w:sz="0" w:space="0" w:color="auto"/>
        <w:left w:val="none" w:sz="0" w:space="0" w:color="auto"/>
        <w:bottom w:val="none" w:sz="0" w:space="0" w:color="auto"/>
        <w:right w:val="none" w:sz="0" w:space="0" w:color="auto"/>
      </w:divBdr>
    </w:div>
    <w:div w:id="944116165">
      <w:bodyDiv w:val="1"/>
      <w:marLeft w:val="0"/>
      <w:marRight w:val="0"/>
      <w:marTop w:val="0"/>
      <w:marBottom w:val="0"/>
      <w:divBdr>
        <w:top w:val="none" w:sz="0" w:space="0" w:color="auto"/>
        <w:left w:val="none" w:sz="0" w:space="0" w:color="auto"/>
        <w:bottom w:val="none" w:sz="0" w:space="0" w:color="auto"/>
        <w:right w:val="none" w:sz="0" w:space="0" w:color="auto"/>
      </w:divBdr>
    </w:div>
    <w:div w:id="959801426">
      <w:bodyDiv w:val="1"/>
      <w:marLeft w:val="0"/>
      <w:marRight w:val="0"/>
      <w:marTop w:val="0"/>
      <w:marBottom w:val="0"/>
      <w:divBdr>
        <w:top w:val="none" w:sz="0" w:space="0" w:color="auto"/>
        <w:left w:val="none" w:sz="0" w:space="0" w:color="auto"/>
        <w:bottom w:val="none" w:sz="0" w:space="0" w:color="auto"/>
        <w:right w:val="none" w:sz="0" w:space="0" w:color="auto"/>
      </w:divBdr>
    </w:div>
    <w:div w:id="1002782473">
      <w:bodyDiv w:val="1"/>
      <w:marLeft w:val="0"/>
      <w:marRight w:val="0"/>
      <w:marTop w:val="0"/>
      <w:marBottom w:val="0"/>
      <w:divBdr>
        <w:top w:val="none" w:sz="0" w:space="0" w:color="auto"/>
        <w:left w:val="none" w:sz="0" w:space="0" w:color="auto"/>
        <w:bottom w:val="none" w:sz="0" w:space="0" w:color="auto"/>
        <w:right w:val="none" w:sz="0" w:space="0" w:color="auto"/>
      </w:divBdr>
    </w:div>
    <w:div w:id="1014723283">
      <w:bodyDiv w:val="1"/>
      <w:marLeft w:val="0"/>
      <w:marRight w:val="0"/>
      <w:marTop w:val="0"/>
      <w:marBottom w:val="0"/>
      <w:divBdr>
        <w:top w:val="none" w:sz="0" w:space="0" w:color="auto"/>
        <w:left w:val="none" w:sz="0" w:space="0" w:color="auto"/>
        <w:bottom w:val="none" w:sz="0" w:space="0" w:color="auto"/>
        <w:right w:val="none" w:sz="0" w:space="0" w:color="auto"/>
      </w:divBdr>
    </w:div>
    <w:div w:id="1062560502">
      <w:bodyDiv w:val="1"/>
      <w:marLeft w:val="0"/>
      <w:marRight w:val="0"/>
      <w:marTop w:val="0"/>
      <w:marBottom w:val="0"/>
      <w:divBdr>
        <w:top w:val="none" w:sz="0" w:space="0" w:color="auto"/>
        <w:left w:val="none" w:sz="0" w:space="0" w:color="auto"/>
        <w:bottom w:val="none" w:sz="0" w:space="0" w:color="auto"/>
        <w:right w:val="none" w:sz="0" w:space="0" w:color="auto"/>
      </w:divBdr>
    </w:div>
    <w:div w:id="1109396689">
      <w:bodyDiv w:val="1"/>
      <w:marLeft w:val="0"/>
      <w:marRight w:val="0"/>
      <w:marTop w:val="0"/>
      <w:marBottom w:val="0"/>
      <w:divBdr>
        <w:top w:val="none" w:sz="0" w:space="0" w:color="auto"/>
        <w:left w:val="none" w:sz="0" w:space="0" w:color="auto"/>
        <w:bottom w:val="none" w:sz="0" w:space="0" w:color="auto"/>
        <w:right w:val="none" w:sz="0" w:space="0" w:color="auto"/>
      </w:divBdr>
    </w:div>
    <w:div w:id="1145195551">
      <w:bodyDiv w:val="1"/>
      <w:marLeft w:val="0"/>
      <w:marRight w:val="0"/>
      <w:marTop w:val="0"/>
      <w:marBottom w:val="0"/>
      <w:divBdr>
        <w:top w:val="none" w:sz="0" w:space="0" w:color="auto"/>
        <w:left w:val="none" w:sz="0" w:space="0" w:color="auto"/>
        <w:bottom w:val="none" w:sz="0" w:space="0" w:color="auto"/>
        <w:right w:val="none" w:sz="0" w:space="0" w:color="auto"/>
      </w:divBdr>
    </w:div>
    <w:div w:id="1164008691">
      <w:bodyDiv w:val="1"/>
      <w:marLeft w:val="0"/>
      <w:marRight w:val="0"/>
      <w:marTop w:val="0"/>
      <w:marBottom w:val="0"/>
      <w:divBdr>
        <w:top w:val="none" w:sz="0" w:space="0" w:color="auto"/>
        <w:left w:val="none" w:sz="0" w:space="0" w:color="auto"/>
        <w:bottom w:val="none" w:sz="0" w:space="0" w:color="auto"/>
        <w:right w:val="none" w:sz="0" w:space="0" w:color="auto"/>
      </w:divBdr>
    </w:div>
    <w:div w:id="1169566260">
      <w:bodyDiv w:val="1"/>
      <w:marLeft w:val="0"/>
      <w:marRight w:val="0"/>
      <w:marTop w:val="0"/>
      <w:marBottom w:val="0"/>
      <w:divBdr>
        <w:top w:val="none" w:sz="0" w:space="0" w:color="auto"/>
        <w:left w:val="none" w:sz="0" w:space="0" w:color="auto"/>
        <w:bottom w:val="none" w:sz="0" w:space="0" w:color="auto"/>
        <w:right w:val="none" w:sz="0" w:space="0" w:color="auto"/>
      </w:divBdr>
    </w:div>
    <w:div w:id="1200626338">
      <w:bodyDiv w:val="1"/>
      <w:marLeft w:val="0"/>
      <w:marRight w:val="0"/>
      <w:marTop w:val="0"/>
      <w:marBottom w:val="0"/>
      <w:divBdr>
        <w:top w:val="none" w:sz="0" w:space="0" w:color="auto"/>
        <w:left w:val="none" w:sz="0" w:space="0" w:color="auto"/>
        <w:bottom w:val="none" w:sz="0" w:space="0" w:color="auto"/>
        <w:right w:val="none" w:sz="0" w:space="0" w:color="auto"/>
      </w:divBdr>
    </w:div>
    <w:div w:id="1204832596">
      <w:bodyDiv w:val="1"/>
      <w:marLeft w:val="0"/>
      <w:marRight w:val="0"/>
      <w:marTop w:val="0"/>
      <w:marBottom w:val="0"/>
      <w:divBdr>
        <w:top w:val="none" w:sz="0" w:space="0" w:color="auto"/>
        <w:left w:val="none" w:sz="0" w:space="0" w:color="auto"/>
        <w:bottom w:val="none" w:sz="0" w:space="0" w:color="auto"/>
        <w:right w:val="none" w:sz="0" w:space="0" w:color="auto"/>
      </w:divBdr>
    </w:div>
    <w:div w:id="1209104299">
      <w:bodyDiv w:val="1"/>
      <w:marLeft w:val="0"/>
      <w:marRight w:val="0"/>
      <w:marTop w:val="0"/>
      <w:marBottom w:val="0"/>
      <w:divBdr>
        <w:top w:val="none" w:sz="0" w:space="0" w:color="auto"/>
        <w:left w:val="none" w:sz="0" w:space="0" w:color="auto"/>
        <w:bottom w:val="none" w:sz="0" w:space="0" w:color="auto"/>
        <w:right w:val="none" w:sz="0" w:space="0" w:color="auto"/>
      </w:divBdr>
    </w:div>
    <w:div w:id="1209224600">
      <w:bodyDiv w:val="1"/>
      <w:marLeft w:val="0"/>
      <w:marRight w:val="0"/>
      <w:marTop w:val="0"/>
      <w:marBottom w:val="0"/>
      <w:divBdr>
        <w:top w:val="none" w:sz="0" w:space="0" w:color="auto"/>
        <w:left w:val="none" w:sz="0" w:space="0" w:color="auto"/>
        <w:bottom w:val="none" w:sz="0" w:space="0" w:color="auto"/>
        <w:right w:val="none" w:sz="0" w:space="0" w:color="auto"/>
      </w:divBdr>
    </w:div>
    <w:div w:id="1217741506">
      <w:bodyDiv w:val="1"/>
      <w:marLeft w:val="0"/>
      <w:marRight w:val="0"/>
      <w:marTop w:val="0"/>
      <w:marBottom w:val="0"/>
      <w:divBdr>
        <w:top w:val="none" w:sz="0" w:space="0" w:color="auto"/>
        <w:left w:val="none" w:sz="0" w:space="0" w:color="auto"/>
        <w:bottom w:val="none" w:sz="0" w:space="0" w:color="auto"/>
        <w:right w:val="none" w:sz="0" w:space="0" w:color="auto"/>
      </w:divBdr>
    </w:div>
    <w:div w:id="1228539334">
      <w:bodyDiv w:val="1"/>
      <w:marLeft w:val="0"/>
      <w:marRight w:val="0"/>
      <w:marTop w:val="0"/>
      <w:marBottom w:val="0"/>
      <w:divBdr>
        <w:top w:val="none" w:sz="0" w:space="0" w:color="auto"/>
        <w:left w:val="none" w:sz="0" w:space="0" w:color="auto"/>
        <w:bottom w:val="none" w:sz="0" w:space="0" w:color="auto"/>
        <w:right w:val="none" w:sz="0" w:space="0" w:color="auto"/>
      </w:divBdr>
    </w:div>
    <w:div w:id="1231766102">
      <w:bodyDiv w:val="1"/>
      <w:marLeft w:val="0"/>
      <w:marRight w:val="0"/>
      <w:marTop w:val="0"/>
      <w:marBottom w:val="0"/>
      <w:divBdr>
        <w:top w:val="none" w:sz="0" w:space="0" w:color="auto"/>
        <w:left w:val="none" w:sz="0" w:space="0" w:color="auto"/>
        <w:bottom w:val="none" w:sz="0" w:space="0" w:color="auto"/>
        <w:right w:val="none" w:sz="0" w:space="0" w:color="auto"/>
      </w:divBdr>
    </w:div>
    <w:div w:id="1239365145">
      <w:bodyDiv w:val="1"/>
      <w:marLeft w:val="0"/>
      <w:marRight w:val="0"/>
      <w:marTop w:val="0"/>
      <w:marBottom w:val="0"/>
      <w:divBdr>
        <w:top w:val="none" w:sz="0" w:space="0" w:color="auto"/>
        <w:left w:val="none" w:sz="0" w:space="0" w:color="auto"/>
        <w:bottom w:val="none" w:sz="0" w:space="0" w:color="auto"/>
        <w:right w:val="none" w:sz="0" w:space="0" w:color="auto"/>
      </w:divBdr>
    </w:div>
    <w:div w:id="1242179531">
      <w:bodyDiv w:val="1"/>
      <w:marLeft w:val="0"/>
      <w:marRight w:val="0"/>
      <w:marTop w:val="0"/>
      <w:marBottom w:val="0"/>
      <w:divBdr>
        <w:top w:val="none" w:sz="0" w:space="0" w:color="auto"/>
        <w:left w:val="none" w:sz="0" w:space="0" w:color="auto"/>
        <w:bottom w:val="none" w:sz="0" w:space="0" w:color="auto"/>
        <w:right w:val="none" w:sz="0" w:space="0" w:color="auto"/>
      </w:divBdr>
    </w:div>
    <w:div w:id="1354309091">
      <w:bodyDiv w:val="1"/>
      <w:marLeft w:val="0"/>
      <w:marRight w:val="0"/>
      <w:marTop w:val="0"/>
      <w:marBottom w:val="0"/>
      <w:divBdr>
        <w:top w:val="none" w:sz="0" w:space="0" w:color="auto"/>
        <w:left w:val="none" w:sz="0" w:space="0" w:color="auto"/>
        <w:bottom w:val="none" w:sz="0" w:space="0" w:color="auto"/>
        <w:right w:val="none" w:sz="0" w:space="0" w:color="auto"/>
      </w:divBdr>
    </w:div>
    <w:div w:id="1425613073">
      <w:bodyDiv w:val="1"/>
      <w:marLeft w:val="0"/>
      <w:marRight w:val="0"/>
      <w:marTop w:val="0"/>
      <w:marBottom w:val="0"/>
      <w:divBdr>
        <w:top w:val="none" w:sz="0" w:space="0" w:color="auto"/>
        <w:left w:val="none" w:sz="0" w:space="0" w:color="auto"/>
        <w:bottom w:val="none" w:sz="0" w:space="0" w:color="auto"/>
        <w:right w:val="none" w:sz="0" w:space="0" w:color="auto"/>
      </w:divBdr>
    </w:div>
    <w:div w:id="1429424442">
      <w:bodyDiv w:val="1"/>
      <w:marLeft w:val="0"/>
      <w:marRight w:val="0"/>
      <w:marTop w:val="0"/>
      <w:marBottom w:val="0"/>
      <w:divBdr>
        <w:top w:val="none" w:sz="0" w:space="0" w:color="auto"/>
        <w:left w:val="none" w:sz="0" w:space="0" w:color="auto"/>
        <w:bottom w:val="none" w:sz="0" w:space="0" w:color="auto"/>
        <w:right w:val="none" w:sz="0" w:space="0" w:color="auto"/>
      </w:divBdr>
    </w:div>
    <w:div w:id="1490756570">
      <w:bodyDiv w:val="1"/>
      <w:marLeft w:val="0"/>
      <w:marRight w:val="0"/>
      <w:marTop w:val="0"/>
      <w:marBottom w:val="0"/>
      <w:divBdr>
        <w:top w:val="none" w:sz="0" w:space="0" w:color="auto"/>
        <w:left w:val="none" w:sz="0" w:space="0" w:color="auto"/>
        <w:bottom w:val="none" w:sz="0" w:space="0" w:color="auto"/>
        <w:right w:val="none" w:sz="0" w:space="0" w:color="auto"/>
      </w:divBdr>
    </w:div>
    <w:div w:id="1498879922">
      <w:bodyDiv w:val="1"/>
      <w:marLeft w:val="0"/>
      <w:marRight w:val="0"/>
      <w:marTop w:val="0"/>
      <w:marBottom w:val="0"/>
      <w:divBdr>
        <w:top w:val="none" w:sz="0" w:space="0" w:color="auto"/>
        <w:left w:val="none" w:sz="0" w:space="0" w:color="auto"/>
        <w:bottom w:val="none" w:sz="0" w:space="0" w:color="auto"/>
        <w:right w:val="none" w:sz="0" w:space="0" w:color="auto"/>
      </w:divBdr>
    </w:div>
    <w:div w:id="1518421665">
      <w:bodyDiv w:val="1"/>
      <w:marLeft w:val="0"/>
      <w:marRight w:val="0"/>
      <w:marTop w:val="0"/>
      <w:marBottom w:val="0"/>
      <w:divBdr>
        <w:top w:val="none" w:sz="0" w:space="0" w:color="auto"/>
        <w:left w:val="none" w:sz="0" w:space="0" w:color="auto"/>
        <w:bottom w:val="none" w:sz="0" w:space="0" w:color="auto"/>
        <w:right w:val="none" w:sz="0" w:space="0" w:color="auto"/>
      </w:divBdr>
    </w:div>
    <w:div w:id="1532953601">
      <w:bodyDiv w:val="1"/>
      <w:marLeft w:val="0"/>
      <w:marRight w:val="0"/>
      <w:marTop w:val="0"/>
      <w:marBottom w:val="0"/>
      <w:divBdr>
        <w:top w:val="none" w:sz="0" w:space="0" w:color="auto"/>
        <w:left w:val="none" w:sz="0" w:space="0" w:color="auto"/>
        <w:bottom w:val="none" w:sz="0" w:space="0" w:color="auto"/>
        <w:right w:val="none" w:sz="0" w:space="0" w:color="auto"/>
      </w:divBdr>
    </w:div>
    <w:div w:id="1546019076">
      <w:bodyDiv w:val="1"/>
      <w:marLeft w:val="0"/>
      <w:marRight w:val="0"/>
      <w:marTop w:val="0"/>
      <w:marBottom w:val="0"/>
      <w:divBdr>
        <w:top w:val="none" w:sz="0" w:space="0" w:color="auto"/>
        <w:left w:val="none" w:sz="0" w:space="0" w:color="auto"/>
        <w:bottom w:val="none" w:sz="0" w:space="0" w:color="auto"/>
        <w:right w:val="none" w:sz="0" w:space="0" w:color="auto"/>
      </w:divBdr>
    </w:div>
    <w:div w:id="1566993298">
      <w:bodyDiv w:val="1"/>
      <w:marLeft w:val="0"/>
      <w:marRight w:val="0"/>
      <w:marTop w:val="0"/>
      <w:marBottom w:val="0"/>
      <w:divBdr>
        <w:top w:val="none" w:sz="0" w:space="0" w:color="auto"/>
        <w:left w:val="none" w:sz="0" w:space="0" w:color="auto"/>
        <w:bottom w:val="none" w:sz="0" w:space="0" w:color="auto"/>
        <w:right w:val="none" w:sz="0" w:space="0" w:color="auto"/>
      </w:divBdr>
    </w:div>
    <w:div w:id="1583026936">
      <w:bodyDiv w:val="1"/>
      <w:marLeft w:val="0"/>
      <w:marRight w:val="0"/>
      <w:marTop w:val="0"/>
      <w:marBottom w:val="0"/>
      <w:divBdr>
        <w:top w:val="none" w:sz="0" w:space="0" w:color="auto"/>
        <w:left w:val="none" w:sz="0" w:space="0" w:color="auto"/>
        <w:bottom w:val="none" w:sz="0" w:space="0" w:color="auto"/>
        <w:right w:val="none" w:sz="0" w:space="0" w:color="auto"/>
      </w:divBdr>
    </w:div>
    <w:div w:id="1598169926">
      <w:bodyDiv w:val="1"/>
      <w:marLeft w:val="0"/>
      <w:marRight w:val="0"/>
      <w:marTop w:val="0"/>
      <w:marBottom w:val="0"/>
      <w:divBdr>
        <w:top w:val="none" w:sz="0" w:space="0" w:color="auto"/>
        <w:left w:val="none" w:sz="0" w:space="0" w:color="auto"/>
        <w:bottom w:val="none" w:sz="0" w:space="0" w:color="auto"/>
        <w:right w:val="none" w:sz="0" w:space="0" w:color="auto"/>
      </w:divBdr>
    </w:div>
    <w:div w:id="1614900917">
      <w:bodyDiv w:val="1"/>
      <w:marLeft w:val="0"/>
      <w:marRight w:val="0"/>
      <w:marTop w:val="0"/>
      <w:marBottom w:val="0"/>
      <w:divBdr>
        <w:top w:val="none" w:sz="0" w:space="0" w:color="auto"/>
        <w:left w:val="none" w:sz="0" w:space="0" w:color="auto"/>
        <w:bottom w:val="none" w:sz="0" w:space="0" w:color="auto"/>
        <w:right w:val="none" w:sz="0" w:space="0" w:color="auto"/>
      </w:divBdr>
    </w:div>
    <w:div w:id="1622228798">
      <w:bodyDiv w:val="1"/>
      <w:marLeft w:val="0"/>
      <w:marRight w:val="0"/>
      <w:marTop w:val="0"/>
      <w:marBottom w:val="0"/>
      <w:divBdr>
        <w:top w:val="none" w:sz="0" w:space="0" w:color="auto"/>
        <w:left w:val="none" w:sz="0" w:space="0" w:color="auto"/>
        <w:bottom w:val="none" w:sz="0" w:space="0" w:color="auto"/>
        <w:right w:val="none" w:sz="0" w:space="0" w:color="auto"/>
      </w:divBdr>
    </w:div>
    <w:div w:id="1622566785">
      <w:bodyDiv w:val="1"/>
      <w:marLeft w:val="0"/>
      <w:marRight w:val="0"/>
      <w:marTop w:val="0"/>
      <w:marBottom w:val="0"/>
      <w:divBdr>
        <w:top w:val="none" w:sz="0" w:space="0" w:color="auto"/>
        <w:left w:val="none" w:sz="0" w:space="0" w:color="auto"/>
        <w:bottom w:val="none" w:sz="0" w:space="0" w:color="auto"/>
        <w:right w:val="none" w:sz="0" w:space="0" w:color="auto"/>
      </w:divBdr>
    </w:div>
    <w:div w:id="1629316290">
      <w:bodyDiv w:val="1"/>
      <w:marLeft w:val="0"/>
      <w:marRight w:val="0"/>
      <w:marTop w:val="0"/>
      <w:marBottom w:val="0"/>
      <w:divBdr>
        <w:top w:val="none" w:sz="0" w:space="0" w:color="auto"/>
        <w:left w:val="none" w:sz="0" w:space="0" w:color="auto"/>
        <w:bottom w:val="none" w:sz="0" w:space="0" w:color="auto"/>
        <w:right w:val="none" w:sz="0" w:space="0" w:color="auto"/>
      </w:divBdr>
    </w:div>
    <w:div w:id="1652171986">
      <w:bodyDiv w:val="1"/>
      <w:marLeft w:val="0"/>
      <w:marRight w:val="0"/>
      <w:marTop w:val="0"/>
      <w:marBottom w:val="0"/>
      <w:divBdr>
        <w:top w:val="none" w:sz="0" w:space="0" w:color="auto"/>
        <w:left w:val="none" w:sz="0" w:space="0" w:color="auto"/>
        <w:bottom w:val="none" w:sz="0" w:space="0" w:color="auto"/>
        <w:right w:val="none" w:sz="0" w:space="0" w:color="auto"/>
      </w:divBdr>
    </w:div>
    <w:div w:id="1701392356">
      <w:bodyDiv w:val="1"/>
      <w:marLeft w:val="0"/>
      <w:marRight w:val="0"/>
      <w:marTop w:val="0"/>
      <w:marBottom w:val="0"/>
      <w:divBdr>
        <w:top w:val="none" w:sz="0" w:space="0" w:color="auto"/>
        <w:left w:val="none" w:sz="0" w:space="0" w:color="auto"/>
        <w:bottom w:val="none" w:sz="0" w:space="0" w:color="auto"/>
        <w:right w:val="none" w:sz="0" w:space="0" w:color="auto"/>
      </w:divBdr>
    </w:div>
    <w:div w:id="1703238031">
      <w:bodyDiv w:val="1"/>
      <w:marLeft w:val="0"/>
      <w:marRight w:val="0"/>
      <w:marTop w:val="0"/>
      <w:marBottom w:val="0"/>
      <w:divBdr>
        <w:top w:val="none" w:sz="0" w:space="0" w:color="auto"/>
        <w:left w:val="none" w:sz="0" w:space="0" w:color="auto"/>
        <w:bottom w:val="none" w:sz="0" w:space="0" w:color="auto"/>
        <w:right w:val="none" w:sz="0" w:space="0" w:color="auto"/>
      </w:divBdr>
    </w:div>
    <w:div w:id="1705397548">
      <w:bodyDiv w:val="1"/>
      <w:marLeft w:val="0"/>
      <w:marRight w:val="0"/>
      <w:marTop w:val="0"/>
      <w:marBottom w:val="0"/>
      <w:divBdr>
        <w:top w:val="none" w:sz="0" w:space="0" w:color="auto"/>
        <w:left w:val="none" w:sz="0" w:space="0" w:color="auto"/>
        <w:bottom w:val="none" w:sz="0" w:space="0" w:color="auto"/>
        <w:right w:val="none" w:sz="0" w:space="0" w:color="auto"/>
      </w:divBdr>
    </w:div>
    <w:div w:id="1730037801">
      <w:bodyDiv w:val="1"/>
      <w:marLeft w:val="0"/>
      <w:marRight w:val="0"/>
      <w:marTop w:val="0"/>
      <w:marBottom w:val="0"/>
      <w:divBdr>
        <w:top w:val="none" w:sz="0" w:space="0" w:color="auto"/>
        <w:left w:val="none" w:sz="0" w:space="0" w:color="auto"/>
        <w:bottom w:val="none" w:sz="0" w:space="0" w:color="auto"/>
        <w:right w:val="none" w:sz="0" w:space="0" w:color="auto"/>
      </w:divBdr>
    </w:div>
    <w:div w:id="1751463434">
      <w:bodyDiv w:val="1"/>
      <w:marLeft w:val="0"/>
      <w:marRight w:val="0"/>
      <w:marTop w:val="0"/>
      <w:marBottom w:val="0"/>
      <w:divBdr>
        <w:top w:val="none" w:sz="0" w:space="0" w:color="auto"/>
        <w:left w:val="none" w:sz="0" w:space="0" w:color="auto"/>
        <w:bottom w:val="none" w:sz="0" w:space="0" w:color="auto"/>
        <w:right w:val="none" w:sz="0" w:space="0" w:color="auto"/>
      </w:divBdr>
    </w:div>
    <w:div w:id="1779713990">
      <w:bodyDiv w:val="1"/>
      <w:marLeft w:val="0"/>
      <w:marRight w:val="0"/>
      <w:marTop w:val="0"/>
      <w:marBottom w:val="0"/>
      <w:divBdr>
        <w:top w:val="none" w:sz="0" w:space="0" w:color="auto"/>
        <w:left w:val="none" w:sz="0" w:space="0" w:color="auto"/>
        <w:bottom w:val="none" w:sz="0" w:space="0" w:color="auto"/>
        <w:right w:val="none" w:sz="0" w:space="0" w:color="auto"/>
      </w:divBdr>
    </w:div>
    <w:div w:id="1780445217">
      <w:bodyDiv w:val="1"/>
      <w:marLeft w:val="0"/>
      <w:marRight w:val="0"/>
      <w:marTop w:val="0"/>
      <w:marBottom w:val="0"/>
      <w:divBdr>
        <w:top w:val="none" w:sz="0" w:space="0" w:color="auto"/>
        <w:left w:val="none" w:sz="0" w:space="0" w:color="auto"/>
        <w:bottom w:val="none" w:sz="0" w:space="0" w:color="auto"/>
        <w:right w:val="none" w:sz="0" w:space="0" w:color="auto"/>
      </w:divBdr>
    </w:div>
    <w:div w:id="1877547287">
      <w:bodyDiv w:val="1"/>
      <w:marLeft w:val="0"/>
      <w:marRight w:val="0"/>
      <w:marTop w:val="0"/>
      <w:marBottom w:val="0"/>
      <w:divBdr>
        <w:top w:val="none" w:sz="0" w:space="0" w:color="auto"/>
        <w:left w:val="none" w:sz="0" w:space="0" w:color="auto"/>
        <w:bottom w:val="none" w:sz="0" w:space="0" w:color="auto"/>
        <w:right w:val="none" w:sz="0" w:space="0" w:color="auto"/>
      </w:divBdr>
    </w:div>
    <w:div w:id="1892423825">
      <w:bodyDiv w:val="1"/>
      <w:marLeft w:val="0"/>
      <w:marRight w:val="0"/>
      <w:marTop w:val="0"/>
      <w:marBottom w:val="0"/>
      <w:divBdr>
        <w:top w:val="none" w:sz="0" w:space="0" w:color="auto"/>
        <w:left w:val="none" w:sz="0" w:space="0" w:color="auto"/>
        <w:bottom w:val="none" w:sz="0" w:space="0" w:color="auto"/>
        <w:right w:val="none" w:sz="0" w:space="0" w:color="auto"/>
      </w:divBdr>
    </w:div>
    <w:div w:id="1972901013">
      <w:bodyDiv w:val="1"/>
      <w:marLeft w:val="0"/>
      <w:marRight w:val="0"/>
      <w:marTop w:val="0"/>
      <w:marBottom w:val="0"/>
      <w:divBdr>
        <w:top w:val="none" w:sz="0" w:space="0" w:color="auto"/>
        <w:left w:val="none" w:sz="0" w:space="0" w:color="auto"/>
        <w:bottom w:val="none" w:sz="0" w:space="0" w:color="auto"/>
        <w:right w:val="none" w:sz="0" w:space="0" w:color="auto"/>
      </w:divBdr>
    </w:div>
    <w:div w:id="1992977990">
      <w:bodyDiv w:val="1"/>
      <w:marLeft w:val="0"/>
      <w:marRight w:val="0"/>
      <w:marTop w:val="0"/>
      <w:marBottom w:val="0"/>
      <w:divBdr>
        <w:top w:val="none" w:sz="0" w:space="0" w:color="auto"/>
        <w:left w:val="none" w:sz="0" w:space="0" w:color="auto"/>
        <w:bottom w:val="none" w:sz="0" w:space="0" w:color="auto"/>
        <w:right w:val="none" w:sz="0" w:space="0" w:color="auto"/>
      </w:divBdr>
    </w:div>
    <w:div w:id="1993177853">
      <w:bodyDiv w:val="1"/>
      <w:marLeft w:val="0"/>
      <w:marRight w:val="0"/>
      <w:marTop w:val="0"/>
      <w:marBottom w:val="0"/>
      <w:divBdr>
        <w:top w:val="none" w:sz="0" w:space="0" w:color="auto"/>
        <w:left w:val="none" w:sz="0" w:space="0" w:color="auto"/>
        <w:bottom w:val="none" w:sz="0" w:space="0" w:color="auto"/>
        <w:right w:val="none" w:sz="0" w:space="0" w:color="auto"/>
      </w:divBdr>
    </w:div>
    <w:div w:id="2120172446">
      <w:bodyDiv w:val="1"/>
      <w:marLeft w:val="0"/>
      <w:marRight w:val="0"/>
      <w:marTop w:val="0"/>
      <w:marBottom w:val="0"/>
      <w:divBdr>
        <w:top w:val="none" w:sz="0" w:space="0" w:color="auto"/>
        <w:left w:val="none" w:sz="0" w:space="0" w:color="auto"/>
        <w:bottom w:val="none" w:sz="0" w:space="0" w:color="auto"/>
        <w:right w:val="none" w:sz="0" w:space="0" w:color="auto"/>
      </w:divBdr>
    </w:div>
    <w:div w:id="21342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371/journal.pone.0337617" TargetMode="External"/><Relationship Id="rId18" Type="http://schemas.openxmlformats.org/officeDocument/2006/relationships/hyperlink" Target="https://doi.org/10.2196/75406" TargetMode="External"/><Relationship Id="rId26" Type="http://schemas.openxmlformats.org/officeDocument/2006/relationships/hyperlink" Target="https://doi.org/10.1007/s41669-024-00498-3" TargetMode="External"/><Relationship Id="rId3" Type="http://schemas.openxmlformats.org/officeDocument/2006/relationships/styles" Target="styles.xml"/><Relationship Id="rId21" Type="http://schemas.openxmlformats.org/officeDocument/2006/relationships/hyperlink" Target="https://doi.org/10.1177/21501319251326750"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i.org/10.1016/s2589-7500(23)00001-8" TargetMode="External"/><Relationship Id="rId17" Type="http://schemas.openxmlformats.org/officeDocument/2006/relationships/hyperlink" Target="https://doi.org/10.1093/ageing/afaf003" TargetMode="External"/><Relationship Id="rId25" Type="http://schemas.openxmlformats.org/officeDocument/2006/relationships/hyperlink" Target="https://doi.org/10.1093/ageing/afab220" TargetMode="External"/><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doi.org/10.1093/ehjdh/ztac076.2804" TargetMode="External"/><Relationship Id="rId20" Type="http://schemas.openxmlformats.org/officeDocument/2006/relationships/hyperlink" Target="https://doi.org/10.2196/56494"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archdischild-2024-327582" TargetMode="External"/><Relationship Id="rId24" Type="http://schemas.openxmlformats.org/officeDocument/2006/relationships/hyperlink" Target="https://doi.org/10.1002/ehf2.15003" TargetMode="External"/><Relationship Id="rId32"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doi.org/10.1016/j.ijmedinf.2023.105111" TargetMode="External"/><Relationship Id="rId23" Type="http://schemas.openxmlformats.org/officeDocument/2006/relationships/hyperlink" Target="https://doi.org/10.1371/journal.pdig.0000475" TargetMode="External"/><Relationship Id="rId28" Type="http://schemas.openxmlformats.org/officeDocument/2006/relationships/header" Target="header1.xml"/><Relationship Id="rId10" Type="http://schemas.openxmlformats.org/officeDocument/2006/relationships/hyperlink" Target="https://doi.org/10.1136/bmjoq-2021-001584" TargetMode="External"/><Relationship Id="rId19" Type="http://schemas.openxmlformats.org/officeDocument/2006/relationships/hyperlink" Target="https://doi.org/10.1093/oodh/oqaf008"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oi.org/10.1136/emermed-2022-212377" TargetMode="External"/><Relationship Id="rId14" Type="http://schemas.openxmlformats.org/officeDocument/2006/relationships/hyperlink" Target="https://doi.org/10.1136/bmjopen-2023-081378" TargetMode="External"/><Relationship Id="rId22" Type="http://schemas.openxmlformats.org/officeDocument/2006/relationships/hyperlink" Target="https://doi.org/10.1093/ehjqcco/qcae095" TargetMode="External"/><Relationship Id="rId27" Type="http://schemas.openxmlformats.org/officeDocument/2006/relationships/hyperlink" Target="https://doi.org/10.1186/s12913-025-12872-w"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hyperlink" Target="https://doi.org/10.1371/journal.pdig.00008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EBC170-DACE-49BC-9D1F-38451CB1C41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3492</Words>
  <Characters>19906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23352</CharactersWithSpaces>
  <SharedDoc>false</SharedDoc>
  <HLinks>
    <vt:vector size="120" baseType="variant">
      <vt:variant>
        <vt:i4>6881335</vt:i4>
      </vt:variant>
      <vt:variant>
        <vt:i4>84</vt:i4>
      </vt:variant>
      <vt:variant>
        <vt:i4>0</vt:i4>
      </vt:variant>
      <vt:variant>
        <vt:i4>5</vt:i4>
      </vt:variant>
      <vt:variant>
        <vt:lpwstr>https://doi.org/10.1186/s12913-025-12872-w</vt:lpwstr>
      </vt:variant>
      <vt:variant>
        <vt:lpwstr/>
      </vt:variant>
      <vt:variant>
        <vt:i4>2293823</vt:i4>
      </vt:variant>
      <vt:variant>
        <vt:i4>81</vt:i4>
      </vt:variant>
      <vt:variant>
        <vt:i4>0</vt:i4>
      </vt:variant>
      <vt:variant>
        <vt:i4>5</vt:i4>
      </vt:variant>
      <vt:variant>
        <vt:lpwstr>https://doi.org/10.1007/s41669-024-00498-3</vt:lpwstr>
      </vt:variant>
      <vt:variant>
        <vt:lpwstr/>
      </vt:variant>
      <vt:variant>
        <vt:i4>7405610</vt:i4>
      </vt:variant>
      <vt:variant>
        <vt:i4>78</vt:i4>
      </vt:variant>
      <vt:variant>
        <vt:i4>0</vt:i4>
      </vt:variant>
      <vt:variant>
        <vt:i4>5</vt:i4>
      </vt:variant>
      <vt:variant>
        <vt:lpwstr>https://doi.org/10.1093/ageing/afab220</vt:lpwstr>
      </vt:variant>
      <vt:variant>
        <vt:lpwstr/>
      </vt:variant>
      <vt:variant>
        <vt:i4>8061040</vt:i4>
      </vt:variant>
      <vt:variant>
        <vt:i4>75</vt:i4>
      </vt:variant>
      <vt:variant>
        <vt:i4>0</vt:i4>
      </vt:variant>
      <vt:variant>
        <vt:i4>5</vt:i4>
      </vt:variant>
      <vt:variant>
        <vt:lpwstr>https://doi.org/10.1002/ehf2.15003</vt:lpwstr>
      </vt:variant>
      <vt:variant>
        <vt:lpwstr/>
      </vt:variant>
      <vt:variant>
        <vt:i4>4456517</vt:i4>
      </vt:variant>
      <vt:variant>
        <vt:i4>72</vt:i4>
      </vt:variant>
      <vt:variant>
        <vt:i4>0</vt:i4>
      </vt:variant>
      <vt:variant>
        <vt:i4>5</vt:i4>
      </vt:variant>
      <vt:variant>
        <vt:lpwstr>https://doi.org/10.1371/journal.pdig.0000475</vt:lpwstr>
      </vt:variant>
      <vt:variant>
        <vt:lpwstr/>
      </vt:variant>
      <vt:variant>
        <vt:i4>7340154</vt:i4>
      </vt:variant>
      <vt:variant>
        <vt:i4>69</vt:i4>
      </vt:variant>
      <vt:variant>
        <vt:i4>0</vt:i4>
      </vt:variant>
      <vt:variant>
        <vt:i4>5</vt:i4>
      </vt:variant>
      <vt:variant>
        <vt:lpwstr>https://doi.org/10.1093/ehjqcco/qcae095</vt:lpwstr>
      </vt:variant>
      <vt:variant>
        <vt:lpwstr/>
      </vt:variant>
      <vt:variant>
        <vt:i4>1704029</vt:i4>
      </vt:variant>
      <vt:variant>
        <vt:i4>66</vt:i4>
      </vt:variant>
      <vt:variant>
        <vt:i4>0</vt:i4>
      </vt:variant>
      <vt:variant>
        <vt:i4>5</vt:i4>
      </vt:variant>
      <vt:variant>
        <vt:lpwstr>https://doi.org/10.1177/21501319251326750</vt:lpwstr>
      </vt:variant>
      <vt:variant>
        <vt:lpwstr/>
      </vt:variant>
      <vt:variant>
        <vt:i4>1441884</vt:i4>
      </vt:variant>
      <vt:variant>
        <vt:i4>63</vt:i4>
      </vt:variant>
      <vt:variant>
        <vt:i4>0</vt:i4>
      </vt:variant>
      <vt:variant>
        <vt:i4>5</vt:i4>
      </vt:variant>
      <vt:variant>
        <vt:lpwstr>https://doi.org/10.2196/56494</vt:lpwstr>
      </vt:variant>
      <vt:variant>
        <vt:lpwstr/>
      </vt:variant>
      <vt:variant>
        <vt:i4>1769562</vt:i4>
      </vt:variant>
      <vt:variant>
        <vt:i4>60</vt:i4>
      </vt:variant>
      <vt:variant>
        <vt:i4>0</vt:i4>
      </vt:variant>
      <vt:variant>
        <vt:i4>5</vt:i4>
      </vt:variant>
      <vt:variant>
        <vt:lpwstr>https://doi.org/10.1093/oodh/oqaf008</vt:lpwstr>
      </vt:variant>
      <vt:variant>
        <vt:lpwstr/>
      </vt:variant>
      <vt:variant>
        <vt:i4>1835102</vt:i4>
      </vt:variant>
      <vt:variant>
        <vt:i4>57</vt:i4>
      </vt:variant>
      <vt:variant>
        <vt:i4>0</vt:i4>
      </vt:variant>
      <vt:variant>
        <vt:i4>5</vt:i4>
      </vt:variant>
      <vt:variant>
        <vt:lpwstr>https://doi.org/10.2196/75406</vt:lpwstr>
      </vt:variant>
      <vt:variant>
        <vt:lpwstr/>
      </vt:variant>
      <vt:variant>
        <vt:i4>7340076</vt:i4>
      </vt:variant>
      <vt:variant>
        <vt:i4>54</vt:i4>
      </vt:variant>
      <vt:variant>
        <vt:i4>0</vt:i4>
      </vt:variant>
      <vt:variant>
        <vt:i4>5</vt:i4>
      </vt:variant>
      <vt:variant>
        <vt:lpwstr>https://doi.org/10.1093/ageing/afaf003</vt:lpwstr>
      </vt:variant>
      <vt:variant>
        <vt:lpwstr/>
      </vt:variant>
      <vt:variant>
        <vt:i4>3866657</vt:i4>
      </vt:variant>
      <vt:variant>
        <vt:i4>51</vt:i4>
      </vt:variant>
      <vt:variant>
        <vt:i4>0</vt:i4>
      </vt:variant>
      <vt:variant>
        <vt:i4>5</vt:i4>
      </vt:variant>
      <vt:variant>
        <vt:lpwstr>https://doi.org/10.1093/ehjdh/ztac076.2804</vt:lpwstr>
      </vt:variant>
      <vt:variant>
        <vt:lpwstr/>
      </vt:variant>
      <vt:variant>
        <vt:i4>2228256</vt:i4>
      </vt:variant>
      <vt:variant>
        <vt:i4>48</vt:i4>
      </vt:variant>
      <vt:variant>
        <vt:i4>0</vt:i4>
      </vt:variant>
      <vt:variant>
        <vt:i4>5</vt:i4>
      </vt:variant>
      <vt:variant>
        <vt:lpwstr>https://doi.org/10.1016/j.ijmedinf.2023.105111</vt:lpwstr>
      </vt:variant>
      <vt:variant>
        <vt:lpwstr/>
      </vt:variant>
      <vt:variant>
        <vt:i4>7274605</vt:i4>
      </vt:variant>
      <vt:variant>
        <vt:i4>45</vt:i4>
      </vt:variant>
      <vt:variant>
        <vt:i4>0</vt:i4>
      </vt:variant>
      <vt:variant>
        <vt:i4>5</vt:i4>
      </vt:variant>
      <vt:variant>
        <vt:lpwstr>https://doi.org/10.1136/bmjopen-2023-081378</vt:lpwstr>
      </vt:variant>
      <vt:variant>
        <vt:lpwstr/>
      </vt:variant>
      <vt:variant>
        <vt:i4>5111872</vt:i4>
      </vt:variant>
      <vt:variant>
        <vt:i4>42</vt:i4>
      </vt:variant>
      <vt:variant>
        <vt:i4>0</vt:i4>
      </vt:variant>
      <vt:variant>
        <vt:i4>5</vt:i4>
      </vt:variant>
      <vt:variant>
        <vt:lpwstr>https://doi.org/10.1371/journal.pone.0337617</vt:lpwstr>
      </vt:variant>
      <vt:variant>
        <vt:lpwstr/>
      </vt:variant>
      <vt:variant>
        <vt:i4>393230</vt:i4>
      </vt:variant>
      <vt:variant>
        <vt:i4>39</vt:i4>
      </vt:variant>
      <vt:variant>
        <vt:i4>0</vt:i4>
      </vt:variant>
      <vt:variant>
        <vt:i4>5</vt:i4>
      </vt:variant>
      <vt:variant>
        <vt:lpwstr>https://doi.org/10.1016/s2589-7500(23)00001-8</vt:lpwstr>
      </vt:variant>
      <vt:variant>
        <vt:lpwstr/>
      </vt:variant>
      <vt:variant>
        <vt:i4>1376345</vt:i4>
      </vt:variant>
      <vt:variant>
        <vt:i4>36</vt:i4>
      </vt:variant>
      <vt:variant>
        <vt:i4>0</vt:i4>
      </vt:variant>
      <vt:variant>
        <vt:i4>5</vt:i4>
      </vt:variant>
      <vt:variant>
        <vt:lpwstr>https://doi.org/10.1136/archdischild-2024-327582</vt:lpwstr>
      </vt:variant>
      <vt:variant>
        <vt:lpwstr/>
      </vt:variant>
      <vt:variant>
        <vt:i4>458764</vt:i4>
      </vt:variant>
      <vt:variant>
        <vt:i4>33</vt:i4>
      </vt:variant>
      <vt:variant>
        <vt:i4>0</vt:i4>
      </vt:variant>
      <vt:variant>
        <vt:i4>5</vt:i4>
      </vt:variant>
      <vt:variant>
        <vt:lpwstr>https://doi.org/10.1136/bmjoq-2021-001584</vt:lpwstr>
      </vt:variant>
      <vt:variant>
        <vt:lpwstr/>
      </vt:variant>
      <vt:variant>
        <vt:i4>7471227</vt:i4>
      </vt:variant>
      <vt:variant>
        <vt:i4>30</vt:i4>
      </vt:variant>
      <vt:variant>
        <vt:i4>0</vt:i4>
      </vt:variant>
      <vt:variant>
        <vt:i4>5</vt:i4>
      </vt:variant>
      <vt:variant>
        <vt:lpwstr>https://doi.org/10.1136/emermed-2022-212377</vt:lpwstr>
      </vt:variant>
      <vt:variant>
        <vt:lpwstr/>
      </vt:variant>
      <vt:variant>
        <vt:i4>4522052</vt:i4>
      </vt:variant>
      <vt:variant>
        <vt:i4>27</vt:i4>
      </vt:variant>
      <vt:variant>
        <vt:i4>0</vt:i4>
      </vt:variant>
      <vt:variant>
        <vt:i4>5</vt:i4>
      </vt:variant>
      <vt:variant>
        <vt:lpwstr>https://doi.org/10.1371/journal.pdig.0000868</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cp:lastModifiedBy>Karin Tokarova (2414165)</cp:lastModifiedBy>
  <cp:revision>2</cp:revision>
  <cp:lastPrinted>1900-01-01T00:00:00Z</cp:lastPrinted>
  <dcterms:created xsi:type="dcterms:W3CDTF">2026-10-14T11:04:00Z</dcterms:created>
  <dcterms:modified xsi:type="dcterms:W3CDTF">2026-10-14T11:04:00Z</dcterms:modified>
</cp:coreProperties>
</file>