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615D" w:rsidRDefault="00E8615D">
      <w:pPr>
        <w:rPr>
          <w:b/>
          <w:u w:val="single"/>
        </w:rPr>
      </w:pPr>
      <w:r>
        <w:rPr>
          <w:b/>
          <w:u w:val="single"/>
        </w:rPr>
        <w:t>Literature Review</w:t>
      </w:r>
      <w:bookmarkStart w:id="0" w:name="_GoBack"/>
      <w:bookmarkEnd w:id="0"/>
    </w:p>
    <w:p w:rsidR="00171729" w:rsidRDefault="00E8615D">
      <w:pPr>
        <w:rPr>
          <w:b/>
          <w:u w:val="single"/>
        </w:rPr>
      </w:pPr>
      <w:r>
        <w:rPr>
          <w:b/>
          <w:u w:val="single"/>
        </w:rPr>
        <w:t xml:space="preserve">Police </w:t>
      </w:r>
      <w:r w:rsidR="004E5E2B" w:rsidRPr="004E5E2B">
        <w:rPr>
          <w:b/>
          <w:u w:val="single"/>
        </w:rPr>
        <w:t>Use of Force Policies</w:t>
      </w:r>
      <w:r>
        <w:rPr>
          <w:b/>
          <w:u w:val="single"/>
        </w:rPr>
        <w:t xml:space="preserve"> </w:t>
      </w:r>
    </w:p>
    <w:p w:rsidR="004E5E2B" w:rsidRDefault="004E5E2B">
      <w:r>
        <w:t xml:space="preserve">It is important to understand Use of Force as defined within a British Policing model prior to exploring the use of TASER specifically. </w:t>
      </w:r>
    </w:p>
    <w:p w:rsidR="004E5E2B" w:rsidRDefault="004E5E2B">
      <w:r>
        <w:t xml:space="preserve">The British policing model relies heavily on the National Decision Making model (NDM) which is  composed of 6 key elements bound together by the Code of Ethics. The Code of Ethics (CoE) sets out the policing principles that members of the police service are expected to uphold and meet. It asks the decision maker to consider the consistency of their decision making in line with the CoE, what do the public and police service expect of them, will their decision reflect positively on their professionalism and could they explain their actions in public </w:t>
      </w:r>
    </w:p>
    <w:p w:rsidR="004E5E2B" w:rsidRDefault="004E5E2B">
      <w:r>
        <w:t xml:space="preserve">The other stages follow as information and intelligence, assessment of threat and risk, consideration of powers and policies, identifying options and contingencies and taking action/reviewing. </w:t>
      </w:r>
      <w:sdt>
        <w:sdtPr>
          <w:id w:val="547339387"/>
          <w:citation/>
        </w:sdtPr>
        <w:sdtContent>
          <w:r w:rsidR="002327AA">
            <w:fldChar w:fldCharType="begin"/>
          </w:r>
          <w:r w:rsidR="002327AA">
            <w:instrText xml:space="preserve"> CITATION Col131 \l 2057 </w:instrText>
          </w:r>
          <w:r w:rsidR="002327AA">
            <w:fldChar w:fldCharType="separate"/>
          </w:r>
          <w:r w:rsidR="002327AA" w:rsidRPr="00F126C8">
            <w:rPr>
              <w:noProof/>
            </w:rPr>
            <w:t>(College of Policing, 2013)</w:t>
          </w:r>
          <w:r w:rsidR="002327AA">
            <w:fldChar w:fldCharType="end"/>
          </w:r>
        </w:sdtContent>
      </w:sdt>
      <w:r w:rsidR="002327AA">
        <w:t>.</w:t>
      </w:r>
    </w:p>
    <w:p w:rsidR="00F126C8" w:rsidRDefault="00F126C8">
      <w:r>
        <w:t xml:space="preserve">Each of the stages require questions to be asked by the decision maker, often in spontaneous and rapidly changing incidents. Information stage requires the user to ask what is happening, what do they know, what don’t they know and what further information is required of them. </w:t>
      </w:r>
    </w:p>
    <w:p w:rsidR="00F126C8" w:rsidRDefault="00F126C8">
      <w:r>
        <w:t xml:space="preserve">Based on this the user is then expected to assess whether they need to take immediate action (such as in a threat to life situation), do they need further information, what could the repercussions be, what is the cause of the situation, how probable if the risk of harm and how serious would it be amongst others. They then need to decide what police powers are required, whether they be legislation or local force policy/guidelines. </w:t>
      </w:r>
    </w:p>
    <w:p w:rsidR="00F126C8" w:rsidRDefault="00F126C8">
      <w:r>
        <w:t xml:space="preserve">Following which the user must then identify a suitable method of dealing with the incident, whether it is time sensitive, requires any immediate action or use of force etc. </w:t>
      </w:r>
    </w:p>
    <w:p w:rsidR="00F126C8" w:rsidRDefault="00F126C8">
      <w:r>
        <w:t>Once the user has completed this cycle they should review their action and decide upon how to progress the matter. The idea is the NDM should be constantly utilised, for example:</w:t>
      </w:r>
    </w:p>
    <w:p w:rsidR="00F126C8" w:rsidRDefault="00F126C8">
      <w:r>
        <w:t xml:space="preserve">An officer attending an incident regarding a person in possession of a knife may request warning markers to identify further risks. This is the information and intelligence gathering stage. </w:t>
      </w:r>
    </w:p>
    <w:p w:rsidR="00F126C8" w:rsidRDefault="00F126C8">
      <w:r>
        <w:t xml:space="preserve">Upon arrival the person may present the knife to officers and approach them, based on the information and intelligence they received they should now be assessing the threat  and risk posed by the person. If deemed a risk </w:t>
      </w:r>
      <w:r w:rsidR="002327AA">
        <w:t xml:space="preserve">the officer may consider Use of Force powers and decide that due to the bladed weapon a distanced tool is the correct contingency I.e Taser or Irritant Spray. </w:t>
      </w:r>
    </w:p>
    <w:p w:rsidR="002327AA" w:rsidRPr="004E5E2B" w:rsidRDefault="002327AA">
      <w:r>
        <w:t xml:space="preserve">Upon making this decision the officer must take appropriate action and review, should the person become compliant when a Taser or irritant spray is pointed at them then the officer needs to cycle the NDM again. Contrary if they remain non-compliant then the NDM would be cycled with this new information and the contingency deployed appropriately. These decisions can be ultimately made in a matter of moments. </w:t>
      </w:r>
    </w:p>
    <w:p w:rsidR="004E5E2B" w:rsidRPr="00171729" w:rsidRDefault="004E5E2B">
      <w:pPr>
        <w:rPr>
          <w:b/>
          <w:u w:val="single"/>
        </w:rPr>
      </w:pPr>
    </w:p>
    <w:p w:rsidR="00E8615D" w:rsidRDefault="00E8615D">
      <w:pPr>
        <w:rPr>
          <w:b/>
          <w:u w:val="single"/>
        </w:rPr>
      </w:pPr>
    </w:p>
    <w:p w:rsidR="009462DF" w:rsidRPr="006C3FEE" w:rsidRDefault="006C3FEE">
      <w:pPr>
        <w:rPr>
          <w:b/>
          <w:u w:val="single"/>
        </w:rPr>
      </w:pPr>
      <w:r w:rsidRPr="006C3FEE">
        <w:rPr>
          <w:b/>
          <w:u w:val="single"/>
        </w:rPr>
        <w:t>What influences Use of Force</w:t>
      </w:r>
    </w:p>
    <w:p w:rsidR="009462DF" w:rsidRDefault="009462DF">
      <w:r>
        <w:lastRenderedPageBreak/>
        <w:t xml:space="preserve">The literature available rarely appears to look at Taser usage specifically, preferring to focus on use of force as a whole. </w:t>
      </w:r>
      <w:r w:rsidR="006F479E">
        <w:t>However,</w:t>
      </w:r>
      <w:r>
        <w:t xml:space="preserve"> </w:t>
      </w:r>
      <w:r w:rsidR="007F0191">
        <w:t>a meta-analysis carried out by Bolger evidences how</w:t>
      </w:r>
      <w:r w:rsidR="006F479E">
        <w:t xml:space="preserve"> an</w:t>
      </w:r>
      <w:r w:rsidR="007F0191">
        <w:t xml:space="preserve"> </w:t>
      </w:r>
      <w:r w:rsidR="006F479E">
        <w:t>individual’s</w:t>
      </w:r>
      <w:r w:rsidR="007F0191">
        <w:t xml:space="preserve"> behaviour is imp</w:t>
      </w:r>
      <w:r w:rsidR="006F479E">
        <w:t xml:space="preserve">active </w:t>
      </w:r>
      <w:r w:rsidR="007F0191">
        <w:t>regarding</w:t>
      </w:r>
      <w:r w:rsidR="006F479E">
        <w:t xml:space="preserve"> officer</w:t>
      </w:r>
      <w:r w:rsidR="007F0191">
        <w:t xml:space="preserve"> use of force decisions. He found demeanour, intoxication, offense seriousness, suspect resistance and citizen conflict to be statistically significant. As well as this the race, sex and cl</w:t>
      </w:r>
      <w:r w:rsidR="006F479E">
        <w:t>ass of the suspect appeared to influence decision making regarding us</w:t>
      </w:r>
      <w:r w:rsidR="007F0191">
        <w:t>e of force</w:t>
      </w:r>
      <w:sdt>
        <w:sdtPr>
          <w:id w:val="-678587631"/>
          <w:citation/>
        </w:sdtPr>
        <w:sdtContent>
          <w:r>
            <w:fldChar w:fldCharType="begin"/>
          </w:r>
          <w:r>
            <w:instrText xml:space="preserve"> CITATION BOL14 \l 2057 </w:instrText>
          </w:r>
          <w:r>
            <w:fldChar w:fldCharType="separate"/>
          </w:r>
          <w:r w:rsidRPr="009462DF">
            <w:rPr>
              <w:noProof/>
            </w:rPr>
            <w:t>(BOLGER, 2014)</w:t>
          </w:r>
          <w:r>
            <w:fldChar w:fldCharType="end"/>
          </w:r>
        </w:sdtContent>
      </w:sdt>
      <w:r w:rsidR="007F0191">
        <w:t xml:space="preserve">. This appears to correlate with Home Office use of force statistics, which shows a total 492,000 use of force incidents recorded between April 2019 and March 2020, in which </w:t>
      </w:r>
      <w:r w:rsidR="006F479E">
        <w:t>180,000 (37%)</w:t>
      </w:r>
      <w:r w:rsidR="007F0191">
        <w:t xml:space="preserve"> suggested an impact factor in the force was subject intoxication.  </w:t>
      </w:r>
      <w:r w:rsidR="006F479E">
        <w:t>In regards to race and sex out of the 492,000 incidents, officers defined 341,000 (69%) subjects as being white and 408,000 (83%) as b</w:t>
      </w:r>
      <w:r w:rsidR="002327AA">
        <w:t xml:space="preserve">eing male </w:t>
      </w:r>
      <w:sdt>
        <w:sdtPr>
          <w:id w:val="2068920973"/>
          <w:citation/>
        </w:sdtPr>
        <w:sdtContent>
          <w:r w:rsidR="006F479E">
            <w:fldChar w:fldCharType="begin"/>
          </w:r>
          <w:r w:rsidR="006F479E">
            <w:instrText xml:space="preserve"> CITATION Hom201 \l 2057 </w:instrText>
          </w:r>
          <w:r w:rsidR="006F479E">
            <w:fldChar w:fldCharType="separate"/>
          </w:r>
          <w:r w:rsidR="006F479E" w:rsidRPr="006F479E">
            <w:rPr>
              <w:noProof/>
            </w:rPr>
            <w:t>(Home Office, 2020)</w:t>
          </w:r>
          <w:r w:rsidR="006F479E">
            <w:fldChar w:fldCharType="end"/>
          </w:r>
        </w:sdtContent>
      </w:sdt>
      <w:r w:rsidR="006F479E">
        <w:t xml:space="preserve">. </w:t>
      </w:r>
    </w:p>
    <w:p w:rsidR="00EB7111" w:rsidRDefault="00EB7111"/>
    <w:p w:rsidR="006C3FEE" w:rsidRDefault="00EB7111">
      <w:r>
        <w:t>This trend of impact fact</w:t>
      </w:r>
      <w:r w:rsidR="006C3FEE">
        <w:t xml:space="preserve">ors is visible in other studies, Lee et al. found subject age and level of resistance was a significant factor in police use of force. The violent crime rate and unemployment rate of the specific locality and the officers level of service/training was also </w:t>
      </w:r>
      <w:r w:rsidR="00422A4A">
        <w:t>indicative of force being used</w:t>
      </w:r>
      <w:sdt>
        <w:sdtPr>
          <w:id w:val="-1575965422"/>
          <w:citation/>
        </w:sdtPr>
        <w:sdtContent>
          <w:r w:rsidR="006C3FEE">
            <w:fldChar w:fldCharType="begin"/>
          </w:r>
          <w:r w:rsidR="006C3FEE">
            <w:instrText xml:space="preserve"> CITATION Lee10 \l 2057 </w:instrText>
          </w:r>
          <w:r w:rsidR="006C3FEE">
            <w:fldChar w:fldCharType="separate"/>
          </w:r>
          <w:r w:rsidR="006C3FEE" w:rsidRPr="006C3FEE">
            <w:rPr>
              <w:noProof/>
            </w:rPr>
            <w:t>(Lee, et al., 2010)</w:t>
          </w:r>
          <w:r w:rsidR="006C3FEE">
            <w:fldChar w:fldCharType="end"/>
          </w:r>
        </w:sdtContent>
      </w:sdt>
      <w:r w:rsidR="00422A4A">
        <w:t>.</w:t>
      </w:r>
      <w:r w:rsidR="005B1FD2">
        <w:t xml:space="preserve"> Returning to home office statistics shows that those ages between 18 to 34 years accounted for 266,000 (54%) of the total 492,000 incidents </w:t>
      </w:r>
      <w:sdt>
        <w:sdtPr>
          <w:id w:val="-665328732"/>
          <w:citation/>
        </w:sdtPr>
        <w:sdtContent>
          <w:r w:rsidR="005B1FD2">
            <w:fldChar w:fldCharType="begin"/>
          </w:r>
          <w:r w:rsidR="005B1FD2">
            <w:instrText xml:space="preserve"> CITATION Hom201 \l 2057 </w:instrText>
          </w:r>
          <w:r w:rsidR="005B1FD2">
            <w:fldChar w:fldCharType="separate"/>
          </w:r>
          <w:r w:rsidR="005B1FD2" w:rsidRPr="005B1FD2">
            <w:rPr>
              <w:noProof/>
            </w:rPr>
            <w:t>(Home Office, 2020)</w:t>
          </w:r>
          <w:r w:rsidR="005B1FD2">
            <w:fldChar w:fldCharType="end"/>
          </w:r>
        </w:sdtContent>
      </w:sdt>
      <w:r w:rsidR="005B1FD2">
        <w:t>.</w:t>
      </w:r>
    </w:p>
    <w:p w:rsidR="00171729" w:rsidRDefault="00171729" w:rsidP="00171729"/>
    <w:p w:rsidR="00171729" w:rsidRDefault="00171729" w:rsidP="00171729">
      <w:pPr>
        <w:rPr>
          <w:b/>
          <w:u w:val="single"/>
        </w:rPr>
      </w:pPr>
      <w:r w:rsidRPr="005B1FD2">
        <w:rPr>
          <w:b/>
          <w:u w:val="single"/>
        </w:rPr>
        <w:t xml:space="preserve">Defining Use of Taser </w:t>
      </w:r>
    </w:p>
    <w:p w:rsidR="00171729" w:rsidRDefault="00171729" w:rsidP="00171729">
      <w:r>
        <w:t xml:space="preserve">South Wales Police have defined the use of Taser within the standard operating procedures that each specially trained officer (STO) must comply with . To understand the term “Use of Taser” they have identified 6 key actions. </w:t>
      </w:r>
    </w:p>
    <w:p w:rsidR="00171729" w:rsidRDefault="00171729" w:rsidP="00171729">
      <w:r>
        <w:t>1 – Drawing of a Taser in circumstances where any person perceives the action as a use of force or threat of a use of force;</w:t>
      </w:r>
    </w:p>
    <w:p w:rsidR="00171729" w:rsidRDefault="00171729" w:rsidP="00171729">
      <w:r>
        <w:t>2 – Sparking of the Taser, commonly known as ‘arcing’;</w:t>
      </w:r>
    </w:p>
    <w:p w:rsidR="00171729" w:rsidRDefault="00171729" w:rsidP="00171729">
      <w:r>
        <w:t>3 – Aiming the Taser or placing the laser sight red dot onto a subject;</w:t>
      </w:r>
    </w:p>
    <w:p w:rsidR="00171729" w:rsidRDefault="00171729" w:rsidP="00171729">
      <w:r>
        <w:t>4 – Firing of a device so that the barbs are discharged at a subject or animal;</w:t>
      </w:r>
    </w:p>
    <w:p w:rsidR="00171729" w:rsidRDefault="00171729" w:rsidP="00171729">
      <w:r>
        <w:t>5 – Application and discharge of a Taser in both angled and drive stun modes to a subject or animal;</w:t>
      </w:r>
    </w:p>
    <w:p w:rsidR="00171729" w:rsidRDefault="00171729" w:rsidP="00171729">
      <w:r>
        <w:t>6 – Discharged in other operational circumstances, including an unintentional discharge</w:t>
      </w:r>
    </w:p>
    <w:p w:rsidR="00171729" w:rsidRDefault="00FB10AD" w:rsidP="00171729">
      <w:sdt>
        <w:sdtPr>
          <w:id w:val="174849907"/>
          <w:citation/>
        </w:sdtPr>
        <w:sdtContent>
          <w:r w:rsidR="00171729">
            <w:fldChar w:fldCharType="begin"/>
          </w:r>
          <w:r w:rsidR="00171729">
            <w:instrText xml:space="preserve"> CITATION Sou20 \l 2057 </w:instrText>
          </w:r>
          <w:r w:rsidR="00171729">
            <w:fldChar w:fldCharType="separate"/>
          </w:r>
          <w:r w:rsidR="00171729" w:rsidRPr="006C3F49">
            <w:rPr>
              <w:noProof/>
            </w:rPr>
            <w:t>(South Wales Police, 2020)</w:t>
          </w:r>
          <w:r w:rsidR="00171729">
            <w:fldChar w:fldCharType="end"/>
          </w:r>
        </w:sdtContent>
      </w:sdt>
    </w:p>
    <w:p w:rsidR="005C2D15" w:rsidRDefault="006B40E1" w:rsidP="005C2D15">
      <w:r>
        <w:t xml:space="preserve">Between 2019-2020 taser was deployed at 32,000 incidents, however was not discharged in 27,000 (86%) of those incidents. </w:t>
      </w:r>
      <w:r w:rsidR="00E169BB">
        <w:t xml:space="preserve">Officers must record when a </w:t>
      </w:r>
      <w:r w:rsidR="008B4437">
        <w:t xml:space="preserve">Taser has been used during </w:t>
      </w:r>
      <w:r w:rsidR="00E169BB">
        <w:t>an incident, even when it is not</w:t>
      </w:r>
      <w:r w:rsidR="005C2D15">
        <w:t xml:space="preserve"> </w:t>
      </w:r>
      <w:r w:rsidR="00E169BB">
        <w:t>fired.</w:t>
      </w:r>
      <w:r w:rsidR="005C2D15">
        <w:t xml:space="preserve"> Drawn, aimed, arced and red-dot are non-discharge uses as no electricity is discharged into the person. Drive-stun, fired and angle drive-stun are discharge uses. In keeping with previous recording on Taser use statistics present the ‘highest’ use from each incident. For example, if a CED is drawn, aimed, red-dotted and fired, this use will appear under fired only. </w:t>
      </w:r>
      <w:sdt>
        <w:sdtPr>
          <w:id w:val="2011250607"/>
          <w:citation/>
        </w:sdtPr>
        <w:sdtContent>
          <w:r w:rsidR="008B4437">
            <w:fldChar w:fldCharType="begin"/>
          </w:r>
          <w:r w:rsidR="008B4437">
            <w:instrText xml:space="preserve"> CITATION Hom201 \l 2057 </w:instrText>
          </w:r>
          <w:r w:rsidR="008B4437">
            <w:fldChar w:fldCharType="separate"/>
          </w:r>
          <w:r w:rsidR="008B4437" w:rsidRPr="008B4437">
            <w:rPr>
              <w:noProof/>
            </w:rPr>
            <w:t>(Home Office, 2020)</w:t>
          </w:r>
          <w:r w:rsidR="008B4437">
            <w:fldChar w:fldCharType="end"/>
          </w:r>
        </w:sdtContent>
      </w:sdt>
    </w:p>
    <w:p w:rsidR="008B4437" w:rsidRDefault="008B4437" w:rsidP="005C2D15">
      <w:r>
        <w:t xml:space="preserve">Police use of force has been collected on a financial year basis for inclusion in the police use of force statistics collection since 2017, having previously been collected on a calendar year basis </w:t>
      </w:r>
      <w:sdt>
        <w:sdtPr>
          <w:id w:val="442032267"/>
          <w:citation/>
        </w:sdtPr>
        <w:sdtContent>
          <w:r>
            <w:fldChar w:fldCharType="begin"/>
          </w:r>
          <w:r>
            <w:instrText xml:space="preserve"> CITATION NPC201 \l 2057 </w:instrText>
          </w:r>
          <w:r>
            <w:fldChar w:fldCharType="separate"/>
          </w:r>
          <w:r w:rsidRPr="008B4437">
            <w:rPr>
              <w:noProof/>
            </w:rPr>
            <w:t>(NPCC, 2020)</w:t>
          </w:r>
          <w:r>
            <w:fldChar w:fldCharType="end"/>
          </w:r>
        </w:sdtContent>
      </w:sdt>
      <w:r>
        <w:t xml:space="preserve">. The revised method is accessible in spreadsheet form and displays clearly the utilisation of Taser </w:t>
      </w:r>
    </w:p>
    <w:p w:rsidR="008B4437" w:rsidRDefault="008B4437" w:rsidP="005C2D15"/>
    <w:tbl>
      <w:tblPr>
        <w:tblStyle w:val="TableGrid"/>
        <w:tblW w:w="0" w:type="auto"/>
        <w:tblLook w:val="04A0" w:firstRow="1" w:lastRow="0" w:firstColumn="1" w:lastColumn="0" w:noHBand="0" w:noVBand="1"/>
      </w:tblPr>
      <w:tblGrid>
        <w:gridCol w:w="3005"/>
        <w:gridCol w:w="3005"/>
        <w:gridCol w:w="3006"/>
      </w:tblGrid>
      <w:tr w:rsidR="00B359E4" w:rsidTr="00B359E4">
        <w:tc>
          <w:tcPr>
            <w:tcW w:w="3005" w:type="dxa"/>
          </w:tcPr>
          <w:p w:rsidR="00B359E4" w:rsidRDefault="00B359E4" w:rsidP="00B359E4">
            <w:pPr>
              <w:jc w:val="center"/>
            </w:pPr>
            <w:r>
              <w:t>Tactic – Less Lethal Weapons</w:t>
            </w:r>
          </w:p>
        </w:tc>
        <w:tc>
          <w:tcPr>
            <w:tcW w:w="3005" w:type="dxa"/>
          </w:tcPr>
          <w:p w:rsidR="00B359E4" w:rsidRDefault="00B359E4" w:rsidP="00B359E4">
            <w:pPr>
              <w:jc w:val="center"/>
            </w:pPr>
            <w:r w:rsidRPr="00B359E4">
              <w:t>Number of times tactic reported</w:t>
            </w:r>
          </w:p>
        </w:tc>
        <w:tc>
          <w:tcPr>
            <w:tcW w:w="3006" w:type="dxa"/>
          </w:tcPr>
          <w:p w:rsidR="00B359E4" w:rsidRDefault="00B359E4" w:rsidP="00B359E4">
            <w:pPr>
              <w:jc w:val="center"/>
            </w:pPr>
            <w:r w:rsidRPr="00B359E4">
              <w:t>Number of incidents involving tactic</w:t>
            </w:r>
          </w:p>
        </w:tc>
      </w:tr>
      <w:tr w:rsidR="00B359E4" w:rsidTr="00B359E4">
        <w:tc>
          <w:tcPr>
            <w:tcW w:w="3005" w:type="dxa"/>
          </w:tcPr>
          <w:p w:rsidR="00B359E4" w:rsidRDefault="00B359E4" w:rsidP="00B359E4">
            <w:pPr>
              <w:jc w:val="center"/>
            </w:pPr>
            <w:r>
              <w:t>Total CED (TASER)</w:t>
            </w:r>
          </w:p>
        </w:tc>
        <w:tc>
          <w:tcPr>
            <w:tcW w:w="3005" w:type="dxa"/>
          </w:tcPr>
          <w:p w:rsidR="00B359E4" w:rsidRPr="00B359E4" w:rsidRDefault="00B359E4" w:rsidP="00B359E4">
            <w:pPr>
              <w:jc w:val="center"/>
              <w:rPr>
                <w:color w:val="00B050"/>
              </w:rPr>
            </w:pPr>
            <w:r w:rsidRPr="00B359E4">
              <w:rPr>
                <w:color w:val="00B050"/>
              </w:rPr>
              <w:t>32,058</w:t>
            </w:r>
          </w:p>
        </w:tc>
        <w:tc>
          <w:tcPr>
            <w:tcW w:w="3006" w:type="dxa"/>
          </w:tcPr>
          <w:p w:rsidR="00B359E4" w:rsidRPr="00B359E4" w:rsidRDefault="00B359E4" w:rsidP="00B359E4">
            <w:pPr>
              <w:jc w:val="center"/>
              <w:rPr>
                <w:color w:val="00B050"/>
              </w:rPr>
            </w:pPr>
            <w:r w:rsidRPr="00B359E4">
              <w:rPr>
                <w:color w:val="00B050"/>
              </w:rPr>
              <w:t>32,057</w:t>
            </w:r>
          </w:p>
        </w:tc>
      </w:tr>
      <w:tr w:rsidR="00B359E4" w:rsidTr="00B359E4">
        <w:tc>
          <w:tcPr>
            <w:tcW w:w="3005" w:type="dxa"/>
          </w:tcPr>
          <w:p w:rsidR="00B359E4" w:rsidRDefault="00B359E4" w:rsidP="00B359E4">
            <w:pPr>
              <w:jc w:val="center"/>
            </w:pPr>
            <w:r>
              <w:t>Drawn</w:t>
            </w:r>
          </w:p>
        </w:tc>
        <w:tc>
          <w:tcPr>
            <w:tcW w:w="3005" w:type="dxa"/>
          </w:tcPr>
          <w:p w:rsidR="00B359E4" w:rsidRPr="00B359E4" w:rsidRDefault="00B359E4" w:rsidP="00B359E4">
            <w:pPr>
              <w:jc w:val="center"/>
              <w:rPr>
                <w:color w:val="00B050"/>
              </w:rPr>
            </w:pPr>
            <w:r w:rsidRPr="00B359E4">
              <w:rPr>
                <w:color w:val="00B050"/>
              </w:rPr>
              <w:t>7,141</w:t>
            </w:r>
          </w:p>
        </w:tc>
        <w:tc>
          <w:tcPr>
            <w:tcW w:w="3006" w:type="dxa"/>
          </w:tcPr>
          <w:p w:rsidR="00B359E4" w:rsidRPr="00B359E4" w:rsidRDefault="00B359E4" w:rsidP="00B359E4">
            <w:pPr>
              <w:jc w:val="center"/>
              <w:rPr>
                <w:color w:val="00B050"/>
              </w:rPr>
            </w:pPr>
            <w:r w:rsidRPr="00B359E4">
              <w:rPr>
                <w:color w:val="00B050"/>
              </w:rPr>
              <w:t>6,869</w:t>
            </w:r>
          </w:p>
        </w:tc>
      </w:tr>
      <w:tr w:rsidR="00B359E4" w:rsidTr="00B359E4">
        <w:tc>
          <w:tcPr>
            <w:tcW w:w="3005" w:type="dxa"/>
          </w:tcPr>
          <w:p w:rsidR="00B359E4" w:rsidRDefault="00B359E4" w:rsidP="00B359E4">
            <w:pPr>
              <w:jc w:val="center"/>
            </w:pPr>
            <w:r>
              <w:t>Aimed</w:t>
            </w:r>
          </w:p>
        </w:tc>
        <w:tc>
          <w:tcPr>
            <w:tcW w:w="3005" w:type="dxa"/>
          </w:tcPr>
          <w:p w:rsidR="00B359E4" w:rsidRPr="00B359E4" w:rsidRDefault="00B359E4" w:rsidP="00B359E4">
            <w:pPr>
              <w:jc w:val="center"/>
              <w:rPr>
                <w:color w:val="00B050"/>
              </w:rPr>
            </w:pPr>
            <w:r w:rsidRPr="00B359E4">
              <w:rPr>
                <w:color w:val="00B050"/>
              </w:rPr>
              <w:t>3,110</w:t>
            </w:r>
          </w:p>
        </w:tc>
        <w:tc>
          <w:tcPr>
            <w:tcW w:w="3006" w:type="dxa"/>
          </w:tcPr>
          <w:p w:rsidR="00B359E4" w:rsidRPr="00B359E4" w:rsidRDefault="00B359E4" w:rsidP="00B359E4">
            <w:pPr>
              <w:jc w:val="center"/>
              <w:rPr>
                <w:color w:val="00B050"/>
              </w:rPr>
            </w:pPr>
            <w:r w:rsidRPr="00B359E4">
              <w:rPr>
                <w:color w:val="00B050"/>
              </w:rPr>
              <w:t>3043</w:t>
            </w:r>
          </w:p>
        </w:tc>
      </w:tr>
      <w:tr w:rsidR="00B359E4" w:rsidTr="00B359E4">
        <w:tc>
          <w:tcPr>
            <w:tcW w:w="3005" w:type="dxa"/>
          </w:tcPr>
          <w:p w:rsidR="00B359E4" w:rsidRDefault="00B359E4" w:rsidP="00B359E4">
            <w:pPr>
              <w:jc w:val="center"/>
            </w:pPr>
            <w:r>
              <w:t>Red-Dot</w:t>
            </w:r>
          </w:p>
        </w:tc>
        <w:tc>
          <w:tcPr>
            <w:tcW w:w="3005" w:type="dxa"/>
          </w:tcPr>
          <w:p w:rsidR="00B359E4" w:rsidRPr="00B359E4" w:rsidRDefault="00B359E4" w:rsidP="00B359E4">
            <w:pPr>
              <w:jc w:val="center"/>
              <w:rPr>
                <w:color w:val="00B050"/>
              </w:rPr>
            </w:pPr>
            <w:r w:rsidRPr="00B359E4">
              <w:rPr>
                <w:color w:val="00B050"/>
              </w:rPr>
              <w:t>16,809</w:t>
            </w:r>
          </w:p>
        </w:tc>
        <w:tc>
          <w:tcPr>
            <w:tcW w:w="3006" w:type="dxa"/>
          </w:tcPr>
          <w:p w:rsidR="00B359E4" w:rsidRPr="00B359E4" w:rsidRDefault="00B359E4" w:rsidP="00B359E4">
            <w:pPr>
              <w:jc w:val="center"/>
              <w:rPr>
                <w:color w:val="00B050"/>
              </w:rPr>
            </w:pPr>
            <w:r w:rsidRPr="00B359E4">
              <w:rPr>
                <w:color w:val="00B050"/>
              </w:rPr>
              <w:t>16,290</w:t>
            </w:r>
          </w:p>
        </w:tc>
      </w:tr>
      <w:tr w:rsidR="00B359E4" w:rsidTr="00B359E4">
        <w:tc>
          <w:tcPr>
            <w:tcW w:w="3005" w:type="dxa"/>
          </w:tcPr>
          <w:p w:rsidR="00B359E4" w:rsidRDefault="00B359E4" w:rsidP="00B359E4">
            <w:pPr>
              <w:jc w:val="center"/>
            </w:pPr>
            <w:r>
              <w:t>Arc</w:t>
            </w:r>
          </w:p>
        </w:tc>
        <w:tc>
          <w:tcPr>
            <w:tcW w:w="3005" w:type="dxa"/>
          </w:tcPr>
          <w:p w:rsidR="00B359E4" w:rsidRPr="00B359E4" w:rsidRDefault="00B359E4" w:rsidP="00B359E4">
            <w:pPr>
              <w:jc w:val="center"/>
              <w:rPr>
                <w:color w:val="00B050"/>
              </w:rPr>
            </w:pPr>
            <w:r w:rsidRPr="00B359E4">
              <w:rPr>
                <w:color w:val="00B050"/>
              </w:rPr>
              <w:t>397</w:t>
            </w:r>
          </w:p>
        </w:tc>
        <w:tc>
          <w:tcPr>
            <w:tcW w:w="3006" w:type="dxa"/>
          </w:tcPr>
          <w:p w:rsidR="00B359E4" w:rsidRPr="00B359E4" w:rsidRDefault="00B359E4" w:rsidP="00B359E4">
            <w:pPr>
              <w:jc w:val="center"/>
              <w:rPr>
                <w:color w:val="00B050"/>
              </w:rPr>
            </w:pPr>
            <w:r w:rsidRPr="00B359E4">
              <w:rPr>
                <w:color w:val="00B050"/>
              </w:rPr>
              <w:t>389</w:t>
            </w:r>
          </w:p>
        </w:tc>
      </w:tr>
      <w:tr w:rsidR="00B359E4" w:rsidTr="00B359E4">
        <w:tc>
          <w:tcPr>
            <w:tcW w:w="3005" w:type="dxa"/>
          </w:tcPr>
          <w:p w:rsidR="00B359E4" w:rsidRDefault="00B359E4" w:rsidP="00B359E4">
            <w:pPr>
              <w:jc w:val="center"/>
            </w:pPr>
            <w:r>
              <w:t>Drive-Stun</w:t>
            </w:r>
          </w:p>
        </w:tc>
        <w:tc>
          <w:tcPr>
            <w:tcW w:w="3005" w:type="dxa"/>
          </w:tcPr>
          <w:p w:rsidR="00B359E4" w:rsidRPr="00B359E4" w:rsidRDefault="00B359E4" w:rsidP="00B359E4">
            <w:pPr>
              <w:jc w:val="center"/>
              <w:rPr>
                <w:color w:val="FF0000"/>
              </w:rPr>
            </w:pPr>
            <w:r w:rsidRPr="00B359E4">
              <w:rPr>
                <w:color w:val="FF0000"/>
              </w:rPr>
              <w:t>41</w:t>
            </w:r>
          </w:p>
        </w:tc>
        <w:tc>
          <w:tcPr>
            <w:tcW w:w="3006" w:type="dxa"/>
          </w:tcPr>
          <w:p w:rsidR="00B359E4" w:rsidRPr="00B359E4" w:rsidRDefault="00B359E4" w:rsidP="00B359E4">
            <w:pPr>
              <w:jc w:val="center"/>
              <w:rPr>
                <w:color w:val="FF0000"/>
              </w:rPr>
            </w:pPr>
            <w:r w:rsidRPr="00B359E4">
              <w:rPr>
                <w:color w:val="FF0000"/>
              </w:rPr>
              <w:t>41</w:t>
            </w:r>
          </w:p>
        </w:tc>
      </w:tr>
      <w:tr w:rsidR="00B359E4" w:rsidTr="00FB10AD">
        <w:tc>
          <w:tcPr>
            <w:tcW w:w="3005" w:type="dxa"/>
          </w:tcPr>
          <w:p w:rsidR="00B359E4" w:rsidRDefault="00B359E4" w:rsidP="00B359E4">
            <w:pPr>
              <w:jc w:val="center"/>
            </w:pPr>
            <w:r>
              <w:t>Fired</w:t>
            </w:r>
          </w:p>
        </w:tc>
        <w:tc>
          <w:tcPr>
            <w:tcW w:w="3005" w:type="dxa"/>
          </w:tcPr>
          <w:p w:rsidR="00B359E4" w:rsidRPr="00B359E4" w:rsidRDefault="00B359E4" w:rsidP="00B359E4">
            <w:pPr>
              <w:jc w:val="center"/>
              <w:rPr>
                <w:color w:val="FF0000"/>
              </w:rPr>
            </w:pPr>
            <w:r w:rsidRPr="00B359E4">
              <w:rPr>
                <w:color w:val="FF0000"/>
              </w:rPr>
              <w:t>3,275</w:t>
            </w:r>
          </w:p>
        </w:tc>
        <w:tc>
          <w:tcPr>
            <w:tcW w:w="3006" w:type="dxa"/>
          </w:tcPr>
          <w:p w:rsidR="00B359E4" w:rsidRPr="00B359E4" w:rsidRDefault="00B359E4" w:rsidP="00B359E4">
            <w:pPr>
              <w:jc w:val="center"/>
              <w:rPr>
                <w:color w:val="FF0000"/>
              </w:rPr>
            </w:pPr>
            <w:r w:rsidRPr="00B359E4">
              <w:rPr>
                <w:color w:val="FF0000"/>
              </w:rPr>
              <w:t>3,192</w:t>
            </w:r>
          </w:p>
        </w:tc>
      </w:tr>
      <w:tr w:rsidR="00B359E4" w:rsidTr="00FB10AD">
        <w:tc>
          <w:tcPr>
            <w:tcW w:w="3005" w:type="dxa"/>
          </w:tcPr>
          <w:p w:rsidR="00B359E4" w:rsidRDefault="00B359E4" w:rsidP="00B359E4">
            <w:pPr>
              <w:jc w:val="center"/>
            </w:pPr>
            <w:r>
              <w:t>Angle-drive stun</w:t>
            </w:r>
          </w:p>
        </w:tc>
        <w:tc>
          <w:tcPr>
            <w:tcW w:w="3005" w:type="dxa"/>
          </w:tcPr>
          <w:p w:rsidR="00B359E4" w:rsidRPr="00B359E4" w:rsidRDefault="00B359E4" w:rsidP="00B359E4">
            <w:pPr>
              <w:jc w:val="center"/>
              <w:rPr>
                <w:color w:val="FF0000"/>
              </w:rPr>
            </w:pPr>
            <w:r w:rsidRPr="00B359E4">
              <w:rPr>
                <w:color w:val="FF0000"/>
              </w:rPr>
              <w:t>18</w:t>
            </w:r>
          </w:p>
        </w:tc>
        <w:tc>
          <w:tcPr>
            <w:tcW w:w="3006" w:type="dxa"/>
          </w:tcPr>
          <w:p w:rsidR="00B359E4" w:rsidRPr="00B359E4" w:rsidRDefault="00B359E4" w:rsidP="00B359E4">
            <w:pPr>
              <w:jc w:val="center"/>
              <w:rPr>
                <w:color w:val="FF0000"/>
              </w:rPr>
            </w:pPr>
            <w:r w:rsidRPr="00B359E4">
              <w:rPr>
                <w:color w:val="FF0000"/>
              </w:rPr>
              <w:t>15</w:t>
            </w:r>
          </w:p>
        </w:tc>
      </w:tr>
      <w:tr w:rsidR="00B359E4" w:rsidTr="00FB10AD">
        <w:tc>
          <w:tcPr>
            <w:tcW w:w="3005" w:type="dxa"/>
          </w:tcPr>
          <w:p w:rsidR="00B359E4" w:rsidRDefault="00B359E4" w:rsidP="00B359E4">
            <w:pPr>
              <w:jc w:val="center"/>
            </w:pPr>
            <w:r>
              <w:t>Not Stated</w:t>
            </w:r>
          </w:p>
        </w:tc>
        <w:tc>
          <w:tcPr>
            <w:tcW w:w="3005" w:type="dxa"/>
          </w:tcPr>
          <w:p w:rsidR="00B359E4" w:rsidRDefault="00B359E4" w:rsidP="00B359E4">
            <w:pPr>
              <w:jc w:val="center"/>
            </w:pPr>
            <w:r>
              <w:t>1,267</w:t>
            </w:r>
          </w:p>
        </w:tc>
        <w:tc>
          <w:tcPr>
            <w:tcW w:w="3006" w:type="dxa"/>
          </w:tcPr>
          <w:p w:rsidR="00B359E4" w:rsidRDefault="00B359E4" w:rsidP="00B359E4">
            <w:pPr>
              <w:jc w:val="center"/>
            </w:pPr>
            <w:r>
              <w:t>2,218</w:t>
            </w:r>
          </w:p>
        </w:tc>
      </w:tr>
    </w:tbl>
    <w:p w:rsidR="00E169BB" w:rsidRDefault="00E169BB"/>
    <w:p w:rsidR="00916780" w:rsidRPr="00916780" w:rsidRDefault="00FB10AD">
      <w:pPr>
        <w:rPr>
          <w:sz w:val="18"/>
        </w:rPr>
      </w:pPr>
      <w:sdt>
        <w:sdtPr>
          <w:rPr>
            <w:sz w:val="18"/>
          </w:rPr>
          <w:id w:val="-324208720"/>
          <w:citation/>
        </w:sdtPr>
        <w:sdtContent>
          <w:r w:rsidR="00916780" w:rsidRPr="00916780">
            <w:rPr>
              <w:sz w:val="18"/>
            </w:rPr>
            <w:fldChar w:fldCharType="begin"/>
          </w:r>
          <w:r w:rsidR="00916780" w:rsidRPr="00916780">
            <w:rPr>
              <w:sz w:val="18"/>
            </w:rPr>
            <w:instrText xml:space="preserve"> CITATION Gov20 \l 2057 </w:instrText>
          </w:r>
          <w:r w:rsidR="00916780" w:rsidRPr="00916780">
            <w:rPr>
              <w:sz w:val="18"/>
            </w:rPr>
            <w:fldChar w:fldCharType="separate"/>
          </w:r>
          <w:r w:rsidR="00916780" w:rsidRPr="00916780">
            <w:rPr>
              <w:noProof/>
              <w:sz w:val="18"/>
            </w:rPr>
            <w:t>(Gov.uk, 2020)</w:t>
          </w:r>
          <w:r w:rsidR="00916780" w:rsidRPr="00916780">
            <w:rPr>
              <w:sz w:val="18"/>
            </w:rPr>
            <w:fldChar w:fldCharType="end"/>
          </w:r>
        </w:sdtContent>
      </w:sdt>
      <w:r w:rsidR="00916780" w:rsidRPr="00916780">
        <w:rPr>
          <w:sz w:val="18"/>
        </w:rPr>
        <w:t xml:space="preserve"> Fig 1. Taser Usage in England and Wales: April 2019 to March 2020</w:t>
      </w:r>
    </w:p>
    <w:p w:rsidR="00916780" w:rsidRDefault="00916780"/>
    <w:p w:rsidR="00916780" w:rsidRDefault="00916780">
      <w:r>
        <w:t xml:space="preserve">I have extracted specifically the Taser usage from the Gov.uk source and highlighted device discharges in red and alternate uses in green. The contrast is stark and shows that discharges are relatively low, around 10% of total usage. This suggests to me that there is value in the deterring factors of the devices alternate methods I.e Red-dot, Arc. </w:t>
      </w:r>
    </w:p>
    <w:p w:rsidR="00916780" w:rsidRPr="00916780" w:rsidRDefault="00916780">
      <w:pPr>
        <w:rPr>
          <w:sz w:val="24"/>
        </w:rPr>
      </w:pPr>
      <w:r>
        <w:t xml:space="preserve">This data is available for three consecutive years and can be used to compare trends from 2017 onwards. </w:t>
      </w:r>
    </w:p>
    <w:p w:rsidR="00422A4A" w:rsidRDefault="00422A4A"/>
    <w:p w:rsidR="00422A4A" w:rsidRDefault="00422A4A">
      <w:pPr>
        <w:rPr>
          <w:b/>
          <w:u w:val="single"/>
        </w:rPr>
      </w:pPr>
      <w:r w:rsidRPr="00422A4A">
        <w:rPr>
          <w:b/>
          <w:u w:val="single"/>
        </w:rPr>
        <w:t>Taser as a deterrent</w:t>
      </w:r>
      <w:r>
        <w:rPr>
          <w:b/>
          <w:u w:val="single"/>
        </w:rPr>
        <w:t xml:space="preserve"> – Reducing alternative use of force</w:t>
      </w:r>
    </w:p>
    <w:p w:rsidR="00A73EE0" w:rsidRDefault="00A73EE0">
      <w:r>
        <w:t xml:space="preserve">Tasers should not be considered a replacement for alternative use of force methods, including lethal force such as firearms. The device is commonly referred to as a less-lethal weapon and utilised as an additional use of force option. The chair of Taser international summarises the device by saying “It’s giving officers another tool in the tool box” </w:t>
      </w:r>
      <w:sdt>
        <w:sdtPr>
          <w:id w:val="1146400659"/>
          <w:citation/>
        </w:sdtPr>
        <w:sdtContent>
          <w:r>
            <w:fldChar w:fldCharType="begin"/>
          </w:r>
          <w:r>
            <w:instrText xml:space="preserve"> CITATION Smi08 \l 2057 </w:instrText>
          </w:r>
          <w:r>
            <w:fldChar w:fldCharType="separate"/>
          </w:r>
          <w:r w:rsidRPr="00A73EE0">
            <w:rPr>
              <w:noProof/>
            </w:rPr>
            <w:t>(Smith, 2008)</w:t>
          </w:r>
          <w:r>
            <w:fldChar w:fldCharType="end"/>
          </w:r>
        </w:sdtContent>
      </w:sdt>
      <w:r>
        <w:t>.</w:t>
      </w:r>
    </w:p>
    <w:p w:rsidR="00A73EE0" w:rsidRDefault="00790282">
      <w:r>
        <w:t xml:space="preserve">Research shows that </w:t>
      </w:r>
      <w:r w:rsidR="00A73EE0">
        <w:t>law enforcement agencies overseas have reported a decrease in the number of police shootin</w:t>
      </w:r>
      <w:r w:rsidR="00CA5449">
        <w:t xml:space="preserve">gs following its introduction </w:t>
      </w:r>
      <w:sdt>
        <w:sdtPr>
          <w:id w:val="1780223670"/>
          <w:citation/>
        </w:sdtPr>
        <w:sdtContent>
          <w:r w:rsidR="00CA5449">
            <w:fldChar w:fldCharType="begin"/>
          </w:r>
          <w:r w:rsidR="00CA5449">
            <w:instrText xml:space="preserve"> CITATION Can05 \l 2057 </w:instrText>
          </w:r>
          <w:r w:rsidR="00CA5449">
            <w:fldChar w:fldCharType="separate"/>
          </w:r>
          <w:r w:rsidR="00CA5449" w:rsidRPr="00CA5449">
            <w:rPr>
              <w:noProof/>
            </w:rPr>
            <w:t>(Canadian Police Research Centre , 2005)</w:t>
          </w:r>
          <w:r w:rsidR="00CA5449">
            <w:fldChar w:fldCharType="end"/>
          </w:r>
        </w:sdtContent>
      </w:sdt>
      <w:r w:rsidR="00CA5449">
        <w:t xml:space="preserve">. </w:t>
      </w:r>
      <w:r>
        <w:t xml:space="preserve">In </w:t>
      </w:r>
      <w:r w:rsidR="00457735">
        <w:t>Phoenix,</w:t>
      </w:r>
      <w:r>
        <w:t xml:space="preserve"> there was a 54% reduction in the use of lethal force and in Orange </w:t>
      </w:r>
      <w:r w:rsidR="00457735">
        <w:t>County</w:t>
      </w:r>
      <w:r>
        <w:t xml:space="preserve"> a 78% reduction in lethal force.</w:t>
      </w:r>
      <w:sdt>
        <w:sdtPr>
          <w:id w:val="-616748071"/>
          <w:citation/>
        </w:sdtPr>
        <w:sdtContent>
          <w:r w:rsidR="00457735">
            <w:fldChar w:fldCharType="begin"/>
          </w:r>
          <w:r w:rsidR="00457735">
            <w:instrText xml:space="preserve"> CITATION TAS06 \l 2057 </w:instrText>
          </w:r>
          <w:r w:rsidR="00457735">
            <w:fldChar w:fldCharType="separate"/>
          </w:r>
          <w:r w:rsidR="00457735">
            <w:rPr>
              <w:noProof/>
            </w:rPr>
            <w:t xml:space="preserve"> </w:t>
          </w:r>
          <w:r w:rsidR="00457735" w:rsidRPr="00457735">
            <w:rPr>
              <w:noProof/>
            </w:rPr>
            <w:t>(TASER International, 2006)</w:t>
          </w:r>
          <w:r w:rsidR="00457735">
            <w:fldChar w:fldCharType="end"/>
          </w:r>
        </w:sdtContent>
      </w:sdt>
    </w:p>
    <w:p w:rsidR="00457735" w:rsidRDefault="00872C2F">
      <w:r>
        <w:t xml:space="preserve">Reports would suggest that a substantial number of deaths have been avoided by the wider adoption and implementation of Taser, with reviews showing the device has been deployed in situations that may have previously required lethal force </w:t>
      </w:r>
      <w:sdt>
        <w:sdtPr>
          <w:id w:val="1698276747"/>
          <w:citation/>
        </w:sdtPr>
        <w:sdtContent>
          <w:r>
            <w:fldChar w:fldCharType="begin"/>
          </w:r>
          <w:r>
            <w:instrText xml:space="preserve"> CITATION Mes05 \l 2057 </w:instrText>
          </w:r>
          <w:r>
            <w:fldChar w:fldCharType="separate"/>
          </w:r>
          <w:r w:rsidRPr="00872C2F">
            <w:rPr>
              <w:noProof/>
            </w:rPr>
            <w:t>(Mesloh, et al., 2005)</w:t>
          </w:r>
          <w:r>
            <w:fldChar w:fldCharType="end"/>
          </w:r>
        </w:sdtContent>
      </w:sdt>
      <w:r>
        <w:t>. When considering the impact of this statement it should be acknowledged that not only are police safeguarding against the tragedy that is taking another per</w:t>
      </w:r>
      <w:r w:rsidR="00347AD8">
        <w:t xml:space="preserve">sons life, they are reducing the financial cost to the public that is associated with enquiries, investigations and wellbeing following incidents requiring significant and potentially lethal force. </w:t>
      </w:r>
    </w:p>
    <w:p w:rsidR="00457735" w:rsidRDefault="00457735"/>
    <w:p w:rsidR="00171729" w:rsidRDefault="00171729"/>
    <w:p w:rsidR="00171729" w:rsidRDefault="00171729" w:rsidP="00171729">
      <w:pPr>
        <w:rPr>
          <w:b/>
          <w:u w:val="single"/>
        </w:rPr>
      </w:pPr>
      <w:r w:rsidRPr="00171729">
        <w:rPr>
          <w:b/>
          <w:u w:val="single"/>
        </w:rPr>
        <w:t xml:space="preserve">Injuries </w:t>
      </w:r>
    </w:p>
    <w:p w:rsidR="005F510F" w:rsidRDefault="005F510F" w:rsidP="00171729">
      <w:pPr>
        <w:rPr>
          <w:b/>
          <w:u w:val="single"/>
        </w:rPr>
      </w:pPr>
    </w:p>
    <w:p w:rsidR="00C865BB" w:rsidRPr="00C865BB" w:rsidRDefault="00C865BB" w:rsidP="00C865BB">
      <w:r>
        <w:t xml:space="preserve">From the introduction of Taser to British policing in 2003 to 2016 the devices were discharged operationally  more than 13,000 times. During which there have been seventeen fatalities in which the discharge of Taser featured as one of the uses of force. In two of these deaths, both occurring in 2013 </w:t>
      </w:r>
      <w:r w:rsidRPr="00C865BB">
        <w:t>the TASER CED discharge was concluded to have been a causal or contributory factor. One of these cases involved the discharge-induced ignition of petrol.</w:t>
      </w:r>
    </w:p>
    <w:p w:rsidR="005F510F" w:rsidRDefault="005F510F" w:rsidP="005F510F">
      <w:pPr>
        <w:pStyle w:val="NoSpacing"/>
      </w:pPr>
      <w:r w:rsidRPr="001F41E3">
        <w:t>Despite the broad range of potential injuries ass</w:t>
      </w:r>
      <w:r>
        <w:t xml:space="preserve">ociated with the use of CEDs </w:t>
      </w:r>
      <w:r w:rsidRPr="001F41E3">
        <w:t>the incidence of serious injury in the UK appears to be low relative to the number</w:t>
      </w:r>
      <w:r>
        <w:t xml:space="preserve"> </w:t>
      </w:r>
      <w:r w:rsidRPr="001F41E3">
        <w:t>of times the devices are used. Notwithstanding the likelihood of under-reporting in the medical</w:t>
      </w:r>
      <w:r>
        <w:t xml:space="preserve"> </w:t>
      </w:r>
      <w:r w:rsidRPr="001F41E3">
        <w:t>press, the relative infrequency of reports of serious injury implies that most uses of CEDs result in</w:t>
      </w:r>
      <w:r>
        <w:t xml:space="preserve"> </w:t>
      </w:r>
      <w:r w:rsidRPr="001F41E3">
        <w:t>unremarkable medical outcomes. Nevertheless, a small number of deaths and serious injuries have</w:t>
      </w:r>
      <w:r>
        <w:t xml:space="preserve"> </w:t>
      </w:r>
      <w:r w:rsidRPr="001F41E3">
        <w:t>occurred in the UK in association with the operational use of TASER CEDs.</w:t>
      </w:r>
      <w:r w:rsidRPr="001F41E3">
        <w:cr/>
      </w:r>
      <w:sdt>
        <w:sdtPr>
          <w:id w:val="1372808074"/>
          <w:citation/>
        </w:sdtPr>
        <w:sdtContent>
          <w:r>
            <w:fldChar w:fldCharType="begin"/>
          </w:r>
          <w:r>
            <w:instrText xml:space="preserve"> CITATION Flo16 \l 2057 </w:instrText>
          </w:r>
          <w:r>
            <w:fldChar w:fldCharType="separate"/>
          </w:r>
          <w:r w:rsidRPr="007E3269">
            <w:rPr>
              <w:noProof/>
            </w:rPr>
            <w:t>(Flower, 2016)</w:t>
          </w:r>
          <w:r>
            <w:fldChar w:fldCharType="end"/>
          </w:r>
        </w:sdtContent>
      </w:sdt>
    </w:p>
    <w:p w:rsidR="005F510F" w:rsidRDefault="005F510F" w:rsidP="005F510F">
      <w:pPr>
        <w:pStyle w:val="NoSpacing"/>
      </w:pPr>
    </w:p>
    <w:p w:rsidR="005F510F" w:rsidRDefault="005F510F" w:rsidP="005F510F">
      <w:pPr>
        <w:pStyle w:val="NoSpacing"/>
      </w:pPr>
      <w:r>
        <w:t xml:space="preserve">Amnesty international stipulate that 18 people have died after a Taser was discharged against them by police, however specify that only two official investigations have pointed to the use of Taser as a significant factor in their deaths. </w:t>
      </w:r>
      <w:r w:rsidRPr="007E3269">
        <w:t>In July 2015, an inquest found that restraint techniques, combined with the stress of Taser discharge, materially contributed to the death of 23-year-old Jordon Begley. In October of the same year, an inquest into the death of Andrew Pimlott (32) concluded it was likely that a Taser was the probable cause of a petrol fire that engulfed and killed him.</w:t>
      </w:r>
      <w:sdt>
        <w:sdtPr>
          <w:id w:val="878506343"/>
          <w:citation/>
        </w:sdtPr>
        <w:sdtContent>
          <w:r>
            <w:fldChar w:fldCharType="begin"/>
          </w:r>
          <w:r>
            <w:instrText xml:space="preserve"> CITATION Amn18 \l 2057 </w:instrText>
          </w:r>
          <w:r>
            <w:fldChar w:fldCharType="separate"/>
          </w:r>
          <w:r>
            <w:rPr>
              <w:noProof/>
            </w:rPr>
            <w:t xml:space="preserve"> </w:t>
          </w:r>
          <w:r w:rsidRPr="007E3269">
            <w:rPr>
              <w:noProof/>
            </w:rPr>
            <w:t>(Amnesty International UK, 2018)</w:t>
          </w:r>
          <w:r>
            <w:fldChar w:fldCharType="end"/>
          </w:r>
        </w:sdtContent>
      </w:sdt>
    </w:p>
    <w:p w:rsidR="005F510F" w:rsidRDefault="005F510F" w:rsidP="005F510F">
      <w:pPr>
        <w:pStyle w:val="NoSpacing"/>
      </w:pPr>
    </w:p>
    <w:p w:rsidR="00171729" w:rsidRDefault="005F510F" w:rsidP="00C865BB">
      <w:pPr>
        <w:pStyle w:val="NoSpacing"/>
      </w:pPr>
      <w:r>
        <w:t>Whilst TASER was a contributing factor in these two incidents, there are other major factors, specifically in Pimlott’s case as the primary cause of Death was the subsequent fire. Questions would need to be asked about the information and intelligence received by officers</w:t>
      </w:r>
      <w:r w:rsidR="00C865BB">
        <w:t xml:space="preserve"> prior to deployment of Taser. </w:t>
      </w:r>
    </w:p>
    <w:p w:rsidR="00C865BB" w:rsidRDefault="00C865BB" w:rsidP="00C865BB">
      <w:pPr>
        <w:pStyle w:val="NoSpacing"/>
      </w:pPr>
    </w:p>
    <w:p w:rsidR="00FB10AD" w:rsidRDefault="00FB10AD">
      <w:r>
        <w:t xml:space="preserve">A study conducted by Megan Robb </w:t>
      </w:r>
      <w:r w:rsidR="00C865BB">
        <w:t>et al</w:t>
      </w:r>
      <w:r>
        <w:t xml:space="preserve"> relating to emergency department implications of TASER use found that TASER injury patterns fall into three broad groups: Primary barb strike injuries, electrical injuries and secondary trauma from falling. Their recommendations for those TASER has been used against were summaries for emergency staff to better assist police following TASER deployment. </w:t>
      </w:r>
    </w:p>
    <w:p w:rsidR="00FB10AD" w:rsidRDefault="00FB10AD">
      <w:r>
        <w:t>They recommend that all patients exposed to TASER should have</w:t>
      </w:r>
      <w:r w:rsidR="002F725B">
        <w:t xml:space="preserve"> assessments covering: </w:t>
      </w:r>
      <w:r>
        <w:t xml:space="preserve"> </w:t>
      </w:r>
    </w:p>
    <w:p w:rsidR="00FB10AD" w:rsidRDefault="00FB10AD">
      <w:r>
        <w:t>1. ABC– Airway, breathing, circulation and vital signs</w:t>
      </w:r>
    </w:p>
    <w:p w:rsidR="00FB10AD" w:rsidRDefault="00FB10AD">
      <w:r>
        <w:t>2. Secondary Survey – For further injuries</w:t>
      </w:r>
    </w:p>
    <w:p w:rsidR="00FB10AD" w:rsidRDefault="00FB10AD">
      <w:r>
        <w:t>3. Treat injuries – Lacerations, burns as per  guidelines</w:t>
      </w:r>
    </w:p>
    <w:p w:rsidR="00FB10AD" w:rsidRDefault="00FB10AD">
      <w:r>
        <w:t>4. Remove barbs – Unless risk that has penetrated body cavity, joint, eye, cranium</w:t>
      </w:r>
    </w:p>
    <w:p w:rsidR="00FB10AD" w:rsidRDefault="00FB10AD">
      <w:r>
        <w:t>5. Assess tetanus status – ADT as required</w:t>
      </w:r>
    </w:p>
    <w:p w:rsidR="00FB10AD" w:rsidRDefault="00FB10AD">
      <w:r>
        <w:t>6. Baseline investigations – consider BSL, ECG and venous blood gas as screening test</w:t>
      </w:r>
    </w:p>
    <w:p w:rsidR="00FB10AD" w:rsidRDefault="00FB10AD"/>
    <w:p w:rsidR="00FB10AD" w:rsidRDefault="00FB10AD">
      <w:r>
        <w:t>They further identified High-Risk groups as:</w:t>
      </w:r>
    </w:p>
    <w:p w:rsidR="00FB10AD" w:rsidRDefault="00FB10AD" w:rsidP="00FB10AD">
      <w:pPr>
        <w:pStyle w:val="ListParagraph"/>
        <w:numPr>
          <w:ilvl w:val="0"/>
          <w:numId w:val="1"/>
        </w:numPr>
      </w:pPr>
      <w:r>
        <w:t>Drug-or alcohol-intoxicated patients</w:t>
      </w:r>
    </w:p>
    <w:p w:rsidR="00FB10AD" w:rsidRDefault="00FB10AD" w:rsidP="00FB10AD">
      <w:pPr>
        <w:pStyle w:val="ListParagraph"/>
        <w:numPr>
          <w:ilvl w:val="0"/>
          <w:numId w:val="1"/>
        </w:numPr>
      </w:pPr>
      <w:r>
        <w:lastRenderedPageBreak/>
        <w:t>Mental health patients</w:t>
      </w:r>
    </w:p>
    <w:p w:rsidR="00FB10AD" w:rsidRDefault="00FB10AD" w:rsidP="00FB10AD">
      <w:pPr>
        <w:pStyle w:val="ListParagraph"/>
        <w:numPr>
          <w:ilvl w:val="0"/>
          <w:numId w:val="1"/>
        </w:numPr>
      </w:pPr>
      <w:r>
        <w:t>Patients with pre-existing cardiovascular disease, pacemaker of ICD’s</w:t>
      </w:r>
    </w:p>
    <w:p w:rsidR="00FB10AD" w:rsidRDefault="00FB10AD" w:rsidP="00FB10AD">
      <w:pPr>
        <w:pStyle w:val="ListParagraph"/>
        <w:numPr>
          <w:ilvl w:val="0"/>
          <w:numId w:val="1"/>
        </w:numPr>
      </w:pPr>
      <w:r>
        <w:t>Multiple TASER exposures</w:t>
      </w:r>
    </w:p>
    <w:p w:rsidR="00FB10AD" w:rsidRDefault="00FB10AD" w:rsidP="00FB10AD">
      <w:pPr>
        <w:pStyle w:val="ListParagraph"/>
        <w:numPr>
          <w:ilvl w:val="0"/>
          <w:numId w:val="1"/>
        </w:numPr>
      </w:pPr>
      <w:r>
        <w:t>Low BMI</w:t>
      </w:r>
    </w:p>
    <w:p w:rsidR="00FB10AD" w:rsidRDefault="00FB10AD" w:rsidP="00FB10AD">
      <w:pPr>
        <w:pStyle w:val="ListParagraph"/>
        <w:numPr>
          <w:ilvl w:val="0"/>
          <w:numId w:val="1"/>
        </w:numPr>
      </w:pPr>
      <w:r>
        <w:t>Obstetric patients &gt; 24/40</w:t>
      </w:r>
    </w:p>
    <w:p w:rsidR="00FB10AD" w:rsidRDefault="00FB10AD" w:rsidP="000502F1">
      <w:pPr>
        <w:pStyle w:val="ListParagraph"/>
        <w:numPr>
          <w:ilvl w:val="0"/>
          <w:numId w:val="1"/>
        </w:numPr>
      </w:pPr>
      <w:r>
        <w:t>Patients considered to have ‘Excited delirium’</w:t>
      </w:r>
    </w:p>
    <w:p w:rsidR="00FB10AD" w:rsidRDefault="00FB10AD" w:rsidP="00FB10AD">
      <w:pPr>
        <w:ind w:left="360"/>
      </w:pPr>
      <w:sdt>
        <w:sdtPr>
          <w:id w:val="-2119744996"/>
          <w:citation/>
        </w:sdtPr>
        <w:sdtContent>
          <w:r>
            <w:fldChar w:fldCharType="begin"/>
          </w:r>
          <w:r>
            <w:instrText xml:space="preserve">CITATION Rob \l 2057 </w:instrText>
          </w:r>
          <w:r>
            <w:fldChar w:fldCharType="separate"/>
          </w:r>
          <w:r w:rsidRPr="00FB10AD">
            <w:rPr>
              <w:noProof/>
            </w:rPr>
            <w:t>(Robb, et al., 2009)</w:t>
          </w:r>
          <w:r>
            <w:fldChar w:fldCharType="end"/>
          </w:r>
        </w:sdtContent>
      </w:sdt>
    </w:p>
    <w:p w:rsidR="000502F1" w:rsidRDefault="000502F1" w:rsidP="00FB10AD">
      <w:pPr>
        <w:ind w:left="360"/>
      </w:pPr>
    </w:p>
    <w:p w:rsidR="000502F1" w:rsidRDefault="000502F1" w:rsidP="000502F1">
      <w:pPr>
        <w:ind w:left="360"/>
      </w:pPr>
      <w:r>
        <w:t>This correlates with current college of policing training in which they identify the below r</w:t>
      </w:r>
      <w:r w:rsidR="00A41B6F">
        <w:t>isk factors which they state have</w:t>
      </w:r>
      <w:r>
        <w:t xml:space="preserve"> been identified from operational experience, medical evaluation and the manufacturers guidance:</w:t>
      </w:r>
    </w:p>
    <w:p w:rsidR="000502F1" w:rsidRDefault="000502F1" w:rsidP="000502F1">
      <w:pPr>
        <w:pStyle w:val="ListParagraph"/>
        <w:numPr>
          <w:ilvl w:val="0"/>
          <w:numId w:val="2"/>
        </w:numPr>
      </w:pPr>
      <w:r>
        <w:t>head injuries from unsupported falls</w:t>
      </w:r>
    </w:p>
    <w:p w:rsidR="000502F1" w:rsidRDefault="000502F1" w:rsidP="000502F1">
      <w:pPr>
        <w:pStyle w:val="ListParagraph"/>
        <w:numPr>
          <w:ilvl w:val="0"/>
          <w:numId w:val="2"/>
        </w:numPr>
      </w:pPr>
      <w:r>
        <w:t>repeated and/or prolonged application of discharge</w:t>
      </w:r>
    </w:p>
    <w:p w:rsidR="000502F1" w:rsidRDefault="000502F1" w:rsidP="000502F1">
      <w:pPr>
        <w:pStyle w:val="ListParagraph"/>
        <w:numPr>
          <w:ilvl w:val="0"/>
          <w:numId w:val="2"/>
        </w:numPr>
      </w:pPr>
      <w:r>
        <w:t>avoidance of sensitive areas (primarily head, neck or genitalia)</w:t>
      </w:r>
    </w:p>
    <w:p w:rsidR="000502F1" w:rsidRDefault="000502F1" w:rsidP="000502F1">
      <w:pPr>
        <w:pStyle w:val="ListParagraph"/>
        <w:numPr>
          <w:ilvl w:val="0"/>
          <w:numId w:val="2"/>
        </w:numPr>
      </w:pPr>
      <w:r>
        <w:t>certain pre-existing medical conditions</w:t>
      </w:r>
    </w:p>
    <w:p w:rsidR="000502F1" w:rsidRDefault="000502F1" w:rsidP="000502F1">
      <w:pPr>
        <w:pStyle w:val="ListParagraph"/>
        <w:numPr>
          <w:ilvl w:val="0"/>
          <w:numId w:val="2"/>
        </w:numPr>
      </w:pPr>
      <w:r>
        <w:t>positional asphyxia</w:t>
      </w:r>
    </w:p>
    <w:p w:rsidR="000502F1" w:rsidRDefault="000502F1" w:rsidP="000502F1">
      <w:pPr>
        <w:pStyle w:val="ListParagraph"/>
        <w:numPr>
          <w:ilvl w:val="0"/>
          <w:numId w:val="2"/>
        </w:numPr>
      </w:pPr>
      <w:r>
        <w:t>subjects already restrained</w:t>
      </w:r>
    </w:p>
    <w:p w:rsidR="000502F1" w:rsidRDefault="000502F1" w:rsidP="000502F1">
      <w:pPr>
        <w:pStyle w:val="ListParagraph"/>
        <w:numPr>
          <w:ilvl w:val="0"/>
          <w:numId w:val="2"/>
        </w:numPr>
      </w:pPr>
      <w:r>
        <w:t>acute behavioural disturbance</w:t>
      </w:r>
    </w:p>
    <w:p w:rsidR="000502F1" w:rsidRDefault="000502F1" w:rsidP="000502F1">
      <w:pPr>
        <w:pStyle w:val="ListParagraph"/>
        <w:numPr>
          <w:ilvl w:val="0"/>
          <w:numId w:val="2"/>
        </w:numPr>
      </w:pPr>
      <w:r>
        <w:t>vulnerable people</w:t>
      </w:r>
    </w:p>
    <w:p w:rsidR="000502F1" w:rsidRDefault="000502F1" w:rsidP="000502F1">
      <w:pPr>
        <w:pStyle w:val="ListParagraph"/>
        <w:numPr>
          <w:ilvl w:val="0"/>
          <w:numId w:val="2"/>
        </w:numPr>
      </w:pPr>
      <w:r>
        <w:t>children and thin adults</w:t>
      </w:r>
    </w:p>
    <w:p w:rsidR="000502F1" w:rsidRDefault="000502F1" w:rsidP="000502F1">
      <w:pPr>
        <w:pStyle w:val="ListParagraph"/>
        <w:numPr>
          <w:ilvl w:val="0"/>
          <w:numId w:val="2"/>
        </w:numPr>
      </w:pPr>
      <w:r>
        <w:t>flammable material (eg, petrol, CS irritant spray)</w:t>
      </w:r>
    </w:p>
    <w:p w:rsidR="000502F1" w:rsidRDefault="000502F1" w:rsidP="000502F1">
      <w:pPr>
        <w:pStyle w:val="ListParagraph"/>
        <w:numPr>
          <w:ilvl w:val="0"/>
          <w:numId w:val="2"/>
        </w:numPr>
      </w:pPr>
      <w:r>
        <w:t>explosive environments (eg, petrol vapour, propane, natural gas).</w:t>
      </w:r>
    </w:p>
    <w:p w:rsidR="000502F1" w:rsidRDefault="000502F1" w:rsidP="000502F1">
      <w:sdt>
        <w:sdtPr>
          <w:id w:val="172927065"/>
          <w:citation/>
        </w:sdtPr>
        <w:sdtContent>
          <w:r>
            <w:fldChar w:fldCharType="begin"/>
          </w:r>
          <w:r>
            <w:instrText xml:space="preserve"> CITATION Col13 \l 2057 </w:instrText>
          </w:r>
          <w:r>
            <w:fldChar w:fldCharType="separate"/>
          </w:r>
          <w:r w:rsidRPr="000502F1">
            <w:rPr>
              <w:noProof/>
            </w:rPr>
            <w:t>(College of Policing, 2013)</w:t>
          </w:r>
          <w:r>
            <w:fldChar w:fldCharType="end"/>
          </w:r>
        </w:sdtContent>
      </w:sdt>
    </w:p>
    <w:p w:rsidR="001F41E3" w:rsidRDefault="001F41E3" w:rsidP="000502F1"/>
    <w:p w:rsidR="007E3269" w:rsidRPr="001F41E3" w:rsidRDefault="007E3269" w:rsidP="001F41E3">
      <w:pPr>
        <w:pStyle w:val="NoSpacing"/>
      </w:pPr>
    </w:p>
    <w:p w:rsidR="000502F1" w:rsidRDefault="000502F1" w:rsidP="001F41E3"/>
    <w:p w:rsidR="000502F1" w:rsidRDefault="000502F1" w:rsidP="000502F1"/>
    <w:p w:rsidR="009462DF" w:rsidRDefault="009462DF"/>
    <w:p w:rsidR="009462DF" w:rsidRPr="00E169BB" w:rsidRDefault="009462DF">
      <w:pPr>
        <w:rPr>
          <w:b/>
          <w:u w:val="single"/>
        </w:rPr>
      </w:pPr>
      <w:r w:rsidRPr="00E169BB">
        <w:rPr>
          <w:b/>
          <w:u w:val="single"/>
        </w:rPr>
        <w:t>Public and third party perception</w:t>
      </w:r>
      <w:r w:rsidR="00A41B6F">
        <w:rPr>
          <w:b/>
          <w:u w:val="single"/>
        </w:rPr>
        <w:t xml:space="preserve"> </w:t>
      </w:r>
    </w:p>
    <w:p w:rsidR="00E169BB" w:rsidRDefault="00A41B6F">
      <w:r>
        <w:t>Amnesty International UK identify themselves as the world’s largest grassroots human rights organisation, who’s state they i</w:t>
      </w:r>
      <w:r w:rsidRPr="00A41B6F">
        <w:t>nvestigate and expose abuses, educate and mobilise the public, and help transform societies to create a safer, more just world.</w:t>
      </w:r>
      <w:sdt>
        <w:sdtPr>
          <w:id w:val="741686213"/>
          <w:citation/>
        </w:sdtPr>
        <w:sdtContent>
          <w:r>
            <w:fldChar w:fldCharType="begin"/>
          </w:r>
          <w:r>
            <w:instrText xml:space="preserve"> CITATION Amn21 \l 2057 </w:instrText>
          </w:r>
          <w:r>
            <w:fldChar w:fldCharType="separate"/>
          </w:r>
          <w:r>
            <w:rPr>
              <w:noProof/>
            </w:rPr>
            <w:t xml:space="preserve"> </w:t>
          </w:r>
          <w:r w:rsidRPr="00A41B6F">
            <w:rPr>
              <w:noProof/>
            </w:rPr>
            <w:t>(Amnesty International UK, 2021)</w:t>
          </w:r>
          <w:r>
            <w:fldChar w:fldCharType="end"/>
          </w:r>
        </w:sdtContent>
      </w:sdt>
    </w:p>
    <w:p w:rsidR="00A41B6F" w:rsidRDefault="00A41B6F">
      <w:r>
        <w:t xml:space="preserve">Amnesty have </w:t>
      </w:r>
      <w:r w:rsidR="005F510F">
        <w:t xml:space="preserve">followed TASER closely and with assistance of other groups found their lobbying efforts to be successful, in that the most commonly used Taser Model X2 was introduced to UK police </w:t>
      </w:r>
      <w:r w:rsidR="005F510F" w:rsidRPr="005F510F">
        <w:t>equipped with an advanced battery option that cuts power to the device after five seconds.</w:t>
      </w:r>
    </w:p>
    <w:p w:rsidR="005F510F" w:rsidRDefault="005F510F">
      <w:r>
        <w:t>Whilst they do not argue that Taser should be abolished they continue to actively lobby in an attempt to action the below:</w:t>
      </w:r>
    </w:p>
    <w:p w:rsidR="005F510F" w:rsidRDefault="005F510F" w:rsidP="00C865BB">
      <w:pPr>
        <w:pStyle w:val="NoSpacing"/>
        <w:numPr>
          <w:ilvl w:val="0"/>
          <w:numId w:val="4"/>
        </w:numPr>
      </w:pPr>
      <w:r>
        <w:t xml:space="preserve">To strengthen Home Office guidance on the use of Taser to ensure full compliance with Article 2 of the European Convention on Human Rights (the right to life). Tasers should be a </w:t>
      </w:r>
      <w:r>
        <w:lastRenderedPageBreak/>
        <w:t>last resort, used as an alternative to lethal force and only in circumstances where there is an imminent threat to life or of serious injury.</w:t>
      </w:r>
    </w:p>
    <w:p w:rsidR="005F510F" w:rsidRDefault="005F510F" w:rsidP="00C865BB">
      <w:pPr>
        <w:pStyle w:val="NoSpacing"/>
      </w:pPr>
    </w:p>
    <w:p w:rsidR="005F510F" w:rsidRDefault="005F510F" w:rsidP="00C865BB">
      <w:pPr>
        <w:pStyle w:val="NoSpacing"/>
        <w:numPr>
          <w:ilvl w:val="0"/>
          <w:numId w:val="4"/>
        </w:numPr>
      </w:pPr>
      <w:r>
        <w:t>To refrain from rolling out Tasers to all police officers, the weapon should remain restricted to specially-trained units and to be used only under specific limited circumstances.</w:t>
      </w:r>
    </w:p>
    <w:p w:rsidR="005F510F" w:rsidRDefault="005F510F" w:rsidP="00C865BB">
      <w:pPr>
        <w:pStyle w:val="NoSpacing"/>
      </w:pPr>
    </w:p>
    <w:p w:rsidR="005F510F" w:rsidRDefault="005F510F" w:rsidP="00C865BB">
      <w:pPr>
        <w:pStyle w:val="NoSpacing"/>
      </w:pPr>
    </w:p>
    <w:p w:rsidR="005F510F" w:rsidRDefault="005F510F" w:rsidP="00C865BB">
      <w:pPr>
        <w:pStyle w:val="NoSpacing"/>
        <w:numPr>
          <w:ilvl w:val="0"/>
          <w:numId w:val="4"/>
        </w:numPr>
      </w:pPr>
      <w:r>
        <w:t>To explicitly prohibit the use in direct ‘drive stun’ mode.</w:t>
      </w:r>
    </w:p>
    <w:p w:rsidR="005F510F" w:rsidRDefault="005F510F" w:rsidP="00C865BB">
      <w:pPr>
        <w:pStyle w:val="NoSpacing"/>
      </w:pPr>
    </w:p>
    <w:p w:rsidR="005F510F" w:rsidRDefault="005F510F" w:rsidP="00C865BB">
      <w:pPr>
        <w:pStyle w:val="NoSpacing"/>
        <w:numPr>
          <w:ilvl w:val="0"/>
          <w:numId w:val="4"/>
        </w:numPr>
      </w:pPr>
      <w:r>
        <w:t>To increase the training for officers carrying Tasers in line with that for authorised firearms officers. There should be regular and mandatory assessment-based scenario training built into the training package. Officers who fail assessment should not carry Tasers until they’ve been re-qualified.</w:t>
      </w:r>
    </w:p>
    <w:p w:rsidR="005F510F" w:rsidRDefault="005F510F" w:rsidP="00C865BB">
      <w:pPr>
        <w:pStyle w:val="NoSpacing"/>
      </w:pPr>
    </w:p>
    <w:p w:rsidR="005F510F" w:rsidRDefault="005F510F" w:rsidP="00C865BB">
      <w:pPr>
        <w:pStyle w:val="NoSpacing"/>
        <w:numPr>
          <w:ilvl w:val="0"/>
          <w:numId w:val="4"/>
        </w:numPr>
      </w:pPr>
      <w:r>
        <w:t>To refrain from establishing a mandatory requirement to carry a Taser in order to maintain the highest possible proficiency standards over Taser use within UK policing.</w:t>
      </w:r>
    </w:p>
    <w:p w:rsidR="005F510F" w:rsidRDefault="005F510F" w:rsidP="005F510F">
      <w:sdt>
        <w:sdtPr>
          <w:id w:val="1188185397"/>
          <w:citation/>
        </w:sdtPr>
        <w:sdtContent>
          <w:r>
            <w:fldChar w:fldCharType="begin"/>
          </w:r>
          <w:r>
            <w:instrText xml:space="preserve"> CITATION Amn18 \l 2057 </w:instrText>
          </w:r>
          <w:r>
            <w:fldChar w:fldCharType="separate"/>
          </w:r>
          <w:r w:rsidRPr="005F510F">
            <w:rPr>
              <w:noProof/>
            </w:rPr>
            <w:t>(Amnesty International UK, 2018)</w:t>
          </w:r>
          <w:r>
            <w:fldChar w:fldCharType="end"/>
          </w:r>
        </w:sdtContent>
      </w:sdt>
    </w:p>
    <w:p w:rsidR="008C23F6" w:rsidRDefault="008C23F6" w:rsidP="005F510F"/>
    <w:p w:rsidR="005F510F" w:rsidRDefault="008C23F6" w:rsidP="005F510F">
      <w:r>
        <w:t xml:space="preserve">As early as 1978 Wright stated, “Developments in military hardware receive critical attention” however went on to suggest that the same attention was not paid to the developments of police weaponry and technology. </w:t>
      </w:r>
      <w:sdt>
        <w:sdtPr>
          <w:id w:val="-1195297202"/>
          <w:citation/>
        </w:sdtPr>
        <w:sdtContent>
          <w:r>
            <w:fldChar w:fldCharType="begin"/>
          </w:r>
          <w:r>
            <w:instrText xml:space="preserve">CITATION Wri78 \p 305 \l 2057 </w:instrText>
          </w:r>
          <w:r>
            <w:fldChar w:fldCharType="separate"/>
          </w:r>
          <w:r w:rsidRPr="008C23F6">
            <w:rPr>
              <w:noProof/>
            </w:rPr>
            <w:t>(Wright, 1978, p. 305)</w:t>
          </w:r>
          <w:r>
            <w:fldChar w:fldCharType="end"/>
          </w:r>
        </w:sdtContent>
      </w:sdt>
    </w:p>
    <w:p w:rsidR="00E169BB" w:rsidRDefault="002F725B" w:rsidP="008C23F6">
      <w:r>
        <w:t xml:space="preserve">Taser has been used in UK policing for 17 years and the device has become an integral part of an officers specialist kit, members of the public have noticed the increase of Taser and it is understandable that initially there will be elements of fear in the unknown which may affect public confidence. </w:t>
      </w:r>
    </w:p>
    <w:p w:rsidR="003A7894" w:rsidRDefault="003A7894" w:rsidP="008C23F6">
      <w:r>
        <w:t xml:space="preserve">A survey conducted by the Police Federation of England and Wales (PFEW) was conducted to gather information about police personnel’s preference for and against accessibility to protective equipment. However, the results focussed on how the equipment would affect the public and suggest that ideology and imagery were the main concern regarding issuing of new equipment. </w:t>
      </w:r>
    </w:p>
    <w:p w:rsidR="003A7894" w:rsidRDefault="003A7894" w:rsidP="008C23F6">
      <w:r>
        <w:t xml:space="preserve">The findings from the National Police Chiefs Council (NPCC) suggested there was not enough necessity to distribute Taser nationally and that a lower amount of Tasers available to officers would uphold public confidence. </w:t>
      </w:r>
    </w:p>
    <w:p w:rsidR="003A7894" w:rsidRDefault="008C23F6" w:rsidP="008C23F6">
      <w:sdt>
        <w:sdtPr>
          <w:id w:val="-475070615"/>
          <w:citation/>
        </w:sdtPr>
        <w:sdtContent>
          <w:r>
            <w:fldChar w:fldCharType="begin"/>
          </w:r>
          <w:r>
            <w:instrText xml:space="preserve"> CITATION Pol16 \l 2057 </w:instrText>
          </w:r>
          <w:r>
            <w:fldChar w:fldCharType="separate"/>
          </w:r>
          <w:r w:rsidRPr="008C23F6">
            <w:rPr>
              <w:noProof/>
            </w:rPr>
            <w:t>(Polfed.Org, 2016)</w:t>
          </w:r>
          <w:r>
            <w:fldChar w:fldCharType="end"/>
          </w:r>
        </w:sdtContent>
      </w:sdt>
    </w:p>
    <w:p w:rsidR="009462DF" w:rsidRDefault="003A7894">
      <w:r>
        <w:t xml:space="preserve">In stark </w:t>
      </w:r>
      <w:r w:rsidR="002327AA">
        <w:t>contrast,</w:t>
      </w:r>
      <w:r>
        <w:t xml:space="preserve"> a further survey carried out by PFEW focused on public opinion rather than officers. The results showed that 71 per cent of respondents considered it acceptable for officers to carry a Taser and four out of five participants claimed they would be more likely to approach an officer for help if they were in possession of a Taser. Which led to Steve White (PFEW Chariman) stating “Attitudes are changing, and people recognise the benefits Taser can offer” </w:t>
      </w:r>
      <w:sdt>
        <w:sdtPr>
          <w:id w:val="960768307"/>
          <w:citation/>
        </w:sdtPr>
        <w:sdtContent>
          <w:r>
            <w:fldChar w:fldCharType="begin"/>
          </w:r>
          <w:r>
            <w:instrText xml:space="preserve"> CITATION Pol16 \l 2057 </w:instrText>
          </w:r>
          <w:r>
            <w:fldChar w:fldCharType="separate"/>
          </w:r>
          <w:r w:rsidRPr="003A7894">
            <w:rPr>
              <w:noProof/>
            </w:rPr>
            <w:t>(Polfed.Org, 2016)</w:t>
          </w:r>
          <w:r>
            <w:fldChar w:fldCharType="end"/>
          </w:r>
        </w:sdtContent>
      </w:sdt>
      <w:r w:rsidR="004E5E2B">
        <w:t xml:space="preserve"> It begs the question are the police more concerned with the way they are viewed by the public rather than the effectiveness of the service they provide. </w:t>
      </w:r>
    </w:p>
    <w:p w:rsidR="00E8615D" w:rsidRDefault="00E8615D">
      <w:r>
        <w:t>(2497 Words)</w:t>
      </w:r>
    </w:p>
    <w:p w:rsidR="00EB7111" w:rsidRDefault="00EB7111"/>
    <w:sdt>
      <w:sdtPr>
        <w:id w:val="86255512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A61BAA" w:rsidRDefault="00A61BAA">
          <w:pPr>
            <w:pStyle w:val="Heading1"/>
          </w:pPr>
          <w:r>
            <w:t>Bibliography</w:t>
          </w:r>
        </w:p>
        <w:sdt>
          <w:sdtPr>
            <w:id w:val="111145805"/>
            <w:bibliography/>
          </w:sdtPr>
          <w:sdtContent>
            <w:p w:rsidR="00A61BAA" w:rsidRDefault="00A61BAA" w:rsidP="00A61BAA">
              <w:pPr>
                <w:pStyle w:val="Bibliography"/>
                <w:rPr>
                  <w:noProof/>
                  <w:sz w:val="24"/>
                  <w:szCs w:val="24"/>
                  <w:lang w:val="en-US"/>
                </w:rPr>
              </w:pPr>
              <w:r>
                <w:fldChar w:fldCharType="begin"/>
              </w:r>
              <w:r>
                <w:instrText xml:space="preserve"> BIBLIOGRAPHY </w:instrText>
              </w:r>
              <w:r>
                <w:fldChar w:fldCharType="separate"/>
              </w:r>
              <w:r>
                <w:rPr>
                  <w:noProof/>
                  <w:lang w:val="en-US"/>
                </w:rPr>
                <w:t xml:space="preserve">Amnesty International UK, 2018. </w:t>
              </w:r>
              <w:r>
                <w:rPr>
                  <w:i/>
                  <w:iCs/>
                  <w:noProof/>
                  <w:lang w:val="en-US"/>
                </w:rPr>
                <w:t xml:space="preserve">UK: Public should 'resist drum-beat of calls for all police to carry a Taser'. </w:t>
              </w:r>
              <w:r>
                <w:rPr>
                  <w:noProof/>
                  <w:lang w:val="en-US"/>
                </w:rPr>
                <w:t xml:space="preserve">[Online] </w:t>
              </w:r>
              <w:r>
                <w:rPr>
                  <w:noProof/>
                  <w:lang w:val="en-US"/>
                </w:rPr>
                <w:br/>
                <w:t xml:space="preserve">Available at: </w:t>
              </w:r>
              <w:r>
                <w:rPr>
                  <w:noProof/>
                  <w:u w:val="single"/>
                  <w:lang w:val="en-US"/>
                </w:rPr>
                <w:t>https://www.amnesty.org.uk/press-releases/uk-public-should-resist-drum-beat-calls-all-police-carry-taser</w:t>
              </w:r>
              <w:r>
                <w:rPr>
                  <w:noProof/>
                  <w:lang w:val="en-US"/>
                </w:rPr>
                <w:br/>
                <w:t>[Accessed 11 July 2021].</w:t>
              </w:r>
            </w:p>
            <w:p w:rsidR="00A61BAA" w:rsidRDefault="00A61BAA" w:rsidP="00A61BAA">
              <w:pPr>
                <w:pStyle w:val="Bibliography"/>
                <w:rPr>
                  <w:noProof/>
                  <w:lang w:val="en-US"/>
                </w:rPr>
              </w:pPr>
              <w:r>
                <w:rPr>
                  <w:noProof/>
                  <w:lang w:val="en-US"/>
                </w:rPr>
                <w:t xml:space="preserve">Amnesty International UK, 2021. </w:t>
              </w:r>
              <w:r>
                <w:rPr>
                  <w:i/>
                  <w:iCs/>
                  <w:noProof/>
                  <w:lang w:val="en-US"/>
                </w:rPr>
                <w:t xml:space="preserve">About Amnesty. </w:t>
              </w:r>
              <w:r>
                <w:rPr>
                  <w:noProof/>
                  <w:lang w:val="en-US"/>
                </w:rPr>
                <w:t xml:space="preserve">[Online] </w:t>
              </w:r>
              <w:r>
                <w:rPr>
                  <w:noProof/>
                  <w:lang w:val="en-US"/>
                </w:rPr>
                <w:br/>
                <w:t xml:space="preserve">Available at: </w:t>
              </w:r>
              <w:r>
                <w:rPr>
                  <w:noProof/>
                  <w:u w:val="single"/>
                  <w:lang w:val="en-US"/>
                </w:rPr>
                <w:t>https://www.amnesty.org.uk/issues/about-amnesty</w:t>
              </w:r>
              <w:r>
                <w:rPr>
                  <w:noProof/>
                  <w:lang w:val="en-US"/>
                </w:rPr>
                <w:br/>
                <w:t>[Accessed 12 July 2021].</w:t>
              </w:r>
            </w:p>
            <w:p w:rsidR="00A61BAA" w:rsidRDefault="00A61BAA" w:rsidP="00A61BAA">
              <w:pPr>
                <w:pStyle w:val="Bibliography"/>
                <w:rPr>
                  <w:noProof/>
                  <w:lang w:val="en-US"/>
                </w:rPr>
              </w:pPr>
              <w:r>
                <w:rPr>
                  <w:noProof/>
                  <w:lang w:val="en-US"/>
                </w:rPr>
                <w:t xml:space="preserve">BOLGER, P. C., 2014. Just following orders: A meta-analysis of the correlates of american police officer use of force decisions.. </w:t>
              </w:r>
              <w:r>
                <w:rPr>
                  <w:i/>
                  <w:iCs/>
                  <w:noProof/>
                  <w:lang w:val="en-US"/>
                </w:rPr>
                <w:t xml:space="preserve">American Journal of Criminal Justic, </w:t>
              </w:r>
              <w:r>
                <w:rPr>
                  <w:noProof/>
                  <w:lang w:val="en-US"/>
                </w:rPr>
                <w:t>Issue 40, pp. 466-492.</w:t>
              </w:r>
            </w:p>
            <w:p w:rsidR="00A61BAA" w:rsidRDefault="00A61BAA" w:rsidP="00A61BAA">
              <w:pPr>
                <w:pStyle w:val="Bibliography"/>
                <w:rPr>
                  <w:noProof/>
                  <w:lang w:val="en-US"/>
                </w:rPr>
              </w:pPr>
              <w:r>
                <w:rPr>
                  <w:noProof/>
                  <w:lang w:val="en-US"/>
                </w:rPr>
                <w:t xml:space="preserve">Canadian Police Research Centre , 2005. </w:t>
              </w:r>
              <w:r>
                <w:rPr>
                  <w:i/>
                  <w:iCs/>
                  <w:noProof/>
                  <w:lang w:val="en-US"/>
                </w:rPr>
                <w:t xml:space="preserve">Review of Conducted Energy Devices, </w:t>
              </w:r>
              <w:r>
                <w:rPr>
                  <w:noProof/>
                  <w:lang w:val="en-US"/>
                </w:rPr>
                <w:t>Ottawa: CPRC.</w:t>
              </w:r>
            </w:p>
            <w:p w:rsidR="00A61BAA" w:rsidRDefault="00A61BAA" w:rsidP="00A61BAA">
              <w:pPr>
                <w:pStyle w:val="Bibliography"/>
                <w:rPr>
                  <w:noProof/>
                  <w:lang w:val="en-US"/>
                </w:rPr>
              </w:pPr>
              <w:r>
                <w:rPr>
                  <w:noProof/>
                  <w:lang w:val="en-US"/>
                </w:rPr>
                <w:t xml:space="preserve">College of Policing, 2013. </w:t>
              </w:r>
              <w:r>
                <w:rPr>
                  <w:i/>
                  <w:iCs/>
                  <w:noProof/>
                  <w:lang w:val="en-US"/>
                </w:rPr>
                <w:t xml:space="preserve">Conducted Energy Devices (TASER). </w:t>
              </w:r>
              <w:r>
                <w:rPr>
                  <w:noProof/>
                  <w:lang w:val="en-US"/>
                </w:rPr>
                <w:t xml:space="preserve">[Online] </w:t>
              </w:r>
              <w:r>
                <w:rPr>
                  <w:noProof/>
                  <w:lang w:val="en-US"/>
                </w:rPr>
                <w:br/>
                <w:t xml:space="preserve">Available at: </w:t>
              </w:r>
              <w:r>
                <w:rPr>
                  <w:noProof/>
                  <w:u w:val="single"/>
                  <w:lang w:val="en-US"/>
                </w:rPr>
                <w:t>https://www.app.college.police.uk/app-content/armed-policing/command/</w:t>
              </w:r>
              <w:r>
                <w:rPr>
                  <w:noProof/>
                  <w:lang w:val="en-US"/>
                </w:rPr>
                <w:br/>
                <w:t>[Accessed 10 July 2021].</w:t>
              </w:r>
            </w:p>
            <w:p w:rsidR="00A61BAA" w:rsidRDefault="00A61BAA" w:rsidP="00A61BAA">
              <w:pPr>
                <w:pStyle w:val="Bibliography"/>
                <w:rPr>
                  <w:noProof/>
                  <w:lang w:val="en-US"/>
                </w:rPr>
              </w:pPr>
              <w:r>
                <w:rPr>
                  <w:noProof/>
                  <w:lang w:val="en-US"/>
                </w:rPr>
                <w:t xml:space="preserve">College of Policing, 2013. </w:t>
              </w:r>
              <w:r>
                <w:rPr>
                  <w:i/>
                  <w:iCs/>
                  <w:noProof/>
                  <w:lang w:val="en-US"/>
                </w:rPr>
                <w:t xml:space="preserve">National Decision Model. </w:t>
              </w:r>
              <w:r>
                <w:rPr>
                  <w:noProof/>
                  <w:lang w:val="en-US"/>
                </w:rPr>
                <w:t xml:space="preserve">[Online] </w:t>
              </w:r>
              <w:r>
                <w:rPr>
                  <w:noProof/>
                  <w:lang w:val="en-US"/>
                </w:rPr>
                <w:br/>
                <w:t xml:space="preserve">Available at: </w:t>
              </w:r>
              <w:r>
                <w:rPr>
                  <w:noProof/>
                  <w:u w:val="single"/>
                  <w:lang w:val="en-US"/>
                </w:rPr>
                <w:t>https://www.app.college.police.uk/app-content/national-decision-model/the-national-decision-model/?highlight=media%20liaison%20officer</w:t>
              </w:r>
              <w:r>
                <w:rPr>
                  <w:noProof/>
                  <w:lang w:val="en-US"/>
                </w:rPr>
                <w:br/>
                <w:t>[Accessed 20 July 2021].</w:t>
              </w:r>
            </w:p>
            <w:p w:rsidR="00A61BAA" w:rsidRDefault="00A61BAA" w:rsidP="00A61BAA">
              <w:pPr>
                <w:pStyle w:val="Bibliography"/>
                <w:rPr>
                  <w:noProof/>
                  <w:lang w:val="en-US"/>
                </w:rPr>
              </w:pPr>
              <w:r>
                <w:rPr>
                  <w:noProof/>
                  <w:lang w:val="en-US"/>
                </w:rPr>
                <w:t xml:space="preserve">Flower, R. J., 2016. </w:t>
              </w:r>
              <w:r>
                <w:rPr>
                  <w:i/>
                  <w:iCs/>
                  <w:noProof/>
                  <w:lang w:val="en-US"/>
                </w:rPr>
                <w:t xml:space="preserve">Statement on the Medical Implications of Use of the TASER X2 Conducted Energy Device System, </w:t>
              </w:r>
              <w:r>
                <w:rPr>
                  <w:noProof/>
                  <w:lang w:val="en-US"/>
                </w:rPr>
                <w:t>s.l.: Scientific Committee on the Medical Implications of Less-Lethal Weapons (SACMILL).</w:t>
              </w:r>
            </w:p>
            <w:p w:rsidR="00A61BAA" w:rsidRDefault="00A61BAA" w:rsidP="00A61BAA">
              <w:pPr>
                <w:pStyle w:val="Bibliography"/>
                <w:rPr>
                  <w:noProof/>
                  <w:lang w:val="en-US"/>
                </w:rPr>
              </w:pPr>
              <w:r>
                <w:rPr>
                  <w:noProof/>
                  <w:lang w:val="en-US"/>
                </w:rPr>
                <w:t xml:space="preserve">Gov.uk, 2020. </w:t>
              </w:r>
              <w:r>
                <w:rPr>
                  <w:i/>
                  <w:iCs/>
                  <w:noProof/>
                  <w:lang w:val="en-US"/>
                </w:rPr>
                <w:t xml:space="preserve">Police Use of Force Statistics,England and Wales: April 2019 to March 2020: Data Tables. </w:t>
              </w:r>
              <w:r>
                <w:rPr>
                  <w:noProof/>
                  <w:lang w:val="en-US"/>
                </w:rPr>
                <w:t xml:space="preserve">[Online] </w:t>
              </w:r>
              <w:r>
                <w:rPr>
                  <w:noProof/>
                  <w:lang w:val="en-US"/>
                </w:rPr>
                <w:br/>
                <w:t xml:space="preserve">Available at: </w:t>
              </w:r>
              <w:r>
                <w:rPr>
                  <w:noProof/>
                  <w:u w:val="single"/>
                  <w:lang w:val="en-US"/>
                </w:rPr>
                <w:t>https://www.gov.uk/government/statistics/police-use-of-force-statistics-england-and-wales-april-2019-to-march-2020</w:t>
              </w:r>
              <w:r>
                <w:rPr>
                  <w:noProof/>
                  <w:lang w:val="en-US"/>
                </w:rPr>
                <w:br/>
                <w:t>[Accessed 19 July 2021].</w:t>
              </w:r>
            </w:p>
            <w:p w:rsidR="00A61BAA" w:rsidRDefault="00A61BAA" w:rsidP="00A61BAA">
              <w:pPr>
                <w:pStyle w:val="Bibliography"/>
                <w:rPr>
                  <w:noProof/>
                  <w:lang w:val="en-US"/>
                </w:rPr>
              </w:pPr>
              <w:r>
                <w:rPr>
                  <w:noProof/>
                  <w:lang w:val="en-US"/>
                </w:rPr>
                <w:t xml:space="preserve">Home Office, 2020. </w:t>
              </w:r>
              <w:r>
                <w:rPr>
                  <w:i/>
                  <w:iCs/>
                  <w:noProof/>
                  <w:lang w:val="en-US"/>
                </w:rPr>
                <w:t xml:space="preserve">Police Use of Force Statistics, England and Wales: April 2019 to March 2020, </w:t>
              </w:r>
              <w:r>
                <w:rPr>
                  <w:noProof/>
                  <w:lang w:val="en-US"/>
                </w:rPr>
                <w:t>s.l.: Home Office.</w:t>
              </w:r>
            </w:p>
            <w:p w:rsidR="00A61BAA" w:rsidRDefault="00A61BAA" w:rsidP="00A61BAA">
              <w:pPr>
                <w:pStyle w:val="Bibliography"/>
                <w:rPr>
                  <w:noProof/>
                  <w:lang w:val="en-US"/>
                </w:rPr>
              </w:pPr>
              <w:r>
                <w:rPr>
                  <w:noProof/>
                  <w:lang w:val="en-US"/>
                </w:rPr>
                <w:t xml:space="preserve">Lee, H. et al., 2010. An examination of police use of force utilizing police training and neighborhood contextual factors: A multilevel analysis. </w:t>
              </w:r>
              <w:r>
                <w:rPr>
                  <w:i/>
                  <w:iCs/>
                  <w:noProof/>
                  <w:lang w:val="en-US"/>
                </w:rPr>
                <w:t xml:space="preserve">Policing: An International Journal, </w:t>
              </w:r>
              <w:r>
                <w:rPr>
                  <w:noProof/>
                  <w:lang w:val="en-US"/>
                </w:rPr>
                <w:t>33(4), pp. 681-702.</w:t>
              </w:r>
            </w:p>
            <w:p w:rsidR="00A61BAA" w:rsidRDefault="00A61BAA" w:rsidP="00A61BAA">
              <w:pPr>
                <w:pStyle w:val="Bibliography"/>
                <w:rPr>
                  <w:noProof/>
                  <w:lang w:val="en-US"/>
                </w:rPr>
              </w:pPr>
              <w:r>
                <w:rPr>
                  <w:noProof/>
                  <w:lang w:val="en-US"/>
                </w:rPr>
                <w:t xml:space="preserve">Mesloh, C., Henych, M., Houghland, S. &amp; Thompson, F., 2005. Taser and Less Lethal weapons: An exploratory analysis of deployments and effectiveness. </w:t>
              </w:r>
              <w:r>
                <w:rPr>
                  <w:i/>
                  <w:iCs/>
                  <w:noProof/>
                  <w:lang w:val="en-US"/>
                </w:rPr>
                <w:t xml:space="preserve">Law Enforcement Executive Forum, </w:t>
              </w:r>
              <w:r>
                <w:rPr>
                  <w:noProof/>
                  <w:lang w:val="en-US"/>
                </w:rPr>
                <w:t>Volume 5, p. 67.</w:t>
              </w:r>
            </w:p>
            <w:p w:rsidR="00A61BAA" w:rsidRDefault="00A61BAA" w:rsidP="00A61BAA">
              <w:pPr>
                <w:pStyle w:val="Bibliography"/>
                <w:rPr>
                  <w:noProof/>
                  <w:lang w:val="en-US"/>
                </w:rPr>
              </w:pPr>
              <w:r>
                <w:rPr>
                  <w:noProof/>
                  <w:lang w:val="en-US"/>
                </w:rPr>
                <w:t xml:space="preserve">NPCC, 2020. </w:t>
              </w:r>
              <w:r>
                <w:rPr>
                  <w:i/>
                  <w:iCs/>
                  <w:noProof/>
                  <w:lang w:val="en-US"/>
                </w:rPr>
                <w:t xml:space="preserve">Conducted energy devices (Taser). </w:t>
              </w:r>
              <w:r>
                <w:rPr>
                  <w:noProof/>
                  <w:lang w:val="en-US"/>
                </w:rPr>
                <w:t xml:space="preserve">[Online] </w:t>
              </w:r>
              <w:r>
                <w:rPr>
                  <w:noProof/>
                  <w:lang w:val="en-US"/>
                </w:rPr>
                <w:br/>
                <w:t xml:space="preserve">Available at: </w:t>
              </w:r>
              <w:r>
                <w:rPr>
                  <w:noProof/>
                  <w:u w:val="single"/>
                  <w:lang w:val="en-US"/>
                </w:rPr>
                <w:t>https://www.npcc.police.uk/NPCCBusinessAreas/OtherWorkAreas/Taser.aspx</w:t>
              </w:r>
              <w:r>
                <w:rPr>
                  <w:noProof/>
                  <w:lang w:val="en-US"/>
                </w:rPr>
                <w:br/>
                <w:t>[Accessed 19 JULY 2021].</w:t>
              </w:r>
            </w:p>
            <w:p w:rsidR="00A61BAA" w:rsidRDefault="00A61BAA" w:rsidP="00A61BAA">
              <w:pPr>
                <w:pStyle w:val="Bibliography"/>
                <w:rPr>
                  <w:noProof/>
                  <w:lang w:val="en-US"/>
                </w:rPr>
              </w:pPr>
              <w:r>
                <w:rPr>
                  <w:noProof/>
                  <w:lang w:val="en-US"/>
                </w:rPr>
                <w:t xml:space="preserve">Polfed.Org, 2016. </w:t>
              </w:r>
              <w:r>
                <w:rPr>
                  <w:i/>
                  <w:iCs/>
                  <w:noProof/>
                  <w:lang w:val="en-US"/>
                </w:rPr>
                <w:t xml:space="preserve">More Smoke and Mirrors from Government on Firearms Officers. </w:t>
              </w:r>
              <w:r>
                <w:rPr>
                  <w:noProof/>
                  <w:lang w:val="en-US"/>
                </w:rPr>
                <w:t xml:space="preserve">[Online] </w:t>
              </w:r>
              <w:r>
                <w:rPr>
                  <w:noProof/>
                  <w:lang w:val="en-US"/>
                </w:rPr>
                <w:br/>
                <w:t xml:space="preserve">Available at: </w:t>
              </w:r>
              <w:r>
                <w:rPr>
                  <w:noProof/>
                  <w:u w:val="single"/>
                  <w:lang w:val="en-US"/>
                </w:rPr>
                <w:t xml:space="preserve">http://www.polfed.org/newsroom/3335.aspx </w:t>
              </w:r>
              <w:r>
                <w:rPr>
                  <w:noProof/>
                  <w:lang w:val="en-US"/>
                </w:rPr>
                <w:br/>
                <w:t>[Accessed 20 June 2021].</w:t>
              </w:r>
            </w:p>
            <w:p w:rsidR="00A61BAA" w:rsidRDefault="00A61BAA" w:rsidP="00A61BAA">
              <w:pPr>
                <w:pStyle w:val="Bibliography"/>
                <w:rPr>
                  <w:noProof/>
                  <w:lang w:val="en-US"/>
                </w:rPr>
              </w:pPr>
              <w:r>
                <w:rPr>
                  <w:noProof/>
                  <w:lang w:val="en-US"/>
                </w:rPr>
                <w:lastRenderedPageBreak/>
                <w:t xml:space="preserve">Robb, M., Close, B., Furyk, J. &amp; Aitken, P., 2009. Emergency Department Implications of the TASER. </w:t>
              </w:r>
              <w:r>
                <w:rPr>
                  <w:i/>
                  <w:iCs/>
                  <w:noProof/>
                  <w:lang w:val="en-US"/>
                </w:rPr>
                <w:t xml:space="preserve">Emergency Medicine Australasia, </w:t>
              </w:r>
              <w:r>
                <w:rPr>
                  <w:noProof/>
                  <w:lang w:val="en-US"/>
                </w:rPr>
                <w:t>21(4), pp. 250-258.</w:t>
              </w:r>
            </w:p>
            <w:p w:rsidR="00A61BAA" w:rsidRDefault="00A61BAA" w:rsidP="00A61BAA">
              <w:pPr>
                <w:pStyle w:val="Bibliography"/>
                <w:rPr>
                  <w:noProof/>
                  <w:lang w:val="en-US"/>
                </w:rPr>
              </w:pPr>
              <w:r>
                <w:rPr>
                  <w:noProof/>
                  <w:lang w:val="en-US"/>
                </w:rPr>
                <w:t xml:space="preserve">Smith, T., 2008. </w:t>
              </w:r>
              <w:r>
                <w:rPr>
                  <w:i/>
                  <w:iCs/>
                  <w:noProof/>
                  <w:lang w:val="en-US"/>
                </w:rPr>
                <w:t xml:space="preserve">Evidence provided to the House of Commons (Canada) Standing Committee on Public Safety and National Security. </w:t>
              </w:r>
              <w:r>
                <w:rPr>
                  <w:noProof/>
                  <w:lang w:val="en-US"/>
                </w:rPr>
                <w:t>s.l.:s.n.</w:t>
              </w:r>
            </w:p>
            <w:p w:rsidR="00A61BAA" w:rsidRDefault="00A61BAA" w:rsidP="00A61BAA">
              <w:pPr>
                <w:pStyle w:val="Bibliography"/>
                <w:rPr>
                  <w:noProof/>
                  <w:lang w:val="en-US"/>
                </w:rPr>
              </w:pPr>
              <w:r>
                <w:rPr>
                  <w:noProof/>
                  <w:lang w:val="en-US"/>
                </w:rPr>
                <w:t xml:space="preserve">South Wales Police, 2020. </w:t>
              </w:r>
              <w:r>
                <w:rPr>
                  <w:i/>
                  <w:iCs/>
                  <w:noProof/>
                  <w:lang w:val="en-US"/>
                </w:rPr>
                <w:t xml:space="preserve">Standard Operation Procedure - Issue &amp; Use of Taser for Specially Trained Officers (STO's), </w:t>
              </w:r>
              <w:r>
                <w:rPr>
                  <w:noProof/>
                  <w:lang w:val="en-US"/>
                </w:rPr>
                <w:t>Bridgend: South Wales Police.</w:t>
              </w:r>
            </w:p>
            <w:p w:rsidR="00A61BAA" w:rsidRDefault="00A61BAA" w:rsidP="00A61BAA">
              <w:pPr>
                <w:pStyle w:val="Bibliography"/>
                <w:rPr>
                  <w:noProof/>
                  <w:lang w:val="en-US"/>
                </w:rPr>
              </w:pPr>
              <w:r>
                <w:rPr>
                  <w:noProof/>
                  <w:lang w:val="en-US"/>
                </w:rPr>
                <w:t xml:space="preserve">TASER International, 2006. </w:t>
              </w:r>
              <w:r>
                <w:rPr>
                  <w:i/>
                  <w:iCs/>
                  <w:noProof/>
                  <w:lang w:val="en-US"/>
                </w:rPr>
                <w:t xml:space="preserve">Training Presentation for TASER X26 and TASER M26 non-lethal weapons, </w:t>
              </w:r>
              <w:r>
                <w:rPr>
                  <w:noProof/>
                  <w:lang w:val="en-US"/>
                </w:rPr>
                <w:t>Scottsdale, Arizona: TASER International.</w:t>
              </w:r>
            </w:p>
            <w:p w:rsidR="00A61BAA" w:rsidRDefault="00A61BAA" w:rsidP="00A61BAA">
              <w:pPr>
                <w:pStyle w:val="Bibliography"/>
                <w:rPr>
                  <w:noProof/>
                  <w:lang w:val="en-US"/>
                </w:rPr>
              </w:pPr>
              <w:r>
                <w:rPr>
                  <w:noProof/>
                  <w:lang w:val="en-US"/>
                </w:rPr>
                <w:t xml:space="preserve">Wright, S., 1978. New Police Technologies: An Exploration of the Social Implications and Unforeseen Impact of Some Recent Developments. </w:t>
              </w:r>
              <w:r>
                <w:rPr>
                  <w:i/>
                  <w:iCs/>
                  <w:noProof/>
                  <w:lang w:val="en-US"/>
                </w:rPr>
                <w:t xml:space="preserve">Journal of Peace Research, </w:t>
              </w:r>
              <w:r>
                <w:rPr>
                  <w:noProof/>
                  <w:lang w:val="en-US"/>
                </w:rPr>
                <w:t>4(15), pp. 305-322.</w:t>
              </w:r>
            </w:p>
            <w:p w:rsidR="00A61BAA" w:rsidRDefault="00A61BAA" w:rsidP="00A61BAA">
              <w:r>
                <w:rPr>
                  <w:b/>
                  <w:bCs/>
                  <w:noProof/>
                </w:rPr>
                <w:fldChar w:fldCharType="end"/>
              </w:r>
            </w:p>
          </w:sdtContent>
        </w:sdt>
      </w:sdtContent>
    </w:sdt>
    <w:p w:rsidR="00EB7111" w:rsidRDefault="00EB7111"/>
    <w:sectPr w:rsidR="00EB7111" w:rsidSect="006F479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6C8" w:rsidRDefault="00F126C8" w:rsidP="006F479E">
      <w:pPr>
        <w:spacing w:after="0" w:line="240" w:lineRule="auto"/>
      </w:pPr>
      <w:r>
        <w:separator/>
      </w:r>
    </w:p>
  </w:endnote>
  <w:endnote w:type="continuationSeparator" w:id="0">
    <w:p w:rsidR="00F126C8" w:rsidRDefault="00F126C8" w:rsidP="006F4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6C8" w:rsidRDefault="00C91732" w:rsidP="00C91732">
    <w:pPr>
      <w:pStyle w:val="Footer"/>
      <w:rPr>
        <w:color w:val="000000"/>
        <w:sz w:val="17"/>
      </w:rPr>
    </w:pPr>
    <w:bookmarkStart w:id="3" w:name="TITUS1FooterEvenPages"/>
    <w:r>
      <w:rPr>
        <w:color w:val="000000"/>
        <w:sz w:val="17"/>
      </w:rPr>
      <w:t> </w:t>
    </w:r>
  </w:p>
  <w:bookmarkEnd w:id="3"/>
  <w:p w:rsidR="00F126C8" w:rsidRDefault="00F126C8" w:rsidP="00CA5449">
    <w:pPr>
      <w:pStyle w:val="Footer"/>
    </w:pPr>
  </w:p>
  <w:p w:rsidR="00F126C8" w:rsidRDefault="00F126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6C8" w:rsidRDefault="00C91732" w:rsidP="00C91732">
    <w:pPr>
      <w:pStyle w:val="Footer"/>
      <w:rPr>
        <w:color w:val="000000"/>
        <w:sz w:val="17"/>
      </w:rPr>
    </w:pPr>
    <w:bookmarkStart w:id="4" w:name="TITUS1FooterPrimary"/>
    <w:r>
      <w:rPr>
        <w:color w:val="000000"/>
        <w:sz w:val="17"/>
      </w:rPr>
      <w:t> </w:t>
    </w:r>
  </w:p>
  <w:bookmarkEnd w:id="4"/>
  <w:p w:rsidR="00F126C8" w:rsidRDefault="00F126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6C8" w:rsidRDefault="00C91732" w:rsidP="00C91732">
    <w:pPr>
      <w:pStyle w:val="Footer"/>
      <w:rPr>
        <w:color w:val="000000"/>
        <w:sz w:val="17"/>
      </w:rPr>
    </w:pPr>
    <w:bookmarkStart w:id="6" w:name="TITUS1FooterFirstPage"/>
    <w:r>
      <w:rPr>
        <w:color w:val="000000"/>
        <w:sz w:val="17"/>
      </w:rPr>
      <w:t> </w:t>
    </w:r>
  </w:p>
  <w:bookmarkEnd w:id="6"/>
  <w:p w:rsidR="00F126C8" w:rsidRDefault="00F126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6C8" w:rsidRDefault="00F126C8" w:rsidP="006F479E">
      <w:pPr>
        <w:spacing w:after="0" w:line="240" w:lineRule="auto"/>
      </w:pPr>
      <w:r>
        <w:separator/>
      </w:r>
    </w:p>
  </w:footnote>
  <w:footnote w:type="continuationSeparator" w:id="0">
    <w:p w:rsidR="00F126C8" w:rsidRDefault="00F126C8" w:rsidP="006F47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6C8" w:rsidRDefault="00C91732" w:rsidP="00C91732">
    <w:pPr>
      <w:pStyle w:val="Header"/>
      <w:rPr>
        <w:color w:val="000000"/>
        <w:sz w:val="17"/>
      </w:rPr>
    </w:pPr>
    <w:bookmarkStart w:id="1" w:name="TITUS1HeaderEvenPages"/>
    <w:r>
      <w:rPr>
        <w:color w:val="000000"/>
        <w:sz w:val="17"/>
      </w:rPr>
      <w:t> </w:t>
    </w:r>
  </w:p>
  <w:bookmarkEnd w:id="1"/>
  <w:p w:rsidR="00F126C8" w:rsidRDefault="00F126C8" w:rsidP="00CA5449">
    <w:pPr>
      <w:pStyle w:val="Header"/>
    </w:pPr>
  </w:p>
  <w:p w:rsidR="00F126C8" w:rsidRDefault="00F126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6C8" w:rsidRDefault="00C91732" w:rsidP="00C91732">
    <w:pPr>
      <w:pStyle w:val="Header"/>
      <w:rPr>
        <w:color w:val="000000"/>
        <w:sz w:val="17"/>
      </w:rPr>
    </w:pPr>
    <w:bookmarkStart w:id="2" w:name="TITUS1HeaderPrimary"/>
    <w:r>
      <w:rPr>
        <w:color w:val="000000"/>
        <w:sz w:val="17"/>
      </w:rPr>
      <w:t> </w:t>
    </w:r>
  </w:p>
  <w:bookmarkEnd w:id="2"/>
  <w:p w:rsidR="00F126C8" w:rsidRDefault="00F126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6C8" w:rsidRDefault="00C91732" w:rsidP="00C91732">
    <w:pPr>
      <w:pStyle w:val="Header"/>
      <w:rPr>
        <w:color w:val="000000"/>
        <w:sz w:val="17"/>
      </w:rPr>
    </w:pPr>
    <w:bookmarkStart w:id="5" w:name="TITUS1HeaderFirstPage"/>
    <w:r>
      <w:rPr>
        <w:color w:val="000000"/>
        <w:sz w:val="17"/>
      </w:rPr>
      <w:t> </w:t>
    </w:r>
  </w:p>
  <w:bookmarkEnd w:id="5"/>
  <w:p w:rsidR="00F126C8" w:rsidRDefault="00F126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FB00C2"/>
    <w:multiLevelType w:val="hybridMultilevel"/>
    <w:tmpl w:val="63508D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5CD2C27"/>
    <w:multiLevelType w:val="hybridMultilevel"/>
    <w:tmpl w:val="15747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62377B"/>
    <w:multiLevelType w:val="hybridMultilevel"/>
    <w:tmpl w:val="525E7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B21C7A"/>
    <w:multiLevelType w:val="hybridMultilevel"/>
    <w:tmpl w:val="44EEE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2DF"/>
    <w:rsid w:val="000502F1"/>
    <w:rsid w:val="00171729"/>
    <w:rsid w:val="001F41E3"/>
    <w:rsid w:val="002327AA"/>
    <w:rsid w:val="002F725B"/>
    <w:rsid w:val="00347AD8"/>
    <w:rsid w:val="003A7894"/>
    <w:rsid w:val="00422A4A"/>
    <w:rsid w:val="00457735"/>
    <w:rsid w:val="004E5E2B"/>
    <w:rsid w:val="005B1FD2"/>
    <w:rsid w:val="005C2D15"/>
    <w:rsid w:val="005F510F"/>
    <w:rsid w:val="006B40E1"/>
    <w:rsid w:val="006C3F49"/>
    <w:rsid w:val="006C3FEE"/>
    <w:rsid w:val="006F479E"/>
    <w:rsid w:val="00790282"/>
    <w:rsid w:val="007E3269"/>
    <w:rsid w:val="007F0191"/>
    <w:rsid w:val="00872C2F"/>
    <w:rsid w:val="008B4437"/>
    <w:rsid w:val="008C23F6"/>
    <w:rsid w:val="00916780"/>
    <w:rsid w:val="009462DF"/>
    <w:rsid w:val="0098676D"/>
    <w:rsid w:val="00A41B6F"/>
    <w:rsid w:val="00A61BAA"/>
    <w:rsid w:val="00A73EE0"/>
    <w:rsid w:val="00B359E4"/>
    <w:rsid w:val="00C678AF"/>
    <w:rsid w:val="00C865BB"/>
    <w:rsid w:val="00C91732"/>
    <w:rsid w:val="00CA5449"/>
    <w:rsid w:val="00DC111C"/>
    <w:rsid w:val="00E169BB"/>
    <w:rsid w:val="00E8615D"/>
    <w:rsid w:val="00EB7111"/>
    <w:rsid w:val="00F126C8"/>
    <w:rsid w:val="00FB1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4DDF92"/>
  <w15:chartTrackingRefBased/>
  <w15:docId w15:val="{74957BF0-008D-4E7D-9B23-4FA232088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61BAA"/>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47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79E"/>
  </w:style>
  <w:style w:type="paragraph" w:styleId="Footer">
    <w:name w:val="footer"/>
    <w:basedOn w:val="Normal"/>
    <w:link w:val="FooterChar"/>
    <w:uiPriority w:val="99"/>
    <w:unhideWhenUsed/>
    <w:rsid w:val="006F47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79E"/>
  </w:style>
  <w:style w:type="character" w:styleId="Hyperlink">
    <w:name w:val="Hyperlink"/>
    <w:basedOn w:val="DefaultParagraphFont"/>
    <w:uiPriority w:val="99"/>
    <w:unhideWhenUsed/>
    <w:rsid w:val="005B1FD2"/>
    <w:rPr>
      <w:color w:val="0563C1" w:themeColor="hyperlink"/>
      <w:u w:val="single"/>
    </w:rPr>
  </w:style>
  <w:style w:type="table" w:styleId="TableGrid">
    <w:name w:val="Table Grid"/>
    <w:basedOn w:val="TableNormal"/>
    <w:uiPriority w:val="39"/>
    <w:rsid w:val="00B359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10AD"/>
    <w:pPr>
      <w:ind w:left="720"/>
      <w:contextualSpacing/>
    </w:pPr>
  </w:style>
  <w:style w:type="paragraph" w:styleId="NoSpacing">
    <w:name w:val="No Spacing"/>
    <w:uiPriority w:val="1"/>
    <w:qFormat/>
    <w:rsid w:val="001F41E3"/>
    <w:pPr>
      <w:spacing w:after="0" w:line="240" w:lineRule="auto"/>
    </w:pPr>
  </w:style>
  <w:style w:type="character" w:customStyle="1" w:styleId="Heading1Char">
    <w:name w:val="Heading 1 Char"/>
    <w:basedOn w:val="DefaultParagraphFont"/>
    <w:link w:val="Heading1"/>
    <w:uiPriority w:val="9"/>
    <w:rsid w:val="00A61BAA"/>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61B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03927">
      <w:bodyDiv w:val="1"/>
      <w:marLeft w:val="0"/>
      <w:marRight w:val="0"/>
      <w:marTop w:val="0"/>
      <w:marBottom w:val="0"/>
      <w:divBdr>
        <w:top w:val="none" w:sz="0" w:space="0" w:color="auto"/>
        <w:left w:val="none" w:sz="0" w:space="0" w:color="auto"/>
        <w:bottom w:val="none" w:sz="0" w:space="0" w:color="auto"/>
        <w:right w:val="none" w:sz="0" w:space="0" w:color="auto"/>
      </w:divBdr>
    </w:div>
    <w:div w:id="246816743">
      <w:bodyDiv w:val="1"/>
      <w:marLeft w:val="0"/>
      <w:marRight w:val="0"/>
      <w:marTop w:val="0"/>
      <w:marBottom w:val="0"/>
      <w:divBdr>
        <w:top w:val="none" w:sz="0" w:space="0" w:color="auto"/>
        <w:left w:val="none" w:sz="0" w:space="0" w:color="auto"/>
        <w:bottom w:val="none" w:sz="0" w:space="0" w:color="auto"/>
        <w:right w:val="none" w:sz="0" w:space="0" w:color="auto"/>
      </w:divBdr>
    </w:div>
    <w:div w:id="291793011">
      <w:bodyDiv w:val="1"/>
      <w:marLeft w:val="0"/>
      <w:marRight w:val="0"/>
      <w:marTop w:val="0"/>
      <w:marBottom w:val="0"/>
      <w:divBdr>
        <w:top w:val="none" w:sz="0" w:space="0" w:color="auto"/>
        <w:left w:val="none" w:sz="0" w:space="0" w:color="auto"/>
        <w:bottom w:val="none" w:sz="0" w:space="0" w:color="auto"/>
        <w:right w:val="none" w:sz="0" w:space="0" w:color="auto"/>
      </w:divBdr>
    </w:div>
    <w:div w:id="401485121">
      <w:bodyDiv w:val="1"/>
      <w:marLeft w:val="0"/>
      <w:marRight w:val="0"/>
      <w:marTop w:val="0"/>
      <w:marBottom w:val="0"/>
      <w:divBdr>
        <w:top w:val="none" w:sz="0" w:space="0" w:color="auto"/>
        <w:left w:val="none" w:sz="0" w:space="0" w:color="auto"/>
        <w:bottom w:val="none" w:sz="0" w:space="0" w:color="auto"/>
        <w:right w:val="none" w:sz="0" w:space="0" w:color="auto"/>
      </w:divBdr>
    </w:div>
    <w:div w:id="467631774">
      <w:bodyDiv w:val="1"/>
      <w:marLeft w:val="0"/>
      <w:marRight w:val="0"/>
      <w:marTop w:val="0"/>
      <w:marBottom w:val="0"/>
      <w:divBdr>
        <w:top w:val="none" w:sz="0" w:space="0" w:color="auto"/>
        <w:left w:val="none" w:sz="0" w:space="0" w:color="auto"/>
        <w:bottom w:val="none" w:sz="0" w:space="0" w:color="auto"/>
        <w:right w:val="none" w:sz="0" w:space="0" w:color="auto"/>
      </w:divBdr>
    </w:div>
    <w:div w:id="592936794">
      <w:bodyDiv w:val="1"/>
      <w:marLeft w:val="0"/>
      <w:marRight w:val="0"/>
      <w:marTop w:val="0"/>
      <w:marBottom w:val="0"/>
      <w:divBdr>
        <w:top w:val="none" w:sz="0" w:space="0" w:color="auto"/>
        <w:left w:val="none" w:sz="0" w:space="0" w:color="auto"/>
        <w:bottom w:val="none" w:sz="0" w:space="0" w:color="auto"/>
        <w:right w:val="none" w:sz="0" w:space="0" w:color="auto"/>
      </w:divBdr>
    </w:div>
    <w:div w:id="598215456">
      <w:bodyDiv w:val="1"/>
      <w:marLeft w:val="0"/>
      <w:marRight w:val="0"/>
      <w:marTop w:val="0"/>
      <w:marBottom w:val="0"/>
      <w:divBdr>
        <w:top w:val="none" w:sz="0" w:space="0" w:color="auto"/>
        <w:left w:val="none" w:sz="0" w:space="0" w:color="auto"/>
        <w:bottom w:val="none" w:sz="0" w:space="0" w:color="auto"/>
        <w:right w:val="none" w:sz="0" w:space="0" w:color="auto"/>
      </w:divBdr>
    </w:div>
    <w:div w:id="607199879">
      <w:bodyDiv w:val="1"/>
      <w:marLeft w:val="0"/>
      <w:marRight w:val="0"/>
      <w:marTop w:val="0"/>
      <w:marBottom w:val="0"/>
      <w:divBdr>
        <w:top w:val="none" w:sz="0" w:space="0" w:color="auto"/>
        <w:left w:val="none" w:sz="0" w:space="0" w:color="auto"/>
        <w:bottom w:val="none" w:sz="0" w:space="0" w:color="auto"/>
        <w:right w:val="none" w:sz="0" w:space="0" w:color="auto"/>
      </w:divBdr>
    </w:div>
    <w:div w:id="953708952">
      <w:bodyDiv w:val="1"/>
      <w:marLeft w:val="0"/>
      <w:marRight w:val="0"/>
      <w:marTop w:val="0"/>
      <w:marBottom w:val="0"/>
      <w:divBdr>
        <w:top w:val="none" w:sz="0" w:space="0" w:color="auto"/>
        <w:left w:val="none" w:sz="0" w:space="0" w:color="auto"/>
        <w:bottom w:val="none" w:sz="0" w:space="0" w:color="auto"/>
        <w:right w:val="none" w:sz="0" w:space="0" w:color="auto"/>
      </w:divBdr>
    </w:div>
    <w:div w:id="957447976">
      <w:bodyDiv w:val="1"/>
      <w:marLeft w:val="0"/>
      <w:marRight w:val="0"/>
      <w:marTop w:val="0"/>
      <w:marBottom w:val="0"/>
      <w:divBdr>
        <w:top w:val="none" w:sz="0" w:space="0" w:color="auto"/>
        <w:left w:val="none" w:sz="0" w:space="0" w:color="auto"/>
        <w:bottom w:val="none" w:sz="0" w:space="0" w:color="auto"/>
        <w:right w:val="none" w:sz="0" w:space="0" w:color="auto"/>
      </w:divBdr>
    </w:div>
    <w:div w:id="1005128552">
      <w:bodyDiv w:val="1"/>
      <w:marLeft w:val="0"/>
      <w:marRight w:val="0"/>
      <w:marTop w:val="0"/>
      <w:marBottom w:val="0"/>
      <w:divBdr>
        <w:top w:val="none" w:sz="0" w:space="0" w:color="auto"/>
        <w:left w:val="none" w:sz="0" w:space="0" w:color="auto"/>
        <w:bottom w:val="none" w:sz="0" w:space="0" w:color="auto"/>
        <w:right w:val="none" w:sz="0" w:space="0" w:color="auto"/>
      </w:divBdr>
    </w:div>
    <w:div w:id="1019114687">
      <w:bodyDiv w:val="1"/>
      <w:marLeft w:val="0"/>
      <w:marRight w:val="0"/>
      <w:marTop w:val="0"/>
      <w:marBottom w:val="0"/>
      <w:divBdr>
        <w:top w:val="none" w:sz="0" w:space="0" w:color="auto"/>
        <w:left w:val="none" w:sz="0" w:space="0" w:color="auto"/>
        <w:bottom w:val="none" w:sz="0" w:space="0" w:color="auto"/>
        <w:right w:val="none" w:sz="0" w:space="0" w:color="auto"/>
      </w:divBdr>
    </w:div>
    <w:div w:id="1041126079">
      <w:bodyDiv w:val="1"/>
      <w:marLeft w:val="0"/>
      <w:marRight w:val="0"/>
      <w:marTop w:val="0"/>
      <w:marBottom w:val="0"/>
      <w:divBdr>
        <w:top w:val="none" w:sz="0" w:space="0" w:color="auto"/>
        <w:left w:val="none" w:sz="0" w:space="0" w:color="auto"/>
        <w:bottom w:val="none" w:sz="0" w:space="0" w:color="auto"/>
        <w:right w:val="none" w:sz="0" w:space="0" w:color="auto"/>
      </w:divBdr>
    </w:div>
    <w:div w:id="1041250166">
      <w:bodyDiv w:val="1"/>
      <w:marLeft w:val="0"/>
      <w:marRight w:val="0"/>
      <w:marTop w:val="0"/>
      <w:marBottom w:val="0"/>
      <w:divBdr>
        <w:top w:val="none" w:sz="0" w:space="0" w:color="auto"/>
        <w:left w:val="none" w:sz="0" w:space="0" w:color="auto"/>
        <w:bottom w:val="none" w:sz="0" w:space="0" w:color="auto"/>
        <w:right w:val="none" w:sz="0" w:space="0" w:color="auto"/>
      </w:divBdr>
    </w:div>
    <w:div w:id="1078602040">
      <w:bodyDiv w:val="1"/>
      <w:marLeft w:val="0"/>
      <w:marRight w:val="0"/>
      <w:marTop w:val="0"/>
      <w:marBottom w:val="0"/>
      <w:divBdr>
        <w:top w:val="none" w:sz="0" w:space="0" w:color="auto"/>
        <w:left w:val="none" w:sz="0" w:space="0" w:color="auto"/>
        <w:bottom w:val="none" w:sz="0" w:space="0" w:color="auto"/>
        <w:right w:val="none" w:sz="0" w:space="0" w:color="auto"/>
      </w:divBdr>
    </w:div>
    <w:div w:id="1295136656">
      <w:bodyDiv w:val="1"/>
      <w:marLeft w:val="0"/>
      <w:marRight w:val="0"/>
      <w:marTop w:val="0"/>
      <w:marBottom w:val="0"/>
      <w:divBdr>
        <w:top w:val="none" w:sz="0" w:space="0" w:color="auto"/>
        <w:left w:val="none" w:sz="0" w:space="0" w:color="auto"/>
        <w:bottom w:val="none" w:sz="0" w:space="0" w:color="auto"/>
        <w:right w:val="none" w:sz="0" w:space="0" w:color="auto"/>
      </w:divBdr>
    </w:div>
    <w:div w:id="1330910093">
      <w:bodyDiv w:val="1"/>
      <w:marLeft w:val="0"/>
      <w:marRight w:val="0"/>
      <w:marTop w:val="0"/>
      <w:marBottom w:val="0"/>
      <w:divBdr>
        <w:top w:val="none" w:sz="0" w:space="0" w:color="auto"/>
        <w:left w:val="none" w:sz="0" w:space="0" w:color="auto"/>
        <w:bottom w:val="none" w:sz="0" w:space="0" w:color="auto"/>
        <w:right w:val="none" w:sz="0" w:space="0" w:color="auto"/>
      </w:divBdr>
    </w:div>
    <w:div w:id="1460343556">
      <w:bodyDiv w:val="1"/>
      <w:marLeft w:val="0"/>
      <w:marRight w:val="0"/>
      <w:marTop w:val="0"/>
      <w:marBottom w:val="0"/>
      <w:divBdr>
        <w:top w:val="none" w:sz="0" w:space="0" w:color="auto"/>
        <w:left w:val="none" w:sz="0" w:space="0" w:color="auto"/>
        <w:bottom w:val="none" w:sz="0" w:space="0" w:color="auto"/>
        <w:right w:val="none" w:sz="0" w:space="0" w:color="auto"/>
      </w:divBdr>
    </w:div>
    <w:div w:id="1559318990">
      <w:bodyDiv w:val="1"/>
      <w:marLeft w:val="0"/>
      <w:marRight w:val="0"/>
      <w:marTop w:val="0"/>
      <w:marBottom w:val="0"/>
      <w:divBdr>
        <w:top w:val="none" w:sz="0" w:space="0" w:color="auto"/>
        <w:left w:val="none" w:sz="0" w:space="0" w:color="auto"/>
        <w:bottom w:val="none" w:sz="0" w:space="0" w:color="auto"/>
        <w:right w:val="none" w:sz="0" w:space="0" w:color="auto"/>
      </w:divBdr>
    </w:div>
    <w:div w:id="1584802357">
      <w:bodyDiv w:val="1"/>
      <w:marLeft w:val="0"/>
      <w:marRight w:val="0"/>
      <w:marTop w:val="0"/>
      <w:marBottom w:val="0"/>
      <w:divBdr>
        <w:top w:val="none" w:sz="0" w:space="0" w:color="auto"/>
        <w:left w:val="none" w:sz="0" w:space="0" w:color="auto"/>
        <w:bottom w:val="none" w:sz="0" w:space="0" w:color="auto"/>
        <w:right w:val="none" w:sz="0" w:space="0" w:color="auto"/>
      </w:divBdr>
    </w:div>
    <w:div w:id="1590693258">
      <w:bodyDiv w:val="1"/>
      <w:marLeft w:val="0"/>
      <w:marRight w:val="0"/>
      <w:marTop w:val="0"/>
      <w:marBottom w:val="0"/>
      <w:divBdr>
        <w:top w:val="none" w:sz="0" w:space="0" w:color="auto"/>
        <w:left w:val="none" w:sz="0" w:space="0" w:color="auto"/>
        <w:bottom w:val="none" w:sz="0" w:space="0" w:color="auto"/>
        <w:right w:val="none" w:sz="0" w:space="0" w:color="auto"/>
      </w:divBdr>
    </w:div>
    <w:div w:id="1781758029">
      <w:bodyDiv w:val="1"/>
      <w:marLeft w:val="0"/>
      <w:marRight w:val="0"/>
      <w:marTop w:val="0"/>
      <w:marBottom w:val="0"/>
      <w:divBdr>
        <w:top w:val="none" w:sz="0" w:space="0" w:color="auto"/>
        <w:left w:val="none" w:sz="0" w:space="0" w:color="auto"/>
        <w:bottom w:val="none" w:sz="0" w:space="0" w:color="auto"/>
        <w:right w:val="none" w:sz="0" w:space="0" w:color="auto"/>
      </w:divBdr>
    </w:div>
    <w:div w:id="1798598888">
      <w:bodyDiv w:val="1"/>
      <w:marLeft w:val="0"/>
      <w:marRight w:val="0"/>
      <w:marTop w:val="0"/>
      <w:marBottom w:val="0"/>
      <w:divBdr>
        <w:top w:val="none" w:sz="0" w:space="0" w:color="auto"/>
        <w:left w:val="none" w:sz="0" w:space="0" w:color="auto"/>
        <w:bottom w:val="none" w:sz="0" w:space="0" w:color="auto"/>
        <w:right w:val="none" w:sz="0" w:space="0" w:color="auto"/>
      </w:divBdr>
    </w:div>
    <w:div w:id="1944606056">
      <w:bodyDiv w:val="1"/>
      <w:marLeft w:val="0"/>
      <w:marRight w:val="0"/>
      <w:marTop w:val="0"/>
      <w:marBottom w:val="0"/>
      <w:divBdr>
        <w:top w:val="none" w:sz="0" w:space="0" w:color="auto"/>
        <w:left w:val="none" w:sz="0" w:space="0" w:color="auto"/>
        <w:bottom w:val="none" w:sz="0" w:space="0" w:color="auto"/>
        <w:right w:val="none" w:sz="0" w:space="0" w:color="auto"/>
      </w:divBdr>
    </w:div>
    <w:div w:id="2105804773">
      <w:bodyDiv w:val="1"/>
      <w:marLeft w:val="0"/>
      <w:marRight w:val="0"/>
      <w:marTop w:val="0"/>
      <w:marBottom w:val="0"/>
      <w:divBdr>
        <w:top w:val="none" w:sz="0" w:space="0" w:color="auto"/>
        <w:left w:val="none" w:sz="0" w:space="0" w:color="auto"/>
        <w:bottom w:val="none" w:sz="0" w:space="0" w:color="auto"/>
        <w:right w:val="none" w:sz="0" w:space="0" w:color="auto"/>
      </w:divBdr>
    </w:div>
    <w:div w:id="2115781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BOL14</b:Tag>
    <b:SourceType>JournalArticle</b:SourceType>
    <b:Guid>{199A4DC7-C6C6-4097-B736-AE491F29C460}</b:Guid>
    <b:Author>
      <b:Author>
        <b:NameList>
          <b:Person>
            <b:Last>BOLGER</b:Last>
            <b:First>P.</b:First>
            <b:Middle>Colin</b:Middle>
          </b:Person>
        </b:NameList>
      </b:Author>
    </b:Author>
    <b:Title>Just following orders: A meta-analysis of the correlates of american police officer use of force decisions.</b:Title>
    <b:JournalName>American Journal of Criminal Justic</b:JournalName>
    <b:Year>2014</b:Year>
    <b:Pages>466-492</b:Pages>
    <b:Issue>40</b:Issue>
    <b:URL>https://link.springer.com/article/10.1007/s12103-014-9278-y</b:URL>
    <b:RefOrder>2</b:RefOrder>
  </b:Source>
  <b:Source>
    <b:Tag>Hom201</b:Tag>
    <b:SourceType>Report</b:SourceType>
    <b:Guid>{ED424E92-34A1-415D-90C4-679F1FE39D7C}</b:Guid>
    <b:Title>Police Use of Force Statistics, England and Wales: April 2019 to March 2020</b:Title>
    <b:Year>2020</b:Year>
    <b:Author>
      <b:Author>
        <b:Corporate>Home Office</b:Corporate>
      </b:Author>
    </b:Author>
    <b:Publisher>Home Office</b:Publisher>
    <b:RefOrder>3</b:RefOrder>
  </b:Source>
  <b:Source>
    <b:Tag>Lee10</b:Tag>
    <b:SourceType>JournalArticle</b:SourceType>
    <b:Guid>{E693F5EA-B0F5-47E9-B986-498B988EEFCB}</b:Guid>
    <b:Title>An examination of police use of force utilizing police training and neighborhood contextual factors: A multilevel analysis</b:Title>
    <b:Year>2010</b:Year>
    <b:Author>
      <b:Author>
        <b:NameList>
          <b:Person>
            <b:Last>Lee</b:Last>
            <b:First>Hoon</b:First>
          </b:Person>
          <b:Person>
            <b:Last>Jang</b:Last>
            <b:First>Hyunseok</b:First>
          </b:Person>
          <b:Person>
            <b:Last>Yun</b:Last>
            <b:First>Ilhong</b:First>
          </b:Person>
          <b:Person>
            <b:Last>Lim</b:Last>
            <b:First>Hyeyoung</b:First>
          </b:Person>
          <b:Person>
            <b:Last>Tushaus</b:Last>
            <b:First>David</b:First>
            <b:Middle>W.</b:Middle>
          </b:Person>
        </b:NameList>
      </b:Author>
    </b:Author>
    <b:JournalName>Policing: An International Journal</b:JournalName>
    <b:Pages>681-702</b:Pages>
    <b:Volume>33</b:Volume>
    <b:Issue>4</b:Issue>
    <b:URL>https://www.emerald.com/insight/content/doi/10.1108/13639511011085088/full/html</b:URL>
    <b:RefOrder>4</b:RefOrder>
  </b:Source>
  <b:Source>
    <b:Tag>Smi08</b:Tag>
    <b:SourceType>Misc</b:SourceType>
    <b:Guid>{4F49F141-C9D7-456F-B1B2-886CB4A56D4A}</b:Guid>
    <b:Title>Evidence provided to the House of Commons (Canada) Standing Committee on Public Safety and National Security</b:Title>
    <b:Year>2008</b:Year>
    <b:Pages>12</b:Pages>
    <b:Author>
      <b:Author>
        <b:NameList>
          <b:Person>
            <b:Last>Smith</b:Last>
            <b:First>T</b:First>
          </b:Person>
        </b:NameList>
      </b:Author>
    </b:Author>
    <b:RefOrder>8</b:RefOrder>
  </b:Source>
  <b:Source>
    <b:Tag>Can05</b:Tag>
    <b:SourceType>Report</b:SourceType>
    <b:Guid>{FFFA9564-B21F-4096-93AE-4CAF2309E48B}</b:Guid>
    <b:Title>Review of Conducted Energy Devices</b:Title>
    <b:Year>2005</b:Year>
    <b:City>Ottawa</b:City>
    <b:Publisher>CPRC</b:Publisher>
    <b:Author>
      <b:Author>
        <b:Corporate>Canadian Police Research Centre </b:Corporate>
      </b:Author>
    </b:Author>
    <b:RefOrder>9</b:RefOrder>
  </b:Source>
  <b:Source>
    <b:Tag>TAS06</b:Tag>
    <b:SourceType>Report</b:SourceType>
    <b:Guid>{EE107C2A-5B45-4BA4-91F9-2D12E567BB27}</b:Guid>
    <b:Author>
      <b:Author>
        <b:Corporate>TASER International</b:Corporate>
      </b:Author>
    </b:Author>
    <b:Title>Training Presentation for TASER X26 and TASER M26 non-lethal weapons</b:Title>
    <b:Year>2006</b:Year>
    <b:Publisher>TASER International</b:Publisher>
    <b:City>Scottsdale, Arizona</b:City>
    <b:RefOrder>10</b:RefOrder>
  </b:Source>
  <b:Source>
    <b:Tag>Mes05</b:Tag>
    <b:SourceType>JournalArticle</b:SourceType>
    <b:Guid>{CD61516D-BD50-47CA-9E8B-9351D5D364DC}</b:Guid>
    <b:Title>Taser and Less Lethal weapons: An exploratory analysis of deployments and effectiveness</b:Title>
    <b:Year>2005</b:Year>
    <b:Author>
      <b:Author>
        <b:NameList>
          <b:Person>
            <b:Last>Mesloh</b:Last>
            <b:First>C</b:First>
          </b:Person>
          <b:Person>
            <b:Last>Henych</b:Last>
            <b:First>M</b:First>
          </b:Person>
          <b:Person>
            <b:Last>Houghland</b:Last>
            <b:First>S</b:First>
          </b:Person>
          <b:Person>
            <b:Last>Thompson</b:Last>
            <b:First>F</b:First>
          </b:Person>
        </b:NameList>
      </b:Author>
    </b:Author>
    <b:JournalName>Law Enforcement Executive Forum</b:JournalName>
    <b:Pages>67</b:Pages>
    <b:Volume>5</b:Volume>
    <b:RefOrder>11</b:RefOrder>
  </b:Source>
  <b:Source>
    <b:Tag>Sou20</b:Tag>
    <b:SourceType>Report</b:SourceType>
    <b:Guid>{CD7A6C53-88D5-40D7-B3CF-197D220C5135}</b:Guid>
    <b:Author>
      <b:Author>
        <b:Corporate>South Wales Police</b:Corporate>
      </b:Author>
    </b:Author>
    <b:Title>Standard Operation Procedure - Issue &amp; Use of Taser for Specially Trained Officers (STO's)</b:Title>
    <b:Year>2020</b:Year>
    <b:City>Bridgend</b:City>
    <b:Publisher>South Wales Police</b:Publisher>
    <b:RefOrder>5</b:RefOrder>
  </b:Source>
  <b:Source>
    <b:Tag>NPC201</b:Tag>
    <b:SourceType>InternetSite</b:SourceType>
    <b:Guid>{AC395B6A-2342-435D-A191-A832F948E621}</b:Guid>
    <b:Title>Conducted energy devices (Taser)</b:Title>
    <b:Year>2020</b:Year>
    <b:Author>
      <b:Author>
        <b:Corporate>NPCC</b:Corporate>
      </b:Author>
    </b:Author>
    <b:YearAccessed>2021</b:YearAccessed>
    <b:MonthAccessed>JULY</b:MonthAccessed>
    <b:DayAccessed>19</b:DayAccessed>
    <b:URL>https://www.npcc.police.uk/NPCCBusinessAreas/OtherWorkAreas/Taser.aspx</b:URL>
    <b:RefOrder>6</b:RefOrder>
  </b:Source>
  <b:Source>
    <b:Tag>Gov20</b:Tag>
    <b:SourceType>DocumentFromInternetSite</b:SourceType>
    <b:Guid>{8381925F-BD00-4AD2-BD8F-A8DF6CC72519}</b:Guid>
    <b:Title>Police Use of Force Statistics,England and Wales: April 2019 to March 2020: Data Tables</b:Title>
    <b:Year>2020</b:Year>
    <b:YearAccessed>2021</b:YearAccessed>
    <b:MonthAccessed>July</b:MonthAccessed>
    <b:DayAccessed>19</b:DayAccessed>
    <b:URL>https://www.gov.uk/government/statistics/police-use-of-force-statistics-england-and-wales-april-2019-to-march-2020</b:URL>
    <b:Author>
      <b:Author>
        <b:NameList>
          <b:Person>
            <b:Last>Gov.uk</b:Last>
          </b:Person>
        </b:NameList>
      </b:Author>
    </b:Author>
    <b:Month>December</b:Month>
    <b:Day>17</b:Day>
    <b:RefOrder>7</b:RefOrder>
  </b:Source>
  <b:Source>
    <b:Tag>Rob</b:Tag>
    <b:SourceType>JournalArticle</b:SourceType>
    <b:Guid>{1C863FA7-0788-4832-88CF-CC293E257270}</b:Guid>
    <b:Title>Emergency Department Implications of the TASER</b:Title>
    <b:Author>
      <b:Author>
        <b:NameList>
          <b:Person>
            <b:Last>Robb</b:Last>
            <b:First>Megan</b:First>
          </b:Person>
          <b:Person>
            <b:Last>Close</b:Last>
            <b:First>Benjamin</b:First>
          </b:Person>
          <b:Person>
            <b:Last>Furyk</b:Last>
            <b:First>Jeremy</b:First>
          </b:Person>
          <b:Person>
            <b:Last>Aitken</b:Last>
            <b:First>Peter</b:First>
          </b:Person>
        </b:NameList>
      </b:Author>
    </b:Author>
    <b:JournalName>Emergency Medicine Australasia</b:JournalName>
    <b:Year>2009</b:Year>
    <b:Pages>250-258</b:Pages>
    <b:Volume>21</b:Volume>
    <b:Issue>4</b:Issue>
    <b:RefOrder>14</b:RefOrder>
  </b:Source>
  <b:Source>
    <b:Tag>Col13</b:Tag>
    <b:SourceType>InternetSite</b:SourceType>
    <b:Guid>{32067296-6505-4A89-B746-71DCE3FED89B}</b:Guid>
    <b:Title>Conducted Energy Devices (TASER)</b:Title>
    <b:Year>2013</b:Year>
    <b:Author>
      <b:Author>
        <b:Corporate>College of Policing</b:Corporate>
      </b:Author>
    </b:Author>
    <b:YearAccessed>2021</b:YearAccessed>
    <b:MonthAccessed>July</b:MonthAccessed>
    <b:DayAccessed>10</b:DayAccessed>
    <b:URL>https://www.app.college.police.uk/app-content/armed-policing/command/</b:URL>
    <b:RefOrder>15</b:RefOrder>
  </b:Source>
  <b:Source>
    <b:Tag>Flo16</b:Tag>
    <b:SourceType>Report</b:SourceType>
    <b:Guid>{88249DB1-C2BC-4584-8260-1B37BCD8C3C4}</b:Guid>
    <b:Title>Statement on the Medical Implications of Use of the TASER X2 Conducted Energy Device System</b:Title>
    <b:Year>2016</b:Year>
    <b:Author>
      <b:Author>
        <b:NameList>
          <b:Person>
            <b:Last>Flower</b:Last>
            <b:First>R.</b:First>
            <b:Middle>J</b:Middle>
          </b:Person>
        </b:NameList>
      </b:Author>
    </b:Author>
    <b:Publisher>Scientific Committee on the Medical Implications of Less-Lethal Weapons (SACMILL)</b:Publisher>
    <b:RefOrder>12</b:RefOrder>
  </b:Source>
  <b:Source>
    <b:Tag>Amn18</b:Tag>
    <b:SourceType>InternetSite</b:SourceType>
    <b:Guid>{B1FE3907-C0F6-480B-9DE3-E79826B5790F}</b:Guid>
    <b:Title>UK: Public should 'resist drum-beat of calls for all police to carry a Taser'</b:Title>
    <b:Year>2018</b:Year>
    <b:Author>
      <b:Author>
        <b:Corporate>Amnesty International UK</b:Corporate>
      </b:Author>
    </b:Author>
    <b:YearAccessed>2021</b:YearAccessed>
    <b:MonthAccessed>July</b:MonthAccessed>
    <b:DayAccessed>11</b:DayAccessed>
    <b:URL>https://www.amnesty.org.uk/press-releases/uk-public-should-resist-drum-beat-calls-all-police-carry-taser</b:URL>
    <b:RefOrder>13</b:RefOrder>
  </b:Source>
  <b:Source>
    <b:Tag>Amn21</b:Tag>
    <b:SourceType>InternetSite</b:SourceType>
    <b:Guid>{C2747C38-ADDF-4227-B948-51DF823E699A}</b:Guid>
    <b:Author>
      <b:Author>
        <b:Corporate>Amnesty International UK</b:Corporate>
      </b:Author>
    </b:Author>
    <b:Title>About Amnesty</b:Title>
    <b:Year>2021</b:Year>
    <b:YearAccessed>2021</b:YearAccessed>
    <b:MonthAccessed>July</b:MonthAccessed>
    <b:DayAccessed>12</b:DayAccessed>
    <b:URL>https://www.amnesty.org.uk/issues/about-amnesty</b:URL>
    <b:RefOrder>16</b:RefOrder>
  </b:Source>
  <b:Source>
    <b:Tag>Wri78</b:Tag>
    <b:SourceType>JournalArticle</b:SourceType>
    <b:Guid>{2DA5EFB1-CD46-4F89-95F6-E835BD844F3F}</b:Guid>
    <b:Author>
      <b:Author>
        <b:NameList>
          <b:Person>
            <b:Last>Wright</b:Last>
            <b:First>S</b:First>
          </b:Person>
        </b:NameList>
      </b:Author>
    </b:Author>
    <b:Title>New Police Technologies: An Exploration of the Social Implications and Unforeseen Impact of Some Recent Developments</b:Title>
    <b:Year>1978</b:Year>
    <b:JournalName>Journal of Peace Research</b:JournalName>
    <b:Pages>305-322</b:Pages>
    <b:Volume>4</b:Volume>
    <b:Issue>15</b:Issue>
    <b:RefOrder>17</b:RefOrder>
  </b:Source>
  <b:Source>
    <b:Tag>Pol16</b:Tag>
    <b:SourceType>InternetSite</b:SourceType>
    <b:Guid>{313A14D0-5603-4D4B-9F76-31F9BF2DEC07}</b:Guid>
    <b:Author>
      <b:Author>
        <b:Corporate>Polfed.Org</b:Corporate>
      </b:Author>
    </b:Author>
    <b:Title>More Smoke and Mirrors from Government on Firearms Officers</b:Title>
    <b:Year>2016</b:Year>
    <b:YearAccessed>2021</b:YearAccessed>
    <b:MonthAccessed>June</b:MonthAccessed>
    <b:DayAccessed>20</b:DayAccessed>
    <b:URL> http://www.polfed.org/newsroom/3335.aspx </b:URL>
    <b:RefOrder>18</b:RefOrder>
  </b:Source>
  <b:Source>
    <b:Tag>Col131</b:Tag>
    <b:SourceType>InternetSite</b:SourceType>
    <b:Guid>{0EA08ECC-55A5-45EB-9F54-F0414FD3FEFE}</b:Guid>
    <b:Author>
      <b:Author>
        <b:Corporate>College of Policing</b:Corporate>
      </b:Author>
    </b:Author>
    <b:Title>National Decision Model</b:Title>
    <b:Year>2013</b:Year>
    <b:YearAccessed>2021</b:YearAccessed>
    <b:MonthAccessed>July</b:MonthAccessed>
    <b:DayAccessed>20</b:DayAccessed>
    <b:URL>https://www.app.college.police.uk/app-content/national-decision-model/the-national-decision-model/?highlight=media%20liaison%20officer</b:URL>
    <b:RefOrder>1</b:RefOrder>
  </b:Source>
</b:Sources>
</file>

<file path=customXml/itemProps1.xml><?xml version="1.0" encoding="utf-8"?>
<ds:datastoreItem xmlns:ds="http://schemas.openxmlformats.org/officeDocument/2006/customXml" ds:itemID="{B896190D-84DE-430C-8628-926BC4566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2933</Words>
  <Characters>16719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Kerr,Thomas swp6433</dc:creator>
  <cp:keywords/>
  <dc:description/>
  <cp:lastModifiedBy>Kerr,Thomas swp6433</cp:lastModifiedBy>
  <cp:revision>3</cp:revision>
  <dcterms:created xsi:type="dcterms:W3CDTF">2021-07-22T13:13:00Z</dcterms:created>
  <dcterms:modified xsi:type="dcterms:W3CDTF">2021-07-22T13:19:00Z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b8215071-9921-4481-a792-640ed49c1da3</vt:lpwstr>
  </property>
  <property fmtid="{D5CDD505-2E9C-101B-9397-08002B2CF9AE}" pid="3" name="Classification">
    <vt:lpwstr>OFFICIAL</vt:lpwstr>
  </property>
  <property fmtid="{D5CDD505-2E9C-101B-9397-08002B2CF9AE}" pid="4" name="Visibility">
    <vt:lpwstr>NOT VISIBLE</vt:lpwstr>
  </property>
</Properties>
</file>