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4.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5.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6.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7.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8.xml" ContentType="application/vnd.openxmlformats-officedocument.drawingml.chart+xml"/>
  <Override PartName="/word/charts/style6.xml" ContentType="application/vnd.ms-office.chartstyle+xml"/>
  <Override PartName="/word/charts/colors6.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6FF33F" w14:textId="4F6BEAE3" w:rsidR="001349D9" w:rsidRPr="00181D74" w:rsidRDefault="001B575D" w:rsidP="00397EED">
      <w:pPr>
        <w:rPr>
          <w:rFonts w:cs="Times New Roman"/>
          <w:szCs w:val="24"/>
          <w:lang w:val="en-US"/>
        </w:rPr>
      </w:pPr>
      <w:r>
        <w:rPr>
          <w:rFonts w:cs="Times New Roman"/>
          <w:szCs w:val="24"/>
          <w:lang w:val="en-US"/>
        </w:rPr>
        <w:t xml:space="preserve"> </w:t>
      </w:r>
    </w:p>
    <w:p w14:paraId="04D3B5B2" w14:textId="77777777" w:rsidR="00F90A41" w:rsidRPr="00181D74" w:rsidRDefault="00F90A41" w:rsidP="00397EED">
      <w:pPr>
        <w:rPr>
          <w:rFonts w:cs="Times New Roman"/>
          <w:szCs w:val="24"/>
          <w:lang w:val="en-US"/>
        </w:rPr>
      </w:pPr>
    </w:p>
    <w:p w14:paraId="48EE203E" w14:textId="77777777" w:rsidR="00F90A41" w:rsidRPr="00181D74" w:rsidRDefault="00F90A41" w:rsidP="00397EED">
      <w:pPr>
        <w:rPr>
          <w:rFonts w:cs="Times New Roman"/>
          <w:szCs w:val="24"/>
          <w:lang w:val="en-US"/>
        </w:rPr>
      </w:pPr>
    </w:p>
    <w:p w14:paraId="7257B54D" w14:textId="77777777" w:rsidR="00F90A41" w:rsidRPr="00181D74" w:rsidRDefault="00F90A41" w:rsidP="00397EED">
      <w:pPr>
        <w:rPr>
          <w:rFonts w:cs="Times New Roman"/>
          <w:szCs w:val="24"/>
          <w:lang w:val="en-US"/>
        </w:rPr>
      </w:pPr>
    </w:p>
    <w:p w14:paraId="29D32F74" w14:textId="77777777" w:rsidR="00C619BB" w:rsidRPr="00C6141B" w:rsidRDefault="00F90A41" w:rsidP="00C619BB">
      <w:pPr>
        <w:pStyle w:val="Title"/>
        <w:jc w:val="center"/>
        <w:rPr>
          <w:rFonts w:ascii="Times New Roman" w:hAnsi="Times New Roman" w:cs="Times New Roman"/>
          <w:color w:val="auto"/>
          <w:lang w:val="en-US"/>
        </w:rPr>
      </w:pPr>
      <w:r w:rsidRPr="00C6141B">
        <w:rPr>
          <w:rFonts w:ascii="Times New Roman" w:hAnsi="Times New Roman" w:cs="Times New Roman"/>
          <w:color w:val="auto"/>
          <w:lang w:val="en-US"/>
        </w:rPr>
        <w:t>LCMB7002: Financial Management</w:t>
      </w:r>
    </w:p>
    <w:p w14:paraId="25D03EF2" w14:textId="77777777" w:rsidR="00C619BB" w:rsidRPr="00C6141B" w:rsidRDefault="00C619BB" w:rsidP="00C619BB">
      <w:pPr>
        <w:pStyle w:val="Title"/>
        <w:jc w:val="center"/>
        <w:rPr>
          <w:rFonts w:ascii="Times New Roman" w:hAnsi="Times New Roman" w:cs="Times New Roman"/>
          <w:color w:val="auto"/>
          <w:lang w:val="en-US"/>
        </w:rPr>
      </w:pPr>
      <w:r w:rsidRPr="00C6141B">
        <w:rPr>
          <w:rFonts w:ascii="Times New Roman" w:hAnsi="Times New Roman" w:cs="Times New Roman"/>
          <w:color w:val="auto"/>
          <w:lang w:val="en-US"/>
        </w:rPr>
        <w:t xml:space="preserve">Glencore </w:t>
      </w:r>
      <w:r w:rsidR="00C162BC" w:rsidRPr="00C6141B">
        <w:rPr>
          <w:rFonts w:ascii="Times New Roman" w:hAnsi="Times New Roman" w:cs="Times New Roman"/>
          <w:color w:val="auto"/>
          <w:lang w:val="en-US"/>
        </w:rPr>
        <w:t>PLC</w:t>
      </w:r>
    </w:p>
    <w:p w14:paraId="410BA088" w14:textId="77777777" w:rsidR="00F30F02" w:rsidRPr="00C6141B" w:rsidRDefault="00F30F02" w:rsidP="00C619BB">
      <w:pPr>
        <w:pStyle w:val="Title"/>
        <w:jc w:val="center"/>
        <w:rPr>
          <w:rFonts w:ascii="Times New Roman" w:hAnsi="Times New Roman" w:cs="Times New Roman"/>
          <w:color w:val="auto"/>
          <w:lang w:val="en-US"/>
        </w:rPr>
      </w:pPr>
    </w:p>
    <w:p w14:paraId="761A5A58" w14:textId="77777777" w:rsidR="00F90A41" w:rsidRPr="00C6141B" w:rsidRDefault="00F30F02" w:rsidP="00C619BB">
      <w:pPr>
        <w:pStyle w:val="Title"/>
        <w:jc w:val="center"/>
        <w:rPr>
          <w:rFonts w:ascii="Times New Roman" w:hAnsi="Times New Roman" w:cs="Times New Roman"/>
          <w:color w:val="auto"/>
          <w:lang w:val="en-US"/>
        </w:rPr>
      </w:pPr>
      <w:r w:rsidRPr="00C6141B">
        <w:rPr>
          <w:noProof/>
          <w:lang w:val="en-US" w:bidi="hi-IN"/>
        </w:rPr>
        <w:drawing>
          <wp:inline distT="0" distB="0" distL="0" distR="0" wp14:anchorId="4E0FC3AD" wp14:editId="4DD2B25E">
            <wp:extent cx="3404514" cy="2122766"/>
            <wp:effectExtent l="19050" t="0" r="5436" b="0"/>
            <wp:docPr id="3" name="Picture 1" descr="Oil, mining giant Glencore posts record profit for 2022, Auto News, ET Au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il, mining giant Glencore posts record profit for 2022, Auto News, ET Auto"/>
                    <pic:cNvPicPr>
                      <a:picLocks noChangeAspect="1" noChangeArrowheads="1"/>
                    </pic:cNvPicPr>
                  </pic:nvPicPr>
                  <pic:blipFill>
                    <a:blip r:embed="rId8" cstate="print"/>
                    <a:srcRect/>
                    <a:stretch>
                      <a:fillRect/>
                    </a:stretch>
                  </pic:blipFill>
                  <pic:spPr bwMode="auto">
                    <a:xfrm>
                      <a:off x="0" y="0"/>
                      <a:ext cx="3406235" cy="2123839"/>
                    </a:xfrm>
                    <a:prstGeom prst="rect">
                      <a:avLst/>
                    </a:prstGeom>
                    <a:noFill/>
                    <a:ln w="9525">
                      <a:noFill/>
                      <a:miter lim="800000"/>
                      <a:headEnd/>
                      <a:tailEnd/>
                    </a:ln>
                  </pic:spPr>
                </pic:pic>
              </a:graphicData>
            </a:graphic>
          </wp:inline>
        </w:drawing>
      </w:r>
      <w:r w:rsidR="00F90A41" w:rsidRPr="00C6141B">
        <w:rPr>
          <w:rFonts w:ascii="Times New Roman" w:hAnsi="Times New Roman" w:cs="Times New Roman"/>
          <w:color w:val="auto"/>
          <w:lang w:val="en-US"/>
        </w:rPr>
        <w:br w:type="page"/>
      </w:r>
    </w:p>
    <w:sdt>
      <w:sdtPr>
        <w:rPr>
          <w:rFonts w:eastAsiaTheme="minorHAnsi" w:cs="Times New Roman"/>
          <w:b w:val="0"/>
          <w:bCs w:val="0"/>
          <w:szCs w:val="24"/>
          <w:lang w:val="en-GB" w:eastAsia="en-US"/>
        </w:rPr>
        <w:id w:val="-931815585"/>
        <w:docPartObj>
          <w:docPartGallery w:val="Table of Contents"/>
          <w:docPartUnique/>
        </w:docPartObj>
      </w:sdtPr>
      <w:sdtEndPr>
        <w:rPr>
          <w:noProof/>
        </w:rPr>
      </w:sdtEndPr>
      <w:sdtContent>
        <w:p w14:paraId="6C08D31C" w14:textId="77777777" w:rsidR="0036185A" w:rsidRPr="00C6141B" w:rsidRDefault="0036185A" w:rsidP="00397EED">
          <w:pPr>
            <w:pStyle w:val="TOCHeading"/>
            <w:rPr>
              <w:rFonts w:cs="Times New Roman"/>
              <w:szCs w:val="24"/>
            </w:rPr>
          </w:pPr>
          <w:r w:rsidRPr="00C6141B">
            <w:rPr>
              <w:rFonts w:cs="Times New Roman"/>
              <w:szCs w:val="24"/>
            </w:rPr>
            <w:t>Table of Contents</w:t>
          </w:r>
        </w:p>
        <w:p w14:paraId="49A2B386" w14:textId="30C10307" w:rsidR="002C7042" w:rsidRPr="00C6141B" w:rsidRDefault="00AD322A">
          <w:pPr>
            <w:pStyle w:val="TOC1"/>
            <w:tabs>
              <w:tab w:val="right" w:leader="dot" w:pos="9016"/>
            </w:tabs>
            <w:rPr>
              <w:rFonts w:asciiTheme="minorHAnsi" w:eastAsiaTheme="minorEastAsia" w:hAnsiTheme="minorHAnsi"/>
              <w:noProof/>
              <w:kern w:val="2"/>
              <w:sz w:val="22"/>
              <w:lang w:val="en-US"/>
              <w14:ligatures w14:val="standardContextual"/>
            </w:rPr>
          </w:pPr>
          <w:r w:rsidRPr="00C6141B">
            <w:rPr>
              <w:rFonts w:cs="Times New Roman"/>
              <w:szCs w:val="24"/>
            </w:rPr>
            <w:fldChar w:fldCharType="begin"/>
          </w:r>
          <w:r w:rsidR="0036185A" w:rsidRPr="00C6141B">
            <w:rPr>
              <w:rFonts w:cs="Times New Roman"/>
              <w:szCs w:val="24"/>
            </w:rPr>
            <w:instrText xml:space="preserve"> TOC \o "1-3" \h \z \u </w:instrText>
          </w:r>
          <w:r w:rsidRPr="00C6141B">
            <w:rPr>
              <w:rFonts w:cs="Times New Roman"/>
              <w:szCs w:val="24"/>
            </w:rPr>
            <w:fldChar w:fldCharType="separate"/>
          </w:r>
          <w:hyperlink w:anchor="_Toc175148028" w:history="1">
            <w:r w:rsidR="002C7042" w:rsidRPr="00C6141B">
              <w:rPr>
                <w:rStyle w:val="Hyperlink"/>
                <w:rFonts w:cs="Times New Roman"/>
                <w:noProof/>
                <w:lang w:val="en-US"/>
              </w:rPr>
              <w:t>1. Part A: Company Overview</w:t>
            </w:r>
            <w:r w:rsidR="002C7042" w:rsidRPr="00C6141B">
              <w:rPr>
                <w:noProof/>
                <w:webHidden/>
              </w:rPr>
              <w:tab/>
            </w:r>
            <w:r w:rsidR="002C7042" w:rsidRPr="00C6141B">
              <w:rPr>
                <w:noProof/>
                <w:webHidden/>
              </w:rPr>
              <w:fldChar w:fldCharType="begin"/>
            </w:r>
            <w:r w:rsidR="002C7042" w:rsidRPr="00C6141B">
              <w:rPr>
                <w:noProof/>
                <w:webHidden/>
              </w:rPr>
              <w:instrText xml:space="preserve"> PAGEREF _Toc175148028 \h </w:instrText>
            </w:r>
            <w:r w:rsidR="002C7042" w:rsidRPr="00C6141B">
              <w:rPr>
                <w:noProof/>
                <w:webHidden/>
              </w:rPr>
            </w:r>
            <w:r w:rsidR="002C7042" w:rsidRPr="00C6141B">
              <w:rPr>
                <w:noProof/>
                <w:webHidden/>
              </w:rPr>
              <w:fldChar w:fldCharType="separate"/>
            </w:r>
            <w:r w:rsidR="002C7042" w:rsidRPr="00C6141B">
              <w:rPr>
                <w:noProof/>
                <w:webHidden/>
              </w:rPr>
              <w:t>4</w:t>
            </w:r>
            <w:r w:rsidR="002C7042" w:rsidRPr="00C6141B">
              <w:rPr>
                <w:noProof/>
                <w:webHidden/>
              </w:rPr>
              <w:fldChar w:fldCharType="end"/>
            </w:r>
          </w:hyperlink>
        </w:p>
        <w:p w14:paraId="01CDEAA9" w14:textId="37FA03FF" w:rsidR="002C7042" w:rsidRPr="00C6141B" w:rsidRDefault="00000000">
          <w:pPr>
            <w:pStyle w:val="TOC1"/>
            <w:tabs>
              <w:tab w:val="right" w:leader="dot" w:pos="9016"/>
            </w:tabs>
            <w:rPr>
              <w:rFonts w:asciiTheme="minorHAnsi" w:eastAsiaTheme="minorEastAsia" w:hAnsiTheme="minorHAnsi"/>
              <w:noProof/>
              <w:kern w:val="2"/>
              <w:sz w:val="22"/>
              <w:lang w:val="en-US"/>
              <w14:ligatures w14:val="standardContextual"/>
            </w:rPr>
          </w:pPr>
          <w:hyperlink w:anchor="_Toc175148029" w:history="1">
            <w:r w:rsidR="002C7042" w:rsidRPr="00C6141B">
              <w:rPr>
                <w:rStyle w:val="Hyperlink"/>
                <w:rFonts w:cs="Times New Roman"/>
                <w:noProof/>
                <w:lang w:val="en-US"/>
              </w:rPr>
              <w:t>2. Part B</w:t>
            </w:r>
            <w:r w:rsidR="002C7042" w:rsidRPr="00C6141B">
              <w:rPr>
                <w:noProof/>
                <w:webHidden/>
              </w:rPr>
              <w:tab/>
            </w:r>
            <w:r w:rsidR="002C7042" w:rsidRPr="00C6141B">
              <w:rPr>
                <w:noProof/>
                <w:webHidden/>
              </w:rPr>
              <w:fldChar w:fldCharType="begin"/>
            </w:r>
            <w:r w:rsidR="002C7042" w:rsidRPr="00C6141B">
              <w:rPr>
                <w:noProof/>
                <w:webHidden/>
              </w:rPr>
              <w:instrText xml:space="preserve"> PAGEREF _Toc175148029 \h </w:instrText>
            </w:r>
            <w:r w:rsidR="002C7042" w:rsidRPr="00C6141B">
              <w:rPr>
                <w:noProof/>
                <w:webHidden/>
              </w:rPr>
            </w:r>
            <w:r w:rsidR="002C7042" w:rsidRPr="00C6141B">
              <w:rPr>
                <w:noProof/>
                <w:webHidden/>
              </w:rPr>
              <w:fldChar w:fldCharType="separate"/>
            </w:r>
            <w:r w:rsidR="002C7042" w:rsidRPr="00C6141B">
              <w:rPr>
                <w:noProof/>
                <w:webHidden/>
              </w:rPr>
              <w:t>6</w:t>
            </w:r>
            <w:r w:rsidR="002C7042" w:rsidRPr="00C6141B">
              <w:rPr>
                <w:noProof/>
                <w:webHidden/>
              </w:rPr>
              <w:fldChar w:fldCharType="end"/>
            </w:r>
          </w:hyperlink>
        </w:p>
        <w:p w14:paraId="53AFF3BD" w14:textId="2B3B2C35" w:rsidR="002C7042" w:rsidRPr="00C6141B" w:rsidRDefault="00000000">
          <w:pPr>
            <w:pStyle w:val="TOC2"/>
            <w:tabs>
              <w:tab w:val="right" w:leader="dot" w:pos="9016"/>
            </w:tabs>
            <w:rPr>
              <w:rFonts w:asciiTheme="minorHAnsi" w:eastAsiaTheme="minorEastAsia" w:hAnsiTheme="minorHAnsi"/>
              <w:noProof/>
              <w:kern w:val="2"/>
              <w:sz w:val="22"/>
              <w:lang w:val="en-US"/>
              <w14:ligatures w14:val="standardContextual"/>
            </w:rPr>
          </w:pPr>
          <w:hyperlink w:anchor="_Toc175148030" w:history="1">
            <w:r w:rsidR="002C7042" w:rsidRPr="00C6141B">
              <w:rPr>
                <w:rStyle w:val="Hyperlink"/>
                <w:rFonts w:cs="Times New Roman"/>
                <w:noProof/>
                <w:lang w:val="en-US"/>
              </w:rPr>
              <w:t>2.1. Ratio Calculation</w:t>
            </w:r>
            <w:r w:rsidR="002C7042" w:rsidRPr="00C6141B">
              <w:rPr>
                <w:noProof/>
                <w:webHidden/>
              </w:rPr>
              <w:tab/>
            </w:r>
            <w:r w:rsidR="002C7042" w:rsidRPr="00C6141B">
              <w:rPr>
                <w:noProof/>
                <w:webHidden/>
              </w:rPr>
              <w:fldChar w:fldCharType="begin"/>
            </w:r>
            <w:r w:rsidR="002C7042" w:rsidRPr="00C6141B">
              <w:rPr>
                <w:noProof/>
                <w:webHidden/>
              </w:rPr>
              <w:instrText xml:space="preserve"> PAGEREF _Toc175148030 \h </w:instrText>
            </w:r>
            <w:r w:rsidR="002C7042" w:rsidRPr="00C6141B">
              <w:rPr>
                <w:noProof/>
                <w:webHidden/>
              </w:rPr>
            </w:r>
            <w:r w:rsidR="002C7042" w:rsidRPr="00C6141B">
              <w:rPr>
                <w:noProof/>
                <w:webHidden/>
              </w:rPr>
              <w:fldChar w:fldCharType="separate"/>
            </w:r>
            <w:r w:rsidR="002C7042" w:rsidRPr="00C6141B">
              <w:rPr>
                <w:noProof/>
                <w:webHidden/>
              </w:rPr>
              <w:t>6</w:t>
            </w:r>
            <w:r w:rsidR="002C7042" w:rsidRPr="00C6141B">
              <w:rPr>
                <w:noProof/>
                <w:webHidden/>
              </w:rPr>
              <w:fldChar w:fldCharType="end"/>
            </w:r>
          </w:hyperlink>
        </w:p>
        <w:p w14:paraId="20268928" w14:textId="7E7007AF" w:rsidR="002C7042" w:rsidRPr="00C6141B" w:rsidRDefault="00000000">
          <w:pPr>
            <w:pStyle w:val="TOC3"/>
            <w:tabs>
              <w:tab w:val="right" w:leader="dot" w:pos="9016"/>
            </w:tabs>
            <w:rPr>
              <w:rFonts w:asciiTheme="minorHAnsi" w:eastAsiaTheme="minorEastAsia" w:hAnsiTheme="minorHAnsi"/>
              <w:noProof/>
              <w:kern w:val="2"/>
              <w:sz w:val="22"/>
              <w:lang w:val="en-US"/>
              <w14:ligatures w14:val="standardContextual"/>
            </w:rPr>
          </w:pPr>
          <w:hyperlink w:anchor="_Toc175148031" w:history="1">
            <w:r w:rsidR="002C7042" w:rsidRPr="00C6141B">
              <w:rPr>
                <w:rStyle w:val="Hyperlink"/>
                <w:rFonts w:cs="Times New Roman"/>
                <w:noProof/>
                <w:lang w:val="en-US"/>
              </w:rPr>
              <w:t>2.1.1. Profitability Ratio</w:t>
            </w:r>
            <w:r w:rsidR="002C7042" w:rsidRPr="00C6141B">
              <w:rPr>
                <w:noProof/>
                <w:webHidden/>
              </w:rPr>
              <w:tab/>
            </w:r>
            <w:r w:rsidR="002C7042" w:rsidRPr="00C6141B">
              <w:rPr>
                <w:noProof/>
                <w:webHidden/>
              </w:rPr>
              <w:fldChar w:fldCharType="begin"/>
            </w:r>
            <w:r w:rsidR="002C7042" w:rsidRPr="00C6141B">
              <w:rPr>
                <w:noProof/>
                <w:webHidden/>
              </w:rPr>
              <w:instrText xml:space="preserve"> PAGEREF _Toc175148031 \h </w:instrText>
            </w:r>
            <w:r w:rsidR="002C7042" w:rsidRPr="00C6141B">
              <w:rPr>
                <w:noProof/>
                <w:webHidden/>
              </w:rPr>
            </w:r>
            <w:r w:rsidR="002C7042" w:rsidRPr="00C6141B">
              <w:rPr>
                <w:noProof/>
                <w:webHidden/>
              </w:rPr>
              <w:fldChar w:fldCharType="separate"/>
            </w:r>
            <w:r w:rsidR="002C7042" w:rsidRPr="00C6141B">
              <w:rPr>
                <w:noProof/>
                <w:webHidden/>
              </w:rPr>
              <w:t>6</w:t>
            </w:r>
            <w:r w:rsidR="002C7042" w:rsidRPr="00C6141B">
              <w:rPr>
                <w:noProof/>
                <w:webHidden/>
              </w:rPr>
              <w:fldChar w:fldCharType="end"/>
            </w:r>
          </w:hyperlink>
        </w:p>
        <w:p w14:paraId="016898CE" w14:textId="5A9F0FDD" w:rsidR="002C7042" w:rsidRPr="00C6141B" w:rsidRDefault="00000000">
          <w:pPr>
            <w:pStyle w:val="TOC3"/>
            <w:tabs>
              <w:tab w:val="right" w:leader="dot" w:pos="9016"/>
            </w:tabs>
            <w:rPr>
              <w:rFonts w:asciiTheme="minorHAnsi" w:eastAsiaTheme="minorEastAsia" w:hAnsiTheme="minorHAnsi"/>
              <w:noProof/>
              <w:kern w:val="2"/>
              <w:sz w:val="22"/>
              <w:lang w:val="en-US"/>
              <w14:ligatures w14:val="standardContextual"/>
            </w:rPr>
          </w:pPr>
          <w:hyperlink w:anchor="_Toc175148032" w:history="1">
            <w:r w:rsidR="002C7042" w:rsidRPr="00C6141B">
              <w:rPr>
                <w:rStyle w:val="Hyperlink"/>
                <w:rFonts w:cs="Times New Roman"/>
                <w:noProof/>
                <w:lang w:val="en-US"/>
              </w:rPr>
              <w:t>2.1.2. Liquidity Ratios</w:t>
            </w:r>
            <w:r w:rsidR="002C7042" w:rsidRPr="00C6141B">
              <w:rPr>
                <w:noProof/>
                <w:webHidden/>
              </w:rPr>
              <w:tab/>
            </w:r>
            <w:r w:rsidR="002C7042" w:rsidRPr="00C6141B">
              <w:rPr>
                <w:noProof/>
                <w:webHidden/>
              </w:rPr>
              <w:fldChar w:fldCharType="begin"/>
            </w:r>
            <w:r w:rsidR="002C7042" w:rsidRPr="00C6141B">
              <w:rPr>
                <w:noProof/>
                <w:webHidden/>
              </w:rPr>
              <w:instrText xml:space="preserve"> PAGEREF _Toc175148032 \h </w:instrText>
            </w:r>
            <w:r w:rsidR="002C7042" w:rsidRPr="00C6141B">
              <w:rPr>
                <w:noProof/>
                <w:webHidden/>
              </w:rPr>
            </w:r>
            <w:r w:rsidR="002C7042" w:rsidRPr="00C6141B">
              <w:rPr>
                <w:noProof/>
                <w:webHidden/>
              </w:rPr>
              <w:fldChar w:fldCharType="separate"/>
            </w:r>
            <w:r w:rsidR="002C7042" w:rsidRPr="00C6141B">
              <w:rPr>
                <w:noProof/>
                <w:webHidden/>
              </w:rPr>
              <w:t>6</w:t>
            </w:r>
            <w:r w:rsidR="002C7042" w:rsidRPr="00C6141B">
              <w:rPr>
                <w:noProof/>
                <w:webHidden/>
              </w:rPr>
              <w:fldChar w:fldCharType="end"/>
            </w:r>
          </w:hyperlink>
        </w:p>
        <w:p w14:paraId="24BABF13" w14:textId="23681F20" w:rsidR="002C7042" w:rsidRPr="00C6141B" w:rsidRDefault="00000000">
          <w:pPr>
            <w:pStyle w:val="TOC3"/>
            <w:tabs>
              <w:tab w:val="right" w:leader="dot" w:pos="9016"/>
            </w:tabs>
            <w:rPr>
              <w:rFonts w:asciiTheme="minorHAnsi" w:eastAsiaTheme="minorEastAsia" w:hAnsiTheme="minorHAnsi"/>
              <w:noProof/>
              <w:kern w:val="2"/>
              <w:sz w:val="22"/>
              <w:lang w:val="en-US"/>
              <w14:ligatures w14:val="standardContextual"/>
            </w:rPr>
          </w:pPr>
          <w:hyperlink w:anchor="_Toc175148033" w:history="1">
            <w:r w:rsidR="002C7042" w:rsidRPr="00C6141B">
              <w:rPr>
                <w:rStyle w:val="Hyperlink"/>
                <w:rFonts w:cs="Times New Roman"/>
                <w:noProof/>
                <w:lang w:val="en-US"/>
              </w:rPr>
              <w:t>2.1.3. Gearing Ratio</w:t>
            </w:r>
            <w:r w:rsidR="002C7042" w:rsidRPr="00C6141B">
              <w:rPr>
                <w:noProof/>
                <w:webHidden/>
              </w:rPr>
              <w:tab/>
            </w:r>
            <w:r w:rsidR="002C7042" w:rsidRPr="00C6141B">
              <w:rPr>
                <w:noProof/>
                <w:webHidden/>
              </w:rPr>
              <w:fldChar w:fldCharType="begin"/>
            </w:r>
            <w:r w:rsidR="002C7042" w:rsidRPr="00C6141B">
              <w:rPr>
                <w:noProof/>
                <w:webHidden/>
              </w:rPr>
              <w:instrText xml:space="preserve"> PAGEREF _Toc175148033 \h </w:instrText>
            </w:r>
            <w:r w:rsidR="002C7042" w:rsidRPr="00C6141B">
              <w:rPr>
                <w:noProof/>
                <w:webHidden/>
              </w:rPr>
            </w:r>
            <w:r w:rsidR="002C7042" w:rsidRPr="00C6141B">
              <w:rPr>
                <w:noProof/>
                <w:webHidden/>
              </w:rPr>
              <w:fldChar w:fldCharType="separate"/>
            </w:r>
            <w:r w:rsidR="002C7042" w:rsidRPr="00C6141B">
              <w:rPr>
                <w:noProof/>
                <w:webHidden/>
              </w:rPr>
              <w:t>6</w:t>
            </w:r>
            <w:r w:rsidR="002C7042" w:rsidRPr="00C6141B">
              <w:rPr>
                <w:noProof/>
                <w:webHidden/>
              </w:rPr>
              <w:fldChar w:fldCharType="end"/>
            </w:r>
          </w:hyperlink>
        </w:p>
        <w:p w14:paraId="2B410423" w14:textId="193BFEF2" w:rsidR="002C7042" w:rsidRPr="00C6141B" w:rsidRDefault="00000000">
          <w:pPr>
            <w:pStyle w:val="TOC3"/>
            <w:tabs>
              <w:tab w:val="right" w:leader="dot" w:pos="9016"/>
            </w:tabs>
            <w:rPr>
              <w:rFonts w:asciiTheme="minorHAnsi" w:eastAsiaTheme="minorEastAsia" w:hAnsiTheme="minorHAnsi"/>
              <w:noProof/>
              <w:kern w:val="2"/>
              <w:sz w:val="22"/>
              <w:lang w:val="en-US"/>
              <w14:ligatures w14:val="standardContextual"/>
            </w:rPr>
          </w:pPr>
          <w:hyperlink w:anchor="_Toc175148034" w:history="1">
            <w:r w:rsidR="002C7042" w:rsidRPr="00C6141B">
              <w:rPr>
                <w:rStyle w:val="Hyperlink"/>
                <w:rFonts w:cs="Times New Roman"/>
                <w:noProof/>
                <w:lang w:val="en-US"/>
              </w:rPr>
              <w:t>2.1.4. Efficiency Ratio</w:t>
            </w:r>
            <w:r w:rsidR="002C7042" w:rsidRPr="00C6141B">
              <w:rPr>
                <w:noProof/>
                <w:webHidden/>
              </w:rPr>
              <w:tab/>
            </w:r>
            <w:r w:rsidR="002C7042" w:rsidRPr="00C6141B">
              <w:rPr>
                <w:noProof/>
                <w:webHidden/>
              </w:rPr>
              <w:fldChar w:fldCharType="begin"/>
            </w:r>
            <w:r w:rsidR="002C7042" w:rsidRPr="00C6141B">
              <w:rPr>
                <w:noProof/>
                <w:webHidden/>
              </w:rPr>
              <w:instrText xml:space="preserve"> PAGEREF _Toc175148034 \h </w:instrText>
            </w:r>
            <w:r w:rsidR="002C7042" w:rsidRPr="00C6141B">
              <w:rPr>
                <w:noProof/>
                <w:webHidden/>
              </w:rPr>
            </w:r>
            <w:r w:rsidR="002C7042" w:rsidRPr="00C6141B">
              <w:rPr>
                <w:noProof/>
                <w:webHidden/>
              </w:rPr>
              <w:fldChar w:fldCharType="separate"/>
            </w:r>
            <w:r w:rsidR="002C7042" w:rsidRPr="00C6141B">
              <w:rPr>
                <w:noProof/>
                <w:webHidden/>
              </w:rPr>
              <w:t>7</w:t>
            </w:r>
            <w:r w:rsidR="002C7042" w:rsidRPr="00C6141B">
              <w:rPr>
                <w:noProof/>
                <w:webHidden/>
              </w:rPr>
              <w:fldChar w:fldCharType="end"/>
            </w:r>
          </w:hyperlink>
        </w:p>
        <w:p w14:paraId="78487596" w14:textId="36FB2F13" w:rsidR="002C7042" w:rsidRPr="00C6141B" w:rsidRDefault="00000000">
          <w:pPr>
            <w:pStyle w:val="TOC2"/>
            <w:tabs>
              <w:tab w:val="right" w:leader="dot" w:pos="9016"/>
            </w:tabs>
            <w:rPr>
              <w:rFonts w:asciiTheme="minorHAnsi" w:eastAsiaTheme="minorEastAsia" w:hAnsiTheme="minorHAnsi"/>
              <w:noProof/>
              <w:kern w:val="2"/>
              <w:sz w:val="22"/>
              <w:lang w:val="en-US"/>
              <w14:ligatures w14:val="standardContextual"/>
            </w:rPr>
          </w:pPr>
          <w:hyperlink w:anchor="_Toc175148035" w:history="1">
            <w:r w:rsidR="002C7042" w:rsidRPr="00C6141B">
              <w:rPr>
                <w:rStyle w:val="Hyperlink"/>
                <w:rFonts w:cs="Times New Roman"/>
                <w:noProof/>
                <w:lang w:val="en-US"/>
              </w:rPr>
              <w:t>2.2. Ratio Analysis</w:t>
            </w:r>
            <w:r w:rsidR="002C7042" w:rsidRPr="00C6141B">
              <w:rPr>
                <w:noProof/>
                <w:webHidden/>
              </w:rPr>
              <w:tab/>
            </w:r>
            <w:r w:rsidR="002C7042" w:rsidRPr="00C6141B">
              <w:rPr>
                <w:noProof/>
                <w:webHidden/>
              </w:rPr>
              <w:fldChar w:fldCharType="begin"/>
            </w:r>
            <w:r w:rsidR="002C7042" w:rsidRPr="00C6141B">
              <w:rPr>
                <w:noProof/>
                <w:webHidden/>
              </w:rPr>
              <w:instrText xml:space="preserve"> PAGEREF _Toc175148035 \h </w:instrText>
            </w:r>
            <w:r w:rsidR="002C7042" w:rsidRPr="00C6141B">
              <w:rPr>
                <w:noProof/>
                <w:webHidden/>
              </w:rPr>
            </w:r>
            <w:r w:rsidR="002C7042" w:rsidRPr="00C6141B">
              <w:rPr>
                <w:noProof/>
                <w:webHidden/>
              </w:rPr>
              <w:fldChar w:fldCharType="separate"/>
            </w:r>
            <w:r w:rsidR="002C7042" w:rsidRPr="00C6141B">
              <w:rPr>
                <w:noProof/>
                <w:webHidden/>
              </w:rPr>
              <w:t>7</w:t>
            </w:r>
            <w:r w:rsidR="002C7042" w:rsidRPr="00C6141B">
              <w:rPr>
                <w:noProof/>
                <w:webHidden/>
              </w:rPr>
              <w:fldChar w:fldCharType="end"/>
            </w:r>
          </w:hyperlink>
        </w:p>
        <w:p w14:paraId="0ED3ECE6" w14:textId="0D98A55E" w:rsidR="002C7042" w:rsidRPr="00C6141B" w:rsidRDefault="00000000">
          <w:pPr>
            <w:pStyle w:val="TOC3"/>
            <w:tabs>
              <w:tab w:val="right" w:leader="dot" w:pos="9016"/>
            </w:tabs>
            <w:rPr>
              <w:rFonts w:asciiTheme="minorHAnsi" w:eastAsiaTheme="minorEastAsia" w:hAnsiTheme="minorHAnsi"/>
              <w:noProof/>
              <w:kern w:val="2"/>
              <w:sz w:val="22"/>
              <w:lang w:val="en-US"/>
              <w14:ligatures w14:val="standardContextual"/>
            </w:rPr>
          </w:pPr>
          <w:hyperlink w:anchor="_Toc175148036" w:history="1">
            <w:r w:rsidR="002C7042" w:rsidRPr="00C6141B">
              <w:rPr>
                <w:rStyle w:val="Hyperlink"/>
                <w:rFonts w:cs="Times New Roman"/>
                <w:noProof/>
                <w:lang w:val="en-US"/>
              </w:rPr>
              <w:t>2.2.1. Net Profit Margin</w:t>
            </w:r>
            <w:r w:rsidR="002C7042" w:rsidRPr="00C6141B">
              <w:rPr>
                <w:noProof/>
                <w:webHidden/>
              </w:rPr>
              <w:tab/>
            </w:r>
            <w:r w:rsidR="002C7042" w:rsidRPr="00C6141B">
              <w:rPr>
                <w:noProof/>
                <w:webHidden/>
              </w:rPr>
              <w:fldChar w:fldCharType="begin"/>
            </w:r>
            <w:r w:rsidR="002C7042" w:rsidRPr="00C6141B">
              <w:rPr>
                <w:noProof/>
                <w:webHidden/>
              </w:rPr>
              <w:instrText xml:space="preserve"> PAGEREF _Toc175148036 \h </w:instrText>
            </w:r>
            <w:r w:rsidR="002C7042" w:rsidRPr="00C6141B">
              <w:rPr>
                <w:noProof/>
                <w:webHidden/>
              </w:rPr>
            </w:r>
            <w:r w:rsidR="002C7042" w:rsidRPr="00C6141B">
              <w:rPr>
                <w:noProof/>
                <w:webHidden/>
              </w:rPr>
              <w:fldChar w:fldCharType="separate"/>
            </w:r>
            <w:r w:rsidR="002C7042" w:rsidRPr="00C6141B">
              <w:rPr>
                <w:noProof/>
                <w:webHidden/>
              </w:rPr>
              <w:t>7</w:t>
            </w:r>
            <w:r w:rsidR="002C7042" w:rsidRPr="00C6141B">
              <w:rPr>
                <w:noProof/>
                <w:webHidden/>
              </w:rPr>
              <w:fldChar w:fldCharType="end"/>
            </w:r>
          </w:hyperlink>
        </w:p>
        <w:p w14:paraId="7333F6EA" w14:textId="7CEE1AE7" w:rsidR="002C7042" w:rsidRPr="00C6141B" w:rsidRDefault="00000000">
          <w:pPr>
            <w:pStyle w:val="TOC3"/>
            <w:tabs>
              <w:tab w:val="right" w:leader="dot" w:pos="9016"/>
            </w:tabs>
            <w:rPr>
              <w:rFonts w:asciiTheme="minorHAnsi" w:eastAsiaTheme="minorEastAsia" w:hAnsiTheme="minorHAnsi"/>
              <w:noProof/>
              <w:kern w:val="2"/>
              <w:sz w:val="22"/>
              <w:lang w:val="en-US"/>
              <w14:ligatures w14:val="standardContextual"/>
            </w:rPr>
          </w:pPr>
          <w:hyperlink w:anchor="_Toc175148037" w:history="1">
            <w:r w:rsidR="002C7042" w:rsidRPr="00C6141B">
              <w:rPr>
                <w:rStyle w:val="Hyperlink"/>
                <w:rFonts w:cs="Times New Roman"/>
                <w:noProof/>
                <w:lang w:val="en-US"/>
              </w:rPr>
              <w:t>2.2.2. Current Ratio</w:t>
            </w:r>
            <w:r w:rsidR="002C7042" w:rsidRPr="00C6141B">
              <w:rPr>
                <w:noProof/>
                <w:webHidden/>
              </w:rPr>
              <w:tab/>
            </w:r>
            <w:r w:rsidR="002C7042" w:rsidRPr="00C6141B">
              <w:rPr>
                <w:noProof/>
                <w:webHidden/>
              </w:rPr>
              <w:fldChar w:fldCharType="begin"/>
            </w:r>
            <w:r w:rsidR="002C7042" w:rsidRPr="00C6141B">
              <w:rPr>
                <w:noProof/>
                <w:webHidden/>
              </w:rPr>
              <w:instrText xml:space="preserve"> PAGEREF _Toc175148037 \h </w:instrText>
            </w:r>
            <w:r w:rsidR="002C7042" w:rsidRPr="00C6141B">
              <w:rPr>
                <w:noProof/>
                <w:webHidden/>
              </w:rPr>
            </w:r>
            <w:r w:rsidR="002C7042" w:rsidRPr="00C6141B">
              <w:rPr>
                <w:noProof/>
                <w:webHidden/>
              </w:rPr>
              <w:fldChar w:fldCharType="separate"/>
            </w:r>
            <w:r w:rsidR="002C7042" w:rsidRPr="00C6141B">
              <w:rPr>
                <w:noProof/>
                <w:webHidden/>
              </w:rPr>
              <w:t>8</w:t>
            </w:r>
            <w:r w:rsidR="002C7042" w:rsidRPr="00C6141B">
              <w:rPr>
                <w:noProof/>
                <w:webHidden/>
              </w:rPr>
              <w:fldChar w:fldCharType="end"/>
            </w:r>
          </w:hyperlink>
        </w:p>
        <w:p w14:paraId="2B94542A" w14:textId="262E3AEE" w:rsidR="002C7042" w:rsidRPr="00C6141B" w:rsidRDefault="00000000">
          <w:pPr>
            <w:pStyle w:val="TOC3"/>
            <w:tabs>
              <w:tab w:val="right" w:leader="dot" w:pos="9016"/>
            </w:tabs>
            <w:rPr>
              <w:rFonts w:asciiTheme="minorHAnsi" w:eastAsiaTheme="minorEastAsia" w:hAnsiTheme="minorHAnsi"/>
              <w:noProof/>
              <w:kern w:val="2"/>
              <w:sz w:val="22"/>
              <w:lang w:val="en-US"/>
              <w14:ligatures w14:val="standardContextual"/>
            </w:rPr>
          </w:pPr>
          <w:hyperlink w:anchor="_Toc175148038" w:history="1">
            <w:r w:rsidR="002C7042" w:rsidRPr="00C6141B">
              <w:rPr>
                <w:rStyle w:val="Hyperlink"/>
                <w:rFonts w:cs="Times New Roman"/>
                <w:noProof/>
                <w:lang w:val="en-US"/>
              </w:rPr>
              <w:t>2.2.3. Debt-Equity Ratio</w:t>
            </w:r>
            <w:r w:rsidR="002C7042" w:rsidRPr="00C6141B">
              <w:rPr>
                <w:noProof/>
                <w:webHidden/>
              </w:rPr>
              <w:tab/>
            </w:r>
            <w:r w:rsidR="002C7042" w:rsidRPr="00C6141B">
              <w:rPr>
                <w:noProof/>
                <w:webHidden/>
              </w:rPr>
              <w:fldChar w:fldCharType="begin"/>
            </w:r>
            <w:r w:rsidR="002C7042" w:rsidRPr="00C6141B">
              <w:rPr>
                <w:noProof/>
                <w:webHidden/>
              </w:rPr>
              <w:instrText xml:space="preserve"> PAGEREF _Toc175148038 \h </w:instrText>
            </w:r>
            <w:r w:rsidR="002C7042" w:rsidRPr="00C6141B">
              <w:rPr>
                <w:noProof/>
                <w:webHidden/>
              </w:rPr>
            </w:r>
            <w:r w:rsidR="002C7042" w:rsidRPr="00C6141B">
              <w:rPr>
                <w:noProof/>
                <w:webHidden/>
              </w:rPr>
              <w:fldChar w:fldCharType="separate"/>
            </w:r>
            <w:r w:rsidR="002C7042" w:rsidRPr="00C6141B">
              <w:rPr>
                <w:noProof/>
                <w:webHidden/>
              </w:rPr>
              <w:t>10</w:t>
            </w:r>
            <w:r w:rsidR="002C7042" w:rsidRPr="00C6141B">
              <w:rPr>
                <w:noProof/>
                <w:webHidden/>
              </w:rPr>
              <w:fldChar w:fldCharType="end"/>
            </w:r>
          </w:hyperlink>
        </w:p>
        <w:p w14:paraId="746D8B1F" w14:textId="1E69123D" w:rsidR="002C7042" w:rsidRPr="00C6141B" w:rsidRDefault="00000000">
          <w:pPr>
            <w:pStyle w:val="TOC3"/>
            <w:tabs>
              <w:tab w:val="right" w:leader="dot" w:pos="9016"/>
            </w:tabs>
            <w:rPr>
              <w:rFonts w:asciiTheme="minorHAnsi" w:eastAsiaTheme="minorEastAsia" w:hAnsiTheme="minorHAnsi"/>
              <w:noProof/>
              <w:kern w:val="2"/>
              <w:sz w:val="22"/>
              <w:lang w:val="en-US"/>
              <w14:ligatures w14:val="standardContextual"/>
            </w:rPr>
          </w:pPr>
          <w:hyperlink w:anchor="_Toc175148039" w:history="1">
            <w:r w:rsidR="002C7042" w:rsidRPr="00C6141B">
              <w:rPr>
                <w:rStyle w:val="Hyperlink"/>
                <w:rFonts w:cs="Times New Roman"/>
                <w:noProof/>
                <w:lang w:val="en-US"/>
              </w:rPr>
              <w:t>2.2.4. Inventory Turnover Ratio</w:t>
            </w:r>
            <w:r w:rsidR="002C7042" w:rsidRPr="00C6141B">
              <w:rPr>
                <w:noProof/>
                <w:webHidden/>
              </w:rPr>
              <w:tab/>
            </w:r>
            <w:r w:rsidR="002C7042" w:rsidRPr="00C6141B">
              <w:rPr>
                <w:noProof/>
                <w:webHidden/>
              </w:rPr>
              <w:fldChar w:fldCharType="begin"/>
            </w:r>
            <w:r w:rsidR="002C7042" w:rsidRPr="00C6141B">
              <w:rPr>
                <w:noProof/>
                <w:webHidden/>
              </w:rPr>
              <w:instrText xml:space="preserve"> PAGEREF _Toc175148039 \h </w:instrText>
            </w:r>
            <w:r w:rsidR="002C7042" w:rsidRPr="00C6141B">
              <w:rPr>
                <w:noProof/>
                <w:webHidden/>
              </w:rPr>
            </w:r>
            <w:r w:rsidR="002C7042" w:rsidRPr="00C6141B">
              <w:rPr>
                <w:noProof/>
                <w:webHidden/>
              </w:rPr>
              <w:fldChar w:fldCharType="separate"/>
            </w:r>
            <w:r w:rsidR="002C7042" w:rsidRPr="00C6141B">
              <w:rPr>
                <w:noProof/>
                <w:webHidden/>
              </w:rPr>
              <w:t>11</w:t>
            </w:r>
            <w:r w:rsidR="002C7042" w:rsidRPr="00C6141B">
              <w:rPr>
                <w:noProof/>
                <w:webHidden/>
              </w:rPr>
              <w:fldChar w:fldCharType="end"/>
            </w:r>
          </w:hyperlink>
        </w:p>
        <w:p w14:paraId="297F297C" w14:textId="49D68957" w:rsidR="002C7042" w:rsidRPr="00C6141B" w:rsidRDefault="00000000">
          <w:pPr>
            <w:pStyle w:val="TOC2"/>
            <w:tabs>
              <w:tab w:val="right" w:leader="dot" w:pos="9016"/>
            </w:tabs>
            <w:rPr>
              <w:rFonts w:asciiTheme="minorHAnsi" w:eastAsiaTheme="minorEastAsia" w:hAnsiTheme="minorHAnsi"/>
              <w:noProof/>
              <w:kern w:val="2"/>
              <w:sz w:val="22"/>
              <w:lang w:val="en-US"/>
              <w14:ligatures w14:val="standardContextual"/>
            </w:rPr>
          </w:pPr>
          <w:hyperlink w:anchor="_Toc175148040" w:history="1">
            <w:r w:rsidR="002C7042" w:rsidRPr="00C6141B">
              <w:rPr>
                <w:rStyle w:val="Hyperlink"/>
                <w:rFonts w:cs="Times New Roman"/>
                <w:noProof/>
                <w:lang w:val="en-US"/>
              </w:rPr>
              <w:t>2.3. Competitor Analysis</w:t>
            </w:r>
            <w:r w:rsidR="002C7042" w:rsidRPr="00C6141B">
              <w:rPr>
                <w:noProof/>
                <w:webHidden/>
              </w:rPr>
              <w:tab/>
            </w:r>
            <w:r w:rsidR="002C7042" w:rsidRPr="00C6141B">
              <w:rPr>
                <w:noProof/>
                <w:webHidden/>
              </w:rPr>
              <w:fldChar w:fldCharType="begin"/>
            </w:r>
            <w:r w:rsidR="002C7042" w:rsidRPr="00C6141B">
              <w:rPr>
                <w:noProof/>
                <w:webHidden/>
              </w:rPr>
              <w:instrText xml:space="preserve"> PAGEREF _Toc175148040 \h </w:instrText>
            </w:r>
            <w:r w:rsidR="002C7042" w:rsidRPr="00C6141B">
              <w:rPr>
                <w:noProof/>
                <w:webHidden/>
              </w:rPr>
            </w:r>
            <w:r w:rsidR="002C7042" w:rsidRPr="00C6141B">
              <w:rPr>
                <w:noProof/>
                <w:webHidden/>
              </w:rPr>
              <w:fldChar w:fldCharType="separate"/>
            </w:r>
            <w:r w:rsidR="002C7042" w:rsidRPr="00C6141B">
              <w:rPr>
                <w:noProof/>
                <w:webHidden/>
              </w:rPr>
              <w:t>12</w:t>
            </w:r>
            <w:r w:rsidR="002C7042" w:rsidRPr="00C6141B">
              <w:rPr>
                <w:noProof/>
                <w:webHidden/>
              </w:rPr>
              <w:fldChar w:fldCharType="end"/>
            </w:r>
          </w:hyperlink>
        </w:p>
        <w:p w14:paraId="0E675264" w14:textId="3A5DC9C5" w:rsidR="002C7042" w:rsidRPr="00C6141B" w:rsidRDefault="00000000">
          <w:pPr>
            <w:pStyle w:val="TOC3"/>
            <w:tabs>
              <w:tab w:val="right" w:leader="dot" w:pos="9016"/>
            </w:tabs>
            <w:rPr>
              <w:rFonts w:asciiTheme="minorHAnsi" w:eastAsiaTheme="minorEastAsia" w:hAnsiTheme="minorHAnsi"/>
              <w:noProof/>
              <w:kern w:val="2"/>
              <w:sz w:val="22"/>
              <w:lang w:val="en-US"/>
              <w14:ligatures w14:val="standardContextual"/>
            </w:rPr>
          </w:pPr>
          <w:hyperlink w:anchor="_Toc175148041" w:history="1">
            <w:r w:rsidR="002C7042" w:rsidRPr="00C6141B">
              <w:rPr>
                <w:rStyle w:val="Hyperlink"/>
                <w:noProof/>
                <w:lang w:val="en-US"/>
              </w:rPr>
              <w:t>2.3.1 Net Profit Ratio</w:t>
            </w:r>
            <w:r w:rsidR="002C7042" w:rsidRPr="00C6141B">
              <w:rPr>
                <w:noProof/>
                <w:webHidden/>
              </w:rPr>
              <w:tab/>
            </w:r>
            <w:r w:rsidR="002C7042" w:rsidRPr="00C6141B">
              <w:rPr>
                <w:noProof/>
                <w:webHidden/>
              </w:rPr>
              <w:fldChar w:fldCharType="begin"/>
            </w:r>
            <w:r w:rsidR="002C7042" w:rsidRPr="00C6141B">
              <w:rPr>
                <w:noProof/>
                <w:webHidden/>
              </w:rPr>
              <w:instrText xml:space="preserve"> PAGEREF _Toc175148041 \h </w:instrText>
            </w:r>
            <w:r w:rsidR="002C7042" w:rsidRPr="00C6141B">
              <w:rPr>
                <w:noProof/>
                <w:webHidden/>
              </w:rPr>
            </w:r>
            <w:r w:rsidR="002C7042" w:rsidRPr="00C6141B">
              <w:rPr>
                <w:noProof/>
                <w:webHidden/>
              </w:rPr>
              <w:fldChar w:fldCharType="separate"/>
            </w:r>
            <w:r w:rsidR="002C7042" w:rsidRPr="00C6141B">
              <w:rPr>
                <w:noProof/>
                <w:webHidden/>
              </w:rPr>
              <w:t>12</w:t>
            </w:r>
            <w:r w:rsidR="002C7042" w:rsidRPr="00C6141B">
              <w:rPr>
                <w:noProof/>
                <w:webHidden/>
              </w:rPr>
              <w:fldChar w:fldCharType="end"/>
            </w:r>
          </w:hyperlink>
        </w:p>
        <w:p w14:paraId="2CD07FBA" w14:textId="62F3CC58" w:rsidR="002C7042" w:rsidRPr="00C6141B" w:rsidRDefault="00000000">
          <w:pPr>
            <w:pStyle w:val="TOC3"/>
            <w:tabs>
              <w:tab w:val="right" w:leader="dot" w:pos="9016"/>
            </w:tabs>
            <w:rPr>
              <w:rFonts w:asciiTheme="minorHAnsi" w:eastAsiaTheme="minorEastAsia" w:hAnsiTheme="minorHAnsi"/>
              <w:noProof/>
              <w:kern w:val="2"/>
              <w:sz w:val="22"/>
              <w:lang w:val="en-US"/>
              <w14:ligatures w14:val="standardContextual"/>
            </w:rPr>
          </w:pPr>
          <w:hyperlink w:anchor="_Toc175148042" w:history="1">
            <w:r w:rsidR="002C7042" w:rsidRPr="00C6141B">
              <w:rPr>
                <w:rStyle w:val="Hyperlink"/>
                <w:rFonts w:eastAsia="Times New Roman"/>
                <w:noProof/>
                <w:lang w:val="en-US"/>
              </w:rPr>
              <w:t>2.3.2 Current Ratio</w:t>
            </w:r>
            <w:r w:rsidR="002C7042" w:rsidRPr="00C6141B">
              <w:rPr>
                <w:noProof/>
                <w:webHidden/>
              </w:rPr>
              <w:tab/>
            </w:r>
            <w:r w:rsidR="002C7042" w:rsidRPr="00C6141B">
              <w:rPr>
                <w:noProof/>
                <w:webHidden/>
              </w:rPr>
              <w:fldChar w:fldCharType="begin"/>
            </w:r>
            <w:r w:rsidR="002C7042" w:rsidRPr="00C6141B">
              <w:rPr>
                <w:noProof/>
                <w:webHidden/>
              </w:rPr>
              <w:instrText xml:space="preserve"> PAGEREF _Toc175148042 \h </w:instrText>
            </w:r>
            <w:r w:rsidR="002C7042" w:rsidRPr="00C6141B">
              <w:rPr>
                <w:noProof/>
                <w:webHidden/>
              </w:rPr>
            </w:r>
            <w:r w:rsidR="002C7042" w:rsidRPr="00C6141B">
              <w:rPr>
                <w:noProof/>
                <w:webHidden/>
              </w:rPr>
              <w:fldChar w:fldCharType="separate"/>
            </w:r>
            <w:r w:rsidR="002C7042" w:rsidRPr="00C6141B">
              <w:rPr>
                <w:noProof/>
                <w:webHidden/>
              </w:rPr>
              <w:t>13</w:t>
            </w:r>
            <w:r w:rsidR="002C7042" w:rsidRPr="00C6141B">
              <w:rPr>
                <w:noProof/>
                <w:webHidden/>
              </w:rPr>
              <w:fldChar w:fldCharType="end"/>
            </w:r>
          </w:hyperlink>
        </w:p>
        <w:p w14:paraId="55C0BB4A" w14:textId="69913B82" w:rsidR="002C7042" w:rsidRPr="00C6141B" w:rsidRDefault="00000000">
          <w:pPr>
            <w:pStyle w:val="TOC3"/>
            <w:tabs>
              <w:tab w:val="right" w:leader="dot" w:pos="9016"/>
            </w:tabs>
            <w:rPr>
              <w:rFonts w:asciiTheme="minorHAnsi" w:eastAsiaTheme="minorEastAsia" w:hAnsiTheme="minorHAnsi"/>
              <w:noProof/>
              <w:kern w:val="2"/>
              <w:sz w:val="22"/>
              <w:lang w:val="en-US"/>
              <w14:ligatures w14:val="standardContextual"/>
            </w:rPr>
          </w:pPr>
          <w:hyperlink w:anchor="_Toc175148043" w:history="1">
            <w:r w:rsidR="002C7042" w:rsidRPr="00C6141B">
              <w:rPr>
                <w:rStyle w:val="Hyperlink"/>
                <w:noProof/>
                <w:lang w:val="en-US"/>
              </w:rPr>
              <w:t>2.3.3 Inventory Turnover Ratio</w:t>
            </w:r>
            <w:r w:rsidR="002C7042" w:rsidRPr="00C6141B">
              <w:rPr>
                <w:noProof/>
                <w:webHidden/>
              </w:rPr>
              <w:tab/>
            </w:r>
            <w:r w:rsidR="002C7042" w:rsidRPr="00C6141B">
              <w:rPr>
                <w:noProof/>
                <w:webHidden/>
              </w:rPr>
              <w:fldChar w:fldCharType="begin"/>
            </w:r>
            <w:r w:rsidR="002C7042" w:rsidRPr="00C6141B">
              <w:rPr>
                <w:noProof/>
                <w:webHidden/>
              </w:rPr>
              <w:instrText xml:space="preserve"> PAGEREF _Toc175148043 \h </w:instrText>
            </w:r>
            <w:r w:rsidR="002C7042" w:rsidRPr="00C6141B">
              <w:rPr>
                <w:noProof/>
                <w:webHidden/>
              </w:rPr>
            </w:r>
            <w:r w:rsidR="002C7042" w:rsidRPr="00C6141B">
              <w:rPr>
                <w:noProof/>
                <w:webHidden/>
              </w:rPr>
              <w:fldChar w:fldCharType="separate"/>
            </w:r>
            <w:r w:rsidR="002C7042" w:rsidRPr="00C6141B">
              <w:rPr>
                <w:noProof/>
                <w:webHidden/>
              </w:rPr>
              <w:t>13</w:t>
            </w:r>
            <w:r w:rsidR="002C7042" w:rsidRPr="00C6141B">
              <w:rPr>
                <w:noProof/>
                <w:webHidden/>
              </w:rPr>
              <w:fldChar w:fldCharType="end"/>
            </w:r>
          </w:hyperlink>
        </w:p>
        <w:p w14:paraId="5DDDF2FA" w14:textId="67E272A9" w:rsidR="002C7042" w:rsidRPr="00C6141B" w:rsidRDefault="00000000">
          <w:pPr>
            <w:pStyle w:val="TOC3"/>
            <w:tabs>
              <w:tab w:val="right" w:leader="dot" w:pos="9016"/>
            </w:tabs>
            <w:rPr>
              <w:rFonts w:asciiTheme="minorHAnsi" w:eastAsiaTheme="minorEastAsia" w:hAnsiTheme="minorHAnsi"/>
              <w:noProof/>
              <w:kern w:val="2"/>
              <w:sz w:val="22"/>
              <w:lang w:val="en-US"/>
              <w14:ligatures w14:val="standardContextual"/>
            </w:rPr>
          </w:pPr>
          <w:hyperlink w:anchor="_Toc175148044" w:history="1">
            <w:r w:rsidR="002C7042" w:rsidRPr="00C6141B">
              <w:rPr>
                <w:rStyle w:val="Hyperlink"/>
                <w:noProof/>
              </w:rPr>
              <w:t>2.3.4 Debt-to-Equity Ratio</w:t>
            </w:r>
            <w:r w:rsidR="002C7042" w:rsidRPr="00C6141B">
              <w:rPr>
                <w:noProof/>
                <w:webHidden/>
              </w:rPr>
              <w:tab/>
            </w:r>
            <w:r w:rsidR="002C7042" w:rsidRPr="00C6141B">
              <w:rPr>
                <w:noProof/>
                <w:webHidden/>
              </w:rPr>
              <w:fldChar w:fldCharType="begin"/>
            </w:r>
            <w:r w:rsidR="002C7042" w:rsidRPr="00C6141B">
              <w:rPr>
                <w:noProof/>
                <w:webHidden/>
              </w:rPr>
              <w:instrText xml:space="preserve"> PAGEREF _Toc175148044 \h </w:instrText>
            </w:r>
            <w:r w:rsidR="002C7042" w:rsidRPr="00C6141B">
              <w:rPr>
                <w:noProof/>
                <w:webHidden/>
              </w:rPr>
            </w:r>
            <w:r w:rsidR="002C7042" w:rsidRPr="00C6141B">
              <w:rPr>
                <w:noProof/>
                <w:webHidden/>
              </w:rPr>
              <w:fldChar w:fldCharType="separate"/>
            </w:r>
            <w:r w:rsidR="002C7042" w:rsidRPr="00C6141B">
              <w:rPr>
                <w:noProof/>
                <w:webHidden/>
              </w:rPr>
              <w:t>14</w:t>
            </w:r>
            <w:r w:rsidR="002C7042" w:rsidRPr="00C6141B">
              <w:rPr>
                <w:noProof/>
                <w:webHidden/>
              </w:rPr>
              <w:fldChar w:fldCharType="end"/>
            </w:r>
          </w:hyperlink>
        </w:p>
        <w:p w14:paraId="26BF4CA5" w14:textId="70C45F34" w:rsidR="002C7042" w:rsidRPr="00C6141B" w:rsidRDefault="00000000">
          <w:pPr>
            <w:pStyle w:val="TOC2"/>
            <w:tabs>
              <w:tab w:val="right" w:leader="dot" w:pos="9016"/>
            </w:tabs>
            <w:rPr>
              <w:rFonts w:asciiTheme="minorHAnsi" w:eastAsiaTheme="minorEastAsia" w:hAnsiTheme="minorHAnsi"/>
              <w:noProof/>
              <w:kern w:val="2"/>
              <w:sz w:val="22"/>
              <w:lang w:val="en-US"/>
              <w14:ligatures w14:val="standardContextual"/>
            </w:rPr>
          </w:pPr>
          <w:hyperlink w:anchor="_Toc175148045" w:history="1">
            <w:r w:rsidR="002C7042" w:rsidRPr="00C6141B">
              <w:rPr>
                <w:rStyle w:val="Hyperlink"/>
                <w:rFonts w:cs="Times New Roman"/>
                <w:noProof/>
                <w:lang w:val="en-US"/>
              </w:rPr>
              <w:t>2.4. Recommendations</w:t>
            </w:r>
            <w:r w:rsidR="002C7042" w:rsidRPr="00C6141B">
              <w:rPr>
                <w:noProof/>
                <w:webHidden/>
              </w:rPr>
              <w:tab/>
            </w:r>
            <w:r w:rsidR="002C7042" w:rsidRPr="00C6141B">
              <w:rPr>
                <w:noProof/>
                <w:webHidden/>
              </w:rPr>
              <w:fldChar w:fldCharType="begin"/>
            </w:r>
            <w:r w:rsidR="002C7042" w:rsidRPr="00C6141B">
              <w:rPr>
                <w:noProof/>
                <w:webHidden/>
              </w:rPr>
              <w:instrText xml:space="preserve"> PAGEREF _Toc175148045 \h </w:instrText>
            </w:r>
            <w:r w:rsidR="002C7042" w:rsidRPr="00C6141B">
              <w:rPr>
                <w:noProof/>
                <w:webHidden/>
              </w:rPr>
            </w:r>
            <w:r w:rsidR="002C7042" w:rsidRPr="00C6141B">
              <w:rPr>
                <w:noProof/>
                <w:webHidden/>
              </w:rPr>
              <w:fldChar w:fldCharType="separate"/>
            </w:r>
            <w:r w:rsidR="002C7042" w:rsidRPr="00C6141B">
              <w:rPr>
                <w:noProof/>
                <w:webHidden/>
              </w:rPr>
              <w:t>15</w:t>
            </w:r>
            <w:r w:rsidR="002C7042" w:rsidRPr="00C6141B">
              <w:rPr>
                <w:noProof/>
                <w:webHidden/>
              </w:rPr>
              <w:fldChar w:fldCharType="end"/>
            </w:r>
          </w:hyperlink>
        </w:p>
        <w:p w14:paraId="13EC1808" w14:textId="68F74266" w:rsidR="002C7042" w:rsidRPr="00C6141B" w:rsidRDefault="00000000">
          <w:pPr>
            <w:pStyle w:val="TOC1"/>
            <w:tabs>
              <w:tab w:val="right" w:leader="dot" w:pos="9016"/>
            </w:tabs>
            <w:rPr>
              <w:rFonts w:asciiTheme="minorHAnsi" w:eastAsiaTheme="minorEastAsia" w:hAnsiTheme="minorHAnsi"/>
              <w:noProof/>
              <w:kern w:val="2"/>
              <w:sz w:val="22"/>
              <w:lang w:val="en-US"/>
              <w14:ligatures w14:val="standardContextual"/>
            </w:rPr>
          </w:pPr>
          <w:hyperlink w:anchor="_Toc175148046" w:history="1">
            <w:r w:rsidR="002C7042" w:rsidRPr="00C6141B">
              <w:rPr>
                <w:rStyle w:val="Hyperlink"/>
                <w:rFonts w:cs="Times New Roman"/>
                <w:noProof/>
                <w:lang w:val="en-US"/>
              </w:rPr>
              <w:t>3. Part C: Investment Appraisal of Projects</w:t>
            </w:r>
            <w:r w:rsidR="002C7042" w:rsidRPr="00C6141B">
              <w:rPr>
                <w:noProof/>
                <w:webHidden/>
              </w:rPr>
              <w:tab/>
            </w:r>
            <w:r w:rsidR="002C7042" w:rsidRPr="00C6141B">
              <w:rPr>
                <w:noProof/>
                <w:webHidden/>
              </w:rPr>
              <w:fldChar w:fldCharType="begin"/>
            </w:r>
            <w:r w:rsidR="002C7042" w:rsidRPr="00C6141B">
              <w:rPr>
                <w:noProof/>
                <w:webHidden/>
              </w:rPr>
              <w:instrText xml:space="preserve"> PAGEREF _Toc175148046 \h </w:instrText>
            </w:r>
            <w:r w:rsidR="002C7042" w:rsidRPr="00C6141B">
              <w:rPr>
                <w:noProof/>
                <w:webHidden/>
              </w:rPr>
            </w:r>
            <w:r w:rsidR="002C7042" w:rsidRPr="00C6141B">
              <w:rPr>
                <w:noProof/>
                <w:webHidden/>
              </w:rPr>
              <w:fldChar w:fldCharType="separate"/>
            </w:r>
            <w:r w:rsidR="002C7042" w:rsidRPr="00C6141B">
              <w:rPr>
                <w:noProof/>
                <w:webHidden/>
              </w:rPr>
              <w:t>17</w:t>
            </w:r>
            <w:r w:rsidR="002C7042" w:rsidRPr="00C6141B">
              <w:rPr>
                <w:noProof/>
                <w:webHidden/>
              </w:rPr>
              <w:fldChar w:fldCharType="end"/>
            </w:r>
          </w:hyperlink>
        </w:p>
        <w:p w14:paraId="6362A653" w14:textId="34090CA4" w:rsidR="002C7042" w:rsidRPr="00C6141B" w:rsidRDefault="00000000">
          <w:pPr>
            <w:pStyle w:val="TOC2"/>
            <w:tabs>
              <w:tab w:val="right" w:leader="dot" w:pos="9016"/>
            </w:tabs>
            <w:rPr>
              <w:rFonts w:asciiTheme="minorHAnsi" w:eastAsiaTheme="minorEastAsia" w:hAnsiTheme="minorHAnsi"/>
              <w:noProof/>
              <w:kern w:val="2"/>
              <w:sz w:val="22"/>
              <w:lang w:val="en-US"/>
              <w14:ligatures w14:val="standardContextual"/>
            </w:rPr>
          </w:pPr>
          <w:hyperlink w:anchor="_Toc175148047" w:history="1">
            <w:r w:rsidR="002C7042" w:rsidRPr="00C6141B">
              <w:rPr>
                <w:rStyle w:val="Hyperlink"/>
                <w:rFonts w:cs="Times New Roman"/>
                <w:noProof/>
              </w:rPr>
              <w:t>3.1 Computation and evaluation of NPV, PBP and ARR</w:t>
            </w:r>
            <w:r w:rsidR="002C7042" w:rsidRPr="00C6141B">
              <w:rPr>
                <w:noProof/>
                <w:webHidden/>
              </w:rPr>
              <w:tab/>
            </w:r>
            <w:r w:rsidR="002C7042" w:rsidRPr="00C6141B">
              <w:rPr>
                <w:noProof/>
                <w:webHidden/>
              </w:rPr>
              <w:fldChar w:fldCharType="begin"/>
            </w:r>
            <w:r w:rsidR="002C7042" w:rsidRPr="00C6141B">
              <w:rPr>
                <w:noProof/>
                <w:webHidden/>
              </w:rPr>
              <w:instrText xml:space="preserve"> PAGEREF _Toc175148047 \h </w:instrText>
            </w:r>
            <w:r w:rsidR="002C7042" w:rsidRPr="00C6141B">
              <w:rPr>
                <w:noProof/>
                <w:webHidden/>
              </w:rPr>
            </w:r>
            <w:r w:rsidR="002C7042" w:rsidRPr="00C6141B">
              <w:rPr>
                <w:noProof/>
                <w:webHidden/>
              </w:rPr>
              <w:fldChar w:fldCharType="separate"/>
            </w:r>
            <w:r w:rsidR="002C7042" w:rsidRPr="00C6141B">
              <w:rPr>
                <w:noProof/>
                <w:webHidden/>
              </w:rPr>
              <w:t>17</w:t>
            </w:r>
            <w:r w:rsidR="002C7042" w:rsidRPr="00C6141B">
              <w:rPr>
                <w:noProof/>
                <w:webHidden/>
              </w:rPr>
              <w:fldChar w:fldCharType="end"/>
            </w:r>
          </w:hyperlink>
        </w:p>
        <w:p w14:paraId="5A939990" w14:textId="349A758E" w:rsidR="002C7042" w:rsidRPr="00C6141B" w:rsidRDefault="00000000">
          <w:pPr>
            <w:pStyle w:val="TOC3"/>
            <w:tabs>
              <w:tab w:val="right" w:leader="dot" w:pos="9016"/>
            </w:tabs>
            <w:rPr>
              <w:rFonts w:asciiTheme="minorHAnsi" w:eastAsiaTheme="minorEastAsia" w:hAnsiTheme="minorHAnsi"/>
              <w:noProof/>
              <w:kern w:val="2"/>
              <w:sz w:val="22"/>
              <w:lang w:val="en-US"/>
              <w14:ligatures w14:val="standardContextual"/>
            </w:rPr>
          </w:pPr>
          <w:hyperlink w:anchor="_Toc175148048" w:history="1">
            <w:r w:rsidR="002C7042" w:rsidRPr="00C6141B">
              <w:rPr>
                <w:rStyle w:val="Hyperlink"/>
                <w:rFonts w:cs="Times New Roman"/>
                <w:noProof/>
              </w:rPr>
              <w:t>3.1.1 Net Present Value (NPV)</w:t>
            </w:r>
            <w:r w:rsidR="002C7042" w:rsidRPr="00C6141B">
              <w:rPr>
                <w:noProof/>
                <w:webHidden/>
              </w:rPr>
              <w:tab/>
            </w:r>
            <w:r w:rsidR="002C7042" w:rsidRPr="00C6141B">
              <w:rPr>
                <w:noProof/>
                <w:webHidden/>
              </w:rPr>
              <w:fldChar w:fldCharType="begin"/>
            </w:r>
            <w:r w:rsidR="002C7042" w:rsidRPr="00C6141B">
              <w:rPr>
                <w:noProof/>
                <w:webHidden/>
              </w:rPr>
              <w:instrText xml:space="preserve"> PAGEREF _Toc175148048 \h </w:instrText>
            </w:r>
            <w:r w:rsidR="002C7042" w:rsidRPr="00C6141B">
              <w:rPr>
                <w:noProof/>
                <w:webHidden/>
              </w:rPr>
            </w:r>
            <w:r w:rsidR="002C7042" w:rsidRPr="00C6141B">
              <w:rPr>
                <w:noProof/>
                <w:webHidden/>
              </w:rPr>
              <w:fldChar w:fldCharType="separate"/>
            </w:r>
            <w:r w:rsidR="002C7042" w:rsidRPr="00C6141B">
              <w:rPr>
                <w:noProof/>
                <w:webHidden/>
              </w:rPr>
              <w:t>17</w:t>
            </w:r>
            <w:r w:rsidR="002C7042" w:rsidRPr="00C6141B">
              <w:rPr>
                <w:noProof/>
                <w:webHidden/>
              </w:rPr>
              <w:fldChar w:fldCharType="end"/>
            </w:r>
          </w:hyperlink>
        </w:p>
        <w:p w14:paraId="6B771A3A" w14:textId="72CD8811" w:rsidR="002C7042" w:rsidRPr="00C6141B" w:rsidRDefault="00000000">
          <w:pPr>
            <w:pStyle w:val="TOC3"/>
            <w:tabs>
              <w:tab w:val="right" w:leader="dot" w:pos="9016"/>
            </w:tabs>
            <w:rPr>
              <w:rFonts w:asciiTheme="minorHAnsi" w:eastAsiaTheme="minorEastAsia" w:hAnsiTheme="minorHAnsi"/>
              <w:noProof/>
              <w:kern w:val="2"/>
              <w:sz w:val="22"/>
              <w:lang w:val="en-US"/>
              <w14:ligatures w14:val="standardContextual"/>
            </w:rPr>
          </w:pPr>
          <w:hyperlink w:anchor="_Toc175148049" w:history="1">
            <w:r w:rsidR="002C7042" w:rsidRPr="00C6141B">
              <w:rPr>
                <w:rStyle w:val="Hyperlink"/>
                <w:rFonts w:eastAsia="Times New Roman" w:cs="Times New Roman"/>
                <w:noProof/>
                <w:lang w:bidi="hi-IN"/>
              </w:rPr>
              <w:t>3.1.2 Payback Period (PBP)</w:t>
            </w:r>
            <w:r w:rsidR="002C7042" w:rsidRPr="00C6141B">
              <w:rPr>
                <w:noProof/>
                <w:webHidden/>
              </w:rPr>
              <w:tab/>
            </w:r>
            <w:r w:rsidR="002C7042" w:rsidRPr="00C6141B">
              <w:rPr>
                <w:noProof/>
                <w:webHidden/>
              </w:rPr>
              <w:fldChar w:fldCharType="begin"/>
            </w:r>
            <w:r w:rsidR="002C7042" w:rsidRPr="00C6141B">
              <w:rPr>
                <w:noProof/>
                <w:webHidden/>
              </w:rPr>
              <w:instrText xml:space="preserve"> PAGEREF _Toc175148049 \h </w:instrText>
            </w:r>
            <w:r w:rsidR="002C7042" w:rsidRPr="00C6141B">
              <w:rPr>
                <w:noProof/>
                <w:webHidden/>
              </w:rPr>
            </w:r>
            <w:r w:rsidR="002C7042" w:rsidRPr="00C6141B">
              <w:rPr>
                <w:noProof/>
                <w:webHidden/>
              </w:rPr>
              <w:fldChar w:fldCharType="separate"/>
            </w:r>
            <w:r w:rsidR="002C7042" w:rsidRPr="00C6141B">
              <w:rPr>
                <w:noProof/>
                <w:webHidden/>
              </w:rPr>
              <w:t>17</w:t>
            </w:r>
            <w:r w:rsidR="002C7042" w:rsidRPr="00C6141B">
              <w:rPr>
                <w:noProof/>
                <w:webHidden/>
              </w:rPr>
              <w:fldChar w:fldCharType="end"/>
            </w:r>
          </w:hyperlink>
        </w:p>
        <w:p w14:paraId="53361902" w14:textId="04671D35" w:rsidR="002C7042" w:rsidRPr="00C6141B" w:rsidRDefault="00000000">
          <w:pPr>
            <w:pStyle w:val="TOC3"/>
            <w:tabs>
              <w:tab w:val="right" w:leader="dot" w:pos="9016"/>
            </w:tabs>
            <w:rPr>
              <w:rFonts w:asciiTheme="minorHAnsi" w:eastAsiaTheme="minorEastAsia" w:hAnsiTheme="minorHAnsi"/>
              <w:noProof/>
              <w:kern w:val="2"/>
              <w:sz w:val="22"/>
              <w:lang w:val="en-US"/>
              <w14:ligatures w14:val="standardContextual"/>
            </w:rPr>
          </w:pPr>
          <w:hyperlink w:anchor="_Toc175148050" w:history="1">
            <w:r w:rsidR="002C7042" w:rsidRPr="00C6141B">
              <w:rPr>
                <w:rStyle w:val="Hyperlink"/>
                <w:rFonts w:cs="Times New Roman"/>
                <w:noProof/>
              </w:rPr>
              <w:t>3.1.3 Accounting Rate of Return (ARR)</w:t>
            </w:r>
            <w:r w:rsidR="002C7042" w:rsidRPr="00C6141B">
              <w:rPr>
                <w:noProof/>
                <w:webHidden/>
              </w:rPr>
              <w:tab/>
            </w:r>
            <w:r w:rsidR="002C7042" w:rsidRPr="00C6141B">
              <w:rPr>
                <w:noProof/>
                <w:webHidden/>
              </w:rPr>
              <w:fldChar w:fldCharType="begin"/>
            </w:r>
            <w:r w:rsidR="002C7042" w:rsidRPr="00C6141B">
              <w:rPr>
                <w:noProof/>
                <w:webHidden/>
              </w:rPr>
              <w:instrText xml:space="preserve"> PAGEREF _Toc175148050 \h </w:instrText>
            </w:r>
            <w:r w:rsidR="002C7042" w:rsidRPr="00C6141B">
              <w:rPr>
                <w:noProof/>
                <w:webHidden/>
              </w:rPr>
            </w:r>
            <w:r w:rsidR="002C7042" w:rsidRPr="00C6141B">
              <w:rPr>
                <w:noProof/>
                <w:webHidden/>
              </w:rPr>
              <w:fldChar w:fldCharType="separate"/>
            </w:r>
            <w:r w:rsidR="002C7042" w:rsidRPr="00C6141B">
              <w:rPr>
                <w:noProof/>
                <w:webHidden/>
              </w:rPr>
              <w:t>18</w:t>
            </w:r>
            <w:r w:rsidR="002C7042" w:rsidRPr="00C6141B">
              <w:rPr>
                <w:noProof/>
                <w:webHidden/>
              </w:rPr>
              <w:fldChar w:fldCharType="end"/>
            </w:r>
          </w:hyperlink>
        </w:p>
        <w:p w14:paraId="5D6A37F8" w14:textId="45C9C73A" w:rsidR="002C7042" w:rsidRPr="00C6141B" w:rsidRDefault="00000000">
          <w:pPr>
            <w:pStyle w:val="TOC2"/>
            <w:tabs>
              <w:tab w:val="right" w:leader="dot" w:pos="9016"/>
            </w:tabs>
            <w:rPr>
              <w:rFonts w:asciiTheme="minorHAnsi" w:eastAsiaTheme="minorEastAsia" w:hAnsiTheme="minorHAnsi"/>
              <w:noProof/>
              <w:kern w:val="2"/>
              <w:sz w:val="22"/>
              <w:lang w:val="en-US"/>
              <w14:ligatures w14:val="standardContextual"/>
            </w:rPr>
          </w:pPr>
          <w:hyperlink w:anchor="_Toc175148051" w:history="1">
            <w:r w:rsidR="002C7042" w:rsidRPr="00C6141B">
              <w:rPr>
                <w:rStyle w:val="Hyperlink"/>
                <w:rFonts w:cs="Times New Roman"/>
                <w:noProof/>
              </w:rPr>
              <w:t>3.2 Computation of NPV and PBP when investment increase and inflow decrease</w:t>
            </w:r>
            <w:r w:rsidR="002C7042" w:rsidRPr="00C6141B">
              <w:rPr>
                <w:noProof/>
                <w:webHidden/>
              </w:rPr>
              <w:tab/>
            </w:r>
            <w:r w:rsidR="002C7042" w:rsidRPr="00C6141B">
              <w:rPr>
                <w:noProof/>
                <w:webHidden/>
              </w:rPr>
              <w:fldChar w:fldCharType="begin"/>
            </w:r>
            <w:r w:rsidR="002C7042" w:rsidRPr="00C6141B">
              <w:rPr>
                <w:noProof/>
                <w:webHidden/>
              </w:rPr>
              <w:instrText xml:space="preserve"> PAGEREF _Toc175148051 \h </w:instrText>
            </w:r>
            <w:r w:rsidR="002C7042" w:rsidRPr="00C6141B">
              <w:rPr>
                <w:noProof/>
                <w:webHidden/>
              </w:rPr>
            </w:r>
            <w:r w:rsidR="002C7042" w:rsidRPr="00C6141B">
              <w:rPr>
                <w:noProof/>
                <w:webHidden/>
              </w:rPr>
              <w:fldChar w:fldCharType="separate"/>
            </w:r>
            <w:r w:rsidR="002C7042" w:rsidRPr="00C6141B">
              <w:rPr>
                <w:noProof/>
                <w:webHidden/>
              </w:rPr>
              <w:t>19</w:t>
            </w:r>
            <w:r w:rsidR="002C7042" w:rsidRPr="00C6141B">
              <w:rPr>
                <w:noProof/>
                <w:webHidden/>
              </w:rPr>
              <w:fldChar w:fldCharType="end"/>
            </w:r>
          </w:hyperlink>
        </w:p>
        <w:p w14:paraId="4EF2018E" w14:textId="66E57ED8" w:rsidR="002C7042" w:rsidRPr="00C6141B" w:rsidRDefault="00000000">
          <w:pPr>
            <w:pStyle w:val="TOC2"/>
            <w:tabs>
              <w:tab w:val="right" w:leader="dot" w:pos="9016"/>
            </w:tabs>
            <w:rPr>
              <w:rFonts w:asciiTheme="minorHAnsi" w:eastAsiaTheme="minorEastAsia" w:hAnsiTheme="minorHAnsi"/>
              <w:noProof/>
              <w:kern w:val="2"/>
              <w:sz w:val="22"/>
              <w:lang w:val="en-US"/>
              <w14:ligatures w14:val="standardContextual"/>
            </w:rPr>
          </w:pPr>
          <w:hyperlink w:anchor="_Toc175148052" w:history="1">
            <w:r w:rsidR="002C7042" w:rsidRPr="00C6141B">
              <w:rPr>
                <w:rStyle w:val="Hyperlink"/>
                <w:rFonts w:cs="Times New Roman"/>
                <w:noProof/>
              </w:rPr>
              <w:t>3.3. Advantages and shortcomings of the PBP, ARR and NPV technique</w:t>
            </w:r>
            <w:r w:rsidR="002C7042" w:rsidRPr="00C6141B">
              <w:rPr>
                <w:noProof/>
                <w:webHidden/>
              </w:rPr>
              <w:tab/>
            </w:r>
            <w:r w:rsidR="002C7042" w:rsidRPr="00C6141B">
              <w:rPr>
                <w:noProof/>
                <w:webHidden/>
              </w:rPr>
              <w:fldChar w:fldCharType="begin"/>
            </w:r>
            <w:r w:rsidR="002C7042" w:rsidRPr="00C6141B">
              <w:rPr>
                <w:noProof/>
                <w:webHidden/>
              </w:rPr>
              <w:instrText xml:space="preserve"> PAGEREF _Toc175148052 \h </w:instrText>
            </w:r>
            <w:r w:rsidR="002C7042" w:rsidRPr="00C6141B">
              <w:rPr>
                <w:noProof/>
                <w:webHidden/>
              </w:rPr>
            </w:r>
            <w:r w:rsidR="002C7042" w:rsidRPr="00C6141B">
              <w:rPr>
                <w:noProof/>
                <w:webHidden/>
              </w:rPr>
              <w:fldChar w:fldCharType="separate"/>
            </w:r>
            <w:r w:rsidR="002C7042" w:rsidRPr="00C6141B">
              <w:rPr>
                <w:noProof/>
                <w:webHidden/>
              </w:rPr>
              <w:t>21</w:t>
            </w:r>
            <w:r w:rsidR="002C7042" w:rsidRPr="00C6141B">
              <w:rPr>
                <w:noProof/>
                <w:webHidden/>
              </w:rPr>
              <w:fldChar w:fldCharType="end"/>
            </w:r>
          </w:hyperlink>
        </w:p>
        <w:p w14:paraId="353283F8" w14:textId="78B31403" w:rsidR="002C7042" w:rsidRPr="00C6141B" w:rsidRDefault="00000000">
          <w:pPr>
            <w:pStyle w:val="TOC2"/>
            <w:tabs>
              <w:tab w:val="right" w:leader="dot" w:pos="9016"/>
            </w:tabs>
            <w:rPr>
              <w:rFonts w:asciiTheme="minorHAnsi" w:eastAsiaTheme="minorEastAsia" w:hAnsiTheme="minorHAnsi"/>
              <w:noProof/>
              <w:kern w:val="2"/>
              <w:sz w:val="22"/>
              <w:lang w:val="en-US"/>
              <w14:ligatures w14:val="standardContextual"/>
            </w:rPr>
          </w:pPr>
          <w:hyperlink w:anchor="_Toc175148053" w:history="1">
            <w:r w:rsidR="002C7042" w:rsidRPr="00C6141B">
              <w:rPr>
                <w:rStyle w:val="Hyperlink"/>
                <w:rFonts w:eastAsia="Times New Roman" w:cs="Times New Roman"/>
                <w:noProof/>
                <w:lang w:val="en-US" w:bidi="hi-IN"/>
              </w:rPr>
              <w:t>3.4 Non financial factors</w:t>
            </w:r>
            <w:r w:rsidR="002C7042" w:rsidRPr="00C6141B">
              <w:rPr>
                <w:noProof/>
                <w:webHidden/>
              </w:rPr>
              <w:tab/>
            </w:r>
            <w:r w:rsidR="002C7042" w:rsidRPr="00C6141B">
              <w:rPr>
                <w:noProof/>
                <w:webHidden/>
              </w:rPr>
              <w:fldChar w:fldCharType="begin"/>
            </w:r>
            <w:r w:rsidR="002C7042" w:rsidRPr="00C6141B">
              <w:rPr>
                <w:noProof/>
                <w:webHidden/>
              </w:rPr>
              <w:instrText xml:space="preserve"> PAGEREF _Toc175148053 \h </w:instrText>
            </w:r>
            <w:r w:rsidR="002C7042" w:rsidRPr="00C6141B">
              <w:rPr>
                <w:noProof/>
                <w:webHidden/>
              </w:rPr>
            </w:r>
            <w:r w:rsidR="002C7042" w:rsidRPr="00C6141B">
              <w:rPr>
                <w:noProof/>
                <w:webHidden/>
              </w:rPr>
              <w:fldChar w:fldCharType="separate"/>
            </w:r>
            <w:r w:rsidR="002C7042" w:rsidRPr="00C6141B">
              <w:rPr>
                <w:noProof/>
                <w:webHidden/>
              </w:rPr>
              <w:t>22</w:t>
            </w:r>
            <w:r w:rsidR="002C7042" w:rsidRPr="00C6141B">
              <w:rPr>
                <w:noProof/>
                <w:webHidden/>
              </w:rPr>
              <w:fldChar w:fldCharType="end"/>
            </w:r>
          </w:hyperlink>
        </w:p>
        <w:p w14:paraId="6DFDA3B2" w14:textId="73CC7921" w:rsidR="002C7042" w:rsidRPr="00C6141B" w:rsidRDefault="00000000">
          <w:pPr>
            <w:pStyle w:val="TOC1"/>
            <w:tabs>
              <w:tab w:val="right" w:leader="dot" w:pos="9016"/>
            </w:tabs>
            <w:rPr>
              <w:rFonts w:asciiTheme="minorHAnsi" w:eastAsiaTheme="minorEastAsia" w:hAnsiTheme="minorHAnsi"/>
              <w:noProof/>
              <w:kern w:val="2"/>
              <w:sz w:val="22"/>
              <w:lang w:val="en-US"/>
              <w14:ligatures w14:val="standardContextual"/>
            </w:rPr>
          </w:pPr>
          <w:hyperlink w:anchor="_Toc175148054" w:history="1">
            <w:r w:rsidR="002C7042" w:rsidRPr="00C6141B">
              <w:rPr>
                <w:rStyle w:val="Hyperlink"/>
                <w:rFonts w:cs="Times New Roman"/>
                <w:noProof/>
                <w:lang w:val="en-US"/>
              </w:rPr>
              <w:t>References</w:t>
            </w:r>
            <w:r w:rsidR="002C7042" w:rsidRPr="00C6141B">
              <w:rPr>
                <w:noProof/>
                <w:webHidden/>
              </w:rPr>
              <w:tab/>
            </w:r>
            <w:r w:rsidR="002C7042" w:rsidRPr="00C6141B">
              <w:rPr>
                <w:noProof/>
                <w:webHidden/>
              </w:rPr>
              <w:fldChar w:fldCharType="begin"/>
            </w:r>
            <w:r w:rsidR="002C7042" w:rsidRPr="00C6141B">
              <w:rPr>
                <w:noProof/>
                <w:webHidden/>
              </w:rPr>
              <w:instrText xml:space="preserve"> PAGEREF _Toc175148054 \h </w:instrText>
            </w:r>
            <w:r w:rsidR="002C7042" w:rsidRPr="00C6141B">
              <w:rPr>
                <w:noProof/>
                <w:webHidden/>
              </w:rPr>
            </w:r>
            <w:r w:rsidR="002C7042" w:rsidRPr="00C6141B">
              <w:rPr>
                <w:noProof/>
                <w:webHidden/>
              </w:rPr>
              <w:fldChar w:fldCharType="separate"/>
            </w:r>
            <w:r w:rsidR="002C7042" w:rsidRPr="00C6141B">
              <w:rPr>
                <w:noProof/>
                <w:webHidden/>
              </w:rPr>
              <w:t>23</w:t>
            </w:r>
            <w:r w:rsidR="002C7042" w:rsidRPr="00C6141B">
              <w:rPr>
                <w:noProof/>
                <w:webHidden/>
              </w:rPr>
              <w:fldChar w:fldCharType="end"/>
            </w:r>
          </w:hyperlink>
        </w:p>
        <w:p w14:paraId="4DEE01BE" w14:textId="367DE55E" w:rsidR="0036185A" w:rsidRPr="00C6141B" w:rsidRDefault="00AD322A" w:rsidP="00397EED">
          <w:pPr>
            <w:rPr>
              <w:rFonts w:cs="Times New Roman"/>
              <w:szCs w:val="24"/>
            </w:rPr>
          </w:pPr>
          <w:r w:rsidRPr="00C6141B">
            <w:rPr>
              <w:rFonts w:cs="Times New Roman"/>
              <w:b/>
              <w:bCs/>
              <w:noProof/>
              <w:szCs w:val="24"/>
            </w:rPr>
            <w:fldChar w:fldCharType="end"/>
          </w:r>
        </w:p>
      </w:sdtContent>
    </w:sdt>
    <w:p w14:paraId="3EC5C6A4" w14:textId="77777777" w:rsidR="00F90A41" w:rsidRPr="00C6141B" w:rsidRDefault="00F90A41" w:rsidP="00397EED">
      <w:pPr>
        <w:rPr>
          <w:rFonts w:cs="Times New Roman"/>
          <w:szCs w:val="24"/>
          <w:lang w:val="en-US"/>
        </w:rPr>
      </w:pPr>
    </w:p>
    <w:p w14:paraId="44625BA4" w14:textId="77777777" w:rsidR="00F90A41" w:rsidRPr="00C6141B" w:rsidRDefault="00F90A41" w:rsidP="00397EED">
      <w:pPr>
        <w:rPr>
          <w:rFonts w:cs="Times New Roman"/>
          <w:szCs w:val="24"/>
          <w:lang w:val="en-US"/>
        </w:rPr>
      </w:pPr>
      <w:r w:rsidRPr="00C6141B">
        <w:rPr>
          <w:rFonts w:cs="Times New Roman"/>
          <w:szCs w:val="24"/>
          <w:lang w:val="en-US"/>
        </w:rPr>
        <w:br w:type="page"/>
      </w:r>
    </w:p>
    <w:p w14:paraId="0C628929" w14:textId="77777777" w:rsidR="008B5741" w:rsidRPr="00C6141B" w:rsidRDefault="008B5741" w:rsidP="008B5741">
      <w:pPr>
        <w:pStyle w:val="Heading1"/>
        <w:rPr>
          <w:rFonts w:cs="Times New Roman"/>
          <w:lang w:val="en-US"/>
        </w:rPr>
      </w:pPr>
      <w:bookmarkStart w:id="0" w:name="_Toc175148028"/>
      <w:r w:rsidRPr="00C6141B">
        <w:rPr>
          <w:rFonts w:cs="Times New Roman"/>
          <w:lang w:val="en-US"/>
        </w:rPr>
        <w:lastRenderedPageBreak/>
        <w:t>1. Part A: Company Overview</w:t>
      </w:r>
      <w:bookmarkEnd w:id="0"/>
      <w:r w:rsidRPr="00C6141B">
        <w:rPr>
          <w:rFonts w:cs="Times New Roman"/>
          <w:lang w:val="en-US"/>
        </w:rPr>
        <w:t xml:space="preserve"> </w:t>
      </w:r>
    </w:p>
    <w:p w14:paraId="55584E30" w14:textId="6D518634" w:rsidR="00516A58" w:rsidRPr="00C6141B" w:rsidRDefault="00E5745A" w:rsidP="00890764">
      <w:pPr>
        <w:rPr>
          <w:rFonts w:cs="Times New Roman"/>
          <w:bCs/>
          <w:szCs w:val="24"/>
        </w:rPr>
      </w:pPr>
      <w:r w:rsidRPr="00C6141B">
        <w:rPr>
          <w:rFonts w:cs="Times New Roman"/>
          <w:b/>
          <w:i/>
          <w:iCs/>
          <w:szCs w:val="24"/>
          <w:u w:val="single"/>
        </w:rPr>
        <w:t>Background of the company:</w:t>
      </w:r>
      <w:r w:rsidRPr="00C6141B">
        <w:rPr>
          <w:rFonts w:cs="Times New Roman"/>
          <w:bCs/>
          <w:szCs w:val="24"/>
        </w:rPr>
        <w:t xml:space="preserve"> </w:t>
      </w:r>
      <w:r w:rsidR="00890764" w:rsidRPr="00C6141B">
        <w:rPr>
          <w:rFonts w:cs="Times New Roman"/>
          <w:bCs/>
          <w:szCs w:val="24"/>
        </w:rPr>
        <w:t>Glencore plc is a Swiss global natural resource company operating in commodity trading and mining industry. This company was established in 1947 by Mare Rich and its main office is in Baar, Switzerland</w:t>
      </w:r>
      <w:r w:rsidR="003E6693" w:rsidRPr="00C6141B">
        <w:rPr>
          <w:rFonts w:cs="Times New Roman"/>
          <w:bCs/>
          <w:szCs w:val="24"/>
        </w:rPr>
        <w:t xml:space="preserve"> </w:t>
      </w:r>
      <w:r w:rsidR="00890764" w:rsidRPr="00C6141B">
        <w:rPr>
          <w:rFonts w:cs="Times New Roman"/>
          <w:bCs/>
          <w:szCs w:val="24"/>
        </w:rPr>
        <w:t>(</w:t>
      </w:r>
      <w:r w:rsidR="00890764" w:rsidRPr="00C6141B">
        <w:rPr>
          <w:rFonts w:cs="Times New Roman"/>
          <w:szCs w:val="24"/>
        </w:rPr>
        <w:t>Glencore 2024</w:t>
      </w:r>
      <w:r w:rsidR="00890764" w:rsidRPr="00C6141B">
        <w:rPr>
          <w:rFonts w:cs="Times New Roman"/>
          <w:bCs/>
          <w:szCs w:val="24"/>
        </w:rPr>
        <w:t xml:space="preserve">). </w:t>
      </w:r>
      <w:r w:rsidR="00516A58" w:rsidRPr="00C6141B">
        <w:rPr>
          <w:rFonts w:cs="Times New Roman"/>
          <w:bCs/>
          <w:szCs w:val="24"/>
        </w:rPr>
        <w:t xml:space="preserve">As this company was </w:t>
      </w:r>
      <w:r w:rsidR="00516A58" w:rsidRPr="00C6141B">
        <w:rPr>
          <w:rFonts w:cs="Times New Roman"/>
          <w:bCs/>
          <w:szCs w:val="24"/>
          <w:lang w:val="en-US"/>
        </w:rPr>
        <w:t>founded in 1974, and the title of the company is Marc Rich + Co AG and after that it has undergone many name changes and acquisitions. The biggest change had happened in 1994 when the business changed its name to Glencore International. But after combining with Xstrata in 2013, the firm has become one of the largest and most diverse global natural resource corporations (</w:t>
      </w:r>
      <w:r w:rsidR="00516A58" w:rsidRPr="00C6141B">
        <w:rPr>
          <w:rFonts w:cs="Times New Roman"/>
          <w:szCs w:val="24"/>
        </w:rPr>
        <w:t>Glencore Plc, 2024b</w:t>
      </w:r>
      <w:r w:rsidR="00516A58" w:rsidRPr="00C6141B">
        <w:rPr>
          <w:rFonts w:cs="Times New Roman"/>
          <w:bCs/>
          <w:szCs w:val="24"/>
          <w:lang w:val="en-US"/>
        </w:rPr>
        <w:t>).</w:t>
      </w:r>
    </w:p>
    <w:p w14:paraId="7FE035F2" w14:textId="105EE6A8" w:rsidR="00890764" w:rsidRPr="00C6141B" w:rsidRDefault="00890764" w:rsidP="00890764">
      <w:pPr>
        <w:rPr>
          <w:rFonts w:cs="Times New Roman"/>
          <w:b/>
          <w:i/>
          <w:iCs/>
          <w:szCs w:val="24"/>
          <w:u w:val="single"/>
        </w:rPr>
      </w:pPr>
      <w:r w:rsidRPr="00C6141B">
        <w:rPr>
          <w:rFonts w:cs="Times New Roman"/>
          <w:b/>
          <w:i/>
          <w:iCs/>
          <w:szCs w:val="24"/>
          <w:u w:val="single"/>
        </w:rPr>
        <w:t>Business model of Glencore plc</w:t>
      </w:r>
    </w:p>
    <w:p w14:paraId="476C2CDB" w14:textId="77777777" w:rsidR="00890764" w:rsidRPr="00C6141B" w:rsidRDefault="00890764" w:rsidP="00890764">
      <w:pPr>
        <w:keepNext/>
        <w:jc w:val="center"/>
      </w:pPr>
      <w:r w:rsidRPr="00C6141B">
        <w:rPr>
          <w:rFonts w:cs="Times New Roman"/>
          <w:bCs/>
          <w:noProof/>
          <w:szCs w:val="24"/>
        </w:rPr>
        <w:drawing>
          <wp:inline distT="0" distB="0" distL="0" distR="0" wp14:anchorId="41276E44" wp14:editId="167065AA">
            <wp:extent cx="4203700" cy="2450218"/>
            <wp:effectExtent l="0" t="0" r="0" b="0"/>
            <wp:docPr id="1417492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492759" name=""/>
                    <pic:cNvPicPr/>
                  </pic:nvPicPr>
                  <pic:blipFill>
                    <a:blip r:embed="rId9"/>
                    <a:stretch>
                      <a:fillRect/>
                    </a:stretch>
                  </pic:blipFill>
                  <pic:spPr>
                    <a:xfrm>
                      <a:off x="0" y="0"/>
                      <a:ext cx="4207631" cy="2452509"/>
                    </a:xfrm>
                    <a:prstGeom prst="rect">
                      <a:avLst/>
                    </a:prstGeom>
                  </pic:spPr>
                </pic:pic>
              </a:graphicData>
            </a:graphic>
          </wp:inline>
        </w:drawing>
      </w:r>
    </w:p>
    <w:p w14:paraId="42B89E69" w14:textId="023541EA" w:rsidR="00890764" w:rsidRPr="00C6141B" w:rsidRDefault="00890764" w:rsidP="00890764">
      <w:pPr>
        <w:pStyle w:val="Caption"/>
        <w:jc w:val="center"/>
        <w:rPr>
          <w:rFonts w:cs="Times New Roman"/>
          <w:b w:val="0"/>
          <w:bCs w:val="0"/>
          <w:i/>
          <w:iCs/>
          <w:sz w:val="24"/>
          <w:szCs w:val="24"/>
        </w:rPr>
      </w:pPr>
      <w:r w:rsidRPr="00C6141B">
        <w:rPr>
          <w:b w:val="0"/>
          <w:bCs w:val="0"/>
          <w:i/>
          <w:iCs/>
          <w:sz w:val="24"/>
          <w:szCs w:val="24"/>
        </w:rPr>
        <w:t xml:space="preserve">Figure </w:t>
      </w:r>
      <w:r w:rsidRPr="00C6141B">
        <w:rPr>
          <w:b w:val="0"/>
          <w:bCs w:val="0"/>
          <w:i/>
          <w:iCs/>
          <w:sz w:val="24"/>
          <w:szCs w:val="24"/>
        </w:rPr>
        <w:fldChar w:fldCharType="begin"/>
      </w:r>
      <w:r w:rsidRPr="00C6141B">
        <w:rPr>
          <w:b w:val="0"/>
          <w:bCs w:val="0"/>
          <w:i/>
          <w:iCs/>
          <w:sz w:val="24"/>
          <w:szCs w:val="24"/>
        </w:rPr>
        <w:instrText xml:space="preserve"> SEQ Figure \* ARABIC </w:instrText>
      </w:r>
      <w:r w:rsidRPr="00C6141B">
        <w:rPr>
          <w:b w:val="0"/>
          <w:bCs w:val="0"/>
          <w:i/>
          <w:iCs/>
          <w:sz w:val="24"/>
          <w:szCs w:val="24"/>
        </w:rPr>
        <w:fldChar w:fldCharType="separate"/>
      </w:r>
      <w:r w:rsidR="0092772B" w:rsidRPr="00C6141B">
        <w:rPr>
          <w:b w:val="0"/>
          <w:bCs w:val="0"/>
          <w:i/>
          <w:iCs/>
          <w:noProof/>
          <w:sz w:val="24"/>
          <w:szCs w:val="24"/>
        </w:rPr>
        <w:t>1</w:t>
      </w:r>
      <w:r w:rsidRPr="00C6141B">
        <w:rPr>
          <w:b w:val="0"/>
          <w:bCs w:val="0"/>
          <w:i/>
          <w:iCs/>
          <w:sz w:val="24"/>
          <w:szCs w:val="24"/>
        </w:rPr>
        <w:fldChar w:fldCharType="end"/>
      </w:r>
      <w:r w:rsidRPr="00C6141B">
        <w:rPr>
          <w:b w:val="0"/>
          <w:bCs w:val="0"/>
          <w:i/>
          <w:iCs/>
          <w:sz w:val="24"/>
          <w:szCs w:val="24"/>
        </w:rPr>
        <w:t xml:space="preserve">: Business Model of </w:t>
      </w:r>
      <w:r w:rsidRPr="00C6141B">
        <w:rPr>
          <w:rFonts w:cs="Times New Roman"/>
          <w:b w:val="0"/>
          <w:bCs w:val="0"/>
          <w:i/>
          <w:iCs/>
          <w:sz w:val="24"/>
          <w:szCs w:val="24"/>
        </w:rPr>
        <w:t>Glencore PLC</w:t>
      </w:r>
    </w:p>
    <w:p w14:paraId="75D4ADA6" w14:textId="1FA98AE5" w:rsidR="00890764" w:rsidRPr="00C6141B" w:rsidRDefault="00890764" w:rsidP="00890764">
      <w:pPr>
        <w:jc w:val="center"/>
      </w:pPr>
      <w:r w:rsidRPr="00C6141B">
        <w:t>(Source: Glencore Plc, 2024a)</w:t>
      </w:r>
    </w:p>
    <w:p w14:paraId="521C4AC9" w14:textId="76AA245B" w:rsidR="00A2717A" w:rsidRPr="00C6141B" w:rsidRDefault="00890764" w:rsidP="00890764">
      <w:pPr>
        <w:rPr>
          <w:rFonts w:cs="Times New Roman"/>
          <w:bCs/>
          <w:szCs w:val="24"/>
        </w:rPr>
      </w:pPr>
      <w:r w:rsidRPr="00C6141B">
        <w:rPr>
          <w:rFonts w:cs="Times New Roman"/>
          <w:bCs/>
          <w:szCs w:val="24"/>
        </w:rPr>
        <w:t>Glencore Plc is geographically, productively, and strategically diversified across global commodity production and marketing. Its market business and industrial integration set it apart from its peers in creating a unique culture and generating value. Its purpose is to responsibly source the commodities that advance everyday life. Also, this company aims to generate not only profit but also wants to make a positive contribution to society in a manner that is responsible, transparent, and respectful (</w:t>
      </w:r>
      <w:r w:rsidRPr="00C6141B">
        <w:t>Glencore Plc, 2024a</w:t>
      </w:r>
      <w:r w:rsidRPr="00C6141B">
        <w:rPr>
          <w:rFonts w:cs="Times New Roman"/>
          <w:bCs/>
          <w:szCs w:val="24"/>
        </w:rPr>
        <w:t>).</w:t>
      </w:r>
    </w:p>
    <w:p w14:paraId="6C551160" w14:textId="6C709714" w:rsidR="00A2717A" w:rsidRPr="00C6141B" w:rsidRDefault="00E5745A" w:rsidP="00CB69E5">
      <w:pPr>
        <w:rPr>
          <w:rFonts w:cs="Times New Roman"/>
          <w:b/>
          <w:i/>
          <w:iCs/>
          <w:szCs w:val="24"/>
          <w:u w:val="single"/>
        </w:rPr>
      </w:pPr>
      <w:r w:rsidRPr="00C6141B">
        <w:rPr>
          <w:rFonts w:cs="Times New Roman"/>
          <w:b/>
          <w:i/>
          <w:iCs/>
          <w:szCs w:val="24"/>
          <w:u w:val="single"/>
        </w:rPr>
        <w:t xml:space="preserve">Market Place and Competitors </w:t>
      </w:r>
    </w:p>
    <w:p w14:paraId="7BEB7685" w14:textId="60E82AE0" w:rsidR="00E5745A" w:rsidRPr="00C6141B" w:rsidRDefault="00E5745A" w:rsidP="00E5745A">
      <w:pPr>
        <w:rPr>
          <w:lang w:val="en-US"/>
        </w:rPr>
      </w:pPr>
      <w:r w:rsidRPr="00C6141B">
        <w:rPr>
          <w:lang w:val="en-US"/>
        </w:rPr>
        <w:t xml:space="preserve">In 2023, the company has approx. $200 billion in revenue and a market value of over $70 billion. Glencore is a significant player in the global commodities market because to its </w:t>
      </w:r>
      <w:r w:rsidRPr="00C6141B">
        <w:rPr>
          <w:lang w:val="en-US"/>
        </w:rPr>
        <w:lastRenderedPageBreak/>
        <w:t>significant holdings in the mining, oil and gas, and agricultural industries. The company works in more than 50 countries and has over 150,000 employees globally (</w:t>
      </w:r>
      <w:r w:rsidRPr="00C6141B">
        <w:rPr>
          <w:rFonts w:cs="Times New Roman"/>
          <w:bCs/>
          <w:szCs w:val="24"/>
          <w:lang w:val="en-US"/>
        </w:rPr>
        <w:t>Mining Technology, 2024</w:t>
      </w:r>
      <w:r w:rsidRPr="00C6141B">
        <w:rPr>
          <w:lang w:val="en-US"/>
        </w:rPr>
        <w:t>).</w:t>
      </w:r>
      <w:r w:rsidR="000E588F" w:rsidRPr="00C6141B">
        <w:rPr>
          <w:lang w:val="en-US"/>
        </w:rPr>
        <w:t xml:space="preserve"> </w:t>
      </w:r>
      <w:r w:rsidR="00234C7E" w:rsidRPr="00C6141B">
        <w:rPr>
          <w:lang w:val="en-US"/>
        </w:rPr>
        <w:t>Major competitors of Glencore Plc i</w:t>
      </w:r>
      <w:r w:rsidRPr="00C6141B">
        <w:rPr>
          <w:lang w:val="en-US"/>
        </w:rPr>
        <w:t xml:space="preserve">n the mining industry, </w:t>
      </w:r>
      <w:r w:rsidR="00234C7E" w:rsidRPr="00C6141B">
        <w:rPr>
          <w:lang w:val="en-US"/>
        </w:rPr>
        <w:t>are</w:t>
      </w:r>
      <w:r w:rsidRPr="00C6141B">
        <w:rPr>
          <w:lang w:val="en-US"/>
        </w:rPr>
        <w:t xml:space="preserve"> prominent companies such as </w:t>
      </w:r>
      <w:r w:rsidR="009818B4" w:rsidRPr="00C6141B">
        <w:rPr>
          <w:rFonts w:cs="Times New Roman"/>
          <w:lang w:val="en-US"/>
        </w:rPr>
        <w:t xml:space="preserve">Anglo American Plc, </w:t>
      </w:r>
      <w:r w:rsidRPr="00C6141B">
        <w:rPr>
          <w:lang w:val="en-US"/>
        </w:rPr>
        <w:t xml:space="preserve">BHP </w:t>
      </w:r>
      <w:r w:rsidR="00234C7E" w:rsidRPr="00C6141B">
        <w:rPr>
          <w:lang w:val="en-US"/>
        </w:rPr>
        <w:t xml:space="preserve">Billiton </w:t>
      </w:r>
      <w:r w:rsidRPr="00C6141B">
        <w:rPr>
          <w:lang w:val="en-US"/>
        </w:rPr>
        <w:t xml:space="preserve">Group, </w:t>
      </w:r>
      <w:r w:rsidR="00234C7E" w:rsidRPr="00C6141B">
        <w:rPr>
          <w:lang w:val="en-US"/>
        </w:rPr>
        <w:t xml:space="preserve">Dowa Holdings, </w:t>
      </w:r>
      <w:r w:rsidRPr="00C6141B">
        <w:rPr>
          <w:lang w:val="en-US"/>
        </w:rPr>
        <w:t xml:space="preserve">Rio Tinto, </w:t>
      </w:r>
      <w:r w:rsidR="00234C7E" w:rsidRPr="00C6141B">
        <w:rPr>
          <w:lang w:val="en-US"/>
        </w:rPr>
        <w:t xml:space="preserve">Cargill, Noble Group, Teck Resources, </w:t>
      </w:r>
      <w:r w:rsidRPr="00C6141B">
        <w:rPr>
          <w:lang w:val="en-US"/>
        </w:rPr>
        <w:t xml:space="preserve">and Vale. Similarly, in the trading industry </w:t>
      </w:r>
      <w:r w:rsidR="00234C7E" w:rsidRPr="00C6141B">
        <w:rPr>
          <w:lang w:val="en-US"/>
        </w:rPr>
        <w:t xml:space="preserve">Koch Industries, </w:t>
      </w:r>
      <w:r w:rsidRPr="00C6141B">
        <w:rPr>
          <w:lang w:val="en-US"/>
        </w:rPr>
        <w:t>Vitol, and Trafigura are rivals. With their significant market share and diverse portfolios, these companies pose a serious threat to Glencore's dominance in the global commodities market</w:t>
      </w:r>
      <w:r w:rsidR="00234C7E" w:rsidRPr="00C6141B">
        <w:rPr>
          <w:lang w:val="en-US"/>
        </w:rPr>
        <w:t xml:space="preserve"> (Market Beat, 2024)</w:t>
      </w:r>
      <w:r w:rsidRPr="00C6141B">
        <w:rPr>
          <w:lang w:val="en-US"/>
        </w:rPr>
        <w:t>.</w:t>
      </w:r>
    </w:p>
    <w:p w14:paraId="3ADE66EC" w14:textId="130A4EB8" w:rsidR="00234C7E" w:rsidRPr="00C6141B" w:rsidRDefault="00234C7E" w:rsidP="00E5745A">
      <w:pPr>
        <w:rPr>
          <w:b/>
          <w:bCs/>
          <w:i/>
          <w:iCs/>
          <w:u w:val="single"/>
          <w:lang w:val="en-US"/>
        </w:rPr>
      </w:pPr>
      <w:r w:rsidRPr="00C6141B">
        <w:rPr>
          <w:b/>
          <w:bCs/>
          <w:i/>
          <w:iCs/>
          <w:u w:val="single"/>
        </w:rPr>
        <w:t>Analysis of major events over the past five years</w:t>
      </w:r>
    </w:p>
    <w:p w14:paraId="414CA2E9" w14:textId="1B6CA4E5" w:rsidR="000E588F" w:rsidRPr="00C6141B" w:rsidRDefault="000E588F" w:rsidP="000E588F">
      <w:pPr>
        <w:rPr>
          <w:rFonts w:cs="Times New Roman"/>
          <w:bCs/>
          <w:szCs w:val="24"/>
          <w:lang w:val="en-US"/>
        </w:rPr>
      </w:pPr>
      <w:r w:rsidRPr="00C6141B">
        <w:rPr>
          <w:rFonts w:cs="Times New Roman"/>
          <w:b/>
          <w:i/>
          <w:iCs/>
          <w:szCs w:val="24"/>
          <w:u w:val="single"/>
        </w:rPr>
        <w:t>2019:</w:t>
      </w:r>
      <w:r w:rsidRPr="00C6141B">
        <w:rPr>
          <w:rFonts w:cs="Times New Roman"/>
          <w:bCs/>
          <w:szCs w:val="24"/>
        </w:rPr>
        <w:t xml:space="preserve"> </w:t>
      </w:r>
      <w:r w:rsidRPr="00C6141B">
        <w:rPr>
          <w:rFonts w:cs="Times New Roman"/>
          <w:bCs/>
          <w:szCs w:val="24"/>
          <w:lang w:val="en-US"/>
        </w:rPr>
        <w:t>Glencore had a difficult year in 2019 as rising regulatory pressure and declining commodity prices significantly impacted company earnings. The retirement of its longtime CEO, Ivan Glasenberg, represented the end of an era for the company and was one of the major events</w:t>
      </w:r>
      <w:r w:rsidR="00247CB0" w:rsidRPr="00C6141B">
        <w:rPr>
          <w:rFonts w:cs="Times New Roman"/>
          <w:bCs/>
          <w:szCs w:val="24"/>
          <w:lang w:val="en-US"/>
        </w:rPr>
        <w:t xml:space="preserve"> (</w:t>
      </w:r>
      <w:r w:rsidR="00247CB0" w:rsidRPr="00C6141B">
        <w:rPr>
          <w:rFonts w:cs="Times New Roman"/>
        </w:rPr>
        <w:t>Bloomberg, 2019</w:t>
      </w:r>
      <w:r w:rsidR="00247CB0" w:rsidRPr="00C6141B">
        <w:rPr>
          <w:rFonts w:cs="Times New Roman"/>
          <w:bCs/>
          <w:szCs w:val="24"/>
          <w:lang w:val="en-US"/>
        </w:rPr>
        <w:t>)</w:t>
      </w:r>
      <w:r w:rsidRPr="00C6141B">
        <w:rPr>
          <w:rFonts w:cs="Times New Roman"/>
          <w:bCs/>
          <w:szCs w:val="24"/>
          <w:lang w:val="en-US"/>
        </w:rPr>
        <w:t xml:space="preserve">. </w:t>
      </w:r>
    </w:p>
    <w:p w14:paraId="29E74D57" w14:textId="527B0AE9" w:rsidR="003E6693" w:rsidRPr="00C6141B" w:rsidRDefault="000E588F" w:rsidP="003E6693">
      <w:pPr>
        <w:rPr>
          <w:rFonts w:cs="Times New Roman"/>
          <w:bCs/>
          <w:szCs w:val="24"/>
          <w:lang w:val="en-US"/>
        </w:rPr>
      </w:pPr>
      <w:r w:rsidRPr="00C6141B">
        <w:rPr>
          <w:rFonts w:cs="Times New Roman"/>
          <w:b/>
          <w:i/>
          <w:iCs/>
          <w:szCs w:val="24"/>
          <w:u w:val="single"/>
          <w:lang w:val="en-US"/>
        </w:rPr>
        <w:t>2020</w:t>
      </w:r>
      <w:r w:rsidR="003E6693" w:rsidRPr="00C6141B">
        <w:rPr>
          <w:rFonts w:cs="Times New Roman"/>
          <w:b/>
          <w:i/>
          <w:iCs/>
          <w:szCs w:val="24"/>
          <w:u w:val="single"/>
          <w:lang w:val="en-US"/>
        </w:rPr>
        <w:t>:</w:t>
      </w:r>
      <w:r w:rsidRPr="00C6141B">
        <w:rPr>
          <w:rFonts w:cs="Times New Roman"/>
          <w:bCs/>
          <w:szCs w:val="24"/>
          <w:lang w:val="en-US"/>
        </w:rPr>
        <w:t xml:space="preserve"> </w:t>
      </w:r>
      <w:r w:rsidR="003E6693" w:rsidRPr="00C6141B">
        <w:rPr>
          <w:rFonts w:cs="Times New Roman"/>
          <w:bCs/>
          <w:szCs w:val="24"/>
          <w:lang w:val="en-US"/>
        </w:rPr>
        <w:t>2020 had a significant impact from the epidemic on the world economy, and Glencore was not an exception to the relatively lower level of activity. Nevertheless, the corporation profited greatly from the ensuing spike in demand for certain commodities as economies started to gradually recover</w:t>
      </w:r>
      <w:r w:rsidR="00247CB0" w:rsidRPr="00C6141B">
        <w:rPr>
          <w:rFonts w:cs="Times New Roman"/>
          <w:bCs/>
          <w:szCs w:val="24"/>
          <w:lang w:val="en-US"/>
        </w:rPr>
        <w:t xml:space="preserve"> (</w:t>
      </w:r>
      <w:r w:rsidR="00247CB0" w:rsidRPr="00C6141B">
        <w:rPr>
          <w:rFonts w:cs="Times New Roman"/>
          <w:szCs w:val="24"/>
        </w:rPr>
        <w:t>Glencore Plc, 2021</w:t>
      </w:r>
      <w:r w:rsidR="00247CB0" w:rsidRPr="00C6141B">
        <w:rPr>
          <w:rFonts w:cs="Times New Roman"/>
          <w:bCs/>
          <w:szCs w:val="24"/>
          <w:lang w:val="en-US"/>
        </w:rPr>
        <w:t>)</w:t>
      </w:r>
      <w:r w:rsidR="003E6693" w:rsidRPr="00C6141B">
        <w:rPr>
          <w:rFonts w:cs="Times New Roman"/>
          <w:bCs/>
          <w:szCs w:val="24"/>
          <w:lang w:val="en-US"/>
        </w:rPr>
        <w:t xml:space="preserve">. </w:t>
      </w:r>
    </w:p>
    <w:p w14:paraId="6E9851FB" w14:textId="5FBB1556" w:rsidR="000E588F" w:rsidRPr="00C6141B" w:rsidRDefault="003E6693" w:rsidP="000E588F">
      <w:pPr>
        <w:rPr>
          <w:rFonts w:cs="Times New Roman"/>
          <w:bCs/>
          <w:szCs w:val="24"/>
        </w:rPr>
      </w:pPr>
      <w:r w:rsidRPr="00C6141B">
        <w:rPr>
          <w:rFonts w:cs="Times New Roman"/>
          <w:b/>
          <w:i/>
          <w:iCs/>
          <w:szCs w:val="24"/>
          <w:u w:val="single"/>
        </w:rPr>
        <w:t>2021:</w:t>
      </w:r>
      <w:r w:rsidRPr="00C6141B">
        <w:rPr>
          <w:rFonts w:cs="Times New Roman"/>
          <w:bCs/>
          <w:szCs w:val="24"/>
        </w:rPr>
        <w:t xml:space="preserve"> </w:t>
      </w:r>
      <w:r w:rsidR="000E588F" w:rsidRPr="00C6141B">
        <w:rPr>
          <w:rFonts w:cs="Times New Roman"/>
          <w:bCs/>
          <w:szCs w:val="24"/>
        </w:rPr>
        <w:t xml:space="preserve">For Glencore, 2021 was another strong year for shaping its ESG credentials. The Company set very ambitious targets for reduction in carbon emissions and increasing social impact. Glencore </w:t>
      </w:r>
      <w:r w:rsidRPr="00C6141B">
        <w:rPr>
          <w:rFonts w:cs="Times New Roman"/>
          <w:bCs/>
          <w:szCs w:val="24"/>
        </w:rPr>
        <w:t>completed</w:t>
      </w:r>
      <w:r w:rsidR="000E588F" w:rsidRPr="00C6141B">
        <w:rPr>
          <w:rFonts w:cs="Times New Roman"/>
          <w:bCs/>
          <w:szCs w:val="24"/>
        </w:rPr>
        <w:t xml:space="preserve"> the sale of its agricultural business, marking a strategic shift away from farming</w:t>
      </w:r>
      <w:r w:rsidR="00247CB0" w:rsidRPr="00C6141B">
        <w:rPr>
          <w:rFonts w:cs="Times New Roman"/>
          <w:bCs/>
          <w:szCs w:val="24"/>
        </w:rPr>
        <w:t xml:space="preserve"> (</w:t>
      </w:r>
      <w:r w:rsidR="00247CB0" w:rsidRPr="00C6141B">
        <w:rPr>
          <w:rFonts w:cs="Times New Roman"/>
          <w:lang w:val="en-US"/>
        </w:rPr>
        <w:t>Glencore Plc, 2022</w:t>
      </w:r>
      <w:r w:rsidR="00247CB0" w:rsidRPr="00C6141B">
        <w:rPr>
          <w:rFonts w:cs="Times New Roman"/>
          <w:bCs/>
          <w:szCs w:val="24"/>
        </w:rPr>
        <w:t>)</w:t>
      </w:r>
      <w:r w:rsidR="000E588F" w:rsidRPr="00C6141B">
        <w:rPr>
          <w:rFonts w:cs="Times New Roman"/>
          <w:bCs/>
          <w:szCs w:val="24"/>
        </w:rPr>
        <w:t>.</w:t>
      </w:r>
    </w:p>
    <w:p w14:paraId="7A8ECC8F" w14:textId="1E8D623A" w:rsidR="003E6693" w:rsidRPr="00C6141B" w:rsidRDefault="003E6693" w:rsidP="003E6693">
      <w:pPr>
        <w:rPr>
          <w:rFonts w:cs="Times New Roman"/>
          <w:bCs/>
          <w:szCs w:val="24"/>
          <w:lang w:val="en-US"/>
        </w:rPr>
      </w:pPr>
      <w:r w:rsidRPr="00C6141B">
        <w:rPr>
          <w:rFonts w:cs="Times New Roman"/>
          <w:b/>
          <w:i/>
          <w:iCs/>
          <w:szCs w:val="24"/>
          <w:u w:val="single"/>
        </w:rPr>
        <w:t>2022:</w:t>
      </w:r>
      <w:r w:rsidRPr="00C6141B">
        <w:rPr>
          <w:rFonts w:cs="Times New Roman"/>
          <w:bCs/>
          <w:szCs w:val="24"/>
        </w:rPr>
        <w:t xml:space="preserve"> </w:t>
      </w:r>
      <w:r w:rsidRPr="00C6141B">
        <w:rPr>
          <w:rFonts w:cs="Times New Roman"/>
          <w:bCs/>
          <w:szCs w:val="24"/>
          <w:lang w:val="en-US"/>
        </w:rPr>
        <w:t>Operations in the Democratic Republic of the Congo are under closer examination due to allegations of corruption and human rights breaches, which presents significant legal and reputational concerns</w:t>
      </w:r>
      <w:r w:rsidR="00247CB0" w:rsidRPr="00C6141B">
        <w:rPr>
          <w:rFonts w:cs="Times New Roman"/>
          <w:bCs/>
          <w:szCs w:val="24"/>
          <w:lang w:val="en-US"/>
        </w:rPr>
        <w:t xml:space="preserve"> (</w:t>
      </w:r>
      <w:r w:rsidR="00247CB0" w:rsidRPr="00C6141B">
        <w:rPr>
          <w:rFonts w:cs="Times New Roman"/>
          <w:lang w:val="en-US"/>
        </w:rPr>
        <w:t>Thomas, 2022</w:t>
      </w:r>
      <w:r w:rsidR="00247CB0" w:rsidRPr="00C6141B">
        <w:rPr>
          <w:rFonts w:cs="Times New Roman"/>
          <w:bCs/>
          <w:szCs w:val="24"/>
          <w:lang w:val="en-US"/>
        </w:rPr>
        <w:t>)</w:t>
      </w:r>
      <w:r w:rsidRPr="00C6141B">
        <w:rPr>
          <w:rFonts w:cs="Times New Roman"/>
          <w:bCs/>
          <w:szCs w:val="24"/>
          <w:lang w:val="en-US"/>
        </w:rPr>
        <w:t xml:space="preserve">. </w:t>
      </w:r>
    </w:p>
    <w:p w14:paraId="59C6501A" w14:textId="0A37B16A" w:rsidR="003E6693" w:rsidRPr="00C6141B" w:rsidRDefault="003E6693" w:rsidP="003E6693">
      <w:pPr>
        <w:rPr>
          <w:rFonts w:cs="Times New Roman"/>
          <w:bCs/>
          <w:szCs w:val="24"/>
          <w:lang w:val="en-US"/>
        </w:rPr>
      </w:pPr>
      <w:r w:rsidRPr="00C6141B">
        <w:rPr>
          <w:rFonts w:cs="Times New Roman"/>
          <w:b/>
          <w:i/>
          <w:iCs/>
          <w:szCs w:val="24"/>
          <w:u w:val="single"/>
          <w:lang w:val="en-US"/>
        </w:rPr>
        <w:t>2023:</w:t>
      </w:r>
      <w:r w:rsidRPr="00C6141B">
        <w:rPr>
          <w:rFonts w:cs="Times New Roman"/>
          <w:bCs/>
          <w:szCs w:val="24"/>
          <w:lang w:val="en-US"/>
        </w:rPr>
        <w:t xml:space="preserve"> Glencore was still having trouble transitioning to a low-carbon economy. The company declared its intention to invest billions of dollars in renewable energy projects, demonstrating its dedication to sustainability. However, the volatility of the commodities markets, which was made worse by ongoing geopolitical instability and economic concerns, had an effect on Glencore's performance</w:t>
      </w:r>
      <w:r w:rsidR="006F606B" w:rsidRPr="00C6141B">
        <w:rPr>
          <w:rFonts w:cs="Times New Roman"/>
          <w:bCs/>
          <w:szCs w:val="24"/>
          <w:lang w:val="en-US"/>
        </w:rPr>
        <w:t xml:space="preserve"> (</w:t>
      </w:r>
      <w:r w:rsidR="006F606B" w:rsidRPr="00C6141B">
        <w:rPr>
          <w:rFonts w:cs="Times New Roman"/>
        </w:rPr>
        <w:t>London Stock Exchange, 2022</w:t>
      </w:r>
      <w:r w:rsidR="006F606B" w:rsidRPr="00C6141B">
        <w:rPr>
          <w:rFonts w:cs="Times New Roman"/>
          <w:bCs/>
          <w:szCs w:val="24"/>
          <w:lang w:val="en-US"/>
        </w:rPr>
        <w:t>)</w:t>
      </w:r>
      <w:r w:rsidRPr="00C6141B">
        <w:rPr>
          <w:rFonts w:cs="Times New Roman"/>
          <w:bCs/>
          <w:szCs w:val="24"/>
          <w:lang w:val="en-US"/>
        </w:rPr>
        <w:t>.</w:t>
      </w:r>
    </w:p>
    <w:p w14:paraId="34DBC538" w14:textId="21CF6FD6" w:rsidR="00CB69E5" w:rsidRPr="00C6141B" w:rsidRDefault="00CB69E5" w:rsidP="00CB69E5">
      <w:pPr>
        <w:rPr>
          <w:rFonts w:eastAsiaTheme="majorEastAsia" w:cs="Times New Roman"/>
          <w:bCs/>
          <w:szCs w:val="24"/>
        </w:rPr>
      </w:pPr>
      <w:r w:rsidRPr="00C6141B">
        <w:rPr>
          <w:rFonts w:cs="Times New Roman"/>
          <w:bCs/>
          <w:szCs w:val="24"/>
        </w:rPr>
        <w:br w:type="page"/>
      </w:r>
    </w:p>
    <w:p w14:paraId="6E29CFC8" w14:textId="77777777" w:rsidR="00905296" w:rsidRPr="00C6141B" w:rsidRDefault="00F4707A" w:rsidP="00397EED">
      <w:pPr>
        <w:pStyle w:val="Heading1"/>
        <w:rPr>
          <w:rFonts w:cs="Times New Roman"/>
          <w:szCs w:val="24"/>
          <w:lang w:val="en-US"/>
        </w:rPr>
      </w:pPr>
      <w:bookmarkStart w:id="1" w:name="_Toc175148029"/>
      <w:r w:rsidRPr="00C6141B">
        <w:rPr>
          <w:rFonts w:cs="Times New Roman"/>
          <w:szCs w:val="24"/>
          <w:lang w:val="en-US"/>
        </w:rPr>
        <w:lastRenderedPageBreak/>
        <w:t xml:space="preserve">2. </w:t>
      </w:r>
      <w:r w:rsidR="00905296" w:rsidRPr="00C6141B">
        <w:rPr>
          <w:rFonts w:cs="Times New Roman"/>
          <w:szCs w:val="24"/>
          <w:lang w:val="en-US"/>
        </w:rPr>
        <w:t>Part B</w:t>
      </w:r>
      <w:bookmarkEnd w:id="1"/>
    </w:p>
    <w:p w14:paraId="55150EB6" w14:textId="77777777" w:rsidR="00905296" w:rsidRPr="00C6141B" w:rsidRDefault="00F4707A" w:rsidP="00397EED">
      <w:pPr>
        <w:pStyle w:val="Heading2"/>
        <w:rPr>
          <w:rFonts w:cs="Times New Roman"/>
          <w:szCs w:val="24"/>
          <w:lang w:val="en-US"/>
        </w:rPr>
      </w:pPr>
      <w:bookmarkStart w:id="2" w:name="_Toc175148030"/>
      <w:r w:rsidRPr="00C6141B">
        <w:rPr>
          <w:rFonts w:cs="Times New Roman"/>
          <w:szCs w:val="24"/>
          <w:lang w:val="en-US"/>
        </w:rPr>
        <w:t>2.</w:t>
      </w:r>
      <w:r w:rsidR="00905296" w:rsidRPr="00C6141B">
        <w:rPr>
          <w:rFonts w:cs="Times New Roman"/>
          <w:szCs w:val="24"/>
          <w:lang w:val="en-US"/>
        </w:rPr>
        <w:t>1. Ratio Calculation</w:t>
      </w:r>
      <w:bookmarkEnd w:id="2"/>
    </w:p>
    <w:p w14:paraId="23E23B0E" w14:textId="77777777" w:rsidR="00E8316C" w:rsidRPr="00C6141B" w:rsidRDefault="00F4707A" w:rsidP="00397EED">
      <w:pPr>
        <w:pStyle w:val="Heading3"/>
        <w:rPr>
          <w:rFonts w:cs="Times New Roman"/>
          <w:szCs w:val="24"/>
          <w:lang w:val="en-US"/>
        </w:rPr>
      </w:pPr>
      <w:bookmarkStart w:id="3" w:name="_Toc175148031"/>
      <w:r w:rsidRPr="00C6141B">
        <w:rPr>
          <w:rFonts w:cs="Times New Roman"/>
          <w:szCs w:val="24"/>
          <w:lang w:val="en-US"/>
        </w:rPr>
        <w:t xml:space="preserve">2.1.1. </w:t>
      </w:r>
      <w:r w:rsidR="00BB2C0F" w:rsidRPr="00C6141B">
        <w:rPr>
          <w:rFonts w:cs="Times New Roman"/>
          <w:szCs w:val="24"/>
          <w:lang w:val="en-US"/>
        </w:rPr>
        <w:t>Profitability Ratio</w:t>
      </w:r>
      <w:bookmarkEnd w:id="3"/>
    </w:p>
    <w:p w14:paraId="390040E2" w14:textId="77777777" w:rsidR="00DF7F28" w:rsidRPr="00C6141B" w:rsidRDefault="00DF7F28" w:rsidP="00DF7F28">
      <w:pPr>
        <w:rPr>
          <w:rFonts w:cs="Times New Roman"/>
          <w:b/>
          <w:bCs/>
          <w:lang w:val="en-US"/>
        </w:rPr>
      </w:pPr>
      <w:r w:rsidRPr="00C6141B">
        <w:rPr>
          <w:rFonts w:cs="Times New Roman"/>
          <w:b/>
          <w:bCs/>
          <w:lang w:val="en-US"/>
        </w:rPr>
        <w:t>Formula for Net Profit Ratio = (Net Profit/Sales) * 100</w:t>
      </w:r>
    </w:p>
    <w:p w14:paraId="29FCC5E8" w14:textId="0EF27B98" w:rsidR="006F606B" w:rsidRPr="00C6141B" w:rsidRDefault="006F606B" w:rsidP="00DF7F28">
      <w:pPr>
        <w:rPr>
          <w:rFonts w:cs="Times New Roman"/>
          <w:lang w:val="en-US"/>
        </w:rPr>
      </w:pPr>
      <w:r w:rsidRPr="00C6141B">
        <w:rPr>
          <w:rFonts w:cs="Times New Roman"/>
          <w:lang w:val="en-US"/>
        </w:rPr>
        <w:t xml:space="preserve">All financial data has been taken form the annual reports of the company. </w:t>
      </w:r>
    </w:p>
    <w:tbl>
      <w:tblPr>
        <w:tblStyle w:val="TableGrid"/>
        <w:tblW w:w="9064" w:type="dxa"/>
        <w:tblLook w:val="04A0" w:firstRow="1" w:lastRow="0" w:firstColumn="1" w:lastColumn="0" w:noHBand="0" w:noVBand="1"/>
      </w:tblPr>
      <w:tblGrid>
        <w:gridCol w:w="1283"/>
        <w:gridCol w:w="1445"/>
        <w:gridCol w:w="1354"/>
        <w:gridCol w:w="3373"/>
        <w:gridCol w:w="1609"/>
      </w:tblGrid>
      <w:tr w:rsidR="00DF7F28" w:rsidRPr="00C6141B" w14:paraId="18F3FF2D" w14:textId="77777777" w:rsidTr="005B31A0">
        <w:trPr>
          <w:trHeight w:val="397"/>
        </w:trPr>
        <w:tc>
          <w:tcPr>
            <w:tcW w:w="9064" w:type="dxa"/>
            <w:gridSpan w:val="5"/>
          </w:tcPr>
          <w:p w14:paraId="59C5EBCD" w14:textId="77777777" w:rsidR="00DF7F28" w:rsidRPr="00C6141B" w:rsidRDefault="00DF7F28" w:rsidP="005857F6">
            <w:pPr>
              <w:jc w:val="center"/>
              <w:rPr>
                <w:rFonts w:cs="Times New Roman"/>
                <w:b/>
                <w:bCs/>
                <w:lang w:val="en-US"/>
              </w:rPr>
            </w:pPr>
            <w:r w:rsidRPr="00C6141B">
              <w:rPr>
                <w:rFonts w:cs="Times New Roman"/>
                <w:b/>
                <w:bCs/>
                <w:lang w:val="en-US"/>
              </w:rPr>
              <w:t>Amount in US $ million</w:t>
            </w:r>
          </w:p>
        </w:tc>
      </w:tr>
      <w:tr w:rsidR="00DF7F28" w:rsidRPr="00C6141B" w14:paraId="604575A2" w14:textId="77777777" w:rsidTr="005B31A0">
        <w:trPr>
          <w:trHeight w:val="397"/>
        </w:trPr>
        <w:tc>
          <w:tcPr>
            <w:tcW w:w="1283" w:type="dxa"/>
          </w:tcPr>
          <w:p w14:paraId="639123CF" w14:textId="77777777" w:rsidR="00DF7F28" w:rsidRPr="00C6141B" w:rsidRDefault="00DF7F28" w:rsidP="005857F6">
            <w:pPr>
              <w:rPr>
                <w:rFonts w:cs="Times New Roman"/>
                <w:b/>
                <w:bCs/>
                <w:lang w:val="en-US"/>
              </w:rPr>
            </w:pPr>
            <w:r w:rsidRPr="00C6141B">
              <w:rPr>
                <w:rFonts w:cs="Times New Roman"/>
                <w:b/>
                <w:bCs/>
                <w:lang w:val="en-US"/>
              </w:rPr>
              <w:t>Year</w:t>
            </w:r>
          </w:p>
        </w:tc>
        <w:tc>
          <w:tcPr>
            <w:tcW w:w="1445" w:type="dxa"/>
          </w:tcPr>
          <w:p w14:paraId="52179A75" w14:textId="77777777" w:rsidR="00DF7F28" w:rsidRPr="00C6141B" w:rsidRDefault="00DF7F28" w:rsidP="005857F6">
            <w:pPr>
              <w:rPr>
                <w:rFonts w:cs="Times New Roman"/>
                <w:b/>
                <w:bCs/>
                <w:lang w:val="en-US"/>
              </w:rPr>
            </w:pPr>
            <w:r w:rsidRPr="00C6141B">
              <w:rPr>
                <w:rFonts w:cs="Times New Roman"/>
                <w:b/>
                <w:bCs/>
                <w:lang w:val="en-US"/>
              </w:rPr>
              <w:t>Net Profit</w:t>
            </w:r>
          </w:p>
        </w:tc>
        <w:tc>
          <w:tcPr>
            <w:tcW w:w="1354" w:type="dxa"/>
          </w:tcPr>
          <w:p w14:paraId="6E8D67AC" w14:textId="77777777" w:rsidR="00DF7F28" w:rsidRPr="00C6141B" w:rsidRDefault="00DF7F28" w:rsidP="005857F6">
            <w:pPr>
              <w:rPr>
                <w:rFonts w:cs="Times New Roman"/>
                <w:b/>
                <w:bCs/>
                <w:lang w:val="en-US"/>
              </w:rPr>
            </w:pPr>
            <w:r w:rsidRPr="00C6141B">
              <w:rPr>
                <w:rFonts w:cs="Times New Roman"/>
                <w:b/>
                <w:bCs/>
                <w:lang w:val="en-US"/>
              </w:rPr>
              <w:t>Revenue</w:t>
            </w:r>
          </w:p>
        </w:tc>
        <w:tc>
          <w:tcPr>
            <w:tcW w:w="3373" w:type="dxa"/>
          </w:tcPr>
          <w:p w14:paraId="41CF2446" w14:textId="77777777" w:rsidR="00DF7F28" w:rsidRPr="00C6141B" w:rsidRDefault="00DF7F28" w:rsidP="005857F6">
            <w:pPr>
              <w:rPr>
                <w:rFonts w:cs="Times New Roman"/>
                <w:b/>
                <w:bCs/>
                <w:lang w:val="en-US"/>
              </w:rPr>
            </w:pPr>
            <w:r w:rsidRPr="00C6141B">
              <w:rPr>
                <w:rFonts w:cs="Times New Roman"/>
                <w:b/>
                <w:bCs/>
                <w:lang w:val="en-US"/>
              </w:rPr>
              <w:t>Calculation</w:t>
            </w:r>
          </w:p>
        </w:tc>
        <w:tc>
          <w:tcPr>
            <w:tcW w:w="1608" w:type="dxa"/>
          </w:tcPr>
          <w:p w14:paraId="42AF75C2" w14:textId="77777777" w:rsidR="00DF7F28" w:rsidRPr="00C6141B" w:rsidRDefault="00DF7F28" w:rsidP="005857F6">
            <w:pPr>
              <w:rPr>
                <w:rFonts w:cs="Times New Roman"/>
                <w:b/>
                <w:bCs/>
                <w:lang w:val="en-US"/>
              </w:rPr>
            </w:pPr>
            <w:r w:rsidRPr="00C6141B">
              <w:rPr>
                <w:rFonts w:cs="Times New Roman"/>
                <w:b/>
                <w:bCs/>
                <w:lang w:val="en-US"/>
              </w:rPr>
              <w:t>Value</w:t>
            </w:r>
          </w:p>
        </w:tc>
      </w:tr>
      <w:tr w:rsidR="00DF7F28" w:rsidRPr="00C6141B" w14:paraId="3080D660" w14:textId="77777777" w:rsidTr="005B31A0">
        <w:trPr>
          <w:trHeight w:val="407"/>
        </w:trPr>
        <w:tc>
          <w:tcPr>
            <w:tcW w:w="1283" w:type="dxa"/>
          </w:tcPr>
          <w:p w14:paraId="63BE9FBE" w14:textId="77777777" w:rsidR="00DF7F28" w:rsidRPr="00C6141B" w:rsidRDefault="00DF7F28" w:rsidP="005857F6">
            <w:pPr>
              <w:rPr>
                <w:rFonts w:cs="Times New Roman"/>
                <w:b/>
                <w:bCs/>
                <w:lang w:val="en-US"/>
              </w:rPr>
            </w:pPr>
            <w:r w:rsidRPr="00C6141B">
              <w:rPr>
                <w:rFonts w:cs="Times New Roman"/>
                <w:b/>
                <w:bCs/>
                <w:lang w:val="en-US"/>
              </w:rPr>
              <w:t>2018</w:t>
            </w:r>
          </w:p>
        </w:tc>
        <w:tc>
          <w:tcPr>
            <w:tcW w:w="1445" w:type="dxa"/>
          </w:tcPr>
          <w:p w14:paraId="23031856" w14:textId="77777777" w:rsidR="00DF7F28" w:rsidRPr="00C6141B" w:rsidRDefault="00DF7F28" w:rsidP="005857F6">
            <w:pPr>
              <w:rPr>
                <w:rFonts w:cs="Times New Roman"/>
                <w:lang w:val="en-US"/>
              </w:rPr>
            </w:pPr>
            <w:r w:rsidRPr="00C6141B">
              <w:rPr>
                <w:rFonts w:cs="Times New Roman"/>
                <w:lang w:val="en-US"/>
              </w:rPr>
              <w:t>2616</w:t>
            </w:r>
          </w:p>
        </w:tc>
        <w:tc>
          <w:tcPr>
            <w:tcW w:w="1354" w:type="dxa"/>
          </w:tcPr>
          <w:p w14:paraId="48C96CB0" w14:textId="77777777" w:rsidR="00DF7F28" w:rsidRPr="00C6141B" w:rsidRDefault="00DF7F28" w:rsidP="005857F6">
            <w:pPr>
              <w:rPr>
                <w:rFonts w:cs="Times New Roman"/>
                <w:lang w:val="en-US"/>
              </w:rPr>
            </w:pPr>
            <w:r w:rsidRPr="00C6141B">
              <w:rPr>
                <w:rFonts w:cs="Times New Roman"/>
                <w:lang w:val="en-US"/>
              </w:rPr>
              <w:t>219754</w:t>
            </w:r>
          </w:p>
        </w:tc>
        <w:tc>
          <w:tcPr>
            <w:tcW w:w="3373" w:type="dxa"/>
          </w:tcPr>
          <w:p w14:paraId="725B86C8" w14:textId="77777777" w:rsidR="00DF7F28" w:rsidRPr="00C6141B" w:rsidRDefault="00DF7F28" w:rsidP="005857F6">
            <w:pPr>
              <w:rPr>
                <w:rFonts w:cs="Times New Roman"/>
                <w:lang w:val="en-US"/>
              </w:rPr>
            </w:pPr>
            <w:r w:rsidRPr="00C6141B">
              <w:rPr>
                <w:rFonts w:cs="Times New Roman"/>
                <w:lang w:val="en-US"/>
              </w:rPr>
              <w:t>= (2616 / 219754) x 100</w:t>
            </w:r>
          </w:p>
        </w:tc>
        <w:tc>
          <w:tcPr>
            <w:tcW w:w="1608" w:type="dxa"/>
          </w:tcPr>
          <w:p w14:paraId="3C4EA79C" w14:textId="77777777" w:rsidR="00DF7F28" w:rsidRPr="00C6141B" w:rsidRDefault="00DF7F28" w:rsidP="005857F6">
            <w:pPr>
              <w:rPr>
                <w:rFonts w:cs="Times New Roman"/>
                <w:lang w:val="en-US"/>
              </w:rPr>
            </w:pPr>
            <w:r w:rsidRPr="00C6141B">
              <w:rPr>
                <w:rFonts w:cs="Times New Roman"/>
                <w:lang w:val="en-US"/>
              </w:rPr>
              <w:t>1.19%</w:t>
            </w:r>
          </w:p>
        </w:tc>
      </w:tr>
      <w:tr w:rsidR="00DF7F28" w:rsidRPr="00C6141B" w14:paraId="259342D7" w14:textId="77777777" w:rsidTr="005B31A0">
        <w:trPr>
          <w:trHeight w:val="397"/>
        </w:trPr>
        <w:tc>
          <w:tcPr>
            <w:tcW w:w="1283" w:type="dxa"/>
          </w:tcPr>
          <w:p w14:paraId="59ACFE62" w14:textId="77777777" w:rsidR="00DF7F28" w:rsidRPr="00C6141B" w:rsidRDefault="00DF7F28" w:rsidP="005857F6">
            <w:pPr>
              <w:rPr>
                <w:rFonts w:cs="Times New Roman"/>
                <w:b/>
                <w:bCs/>
                <w:lang w:val="en-US"/>
              </w:rPr>
            </w:pPr>
            <w:r w:rsidRPr="00C6141B">
              <w:rPr>
                <w:rFonts w:cs="Times New Roman"/>
                <w:b/>
                <w:bCs/>
                <w:lang w:val="en-US"/>
              </w:rPr>
              <w:t>2019</w:t>
            </w:r>
          </w:p>
        </w:tc>
        <w:tc>
          <w:tcPr>
            <w:tcW w:w="1445" w:type="dxa"/>
          </w:tcPr>
          <w:p w14:paraId="5CA7E9D0" w14:textId="77777777" w:rsidR="00DF7F28" w:rsidRPr="00C6141B" w:rsidRDefault="00DF7F28" w:rsidP="005857F6">
            <w:pPr>
              <w:rPr>
                <w:rFonts w:cs="Times New Roman"/>
                <w:lang w:val="en-US"/>
              </w:rPr>
            </w:pPr>
            <w:r w:rsidRPr="00C6141B">
              <w:rPr>
                <w:rFonts w:cs="Times New Roman"/>
                <w:lang w:val="en-US"/>
              </w:rPr>
              <w:t>-1506</w:t>
            </w:r>
          </w:p>
        </w:tc>
        <w:tc>
          <w:tcPr>
            <w:tcW w:w="1354" w:type="dxa"/>
          </w:tcPr>
          <w:p w14:paraId="30C1C633" w14:textId="77777777" w:rsidR="00DF7F28" w:rsidRPr="00C6141B" w:rsidRDefault="00DF7F28" w:rsidP="005857F6">
            <w:pPr>
              <w:rPr>
                <w:rFonts w:cs="Times New Roman"/>
                <w:lang w:val="en-US"/>
              </w:rPr>
            </w:pPr>
            <w:r w:rsidRPr="00C6141B">
              <w:rPr>
                <w:rFonts w:cs="Times New Roman"/>
                <w:lang w:val="en-US"/>
              </w:rPr>
              <w:t>215111</w:t>
            </w:r>
          </w:p>
        </w:tc>
        <w:tc>
          <w:tcPr>
            <w:tcW w:w="3373" w:type="dxa"/>
          </w:tcPr>
          <w:p w14:paraId="14DD731D" w14:textId="77777777" w:rsidR="00DF7F28" w:rsidRPr="00C6141B" w:rsidRDefault="00DF7F28" w:rsidP="005857F6">
            <w:pPr>
              <w:rPr>
                <w:rFonts w:cs="Times New Roman"/>
                <w:lang w:val="en-US"/>
              </w:rPr>
            </w:pPr>
            <w:r w:rsidRPr="00C6141B">
              <w:rPr>
                <w:rFonts w:cs="Times New Roman"/>
                <w:lang w:val="en-US"/>
              </w:rPr>
              <w:t>= (-1506 / 215111) x 100</w:t>
            </w:r>
          </w:p>
        </w:tc>
        <w:tc>
          <w:tcPr>
            <w:tcW w:w="1608" w:type="dxa"/>
          </w:tcPr>
          <w:p w14:paraId="0E95D82F" w14:textId="77777777" w:rsidR="00DF7F28" w:rsidRPr="00C6141B" w:rsidRDefault="00DF7F28" w:rsidP="005857F6">
            <w:pPr>
              <w:rPr>
                <w:rFonts w:cs="Times New Roman"/>
                <w:lang w:val="en-US"/>
              </w:rPr>
            </w:pPr>
            <w:r w:rsidRPr="00C6141B">
              <w:rPr>
                <w:rFonts w:cs="Times New Roman"/>
                <w:lang w:val="en-US"/>
              </w:rPr>
              <w:t>-0.70%</w:t>
            </w:r>
          </w:p>
        </w:tc>
      </w:tr>
      <w:tr w:rsidR="00DF7F28" w:rsidRPr="00C6141B" w14:paraId="0012055A" w14:textId="77777777" w:rsidTr="005B31A0">
        <w:trPr>
          <w:trHeight w:val="407"/>
        </w:trPr>
        <w:tc>
          <w:tcPr>
            <w:tcW w:w="1283" w:type="dxa"/>
          </w:tcPr>
          <w:p w14:paraId="1D77FBB0" w14:textId="77777777" w:rsidR="00DF7F28" w:rsidRPr="00C6141B" w:rsidRDefault="00DF7F28" w:rsidP="005857F6">
            <w:pPr>
              <w:rPr>
                <w:rFonts w:cs="Times New Roman"/>
                <w:b/>
                <w:bCs/>
                <w:lang w:val="en-US"/>
              </w:rPr>
            </w:pPr>
            <w:r w:rsidRPr="00C6141B">
              <w:rPr>
                <w:rFonts w:cs="Times New Roman"/>
                <w:b/>
                <w:bCs/>
                <w:lang w:val="en-US"/>
              </w:rPr>
              <w:t>2020</w:t>
            </w:r>
          </w:p>
        </w:tc>
        <w:tc>
          <w:tcPr>
            <w:tcW w:w="1445" w:type="dxa"/>
          </w:tcPr>
          <w:p w14:paraId="1EFF50A7" w14:textId="77777777" w:rsidR="00DF7F28" w:rsidRPr="00C6141B" w:rsidRDefault="00DF7F28" w:rsidP="005857F6">
            <w:pPr>
              <w:rPr>
                <w:rFonts w:cs="Times New Roman"/>
                <w:lang w:val="en-US"/>
              </w:rPr>
            </w:pPr>
            <w:r w:rsidRPr="00C6141B">
              <w:rPr>
                <w:rFonts w:cs="Times New Roman"/>
                <w:lang w:val="en-US"/>
              </w:rPr>
              <w:t>3946</w:t>
            </w:r>
          </w:p>
        </w:tc>
        <w:tc>
          <w:tcPr>
            <w:tcW w:w="1354" w:type="dxa"/>
          </w:tcPr>
          <w:p w14:paraId="43C5D59C" w14:textId="77777777" w:rsidR="00DF7F28" w:rsidRPr="00C6141B" w:rsidRDefault="00DF7F28" w:rsidP="005857F6">
            <w:pPr>
              <w:rPr>
                <w:rFonts w:cs="Times New Roman"/>
                <w:lang w:val="en-US"/>
              </w:rPr>
            </w:pPr>
            <w:r w:rsidRPr="00C6141B">
              <w:rPr>
                <w:rFonts w:cs="Times New Roman"/>
                <w:lang w:val="en-US"/>
              </w:rPr>
              <w:t>142338</w:t>
            </w:r>
          </w:p>
        </w:tc>
        <w:tc>
          <w:tcPr>
            <w:tcW w:w="3373" w:type="dxa"/>
          </w:tcPr>
          <w:p w14:paraId="17A08B54" w14:textId="77777777" w:rsidR="00DF7F28" w:rsidRPr="00C6141B" w:rsidRDefault="00DF7F28" w:rsidP="005857F6">
            <w:pPr>
              <w:rPr>
                <w:rFonts w:cs="Times New Roman"/>
                <w:lang w:val="en-US"/>
              </w:rPr>
            </w:pPr>
            <w:r w:rsidRPr="00C6141B">
              <w:rPr>
                <w:rFonts w:cs="Times New Roman"/>
                <w:lang w:val="en-US"/>
              </w:rPr>
              <w:t>= (3946 / 142338) x 100</w:t>
            </w:r>
          </w:p>
        </w:tc>
        <w:tc>
          <w:tcPr>
            <w:tcW w:w="1608" w:type="dxa"/>
          </w:tcPr>
          <w:p w14:paraId="050DDE33" w14:textId="77777777" w:rsidR="00DF7F28" w:rsidRPr="00C6141B" w:rsidRDefault="00DF7F28" w:rsidP="005857F6">
            <w:pPr>
              <w:rPr>
                <w:rFonts w:cs="Times New Roman"/>
                <w:lang w:val="en-US"/>
              </w:rPr>
            </w:pPr>
            <w:r w:rsidRPr="00C6141B">
              <w:rPr>
                <w:rFonts w:cs="Times New Roman"/>
                <w:lang w:val="en-US"/>
              </w:rPr>
              <w:t>2.77%</w:t>
            </w:r>
          </w:p>
        </w:tc>
      </w:tr>
      <w:tr w:rsidR="00DF7F28" w:rsidRPr="00C6141B" w14:paraId="04AD3A63" w14:textId="77777777" w:rsidTr="005B31A0">
        <w:trPr>
          <w:trHeight w:val="397"/>
        </w:trPr>
        <w:tc>
          <w:tcPr>
            <w:tcW w:w="1283" w:type="dxa"/>
          </w:tcPr>
          <w:p w14:paraId="4E63F15C" w14:textId="77777777" w:rsidR="00DF7F28" w:rsidRPr="00C6141B" w:rsidRDefault="00DF7F28" w:rsidP="005857F6">
            <w:pPr>
              <w:rPr>
                <w:rFonts w:cs="Times New Roman"/>
                <w:b/>
                <w:bCs/>
                <w:lang w:val="en-US"/>
              </w:rPr>
            </w:pPr>
            <w:r w:rsidRPr="00C6141B">
              <w:rPr>
                <w:rFonts w:cs="Times New Roman"/>
                <w:b/>
                <w:bCs/>
                <w:lang w:val="en-US"/>
              </w:rPr>
              <w:t>2021</w:t>
            </w:r>
          </w:p>
        </w:tc>
        <w:tc>
          <w:tcPr>
            <w:tcW w:w="1445" w:type="dxa"/>
          </w:tcPr>
          <w:p w14:paraId="6B2F41F1" w14:textId="77777777" w:rsidR="00DF7F28" w:rsidRPr="00C6141B" w:rsidRDefault="00DF7F28" w:rsidP="005857F6">
            <w:pPr>
              <w:rPr>
                <w:rFonts w:cs="Times New Roman"/>
                <w:lang w:val="en-US"/>
              </w:rPr>
            </w:pPr>
            <w:r w:rsidRPr="00C6141B">
              <w:rPr>
                <w:rFonts w:cs="Times New Roman"/>
                <w:lang w:val="en-US"/>
              </w:rPr>
              <w:t>4349</w:t>
            </w:r>
          </w:p>
        </w:tc>
        <w:tc>
          <w:tcPr>
            <w:tcW w:w="1354" w:type="dxa"/>
          </w:tcPr>
          <w:p w14:paraId="0F01BB22" w14:textId="77777777" w:rsidR="00DF7F28" w:rsidRPr="00C6141B" w:rsidRDefault="00DF7F28" w:rsidP="005857F6">
            <w:pPr>
              <w:rPr>
                <w:rFonts w:cs="Times New Roman"/>
                <w:lang w:val="en-US"/>
              </w:rPr>
            </w:pPr>
            <w:r w:rsidRPr="00C6141B">
              <w:rPr>
                <w:rFonts w:cs="Times New Roman"/>
                <w:lang w:val="en-US"/>
              </w:rPr>
              <w:t>203751</w:t>
            </w:r>
          </w:p>
        </w:tc>
        <w:tc>
          <w:tcPr>
            <w:tcW w:w="3373" w:type="dxa"/>
          </w:tcPr>
          <w:p w14:paraId="5074AF23" w14:textId="77777777" w:rsidR="00DF7F28" w:rsidRPr="00C6141B" w:rsidRDefault="00DF7F28" w:rsidP="005857F6">
            <w:pPr>
              <w:rPr>
                <w:rFonts w:cs="Times New Roman"/>
                <w:lang w:val="en-US"/>
              </w:rPr>
            </w:pPr>
            <w:r w:rsidRPr="00C6141B">
              <w:rPr>
                <w:rFonts w:cs="Times New Roman"/>
                <w:lang w:val="en-US"/>
              </w:rPr>
              <w:t>= (4349 / 203751) x 100</w:t>
            </w:r>
          </w:p>
        </w:tc>
        <w:tc>
          <w:tcPr>
            <w:tcW w:w="1608" w:type="dxa"/>
          </w:tcPr>
          <w:p w14:paraId="276FBCDD" w14:textId="77777777" w:rsidR="00DF7F28" w:rsidRPr="00C6141B" w:rsidRDefault="00DF7F28" w:rsidP="005857F6">
            <w:pPr>
              <w:rPr>
                <w:rFonts w:cs="Times New Roman"/>
                <w:lang w:val="en-US"/>
              </w:rPr>
            </w:pPr>
            <w:r w:rsidRPr="00C6141B">
              <w:rPr>
                <w:rFonts w:cs="Times New Roman"/>
                <w:lang w:val="en-US"/>
              </w:rPr>
              <w:t>2.13%</w:t>
            </w:r>
          </w:p>
        </w:tc>
      </w:tr>
      <w:tr w:rsidR="00DF7F28" w:rsidRPr="00C6141B" w14:paraId="4C2F1B4A" w14:textId="77777777" w:rsidTr="005B31A0">
        <w:trPr>
          <w:trHeight w:val="397"/>
        </w:trPr>
        <w:tc>
          <w:tcPr>
            <w:tcW w:w="1283" w:type="dxa"/>
          </w:tcPr>
          <w:p w14:paraId="04A5A21D" w14:textId="77777777" w:rsidR="00DF7F28" w:rsidRPr="00C6141B" w:rsidRDefault="00DF7F28" w:rsidP="005857F6">
            <w:pPr>
              <w:rPr>
                <w:rFonts w:cs="Times New Roman"/>
                <w:b/>
                <w:bCs/>
                <w:lang w:val="en-US"/>
              </w:rPr>
            </w:pPr>
            <w:r w:rsidRPr="00C6141B">
              <w:rPr>
                <w:rFonts w:cs="Times New Roman"/>
                <w:b/>
                <w:bCs/>
                <w:lang w:val="en-US"/>
              </w:rPr>
              <w:t>2022</w:t>
            </w:r>
          </w:p>
        </w:tc>
        <w:tc>
          <w:tcPr>
            <w:tcW w:w="1445" w:type="dxa"/>
          </w:tcPr>
          <w:p w14:paraId="6148E436" w14:textId="77777777" w:rsidR="00DF7F28" w:rsidRPr="00C6141B" w:rsidRDefault="00DF7F28" w:rsidP="005857F6">
            <w:pPr>
              <w:rPr>
                <w:rFonts w:cs="Times New Roman"/>
                <w:lang w:val="en-US"/>
              </w:rPr>
            </w:pPr>
            <w:r w:rsidRPr="00C6141B">
              <w:rPr>
                <w:rFonts w:cs="Times New Roman"/>
                <w:lang w:val="en-US"/>
              </w:rPr>
              <w:t>16511</w:t>
            </w:r>
          </w:p>
        </w:tc>
        <w:tc>
          <w:tcPr>
            <w:tcW w:w="1354" w:type="dxa"/>
          </w:tcPr>
          <w:p w14:paraId="4467D5DE" w14:textId="77777777" w:rsidR="00DF7F28" w:rsidRPr="00C6141B" w:rsidRDefault="00DF7F28" w:rsidP="005857F6">
            <w:pPr>
              <w:rPr>
                <w:rFonts w:cs="Times New Roman"/>
                <w:lang w:val="en-US"/>
              </w:rPr>
            </w:pPr>
            <w:r w:rsidRPr="00C6141B">
              <w:rPr>
                <w:rFonts w:cs="Times New Roman"/>
                <w:lang w:val="en-US"/>
              </w:rPr>
              <w:t>255984</w:t>
            </w:r>
          </w:p>
        </w:tc>
        <w:tc>
          <w:tcPr>
            <w:tcW w:w="3373" w:type="dxa"/>
          </w:tcPr>
          <w:p w14:paraId="5E846EDA" w14:textId="77777777" w:rsidR="00DF7F28" w:rsidRPr="00C6141B" w:rsidRDefault="00DF7F28" w:rsidP="005857F6">
            <w:pPr>
              <w:rPr>
                <w:rFonts w:cs="Times New Roman"/>
                <w:lang w:val="en-US"/>
              </w:rPr>
            </w:pPr>
            <w:r w:rsidRPr="00C6141B">
              <w:rPr>
                <w:rFonts w:cs="Times New Roman"/>
                <w:lang w:val="en-US"/>
              </w:rPr>
              <w:t>= (16511 / 255984) x 100</w:t>
            </w:r>
          </w:p>
        </w:tc>
        <w:tc>
          <w:tcPr>
            <w:tcW w:w="1608" w:type="dxa"/>
          </w:tcPr>
          <w:p w14:paraId="199D8CCC" w14:textId="77777777" w:rsidR="00DF7F28" w:rsidRPr="00C6141B" w:rsidRDefault="00DF7F28" w:rsidP="005857F6">
            <w:pPr>
              <w:rPr>
                <w:rFonts w:cs="Times New Roman"/>
                <w:lang w:val="en-US"/>
              </w:rPr>
            </w:pPr>
            <w:r w:rsidRPr="00C6141B">
              <w:rPr>
                <w:rFonts w:cs="Times New Roman"/>
                <w:lang w:val="en-US"/>
              </w:rPr>
              <w:t>6.45%</w:t>
            </w:r>
          </w:p>
        </w:tc>
      </w:tr>
    </w:tbl>
    <w:p w14:paraId="6E634CDD" w14:textId="21D356DF" w:rsidR="00FB5987" w:rsidRPr="00C6141B" w:rsidRDefault="00FB5987" w:rsidP="00FB5987">
      <w:pPr>
        <w:jc w:val="center"/>
        <w:rPr>
          <w:b/>
          <w:bCs/>
          <w:lang w:val="en-US"/>
        </w:rPr>
      </w:pPr>
      <w:bookmarkStart w:id="4" w:name="_Toc164854220"/>
      <w:r w:rsidRPr="00C6141B">
        <w:rPr>
          <w:b/>
          <w:bCs/>
          <w:lang w:val="en-US"/>
        </w:rPr>
        <w:t>Table No. 1</w:t>
      </w:r>
    </w:p>
    <w:p w14:paraId="4070EAD5" w14:textId="4003D731" w:rsidR="00DF7F28" w:rsidRPr="00C6141B" w:rsidRDefault="00DF7F28" w:rsidP="00DF7F28">
      <w:pPr>
        <w:pStyle w:val="Heading3"/>
        <w:rPr>
          <w:rFonts w:cs="Times New Roman"/>
          <w:szCs w:val="24"/>
          <w:lang w:val="en-US"/>
        </w:rPr>
      </w:pPr>
      <w:bookmarkStart w:id="5" w:name="_Toc175148032"/>
      <w:r w:rsidRPr="00C6141B">
        <w:rPr>
          <w:rFonts w:cs="Times New Roman"/>
          <w:szCs w:val="24"/>
          <w:lang w:val="en-US"/>
        </w:rPr>
        <w:t>2.1.2. Liquidity Ratios</w:t>
      </w:r>
      <w:bookmarkEnd w:id="4"/>
      <w:bookmarkEnd w:id="5"/>
    </w:p>
    <w:p w14:paraId="46EDC27F" w14:textId="77777777" w:rsidR="00DF7F28" w:rsidRPr="00C6141B" w:rsidRDefault="00DF7F28" w:rsidP="00DF7F28">
      <w:pPr>
        <w:rPr>
          <w:rFonts w:cs="Times New Roman"/>
          <w:b/>
          <w:bCs/>
          <w:lang w:val="en-US"/>
        </w:rPr>
      </w:pPr>
      <w:r w:rsidRPr="00C6141B">
        <w:rPr>
          <w:rFonts w:cs="Times New Roman"/>
          <w:b/>
          <w:bCs/>
          <w:lang w:val="en-US"/>
        </w:rPr>
        <w:t>Formula for Current Ratio = Current Assets / Current Liabilities</w:t>
      </w:r>
    </w:p>
    <w:tbl>
      <w:tblPr>
        <w:tblStyle w:val="TableGrid"/>
        <w:tblW w:w="8983" w:type="dxa"/>
        <w:tblLook w:val="04A0" w:firstRow="1" w:lastRow="0" w:firstColumn="1" w:lastColumn="0" w:noHBand="0" w:noVBand="1"/>
      </w:tblPr>
      <w:tblGrid>
        <w:gridCol w:w="1253"/>
        <w:gridCol w:w="1765"/>
        <w:gridCol w:w="2361"/>
        <w:gridCol w:w="1793"/>
        <w:gridCol w:w="1811"/>
      </w:tblGrid>
      <w:tr w:rsidR="00DF7F28" w:rsidRPr="00C6141B" w14:paraId="2A0E40BC" w14:textId="77777777" w:rsidTr="005B31A0">
        <w:trPr>
          <w:trHeight w:val="339"/>
        </w:trPr>
        <w:tc>
          <w:tcPr>
            <w:tcW w:w="8983" w:type="dxa"/>
            <w:gridSpan w:val="5"/>
          </w:tcPr>
          <w:p w14:paraId="2A4B692A" w14:textId="77777777" w:rsidR="00DF7F28" w:rsidRPr="00C6141B" w:rsidRDefault="00DF7F28" w:rsidP="005857F6">
            <w:pPr>
              <w:jc w:val="center"/>
              <w:rPr>
                <w:rFonts w:cs="Times New Roman"/>
                <w:b/>
                <w:bCs/>
                <w:lang w:val="en-US"/>
              </w:rPr>
            </w:pPr>
            <w:r w:rsidRPr="00C6141B">
              <w:rPr>
                <w:rFonts w:cs="Times New Roman"/>
                <w:b/>
                <w:bCs/>
                <w:lang w:val="en-US"/>
              </w:rPr>
              <w:t>Amount in US $ million</w:t>
            </w:r>
          </w:p>
        </w:tc>
      </w:tr>
      <w:tr w:rsidR="00DF7F28" w:rsidRPr="00C6141B" w14:paraId="354D811F" w14:textId="77777777" w:rsidTr="00FB5987">
        <w:trPr>
          <w:trHeight w:val="339"/>
        </w:trPr>
        <w:tc>
          <w:tcPr>
            <w:tcW w:w="1253" w:type="dxa"/>
          </w:tcPr>
          <w:p w14:paraId="7FD622EB" w14:textId="77777777" w:rsidR="00DF7F28" w:rsidRPr="00C6141B" w:rsidRDefault="00DF7F28" w:rsidP="005857F6">
            <w:pPr>
              <w:rPr>
                <w:rFonts w:cs="Times New Roman"/>
                <w:b/>
                <w:bCs/>
                <w:lang w:val="en-US"/>
              </w:rPr>
            </w:pPr>
            <w:r w:rsidRPr="00C6141B">
              <w:rPr>
                <w:rFonts w:cs="Times New Roman"/>
                <w:b/>
                <w:bCs/>
                <w:lang w:val="en-US"/>
              </w:rPr>
              <w:t>Year</w:t>
            </w:r>
          </w:p>
        </w:tc>
        <w:tc>
          <w:tcPr>
            <w:tcW w:w="1765" w:type="dxa"/>
          </w:tcPr>
          <w:p w14:paraId="55067B2B" w14:textId="77777777" w:rsidR="00DF7F28" w:rsidRPr="00C6141B" w:rsidRDefault="00DF7F28" w:rsidP="005857F6">
            <w:pPr>
              <w:rPr>
                <w:rFonts w:cs="Times New Roman"/>
                <w:b/>
                <w:bCs/>
                <w:lang w:val="en-US"/>
              </w:rPr>
            </w:pPr>
            <w:r w:rsidRPr="00C6141B">
              <w:rPr>
                <w:rFonts w:cs="Times New Roman"/>
                <w:b/>
                <w:bCs/>
                <w:lang w:val="en-US"/>
              </w:rPr>
              <w:t>Current Assets</w:t>
            </w:r>
          </w:p>
        </w:tc>
        <w:tc>
          <w:tcPr>
            <w:tcW w:w="2361" w:type="dxa"/>
          </w:tcPr>
          <w:p w14:paraId="74B00CBD" w14:textId="77777777" w:rsidR="00DF7F28" w:rsidRPr="00C6141B" w:rsidRDefault="00DF7F28" w:rsidP="005857F6">
            <w:pPr>
              <w:rPr>
                <w:rFonts w:cs="Times New Roman"/>
                <w:b/>
                <w:bCs/>
                <w:lang w:val="en-US"/>
              </w:rPr>
            </w:pPr>
            <w:r w:rsidRPr="00C6141B">
              <w:rPr>
                <w:rFonts w:cs="Times New Roman"/>
                <w:b/>
                <w:bCs/>
                <w:lang w:val="en-US"/>
              </w:rPr>
              <w:t>Current Liabilities</w:t>
            </w:r>
          </w:p>
        </w:tc>
        <w:tc>
          <w:tcPr>
            <w:tcW w:w="1793" w:type="dxa"/>
          </w:tcPr>
          <w:p w14:paraId="20E5B2FC" w14:textId="77777777" w:rsidR="00DF7F28" w:rsidRPr="00C6141B" w:rsidRDefault="00DF7F28" w:rsidP="005857F6">
            <w:pPr>
              <w:rPr>
                <w:rFonts w:cs="Times New Roman"/>
                <w:b/>
                <w:bCs/>
                <w:lang w:val="en-US"/>
              </w:rPr>
            </w:pPr>
            <w:r w:rsidRPr="00C6141B">
              <w:rPr>
                <w:rFonts w:cs="Times New Roman"/>
                <w:b/>
                <w:bCs/>
                <w:lang w:val="en-US"/>
              </w:rPr>
              <w:t>Calculation</w:t>
            </w:r>
          </w:p>
        </w:tc>
        <w:tc>
          <w:tcPr>
            <w:tcW w:w="1811" w:type="dxa"/>
          </w:tcPr>
          <w:p w14:paraId="27103EFF" w14:textId="77777777" w:rsidR="00DF7F28" w:rsidRPr="00C6141B" w:rsidRDefault="00DF7F28" w:rsidP="005857F6">
            <w:pPr>
              <w:rPr>
                <w:rFonts w:cs="Times New Roman"/>
                <w:b/>
                <w:bCs/>
                <w:lang w:val="en-US"/>
              </w:rPr>
            </w:pPr>
            <w:r w:rsidRPr="00C6141B">
              <w:rPr>
                <w:rFonts w:cs="Times New Roman"/>
                <w:b/>
                <w:bCs/>
                <w:lang w:val="en-US"/>
              </w:rPr>
              <w:t>Value</w:t>
            </w:r>
          </w:p>
        </w:tc>
      </w:tr>
      <w:tr w:rsidR="00DF7F28" w:rsidRPr="00C6141B" w14:paraId="49F1EE37" w14:textId="77777777" w:rsidTr="00FB5987">
        <w:trPr>
          <w:trHeight w:val="349"/>
        </w:trPr>
        <w:tc>
          <w:tcPr>
            <w:tcW w:w="1253" w:type="dxa"/>
          </w:tcPr>
          <w:p w14:paraId="795F5CD9" w14:textId="77777777" w:rsidR="00DF7F28" w:rsidRPr="00C6141B" w:rsidRDefault="00DF7F28" w:rsidP="005857F6">
            <w:pPr>
              <w:rPr>
                <w:rFonts w:cs="Times New Roman"/>
                <w:b/>
                <w:bCs/>
                <w:lang w:val="en-US"/>
              </w:rPr>
            </w:pPr>
            <w:r w:rsidRPr="00C6141B">
              <w:rPr>
                <w:rFonts w:cs="Times New Roman"/>
                <w:b/>
                <w:bCs/>
                <w:lang w:val="en-US"/>
              </w:rPr>
              <w:t>2018</w:t>
            </w:r>
          </w:p>
        </w:tc>
        <w:tc>
          <w:tcPr>
            <w:tcW w:w="1765" w:type="dxa"/>
          </w:tcPr>
          <w:p w14:paraId="5A79E1D3" w14:textId="77777777" w:rsidR="00DF7F28" w:rsidRPr="00C6141B" w:rsidRDefault="00DF7F28" w:rsidP="005857F6">
            <w:pPr>
              <w:rPr>
                <w:rFonts w:cs="Times New Roman"/>
                <w:lang w:val="en-US"/>
              </w:rPr>
            </w:pPr>
            <w:r w:rsidRPr="00C6141B">
              <w:rPr>
                <w:rFonts w:cs="Times New Roman"/>
                <w:lang w:val="en-US"/>
              </w:rPr>
              <w:t>44268</w:t>
            </w:r>
          </w:p>
        </w:tc>
        <w:tc>
          <w:tcPr>
            <w:tcW w:w="2361" w:type="dxa"/>
          </w:tcPr>
          <w:p w14:paraId="10D93233" w14:textId="77777777" w:rsidR="00DF7F28" w:rsidRPr="00C6141B" w:rsidRDefault="00DF7F28" w:rsidP="005857F6">
            <w:pPr>
              <w:rPr>
                <w:rFonts w:cs="Times New Roman"/>
                <w:lang w:val="en-US"/>
              </w:rPr>
            </w:pPr>
            <w:r w:rsidRPr="00C6141B">
              <w:rPr>
                <w:rFonts w:cs="Times New Roman"/>
                <w:lang w:val="en-US"/>
              </w:rPr>
              <w:t>40372</w:t>
            </w:r>
          </w:p>
        </w:tc>
        <w:tc>
          <w:tcPr>
            <w:tcW w:w="1793" w:type="dxa"/>
          </w:tcPr>
          <w:p w14:paraId="77677A22" w14:textId="77777777" w:rsidR="00DF7F28" w:rsidRPr="00C6141B" w:rsidRDefault="00DF7F28" w:rsidP="005857F6">
            <w:pPr>
              <w:rPr>
                <w:rFonts w:cs="Times New Roman"/>
                <w:lang w:val="en-US"/>
              </w:rPr>
            </w:pPr>
            <w:r w:rsidRPr="00C6141B">
              <w:rPr>
                <w:rFonts w:cs="Times New Roman"/>
                <w:lang w:val="en-US"/>
              </w:rPr>
              <w:t>= 44268 / 40372</w:t>
            </w:r>
          </w:p>
        </w:tc>
        <w:tc>
          <w:tcPr>
            <w:tcW w:w="1811" w:type="dxa"/>
          </w:tcPr>
          <w:p w14:paraId="57C55F9D" w14:textId="77777777" w:rsidR="00DF7F28" w:rsidRPr="00C6141B" w:rsidRDefault="00DF7F28" w:rsidP="005857F6">
            <w:pPr>
              <w:rPr>
                <w:rFonts w:cs="Times New Roman"/>
                <w:lang w:val="en-US"/>
              </w:rPr>
            </w:pPr>
            <w:r w:rsidRPr="00C6141B">
              <w:rPr>
                <w:rFonts w:cs="Times New Roman"/>
                <w:lang w:val="en-US"/>
              </w:rPr>
              <w:t>1.10</w:t>
            </w:r>
          </w:p>
        </w:tc>
      </w:tr>
      <w:tr w:rsidR="00DF7F28" w:rsidRPr="00C6141B" w14:paraId="2A27DE70" w14:textId="77777777" w:rsidTr="00FB5987">
        <w:trPr>
          <w:trHeight w:val="339"/>
        </w:trPr>
        <w:tc>
          <w:tcPr>
            <w:tcW w:w="1253" w:type="dxa"/>
          </w:tcPr>
          <w:p w14:paraId="614C8833" w14:textId="77777777" w:rsidR="00DF7F28" w:rsidRPr="00C6141B" w:rsidRDefault="00DF7F28" w:rsidP="005857F6">
            <w:pPr>
              <w:rPr>
                <w:rFonts w:cs="Times New Roman"/>
                <w:b/>
                <w:bCs/>
                <w:lang w:val="en-US"/>
              </w:rPr>
            </w:pPr>
            <w:r w:rsidRPr="00C6141B">
              <w:rPr>
                <w:rFonts w:cs="Times New Roman"/>
                <w:b/>
                <w:bCs/>
                <w:lang w:val="en-US"/>
              </w:rPr>
              <w:t>2019</w:t>
            </w:r>
          </w:p>
        </w:tc>
        <w:tc>
          <w:tcPr>
            <w:tcW w:w="1765" w:type="dxa"/>
          </w:tcPr>
          <w:p w14:paraId="5011ECA9" w14:textId="77777777" w:rsidR="00DF7F28" w:rsidRPr="00C6141B" w:rsidRDefault="00DF7F28" w:rsidP="005857F6">
            <w:pPr>
              <w:rPr>
                <w:rFonts w:cs="Times New Roman"/>
                <w:lang w:val="en-US"/>
              </w:rPr>
            </w:pPr>
            <w:r w:rsidRPr="00C6141B">
              <w:rPr>
                <w:rFonts w:cs="Times New Roman"/>
                <w:lang w:val="en-US"/>
              </w:rPr>
              <w:t>41410</w:t>
            </w:r>
          </w:p>
        </w:tc>
        <w:tc>
          <w:tcPr>
            <w:tcW w:w="2361" w:type="dxa"/>
          </w:tcPr>
          <w:p w14:paraId="5AB0EAF5" w14:textId="77777777" w:rsidR="00DF7F28" w:rsidRPr="00C6141B" w:rsidRDefault="00DF7F28" w:rsidP="005857F6">
            <w:pPr>
              <w:rPr>
                <w:rFonts w:cs="Times New Roman"/>
                <w:lang w:val="en-US"/>
              </w:rPr>
            </w:pPr>
            <w:r w:rsidRPr="00C6141B">
              <w:rPr>
                <w:rFonts w:cs="Times New Roman"/>
                <w:lang w:val="en-US"/>
              </w:rPr>
              <w:t>39008</w:t>
            </w:r>
          </w:p>
        </w:tc>
        <w:tc>
          <w:tcPr>
            <w:tcW w:w="1793" w:type="dxa"/>
          </w:tcPr>
          <w:p w14:paraId="5032917E" w14:textId="77777777" w:rsidR="00DF7F28" w:rsidRPr="00C6141B" w:rsidRDefault="00DF7F28" w:rsidP="005857F6">
            <w:pPr>
              <w:rPr>
                <w:rFonts w:cs="Times New Roman"/>
                <w:lang w:val="en-US"/>
              </w:rPr>
            </w:pPr>
            <w:r w:rsidRPr="00C6141B">
              <w:rPr>
                <w:rFonts w:cs="Times New Roman"/>
                <w:lang w:val="en-US"/>
              </w:rPr>
              <w:t>= 41410 / 39008</w:t>
            </w:r>
          </w:p>
        </w:tc>
        <w:tc>
          <w:tcPr>
            <w:tcW w:w="1811" w:type="dxa"/>
          </w:tcPr>
          <w:p w14:paraId="3F047C78" w14:textId="77777777" w:rsidR="00DF7F28" w:rsidRPr="00C6141B" w:rsidRDefault="00DF7F28" w:rsidP="005857F6">
            <w:pPr>
              <w:rPr>
                <w:rFonts w:cs="Times New Roman"/>
                <w:lang w:val="en-US"/>
              </w:rPr>
            </w:pPr>
            <w:r w:rsidRPr="00C6141B">
              <w:rPr>
                <w:rFonts w:cs="Times New Roman"/>
                <w:lang w:val="en-US"/>
              </w:rPr>
              <w:t>1.06</w:t>
            </w:r>
          </w:p>
        </w:tc>
      </w:tr>
      <w:tr w:rsidR="00DF7F28" w:rsidRPr="00C6141B" w14:paraId="0BC1AE35" w14:textId="77777777" w:rsidTr="00FB5987">
        <w:trPr>
          <w:trHeight w:val="349"/>
        </w:trPr>
        <w:tc>
          <w:tcPr>
            <w:tcW w:w="1253" w:type="dxa"/>
          </w:tcPr>
          <w:p w14:paraId="568D362B" w14:textId="77777777" w:rsidR="00DF7F28" w:rsidRPr="00C6141B" w:rsidRDefault="00DF7F28" w:rsidP="005857F6">
            <w:pPr>
              <w:rPr>
                <w:rFonts w:cs="Times New Roman"/>
                <w:b/>
                <w:bCs/>
                <w:lang w:val="en-US"/>
              </w:rPr>
            </w:pPr>
            <w:r w:rsidRPr="00C6141B">
              <w:rPr>
                <w:rFonts w:cs="Times New Roman"/>
                <w:b/>
                <w:bCs/>
                <w:lang w:val="en-US"/>
              </w:rPr>
              <w:t>2020</w:t>
            </w:r>
          </w:p>
        </w:tc>
        <w:tc>
          <w:tcPr>
            <w:tcW w:w="1765" w:type="dxa"/>
          </w:tcPr>
          <w:p w14:paraId="0263F467" w14:textId="77777777" w:rsidR="00DF7F28" w:rsidRPr="00C6141B" w:rsidRDefault="00DF7F28" w:rsidP="005857F6">
            <w:pPr>
              <w:rPr>
                <w:rFonts w:cs="Times New Roman"/>
                <w:lang w:val="en-US"/>
              </w:rPr>
            </w:pPr>
            <w:r w:rsidRPr="00C6141B">
              <w:rPr>
                <w:rFonts w:cs="Times New Roman"/>
                <w:lang w:val="en-US"/>
              </w:rPr>
              <w:t>43212</w:t>
            </w:r>
          </w:p>
        </w:tc>
        <w:tc>
          <w:tcPr>
            <w:tcW w:w="2361" w:type="dxa"/>
          </w:tcPr>
          <w:p w14:paraId="4FA3D2A8" w14:textId="77777777" w:rsidR="00DF7F28" w:rsidRPr="00C6141B" w:rsidRDefault="00DF7F28" w:rsidP="005857F6">
            <w:pPr>
              <w:rPr>
                <w:rFonts w:cs="Times New Roman"/>
                <w:lang w:val="en-US"/>
              </w:rPr>
            </w:pPr>
            <w:r w:rsidRPr="00C6141B">
              <w:rPr>
                <w:rFonts w:cs="Times New Roman"/>
                <w:lang w:val="en-US"/>
              </w:rPr>
              <w:t>39441</w:t>
            </w:r>
          </w:p>
        </w:tc>
        <w:tc>
          <w:tcPr>
            <w:tcW w:w="1793" w:type="dxa"/>
          </w:tcPr>
          <w:p w14:paraId="5AD55C8F" w14:textId="77777777" w:rsidR="00DF7F28" w:rsidRPr="00C6141B" w:rsidRDefault="00DF7F28" w:rsidP="005857F6">
            <w:pPr>
              <w:rPr>
                <w:rFonts w:cs="Times New Roman"/>
                <w:lang w:val="en-US"/>
              </w:rPr>
            </w:pPr>
            <w:r w:rsidRPr="00C6141B">
              <w:rPr>
                <w:rFonts w:cs="Times New Roman"/>
                <w:lang w:val="en-US"/>
              </w:rPr>
              <w:t>= 43212 / 39441</w:t>
            </w:r>
          </w:p>
        </w:tc>
        <w:tc>
          <w:tcPr>
            <w:tcW w:w="1811" w:type="dxa"/>
          </w:tcPr>
          <w:p w14:paraId="464CCF83" w14:textId="77777777" w:rsidR="00DF7F28" w:rsidRPr="00C6141B" w:rsidRDefault="00DF7F28" w:rsidP="005857F6">
            <w:pPr>
              <w:rPr>
                <w:rFonts w:cs="Times New Roman"/>
                <w:lang w:val="en-US"/>
              </w:rPr>
            </w:pPr>
            <w:r w:rsidRPr="00C6141B">
              <w:rPr>
                <w:rFonts w:cs="Times New Roman"/>
                <w:lang w:val="en-US"/>
              </w:rPr>
              <w:t>1.10</w:t>
            </w:r>
          </w:p>
        </w:tc>
      </w:tr>
      <w:tr w:rsidR="00DF7F28" w:rsidRPr="00C6141B" w14:paraId="055E3087" w14:textId="77777777" w:rsidTr="00FB5987">
        <w:trPr>
          <w:trHeight w:val="339"/>
        </w:trPr>
        <w:tc>
          <w:tcPr>
            <w:tcW w:w="1253" w:type="dxa"/>
          </w:tcPr>
          <w:p w14:paraId="2044E406" w14:textId="77777777" w:rsidR="00DF7F28" w:rsidRPr="00C6141B" w:rsidRDefault="00DF7F28" w:rsidP="005857F6">
            <w:pPr>
              <w:rPr>
                <w:rFonts w:cs="Times New Roman"/>
                <w:b/>
                <w:bCs/>
                <w:lang w:val="en-US"/>
              </w:rPr>
            </w:pPr>
            <w:r w:rsidRPr="00C6141B">
              <w:rPr>
                <w:rFonts w:cs="Times New Roman"/>
                <w:b/>
                <w:bCs/>
                <w:lang w:val="en-US"/>
              </w:rPr>
              <w:t>2021</w:t>
            </w:r>
          </w:p>
        </w:tc>
        <w:tc>
          <w:tcPr>
            <w:tcW w:w="1765" w:type="dxa"/>
          </w:tcPr>
          <w:p w14:paraId="0DEC7993" w14:textId="77777777" w:rsidR="00DF7F28" w:rsidRPr="00C6141B" w:rsidRDefault="00DF7F28" w:rsidP="005857F6">
            <w:pPr>
              <w:rPr>
                <w:rFonts w:cs="Times New Roman"/>
                <w:lang w:val="en-US"/>
              </w:rPr>
            </w:pPr>
            <w:r w:rsidRPr="00C6141B">
              <w:rPr>
                <w:rFonts w:cs="Times New Roman"/>
                <w:lang w:val="en-US"/>
              </w:rPr>
              <w:t>57776</w:t>
            </w:r>
          </w:p>
        </w:tc>
        <w:tc>
          <w:tcPr>
            <w:tcW w:w="2361" w:type="dxa"/>
          </w:tcPr>
          <w:p w14:paraId="4400A324" w14:textId="77777777" w:rsidR="00DF7F28" w:rsidRPr="00C6141B" w:rsidRDefault="00DF7F28" w:rsidP="005857F6">
            <w:pPr>
              <w:rPr>
                <w:rFonts w:cs="Times New Roman"/>
                <w:lang w:val="en-US"/>
              </w:rPr>
            </w:pPr>
            <w:r w:rsidRPr="00C6141B">
              <w:rPr>
                <w:rFonts w:cs="Times New Roman"/>
                <w:lang w:val="en-US"/>
              </w:rPr>
              <w:t>49459</w:t>
            </w:r>
          </w:p>
        </w:tc>
        <w:tc>
          <w:tcPr>
            <w:tcW w:w="1793" w:type="dxa"/>
          </w:tcPr>
          <w:p w14:paraId="677F7265" w14:textId="77777777" w:rsidR="00DF7F28" w:rsidRPr="00C6141B" w:rsidRDefault="00DF7F28" w:rsidP="005857F6">
            <w:pPr>
              <w:rPr>
                <w:rFonts w:cs="Times New Roman"/>
                <w:lang w:val="en-US"/>
              </w:rPr>
            </w:pPr>
            <w:r w:rsidRPr="00C6141B">
              <w:rPr>
                <w:rFonts w:cs="Times New Roman"/>
                <w:lang w:val="en-US"/>
              </w:rPr>
              <w:t>= 57776 / 49459</w:t>
            </w:r>
          </w:p>
        </w:tc>
        <w:tc>
          <w:tcPr>
            <w:tcW w:w="1811" w:type="dxa"/>
          </w:tcPr>
          <w:p w14:paraId="1F547020" w14:textId="77777777" w:rsidR="00DF7F28" w:rsidRPr="00C6141B" w:rsidRDefault="00DF7F28" w:rsidP="005857F6">
            <w:pPr>
              <w:rPr>
                <w:rFonts w:cs="Times New Roman"/>
                <w:lang w:val="en-US"/>
              </w:rPr>
            </w:pPr>
            <w:r w:rsidRPr="00C6141B">
              <w:rPr>
                <w:rFonts w:cs="Times New Roman"/>
                <w:lang w:val="en-US"/>
              </w:rPr>
              <w:t>1.17</w:t>
            </w:r>
          </w:p>
        </w:tc>
      </w:tr>
      <w:tr w:rsidR="00DF7F28" w:rsidRPr="00C6141B" w14:paraId="799D6E9B" w14:textId="77777777" w:rsidTr="00FB5987">
        <w:trPr>
          <w:trHeight w:val="339"/>
        </w:trPr>
        <w:tc>
          <w:tcPr>
            <w:tcW w:w="1253" w:type="dxa"/>
          </w:tcPr>
          <w:p w14:paraId="097867AA" w14:textId="77777777" w:rsidR="00DF7F28" w:rsidRPr="00C6141B" w:rsidRDefault="00DF7F28" w:rsidP="005857F6">
            <w:pPr>
              <w:rPr>
                <w:rFonts w:cs="Times New Roman"/>
                <w:b/>
                <w:bCs/>
                <w:lang w:val="en-US"/>
              </w:rPr>
            </w:pPr>
            <w:r w:rsidRPr="00C6141B">
              <w:rPr>
                <w:rFonts w:cs="Times New Roman"/>
                <w:b/>
                <w:bCs/>
                <w:lang w:val="en-US"/>
              </w:rPr>
              <w:t>2022</w:t>
            </w:r>
          </w:p>
        </w:tc>
        <w:tc>
          <w:tcPr>
            <w:tcW w:w="1765" w:type="dxa"/>
          </w:tcPr>
          <w:p w14:paraId="6B2D9635" w14:textId="77777777" w:rsidR="00DF7F28" w:rsidRPr="00C6141B" w:rsidRDefault="00DF7F28" w:rsidP="005857F6">
            <w:pPr>
              <w:rPr>
                <w:rFonts w:cs="Times New Roman"/>
                <w:lang w:val="en-US"/>
              </w:rPr>
            </w:pPr>
            <w:r w:rsidRPr="00C6141B">
              <w:rPr>
                <w:rFonts w:cs="Times New Roman"/>
                <w:lang w:val="en-US"/>
              </w:rPr>
              <w:t>69223</w:t>
            </w:r>
          </w:p>
        </w:tc>
        <w:tc>
          <w:tcPr>
            <w:tcW w:w="2361" w:type="dxa"/>
          </w:tcPr>
          <w:p w14:paraId="4EE86AF6" w14:textId="77777777" w:rsidR="00DF7F28" w:rsidRPr="00C6141B" w:rsidRDefault="00DF7F28" w:rsidP="005857F6">
            <w:pPr>
              <w:rPr>
                <w:rFonts w:cs="Times New Roman"/>
                <w:lang w:val="en-US"/>
              </w:rPr>
            </w:pPr>
            <w:r w:rsidRPr="00C6141B">
              <w:rPr>
                <w:rFonts w:cs="Times New Roman"/>
                <w:lang w:val="en-US"/>
              </w:rPr>
              <w:t>53420</w:t>
            </w:r>
          </w:p>
        </w:tc>
        <w:tc>
          <w:tcPr>
            <w:tcW w:w="1793" w:type="dxa"/>
          </w:tcPr>
          <w:p w14:paraId="455C3503" w14:textId="77777777" w:rsidR="00DF7F28" w:rsidRPr="00C6141B" w:rsidRDefault="00DF7F28" w:rsidP="005857F6">
            <w:pPr>
              <w:rPr>
                <w:rFonts w:cs="Times New Roman"/>
                <w:lang w:val="en-US"/>
              </w:rPr>
            </w:pPr>
            <w:r w:rsidRPr="00C6141B">
              <w:rPr>
                <w:rFonts w:cs="Times New Roman"/>
                <w:lang w:val="en-US"/>
              </w:rPr>
              <w:t>= 69223 / 53420</w:t>
            </w:r>
          </w:p>
        </w:tc>
        <w:tc>
          <w:tcPr>
            <w:tcW w:w="1811" w:type="dxa"/>
          </w:tcPr>
          <w:p w14:paraId="7D6A7F2A" w14:textId="77777777" w:rsidR="00DF7F28" w:rsidRPr="00C6141B" w:rsidRDefault="00DF7F28" w:rsidP="005857F6">
            <w:pPr>
              <w:rPr>
                <w:rFonts w:cs="Times New Roman"/>
                <w:lang w:val="en-US"/>
              </w:rPr>
            </w:pPr>
            <w:r w:rsidRPr="00C6141B">
              <w:rPr>
                <w:rFonts w:cs="Times New Roman"/>
                <w:lang w:val="en-US"/>
              </w:rPr>
              <w:t>1.30</w:t>
            </w:r>
          </w:p>
        </w:tc>
      </w:tr>
    </w:tbl>
    <w:p w14:paraId="4052EBAD" w14:textId="57B6FB4B" w:rsidR="00FB5987" w:rsidRPr="00C6141B" w:rsidRDefault="00FB5987" w:rsidP="00FB5987">
      <w:pPr>
        <w:jc w:val="center"/>
        <w:rPr>
          <w:b/>
          <w:bCs/>
          <w:lang w:val="en-US"/>
        </w:rPr>
      </w:pPr>
      <w:r w:rsidRPr="00C6141B">
        <w:rPr>
          <w:b/>
          <w:bCs/>
          <w:lang w:val="en-US"/>
        </w:rPr>
        <w:t>Table No. 2</w:t>
      </w:r>
    </w:p>
    <w:p w14:paraId="21971940" w14:textId="16E27C7A" w:rsidR="00E8316C" w:rsidRPr="00C6141B" w:rsidRDefault="00F4707A" w:rsidP="00397EED">
      <w:pPr>
        <w:pStyle w:val="Heading3"/>
        <w:rPr>
          <w:rFonts w:cs="Times New Roman"/>
          <w:szCs w:val="24"/>
          <w:lang w:val="en-US"/>
        </w:rPr>
      </w:pPr>
      <w:bookmarkStart w:id="6" w:name="_Toc175148033"/>
      <w:r w:rsidRPr="00C6141B">
        <w:rPr>
          <w:rFonts w:cs="Times New Roman"/>
          <w:szCs w:val="24"/>
          <w:lang w:val="en-US"/>
        </w:rPr>
        <w:t xml:space="preserve">2.1.3. </w:t>
      </w:r>
      <w:r w:rsidR="00BB2C0F" w:rsidRPr="00C6141B">
        <w:rPr>
          <w:rFonts w:cs="Times New Roman"/>
          <w:szCs w:val="24"/>
          <w:lang w:val="en-US"/>
        </w:rPr>
        <w:t>Gearing Ratio</w:t>
      </w:r>
      <w:bookmarkEnd w:id="6"/>
    </w:p>
    <w:p w14:paraId="3CB07E12" w14:textId="77777777" w:rsidR="009638E4" w:rsidRPr="00C6141B" w:rsidRDefault="00DF7F28" w:rsidP="00397EED">
      <w:pPr>
        <w:rPr>
          <w:rFonts w:cs="Times New Roman"/>
          <w:szCs w:val="24"/>
          <w:lang w:val="en-US"/>
        </w:rPr>
      </w:pPr>
      <w:r w:rsidRPr="00C6141B">
        <w:rPr>
          <w:rFonts w:cs="Times New Roman"/>
          <w:b/>
          <w:bCs/>
          <w:lang w:val="en-US"/>
        </w:rPr>
        <w:t xml:space="preserve">Formula for </w:t>
      </w:r>
      <w:r w:rsidR="00AA7F9B" w:rsidRPr="00C6141B">
        <w:rPr>
          <w:rFonts w:cs="Times New Roman"/>
          <w:b/>
          <w:bCs/>
          <w:szCs w:val="24"/>
          <w:lang w:val="en-US"/>
        </w:rPr>
        <w:t>Debt-Equity Ratio</w:t>
      </w:r>
      <w:r w:rsidR="0061509D" w:rsidRPr="00C6141B">
        <w:rPr>
          <w:rFonts w:cs="Times New Roman"/>
          <w:b/>
          <w:bCs/>
          <w:szCs w:val="24"/>
          <w:lang w:val="en-US"/>
        </w:rPr>
        <w:t xml:space="preserve"> = Debt/Equity</w:t>
      </w:r>
    </w:p>
    <w:tbl>
      <w:tblPr>
        <w:tblStyle w:val="TableGrid"/>
        <w:tblW w:w="9263" w:type="dxa"/>
        <w:jc w:val="center"/>
        <w:tblLook w:val="04A0" w:firstRow="1" w:lastRow="0" w:firstColumn="1" w:lastColumn="0" w:noHBand="0" w:noVBand="1"/>
      </w:tblPr>
      <w:tblGrid>
        <w:gridCol w:w="931"/>
        <w:gridCol w:w="1648"/>
        <w:gridCol w:w="1799"/>
        <w:gridCol w:w="2184"/>
        <w:gridCol w:w="2701"/>
      </w:tblGrid>
      <w:tr w:rsidR="00BC62E6" w:rsidRPr="00C6141B" w14:paraId="109AF86D" w14:textId="77777777" w:rsidTr="00BC62E6">
        <w:trPr>
          <w:trHeight w:val="334"/>
          <w:jc w:val="center"/>
        </w:trPr>
        <w:tc>
          <w:tcPr>
            <w:tcW w:w="9263" w:type="dxa"/>
            <w:gridSpan w:val="5"/>
          </w:tcPr>
          <w:p w14:paraId="3E34F4AA" w14:textId="77777777" w:rsidR="00BC62E6" w:rsidRPr="00C6141B" w:rsidRDefault="00BC62E6" w:rsidP="005B6D92">
            <w:pPr>
              <w:jc w:val="center"/>
              <w:rPr>
                <w:rFonts w:cs="Times New Roman"/>
                <w:b/>
                <w:bCs/>
                <w:lang w:val="en-US"/>
              </w:rPr>
            </w:pPr>
            <w:r w:rsidRPr="00C6141B">
              <w:rPr>
                <w:rFonts w:cs="Times New Roman"/>
                <w:b/>
                <w:bCs/>
                <w:lang w:val="en-US"/>
              </w:rPr>
              <w:t>Amount in US $ million</w:t>
            </w:r>
          </w:p>
        </w:tc>
      </w:tr>
      <w:tr w:rsidR="006C1F38" w:rsidRPr="00C6141B" w14:paraId="12497FF8" w14:textId="77777777" w:rsidTr="00FB5987">
        <w:trPr>
          <w:trHeight w:val="324"/>
          <w:jc w:val="center"/>
        </w:trPr>
        <w:tc>
          <w:tcPr>
            <w:tcW w:w="0" w:type="auto"/>
          </w:tcPr>
          <w:p w14:paraId="59E15FDD" w14:textId="77777777" w:rsidR="006C1F38" w:rsidRPr="00C6141B" w:rsidRDefault="006C1F38" w:rsidP="00397EED">
            <w:pPr>
              <w:rPr>
                <w:rFonts w:cs="Times New Roman"/>
                <w:b/>
                <w:szCs w:val="24"/>
                <w:lang w:val="en-US"/>
              </w:rPr>
            </w:pPr>
            <w:r w:rsidRPr="00C6141B">
              <w:rPr>
                <w:rFonts w:cs="Times New Roman"/>
                <w:b/>
                <w:szCs w:val="24"/>
                <w:lang w:val="en-US"/>
              </w:rPr>
              <w:t>Year</w:t>
            </w:r>
          </w:p>
        </w:tc>
        <w:tc>
          <w:tcPr>
            <w:tcW w:w="0" w:type="auto"/>
          </w:tcPr>
          <w:p w14:paraId="36278DA2" w14:textId="25C7568F" w:rsidR="006C1F38" w:rsidRPr="00C6141B" w:rsidRDefault="0061509D" w:rsidP="00397EED">
            <w:pPr>
              <w:rPr>
                <w:rFonts w:cs="Times New Roman"/>
                <w:b/>
                <w:szCs w:val="24"/>
                <w:lang w:val="en-US"/>
              </w:rPr>
            </w:pPr>
            <w:r w:rsidRPr="00C6141B">
              <w:rPr>
                <w:rFonts w:cs="Times New Roman"/>
                <w:b/>
                <w:szCs w:val="24"/>
                <w:lang w:val="en-US"/>
              </w:rPr>
              <w:t>Debt</w:t>
            </w:r>
          </w:p>
        </w:tc>
        <w:tc>
          <w:tcPr>
            <w:tcW w:w="0" w:type="auto"/>
          </w:tcPr>
          <w:p w14:paraId="26714C5B" w14:textId="6B506EB5" w:rsidR="006C1F38" w:rsidRPr="00C6141B" w:rsidRDefault="0061509D" w:rsidP="00397EED">
            <w:pPr>
              <w:rPr>
                <w:rFonts w:cs="Times New Roman"/>
                <w:b/>
                <w:szCs w:val="24"/>
                <w:lang w:val="en-US"/>
              </w:rPr>
            </w:pPr>
            <w:r w:rsidRPr="00C6141B">
              <w:rPr>
                <w:rFonts w:cs="Times New Roman"/>
                <w:b/>
                <w:szCs w:val="24"/>
                <w:lang w:val="en-US"/>
              </w:rPr>
              <w:t>Equity</w:t>
            </w:r>
            <w:r w:rsidR="00A31692" w:rsidRPr="00C6141B">
              <w:rPr>
                <w:rFonts w:cs="Times New Roman"/>
                <w:b/>
                <w:szCs w:val="24"/>
                <w:lang w:val="en-US"/>
              </w:rPr>
              <w:t xml:space="preserve"> </w:t>
            </w:r>
          </w:p>
        </w:tc>
        <w:tc>
          <w:tcPr>
            <w:tcW w:w="0" w:type="auto"/>
          </w:tcPr>
          <w:p w14:paraId="638B03FE" w14:textId="07B40FE4" w:rsidR="006C1F38" w:rsidRPr="00C6141B" w:rsidRDefault="006C1F38" w:rsidP="00397EED">
            <w:pPr>
              <w:rPr>
                <w:rFonts w:cs="Times New Roman"/>
                <w:b/>
                <w:szCs w:val="24"/>
                <w:lang w:val="en-US"/>
              </w:rPr>
            </w:pPr>
            <w:r w:rsidRPr="00C6141B">
              <w:rPr>
                <w:rFonts w:cs="Times New Roman"/>
                <w:b/>
                <w:szCs w:val="24"/>
                <w:lang w:val="en-US"/>
              </w:rPr>
              <w:t>Calculation</w:t>
            </w:r>
            <w:r w:rsidR="00A31692" w:rsidRPr="00C6141B">
              <w:rPr>
                <w:rFonts w:cs="Times New Roman"/>
                <w:b/>
                <w:szCs w:val="24"/>
                <w:lang w:val="en-US"/>
              </w:rPr>
              <w:t xml:space="preserve"> </w:t>
            </w:r>
          </w:p>
        </w:tc>
        <w:tc>
          <w:tcPr>
            <w:tcW w:w="1976" w:type="dxa"/>
          </w:tcPr>
          <w:p w14:paraId="6725054E" w14:textId="77777777" w:rsidR="006C1F38" w:rsidRPr="00C6141B" w:rsidRDefault="006C1F38" w:rsidP="00397EED">
            <w:pPr>
              <w:rPr>
                <w:rFonts w:cs="Times New Roman"/>
                <w:b/>
                <w:szCs w:val="24"/>
                <w:lang w:val="en-US"/>
              </w:rPr>
            </w:pPr>
            <w:r w:rsidRPr="00C6141B">
              <w:rPr>
                <w:rFonts w:cs="Times New Roman"/>
                <w:b/>
                <w:szCs w:val="24"/>
                <w:lang w:val="en-US"/>
              </w:rPr>
              <w:t>Value</w:t>
            </w:r>
          </w:p>
        </w:tc>
      </w:tr>
      <w:tr w:rsidR="00DC6E8B" w:rsidRPr="00C6141B" w14:paraId="5A3F0B8D" w14:textId="77777777" w:rsidTr="00FB5987">
        <w:trPr>
          <w:trHeight w:val="375"/>
          <w:jc w:val="center"/>
        </w:trPr>
        <w:tc>
          <w:tcPr>
            <w:tcW w:w="0" w:type="auto"/>
          </w:tcPr>
          <w:p w14:paraId="28BEFF86" w14:textId="77777777" w:rsidR="00DC6E8B" w:rsidRPr="00C6141B" w:rsidRDefault="00DC6E8B" w:rsidP="00397EED">
            <w:pPr>
              <w:rPr>
                <w:rFonts w:cs="Times New Roman"/>
                <w:b/>
                <w:bCs/>
                <w:szCs w:val="24"/>
                <w:lang w:val="en-US"/>
              </w:rPr>
            </w:pPr>
            <w:r w:rsidRPr="00C6141B">
              <w:rPr>
                <w:rFonts w:cs="Times New Roman"/>
                <w:b/>
                <w:bCs/>
                <w:szCs w:val="24"/>
                <w:lang w:val="en-US"/>
              </w:rPr>
              <w:t>2018</w:t>
            </w:r>
          </w:p>
        </w:tc>
        <w:tc>
          <w:tcPr>
            <w:tcW w:w="0" w:type="auto"/>
            <w:vAlign w:val="bottom"/>
          </w:tcPr>
          <w:p w14:paraId="425D7486" w14:textId="77777777" w:rsidR="00DC6E8B" w:rsidRPr="00C6141B" w:rsidRDefault="00DC6E8B" w:rsidP="00397EED">
            <w:pPr>
              <w:rPr>
                <w:rFonts w:cs="Times New Roman"/>
                <w:szCs w:val="24"/>
              </w:rPr>
            </w:pPr>
            <w:r w:rsidRPr="00C6141B">
              <w:rPr>
                <w:rFonts w:cs="Times New Roman"/>
                <w:szCs w:val="24"/>
              </w:rPr>
              <w:t xml:space="preserve">       26,424 </w:t>
            </w:r>
          </w:p>
        </w:tc>
        <w:tc>
          <w:tcPr>
            <w:tcW w:w="0" w:type="auto"/>
            <w:vAlign w:val="bottom"/>
          </w:tcPr>
          <w:p w14:paraId="164BFF0A" w14:textId="77777777" w:rsidR="00DC6E8B" w:rsidRPr="00C6141B" w:rsidRDefault="00DC6E8B" w:rsidP="00397EED">
            <w:pPr>
              <w:rPr>
                <w:rFonts w:cs="Times New Roman"/>
                <w:szCs w:val="24"/>
              </w:rPr>
            </w:pPr>
            <w:r w:rsidRPr="00C6141B">
              <w:rPr>
                <w:rFonts w:cs="Times New Roman"/>
                <w:szCs w:val="24"/>
              </w:rPr>
              <w:t xml:space="preserve">         45,383 </w:t>
            </w:r>
          </w:p>
        </w:tc>
        <w:tc>
          <w:tcPr>
            <w:tcW w:w="0" w:type="auto"/>
            <w:vAlign w:val="bottom"/>
          </w:tcPr>
          <w:p w14:paraId="7C83EB9C" w14:textId="7486D939" w:rsidR="00DC6E8B" w:rsidRPr="00C6141B" w:rsidRDefault="00DC6E8B" w:rsidP="00397EED">
            <w:pPr>
              <w:jc w:val="center"/>
              <w:rPr>
                <w:rFonts w:cs="Times New Roman"/>
                <w:szCs w:val="24"/>
              </w:rPr>
            </w:pPr>
            <w:r w:rsidRPr="00C6141B">
              <w:rPr>
                <w:rFonts w:cs="Times New Roman"/>
                <w:szCs w:val="24"/>
              </w:rPr>
              <w:t xml:space="preserve">26,424 </w:t>
            </w:r>
            <w:r w:rsidR="008B43DA" w:rsidRPr="00C6141B">
              <w:rPr>
                <w:rFonts w:cs="Times New Roman"/>
                <w:szCs w:val="24"/>
              </w:rPr>
              <w:t>/ 45,383</w:t>
            </w:r>
          </w:p>
        </w:tc>
        <w:tc>
          <w:tcPr>
            <w:tcW w:w="1976" w:type="dxa"/>
            <w:vAlign w:val="bottom"/>
          </w:tcPr>
          <w:p w14:paraId="6BF2BCBA" w14:textId="77777777" w:rsidR="00DC6E8B" w:rsidRPr="00C6141B" w:rsidRDefault="00DC6E8B" w:rsidP="00397EED">
            <w:pPr>
              <w:jc w:val="right"/>
              <w:rPr>
                <w:rFonts w:cs="Times New Roman"/>
                <w:szCs w:val="24"/>
              </w:rPr>
            </w:pPr>
            <w:r w:rsidRPr="00C6141B">
              <w:rPr>
                <w:rFonts w:cs="Times New Roman"/>
                <w:szCs w:val="24"/>
              </w:rPr>
              <w:t>0.582</w:t>
            </w:r>
          </w:p>
        </w:tc>
      </w:tr>
      <w:tr w:rsidR="00DC6E8B" w:rsidRPr="00C6141B" w14:paraId="60F8AF12" w14:textId="77777777" w:rsidTr="00FB5987">
        <w:trPr>
          <w:trHeight w:val="375"/>
          <w:jc w:val="center"/>
        </w:trPr>
        <w:tc>
          <w:tcPr>
            <w:tcW w:w="0" w:type="auto"/>
          </w:tcPr>
          <w:p w14:paraId="3FAB1449" w14:textId="77777777" w:rsidR="00DC6E8B" w:rsidRPr="00C6141B" w:rsidRDefault="00DC6E8B" w:rsidP="00397EED">
            <w:pPr>
              <w:rPr>
                <w:rFonts w:cs="Times New Roman"/>
                <w:b/>
                <w:bCs/>
                <w:szCs w:val="24"/>
                <w:lang w:val="en-US"/>
              </w:rPr>
            </w:pPr>
            <w:r w:rsidRPr="00C6141B">
              <w:rPr>
                <w:rFonts w:cs="Times New Roman"/>
                <w:b/>
                <w:bCs/>
                <w:szCs w:val="24"/>
                <w:lang w:val="en-US"/>
              </w:rPr>
              <w:t>2019</w:t>
            </w:r>
          </w:p>
        </w:tc>
        <w:tc>
          <w:tcPr>
            <w:tcW w:w="0" w:type="auto"/>
            <w:vAlign w:val="bottom"/>
          </w:tcPr>
          <w:p w14:paraId="21361C39" w14:textId="77777777" w:rsidR="00DC6E8B" w:rsidRPr="00C6141B" w:rsidRDefault="00DC6E8B" w:rsidP="00397EED">
            <w:pPr>
              <w:rPr>
                <w:rFonts w:cs="Times New Roman"/>
                <w:szCs w:val="24"/>
              </w:rPr>
            </w:pPr>
            <w:r w:rsidRPr="00C6141B">
              <w:rPr>
                <w:rFonts w:cs="Times New Roman"/>
                <w:szCs w:val="24"/>
              </w:rPr>
              <w:t xml:space="preserve">       17,556 </w:t>
            </w:r>
          </w:p>
        </w:tc>
        <w:tc>
          <w:tcPr>
            <w:tcW w:w="0" w:type="auto"/>
            <w:vAlign w:val="bottom"/>
          </w:tcPr>
          <w:p w14:paraId="33E5792B" w14:textId="77777777" w:rsidR="00DC6E8B" w:rsidRPr="00C6141B" w:rsidRDefault="00DC6E8B" w:rsidP="00397EED">
            <w:pPr>
              <w:rPr>
                <w:rFonts w:cs="Times New Roman"/>
                <w:szCs w:val="24"/>
              </w:rPr>
            </w:pPr>
            <w:r w:rsidRPr="00C6141B">
              <w:rPr>
                <w:rFonts w:cs="Times New Roman"/>
                <w:szCs w:val="24"/>
              </w:rPr>
              <w:t xml:space="preserve">         39,236 </w:t>
            </w:r>
          </w:p>
        </w:tc>
        <w:tc>
          <w:tcPr>
            <w:tcW w:w="0" w:type="auto"/>
            <w:vAlign w:val="bottom"/>
          </w:tcPr>
          <w:p w14:paraId="056644E3" w14:textId="77777777" w:rsidR="00DC6E8B" w:rsidRPr="00C6141B" w:rsidRDefault="00DC6E8B" w:rsidP="00397EED">
            <w:pPr>
              <w:jc w:val="center"/>
              <w:rPr>
                <w:rFonts w:cs="Times New Roman"/>
                <w:szCs w:val="24"/>
              </w:rPr>
            </w:pPr>
            <w:r w:rsidRPr="00C6141B">
              <w:rPr>
                <w:rFonts w:cs="Times New Roman"/>
                <w:szCs w:val="24"/>
              </w:rPr>
              <w:t>17,556 / 39,236</w:t>
            </w:r>
          </w:p>
        </w:tc>
        <w:tc>
          <w:tcPr>
            <w:tcW w:w="1976" w:type="dxa"/>
            <w:vAlign w:val="bottom"/>
          </w:tcPr>
          <w:p w14:paraId="3F6D58E9" w14:textId="77777777" w:rsidR="00DC6E8B" w:rsidRPr="00C6141B" w:rsidRDefault="00DC6E8B" w:rsidP="00397EED">
            <w:pPr>
              <w:jc w:val="right"/>
              <w:rPr>
                <w:rFonts w:cs="Times New Roman"/>
                <w:szCs w:val="24"/>
              </w:rPr>
            </w:pPr>
            <w:r w:rsidRPr="00C6141B">
              <w:rPr>
                <w:rFonts w:cs="Times New Roman"/>
                <w:szCs w:val="24"/>
              </w:rPr>
              <w:t>0.447</w:t>
            </w:r>
          </w:p>
        </w:tc>
      </w:tr>
      <w:tr w:rsidR="00DC6E8B" w:rsidRPr="00C6141B" w14:paraId="6A2BD4B4" w14:textId="77777777" w:rsidTr="00FB5987">
        <w:trPr>
          <w:trHeight w:val="375"/>
          <w:jc w:val="center"/>
        </w:trPr>
        <w:tc>
          <w:tcPr>
            <w:tcW w:w="0" w:type="auto"/>
          </w:tcPr>
          <w:p w14:paraId="3F6129DE" w14:textId="77777777" w:rsidR="00DC6E8B" w:rsidRPr="00C6141B" w:rsidRDefault="00DC6E8B" w:rsidP="00397EED">
            <w:pPr>
              <w:rPr>
                <w:rFonts w:cs="Times New Roman"/>
                <w:b/>
                <w:bCs/>
                <w:szCs w:val="24"/>
                <w:lang w:val="en-US"/>
              </w:rPr>
            </w:pPr>
            <w:r w:rsidRPr="00C6141B">
              <w:rPr>
                <w:rFonts w:cs="Times New Roman"/>
                <w:b/>
                <w:bCs/>
                <w:szCs w:val="24"/>
                <w:lang w:val="en-US"/>
              </w:rPr>
              <w:t>2020</w:t>
            </w:r>
          </w:p>
        </w:tc>
        <w:tc>
          <w:tcPr>
            <w:tcW w:w="0" w:type="auto"/>
            <w:vAlign w:val="bottom"/>
          </w:tcPr>
          <w:p w14:paraId="0D900BCF" w14:textId="77777777" w:rsidR="00DC6E8B" w:rsidRPr="00C6141B" w:rsidRDefault="00DC6E8B" w:rsidP="00397EED">
            <w:pPr>
              <w:rPr>
                <w:rFonts w:cs="Times New Roman"/>
                <w:szCs w:val="24"/>
              </w:rPr>
            </w:pPr>
            <w:r w:rsidRPr="00C6141B">
              <w:rPr>
                <w:rFonts w:cs="Times New Roman"/>
                <w:szCs w:val="24"/>
              </w:rPr>
              <w:t xml:space="preserve">       14,710 </w:t>
            </w:r>
          </w:p>
        </w:tc>
        <w:tc>
          <w:tcPr>
            <w:tcW w:w="0" w:type="auto"/>
            <w:vAlign w:val="bottom"/>
          </w:tcPr>
          <w:p w14:paraId="6A21B5B9" w14:textId="77777777" w:rsidR="00DC6E8B" w:rsidRPr="00C6141B" w:rsidRDefault="00DC6E8B" w:rsidP="00397EED">
            <w:pPr>
              <w:rPr>
                <w:rFonts w:cs="Times New Roman"/>
                <w:szCs w:val="24"/>
              </w:rPr>
            </w:pPr>
            <w:r w:rsidRPr="00C6141B">
              <w:rPr>
                <w:rFonts w:cs="Times New Roman"/>
                <w:szCs w:val="24"/>
              </w:rPr>
              <w:t xml:space="preserve">         34,402 </w:t>
            </w:r>
          </w:p>
        </w:tc>
        <w:tc>
          <w:tcPr>
            <w:tcW w:w="0" w:type="auto"/>
            <w:vAlign w:val="bottom"/>
          </w:tcPr>
          <w:p w14:paraId="2A457CE2" w14:textId="77777777" w:rsidR="00DC6E8B" w:rsidRPr="00C6141B" w:rsidRDefault="00DC6E8B" w:rsidP="00397EED">
            <w:pPr>
              <w:jc w:val="center"/>
              <w:rPr>
                <w:rFonts w:cs="Times New Roman"/>
                <w:szCs w:val="24"/>
              </w:rPr>
            </w:pPr>
            <w:r w:rsidRPr="00C6141B">
              <w:rPr>
                <w:rFonts w:cs="Times New Roman"/>
                <w:szCs w:val="24"/>
              </w:rPr>
              <w:t>14,710 / 34,402</w:t>
            </w:r>
          </w:p>
        </w:tc>
        <w:tc>
          <w:tcPr>
            <w:tcW w:w="1976" w:type="dxa"/>
            <w:vAlign w:val="bottom"/>
          </w:tcPr>
          <w:p w14:paraId="46D4BB8C" w14:textId="77777777" w:rsidR="00DC6E8B" w:rsidRPr="00C6141B" w:rsidRDefault="00DC6E8B" w:rsidP="00397EED">
            <w:pPr>
              <w:jc w:val="right"/>
              <w:rPr>
                <w:rFonts w:cs="Times New Roman"/>
                <w:szCs w:val="24"/>
              </w:rPr>
            </w:pPr>
            <w:r w:rsidRPr="00C6141B">
              <w:rPr>
                <w:rFonts w:cs="Times New Roman"/>
                <w:szCs w:val="24"/>
              </w:rPr>
              <w:t>0.428</w:t>
            </w:r>
          </w:p>
        </w:tc>
      </w:tr>
      <w:tr w:rsidR="00DC6E8B" w:rsidRPr="00C6141B" w14:paraId="0C7FF7CB" w14:textId="77777777" w:rsidTr="00FB5987">
        <w:trPr>
          <w:trHeight w:val="375"/>
          <w:jc w:val="center"/>
        </w:trPr>
        <w:tc>
          <w:tcPr>
            <w:tcW w:w="0" w:type="auto"/>
          </w:tcPr>
          <w:p w14:paraId="2E8BFE58" w14:textId="77777777" w:rsidR="00DC6E8B" w:rsidRPr="00C6141B" w:rsidRDefault="00DC6E8B" w:rsidP="00397EED">
            <w:pPr>
              <w:rPr>
                <w:rFonts w:cs="Times New Roman"/>
                <w:b/>
                <w:bCs/>
                <w:szCs w:val="24"/>
                <w:lang w:val="en-US"/>
              </w:rPr>
            </w:pPr>
            <w:r w:rsidRPr="00C6141B">
              <w:rPr>
                <w:rFonts w:cs="Times New Roman"/>
                <w:b/>
                <w:bCs/>
                <w:szCs w:val="24"/>
                <w:lang w:val="en-US"/>
              </w:rPr>
              <w:lastRenderedPageBreak/>
              <w:t>2021</w:t>
            </w:r>
          </w:p>
        </w:tc>
        <w:tc>
          <w:tcPr>
            <w:tcW w:w="0" w:type="auto"/>
            <w:vAlign w:val="bottom"/>
          </w:tcPr>
          <w:p w14:paraId="4BA94099" w14:textId="77777777" w:rsidR="00DC6E8B" w:rsidRPr="00C6141B" w:rsidRDefault="00DC6E8B" w:rsidP="00397EED">
            <w:pPr>
              <w:rPr>
                <w:rFonts w:cs="Times New Roman"/>
                <w:szCs w:val="24"/>
              </w:rPr>
            </w:pPr>
            <w:r w:rsidRPr="00C6141B">
              <w:rPr>
                <w:rFonts w:cs="Times New Roman"/>
                <w:szCs w:val="24"/>
              </w:rPr>
              <w:t xml:space="preserve">         6,000 </w:t>
            </w:r>
          </w:p>
        </w:tc>
        <w:tc>
          <w:tcPr>
            <w:tcW w:w="0" w:type="auto"/>
            <w:vAlign w:val="bottom"/>
          </w:tcPr>
          <w:p w14:paraId="37200420" w14:textId="77777777" w:rsidR="00DC6E8B" w:rsidRPr="00C6141B" w:rsidRDefault="00DC6E8B" w:rsidP="00397EED">
            <w:pPr>
              <w:rPr>
                <w:rFonts w:cs="Times New Roman"/>
                <w:szCs w:val="24"/>
              </w:rPr>
            </w:pPr>
            <w:r w:rsidRPr="00C6141B">
              <w:rPr>
                <w:rFonts w:cs="Times New Roman"/>
                <w:szCs w:val="24"/>
              </w:rPr>
              <w:t xml:space="preserve">         36,917 </w:t>
            </w:r>
          </w:p>
        </w:tc>
        <w:tc>
          <w:tcPr>
            <w:tcW w:w="0" w:type="auto"/>
            <w:vAlign w:val="bottom"/>
          </w:tcPr>
          <w:p w14:paraId="624B1198" w14:textId="17CDBCCF" w:rsidR="00DC6E8B" w:rsidRPr="00C6141B" w:rsidRDefault="00DC6E8B" w:rsidP="00397EED">
            <w:pPr>
              <w:jc w:val="center"/>
              <w:rPr>
                <w:rFonts w:cs="Times New Roman"/>
                <w:szCs w:val="24"/>
              </w:rPr>
            </w:pPr>
            <w:r w:rsidRPr="00C6141B">
              <w:rPr>
                <w:rFonts w:cs="Times New Roman"/>
                <w:szCs w:val="24"/>
              </w:rPr>
              <w:t xml:space="preserve">6,000 </w:t>
            </w:r>
            <w:r w:rsidR="008B43DA" w:rsidRPr="00C6141B">
              <w:rPr>
                <w:rFonts w:cs="Times New Roman"/>
                <w:szCs w:val="24"/>
              </w:rPr>
              <w:t>/ 36,917</w:t>
            </w:r>
          </w:p>
        </w:tc>
        <w:tc>
          <w:tcPr>
            <w:tcW w:w="1976" w:type="dxa"/>
            <w:vAlign w:val="bottom"/>
          </w:tcPr>
          <w:p w14:paraId="74EEE97B" w14:textId="77777777" w:rsidR="00DC6E8B" w:rsidRPr="00C6141B" w:rsidRDefault="00DC6E8B" w:rsidP="00397EED">
            <w:pPr>
              <w:jc w:val="right"/>
              <w:rPr>
                <w:rFonts w:cs="Times New Roman"/>
                <w:szCs w:val="24"/>
              </w:rPr>
            </w:pPr>
            <w:r w:rsidRPr="00C6141B">
              <w:rPr>
                <w:rFonts w:cs="Times New Roman"/>
                <w:szCs w:val="24"/>
              </w:rPr>
              <w:t>0.163</w:t>
            </w:r>
          </w:p>
        </w:tc>
      </w:tr>
      <w:tr w:rsidR="00DC6E8B" w:rsidRPr="00C6141B" w14:paraId="504D5962" w14:textId="77777777" w:rsidTr="00FB5987">
        <w:trPr>
          <w:trHeight w:val="375"/>
          <w:jc w:val="center"/>
        </w:trPr>
        <w:tc>
          <w:tcPr>
            <w:tcW w:w="0" w:type="auto"/>
          </w:tcPr>
          <w:p w14:paraId="2451CDA3" w14:textId="77777777" w:rsidR="00DC6E8B" w:rsidRPr="00C6141B" w:rsidRDefault="00DC6E8B" w:rsidP="00397EED">
            <w:pPr>
              <w:rPr>
                <w:rFonts w:cs="Times New Roman"/>
                <w:b/>
                <w:bCs/>
                <w:szCs w:val="24"/>
                <w:lang w:val="en-US"/>
              </w:rPr>
            </w:pPr>
            <w:r w:rsidRPr="00C6141B">
              <w:rPr>
                <w:rFonts w:cs="Times New Roman"/>
                <w:b/>
                <w:bCs/>
                <w:szCs w:val="24"/>
                <w:lang w:val="en-US"/>
              </w:rPr>
              <w:t>2022</w:t>
            </w:r>
          </w:p>
        </w:tc>
        <w:tc>
          <w:tcPr>
            <w:tcW w:w="0" w:type="auto"/>
            <w:vAlign w:val="bottom"/>
          </w:tcPr>
          <w:p w14:paraId="714AA41A" w14:textId="0191B23F" w:rsidR="00DC6E8B" w:rsidRPr="00C6141B" w:rsidRDefault="00BC62E6" w:rsidP="00BC62E6">
            <w:pPr>
              <w:rPr>
                <w:rFonts w:cs="Times New Roman"/>
                <w:szCs w:val="24"/>
              </w:rPr>
            </w:pPr>
            <w:r w:rsidRPr="00C6141B">
              <w:rPr>
                <w:rFonts w:cs="Times New Roman"/>
                <w:szCs w:val="24"/>
              </w:rPr>
              <w:t xml:space="preserve">         </w:t>
            </w:r>
            <w:r w:rsidR="00DC6E8B" w:rsidRPr="00C6141B">
              <w:rPr>
                <w:rFonts w:cs="Times New Roman"/>
                <w:szCs w:val="24"/>
              </w:rPr>
              <w:t>100</w:t>
            </w:r>
          </w:p>
        </w:tc>
        <w:tc>
          <w:tcPr>
            <w:tcW w:w="0" w:type="auto"/>
            <w:vAlign w:val="bottom"/>
          </w:tcPr>
          <w:p w14:paraId="57867AFF" w14:textId="77777777" w:rsidR="00DC6E8B" w:rsidRPr="00C6141B" w:rsidRDefault="00DC6E8B" w:rsidP="00397EED">
            <w:pPr>
              <w:rPr>
                <w:rFonts w:cs="Times New Roman"/>
                <w:szCs w:val="24"/>
              </w:rPr>
            </w:pPr>
            <w:r w:rsidRPr="00C6141B">
              <w:rPr>
                <w:rFonts w:cs="Times New Roman"/>
                <w:szCs w:val="24"/>
              </w:rPr>
              <w:t xml:space="preserve">         45,219 </w:t>
            </w:r>
          </w:p>
        </w:tc>
        <w:tc>
          <w:tcPr>
            <w:tcW w:w="0" w:type="auto"/>
            <w:vAlign w:val="bottom"/>
          </w:tcPr>
          <w:p w14:paraId="5D2964B9" w14:textId="77777777" w:rsidR="00DC6E8B" w:rsidRPr="00C6141B" w:rsidRDefault="00DC6E8B" w:rsidP="00397EED">
            <w:pPr>
              <w:jc w:val="center"/>
              <w:rPr>
                <w:rFonts w:cs="Times New Roman"/>
                <w:szCs w:val="24"/>
              </w:rPr>
            </w:pPr>
            <w:r w:rsidRPr="00C6141B">
              <w:rPr>
                <w:rFonts w:cs="Times New Roman"/>
                <w:szCs w:val="24"/>
              </w:rPr>
              <w:t>100 / 45,219</w:t>
            </w:r>
          </w:p>
        </w:tc>
        <w:tc>
          <w:tcPr>
            <w:tcW w:w="1976" w:type="dxa"/>
            <w:vAlign w:val="bottom"/>
          </w:tcPr>
          <w:p w14:paraId="1809F01D" w14:textId="77777777" w:rsidR="00DC6E8B" w:rsidRPr="00C6141B" w:rsidRDefault="00DC6E8B" w:rsidP="00397EED">
            <w:pPr>
              <w:jc w:val="right"/>
              <w:rPr>
                <w:rFonts w:cs="Times New Roman"/>
                <w:szCs w:val="24"/>
              </w:rPr>
            </w:pPr>
            <w:r w:rsidRPr="00C6141B">
              <w:rPr>
                <w:rFonts w:cs="Times New Roman"/>
                <w:szCs w:val="24"/>
              </w:rPr>
              <w:t>0.002</w:t>
            </w:r>
          </w:p>
        </w:tc>
      </w:tr>
    </w:tbl>
    <w:p w14:paraId="3CF6F773" w14:textId="7DA987E8" w:rsidR="00FB5987" w:rsidRPr="00C6141B" w:rsidRDefault="00FB5987" w:rsidP="00FB5987">
      <w:pPr>
        <w:jc w:val="center"/>
        <w:rPr>
          <w:b/>
          <w:bCs/>
          <w:lang w:val="en-US"/>
        </w:rPr>
      </w:pPr>
      <w:r w:rsidRPr="00C6141B">
        <w:rPr>
          <w:b/>
          <w:bCs/>
          <w:lang w:val="en-US"/>
        </w:rPr>
        <w:t>Table No. 3</w:t>
      </w:r>
    </w:p>
    <w:p w14:paraId="18D6075F" w14:textId="43B86EB2" w:rsidR="00E8316C" w:rsidRPr="00C6141B" w:rsidRDefault="00F4707A" w:rsidP="00397EED">
      <w:pPr>
        <w:pStyle w:val="Heading3"/>
        <w:rPr>
          <w:rFonts w:cs="Times New Roman"/>
          <w:szCs w:val="24"/>
          <w:lang w:val="en-US"/>
        </w:rPr>
      </w:pPr>
      <w:bookmarkStart w:id="7" w:name="_Toc175148034"/>
      <w:r w:rsidRPr="00C6141B">
        <w:rPr>
          <w:rFonts w:cs="Times New Roman"/>
          <w:szCs w:val="24"/>
          <w:lang w:val="en-US"/>
        </w:rPr>
        <w:t xml:space="preserve">2.1.4. </w:t>
      </w:r>
      <w:r w:rsidR="00BB2C0F" w:rsidRPr="00C6141B">
        <w:rPr>
          <w:rFonts w:cs="Times New Roman"/>
          <w:szCs w:val="24"/>
          <w:lang w:val="en-US"/>
        </w:rPr>
        <w:t>Efficiency Ratio</w:t>
      </w:r>
      <w:bookmarkEnd w:id="7"/>
    </w:p>
    <w:p w14:paraId="65E58F24" w14:textId="77777777" w:rsidR="009638E4" w:rsidRPr="00C6141B" w:rsidRDefault="00DF7F28" w:rsidP="00397EED">
      <w:pPr>
        <w:rPr>
          <w:rFonts w:cs="Times New Roman"/>
          <w:b/>
          <w:bCs/>
          <w:szCs w:val="24"/>
          <w:lang w:val="en-US"/>
        </w:rPr>
      </w:pPr>
      <w:r w:rsidRPr="00C6141B">
        <w:rPr>
          <w:rFonts w:cs="Times New Roman"/>
          <w:b/>
          <w:bCs/>
          <w:lang w:val="en-US"/>
        </w:rPr>
        <w:t xml:space="preserve">Formula for </w:t>
      </w:r>
      <w:r w:rsidR="00AA7F9B" w:rsidRPr="00C6141B">
        <w:rPr>
          <w:rFonts w:cs="Times New Roman"/>
          <w:b/>
          <w:bCs/>
          <w:szCs w:val="24"/>
          <w:lang w:val="en-US"/>
        </w:rPr>
        <w:t>Inventory Turnover Ratio</w:t>
      </w:r>
      <w:r w:rsidR="0061509D" w:rsidRPr="00C6141B">
        <w:rPr>
          <w:rFonts w:cs="Times New Roman"/>
          <w:b/>
          <w:bCs/>
          <w:szCs w:val="24"/>
          <w:lang w:val="en-US"/>
        </w:rPr>
        <w:t xml:space="preserve"> = (Inventory/Cost of Sales) X 100</w:t>
      </w:r>
    </w:p>
    <w:tbl>
      <w:tblPr>
        <w:tblStyle w:val="TableGrid"/>
        <w:tblW w:w="9243" w:type="dxa"/>
        <w:jc w:val="center"/>
        <w:tblLook w:val="04A0" w:firstRow="1" w:lastRow="0" w:firstColumn="1" w:lastColumn="0" w:noHBand="0" w:noVBand="1"/>
      </w:tblPr>
      <w:tblGrid>
        <w:gridCol w:w="1180"/>
        <w:gridCol w:w="1986"/>
        <w:gridCol w:w="2453"/>
        <w:gridCol w:w="2295"/>
        <w:gridCol w:w="1329"/>
      </w:tblGrid>
      <w:tr w:rsidR="00BC62E6" w:rsidRPr="00C6141B" w14:paraId="32FCD235" w14:textId="77777777" w:rsidTr="00BC62E6">
        <w:trPr>
          <w:trHeight w:val="371"/>
          <w:jc w:val="center"/>
        </w:trPr>
        <w:tc>
          <w:tcPr>
            <w:tcW w:w="0" w:type="auto"/>
            <w:gridSpan w:val="5"/>
          </w:tcPr>
          <w:p w14:paraId="4780CB1C" w14:textId="2EDF66C8" w:rsidR="00BC62E6" w:rsidRPr="00C6141B" w:rsidRDefault="00BC62E6" w:rsidP="00BC62E6">
            <w:pPr>
              <w:jc w:val="center"/>
              <w:rPr>
                <w:rFonts w:cs="Times New Roman"/>
                <w:b/>
                <w:szCs w:val="24"/>
                <w:lang w:val="en-US"/>
              </w:rPr>
            </w:pPr>
            <w:r w:rsidRPr="00C6141B">
              <w:rPr>
                <w:rFonts w:cs="Times New Roman"/>
                <w:b/>
                <w:bCs/>
                <w:lang w:val="en-US"/>
              </w:rPr>
              <w:t>Amount in US $ million</w:t>
            </w:r>
          </w:p>
        </w:tc>
      </w:tr>
      <w:tr w:rsidR="006C1F38" w:rsidRPr="00C6141B" w14:paraId="69688480" w14:textId="77777777" w:rsidTr="00BC62E6">
        <w:trPr>
          <w:trHeight w:val="371"/>
          <w:jc w:val="center"/>
        </w:trPr>
        <w:tc>
          <w:tcPr>
            <w:tcW w:w="0" w:type="auto"/>
          </w:tcPr>
          <w:p w14:paraId="32B14ACB" w14:textId="77777777" w:rsidR="006C1F38" w:rsidRPr="00C6141B" w:rsidRDefault="006C1F38" w:rsidP="00397EED">
            <w:pPr>
              <w:rPr>
                <w:rFonts w:cs="Times New Roman"/>
                <w:b/>
                <w:szCs w:val="24"/>
                <w:lang w:val="en-US"/>
              </w:rPr>
            </w:pPr>
            <w:r w:rsidRPr="00C6141B">
              <w:rPr>
                <w:rFonts w:cs="Times New Roman"/>
                <w:b/>
                <w:szCs w:val="24"/>
                <w:lang w:val="en-US"/>
              </w:rPr>
              <w:t>Year</w:t>
            </w:r>
          </w:p>
        </w:tc>
        <w:tc>
          <w:tcPr>
            <w:tcW w:w="0" w:type="auto"/>
          </w:tcPr>
          <w:p w14:paraId="568F2B1B" w14:textId="010634C7" w:rsidR="006C1F38" w:rsidRPr="00C6141B" w:rsidRDefault="00D56832" w:rsidP="00397EED">
            <w:pPr>
              <w:rPr>
                <w:rFonts w:cs="Times New Roman"/>
                <w:b/>
                <w:szCs w:val="24"/>
                <w:lang w:val="en-US"/>
              </w:rPr>
            </w:pPr>
            <w:r w:rsidRPr="00C6141B">
              <w:rPr>
                <w:rFonts w:cs="Times New Roman"/>
                <w:b/>
                <w:szCs w:val="24"/>
                <w:lang w:val="en-US"/>
              </w:rPr>
              <w:t>Inventory</w:t>
            </w:r>
          </w:p>
        </w:tc>
        <w:tc>
          <w:tcPr>
            <w:tcW w:w="0" w:type="auto"/>
          </w:tcPr>
          <w:p w14:paraId="4D759116" w14:textId="175DB570" w:rsidR="006C1F38" w:rsidRPr="00C6141B" w:rsidRDefault="00D56832" w:rsidP="00397EED">
            <w:pPr>
              <w:rPr>
                <w:rFonts w:cs="Times New Roman"/>
                <w:b/>
                <w:szCs w:val="24"/>
                <w:lang w:val="en-US"/>
              </w:rPr>
            </w:pPr>
            <w:r w:rsidRPr="00C6141B">
              <w:rPr>
                <w:rFonts w:cs="Times New Roman"/>
                <w:b/>
                <w:szCs w:val="24"/>
                <w:lang w:val="en-US"/>
              </w:rPr>
              <w:t>Cost of Sales</w:t>
            </w:r>
          </w:p>
        </w:tc>
        <w:tc>
          <w:tcPr>
            <w:tcW w:w="0" w:type="auto"/>
          </w:tcPr>
          <w:p w14:paraId="324BD082" w14:textId="77777777" w:rsidR="006C1F38" w:rsidRPr="00C6141B" w:rsidRDefault="006C1F38" w:rsidP="00397EED">
            <w:pPr>
              <w:rPr>
                <w:rFonts w:cs="Times New Roman"/>
                <w:b/>
                <w:szCs w:val="24"/>
                <w:lang w:val="en-US"/>
              </w:rPr>
            </w:pPr>
            <w:r w:rsidRPr="00C6141B">
              <w:rPr>
                <w:rFonts w:cs="Times New Roman"/>
                <w:b/>
                <w:szCs w:val="24"/>
                <w:lang w:val="en-US"/>
              </w:rPr>
              <w:t>Calculation</w:t>
            </w:r>
          </w:p>
        </w:tc>
        <w:tc>
          <w:tcPr>
            <w:tcW w:w="0" w:type="auto"/>
          </w:tcPr>
          <w:p w14:paraId="218AEB10" w14:textId="77777777" w:rsidR="006C1F38" w:rsidRPr="00C6141B" w:rsidRDefault="006C1F38" w:rsidP="00397EED">
            <w:pPr>
              <w:rPr>
                <w:rFonts w:cs="Times New Roman"/>
                <w:b/>
                <w:szCs w:val="24"/>
                <w:lang w:val="en-US"/>
              </w:rPr>
            </w:pPr>
            <w:r w:rsidRPr="00C6141B">
              <w:rPr>
                <w:rFonts w:cs="Times New Roman"/>
                <w:b/>
                <w:szCs w:val="24"/>
                <w:lang w:val="en-US"/>
              </w:rPr>
              <w:t>Value</w:t>
            </w:r>
          </w:p>
        </w:tc>
      </w:tr>
      <w:tr w:rsidR="00007233" w:rsidRPr="00C6141B" w14:paraId="2D6B40A6" w14:textId="77777777" w:rsidTr="00BC62E6">
        <w:trPr>
          <w:trHeight w:val="371"/>
          <w:jc w:val="center"/>
        </w:trPr>
        <w:tc>
          <w:tcPr>
            <w:tcW w:w="0" w:type="auto"/>
          </w:tcPr>
          <w:p w14:paraId="69B00B79" w14:textId="77777777" w:rsidR="00007233" w:rsidRPr="00C6141B" w:rsidRDefault="00007233" w:rsidP="00397EED">
            <w:pPr>
              <w:rPr>
                <w:rFonts w:cs="Times New Roman"/>
                <w:b/>
                <w:bCs/>
                <w:szCs w:val="24"/>
                <w:lang w:val="en-US"/>
              </w:rPr>
            </w:pPr>
            <w:r w:rsidRPr="00C6141B">
              <w:rPr>
                <w:rFonts w:cs="Times New Roman"/>
                <w:b/>
                <w:bCs/>
                <w:szCs w:val="24"/>
                <w:lang w:val="en-US"/>
              </w:rPr>
              <w:t>2018</w:t>
            </w:r>
          </w:p>
        </w:tc>
        <w:tc>
          <w:tcPr>
            <w:tcW w:w="0" w:type="auto"/>
            <w:vAlign w:val="bottom"/>
          </w:tcPr>
          <w:p w14:paraId="21B50D28" w14:textId="77777777" w:rsidR="00007233" w:rsidRPr="00C6141B" w:rsidRDefault="00007233" w:rsidP="00BC62E6">
            <w:pPr>
              <w:jc w:val="left"/>
              <w:rPr>
                <w:rFonts w:cs="Times New Roman"/>
                <w:szCs w:val="24"/>
              </w:rPr>
            </w:pPr>
            <w:r w:rsidRPr="00C6141B">
              <w:rPr>
                <w:rFonts w:cs="Times New Roman"/>
                <w:szCs w:val="24"/>
              </w:rPr>
              <w:t>353</w:t>
            </w:r>
          </w:p>
        </w:tc>
        <w:tc>
          <w:tcPr>
            <w:tcW w:w="0" w:type="auto"/>
            <w:vAlign w:val="bottom"/>
          </w:tcPr>
          <w:p w14:paraId="39C67619" w14:textId="77777777" w:rsidR="00007233" w:rsidRPr="00C6141B" w:rsidRDefault="00007233" w:rsidP="00BC62E6">
            <w:pPr>
              <w:jc w:val="left"/>
              <w:rPr>
                <w:rFonts w:cs="Times New Roman"/>
                <w:szCs w:val="24"/>
              </w:rPr>
            </w:pPr>
            <w:r w:rsidRPr="00C6141B">
              <w:rPr>
                <w:rFonts w:cs="Times New Roman"/>
                <w:szCs w:val="24"/>
              </w:rPr>
              <w:t>210,698</w:t>
            </w:r>
          </w:p>
        </w:tc>
        <w:tc>
          <w:tcPr>
            <w:tcW w:w="0" w:type="auto"/>
            <w:vAlign w:val="bottom"/>
          </w:tcPr>
          <w:p w14:paraId="0DAD6A43" w14:textId="77777777" w:rsidR="00007233" w:rsidRPr="00C6141B" w:rsidRDefault="00007233" w:rsidP="00BC62E6">
            <w:pPr>
              <w:jc w:val="left"/>
              <w:rPr>
                <w:rFonts w:cs="Times New Roman"/>
                <w:szCs w:val="24"/>
              </w:rPr>
            </w:pPr>
            <w:r w:rsidRPr="00C6141B">
              <w:rPr>
                <w:rFonts w:cs="Times New Roman"/>
                <w:szCs w:val="24"/>
              </w:rPr>
              <w:t>353/210,698</w:t>
            </w:r>
          </w:p>
        </w:tc>
        <w:tc>
          <w:tcPr>
            <w:tcW w:w="0" w:type="auto"/>
            <w:vAlign w:val="bottom"/>
          </w:tcPr>
          <w:p w14:paraId="50D24343" w14:textId="77777777" w:rsidR="00007233" w:rsidRPr="00C6141B" w:rsidRDefault="00007233" w:rsidP="00BC62E6">
            <w:pPr>
              <w:jc w:val="left"/>
              <w:rPr>
                <w:rFonts w:cs="Times New Roman"/>
                <w:szCs w:val="24"/>
              </w:rPr>
            </w:pPr>
            <w:r w:rsidRPr="00C6141B">
              <w:rPr>
                <w:rFonts w:cs="Times New Roman"/>
                <w:szCs w:val="24"/>
              </w:rPr>
              <w:t>0.612</w:t>
            </w:r>
          </w:p>
        </w:tc>
      </w:tr>
      <w:tr w:rsidR="00007233" w:rsidRPr="00C6141B" w14:paraId="3B31FB04" w14:textId="77777777" w:rsidTr="00BC62E6">
        <w:trPr>
          <w:trHeight w:val="371"/>
          <w:jc w:val="center"/>
        </w:trPr>
        <w:tc>
          <w:tcPr>
            <w:tcW w:w="0" w:type="auto"/>
          </w:tcPr>
          <w:p w14:paraId="069BFBF2" w14:textId="77777777" w:rsidR="00007233" w:rsidRPr="00C6141B" w:rsidRDefault="00007233" w:rsidP="00397EED">
            <w:pPr>
              <w:rPr>
                <w:rFonts w:cs="Times New Roman"/>
                <w:b/>
                <w:bCs/>
                <w:szCs w:val="24"/>
                <w:lang w:val="en-US"/>
              </w:rPr>
            </w:pPr>
            <w:r w:rsidRPr="00C6141B">
              <w:rPr>
                <w:rFonts w:cs="Times New Roman"/>
                <w:b/>
                <w:bCs/>
                <w:szCs w:val="24"/>
                <w:lang w:val="en-US"/>
              </w:rPr>
              <w:t>2019</w:t>
            </w:r>
          </w:p>
        </w:tc>
        <w:tc>
          <w:tcPr>
            <w:tcW w:w="0" w:type="auto"/>
            <w:vAlign w:val="bottom"/>
          </w:tcPr>
          <w:p w14:paraId="291D2C03" w14:textId="77777777" w:rsidR="00007233" w:rsidRPr="00C6141B" w:rsidRDefault="00007233" w:rsidP="00BC62E6">
            <w:pPr>
              <w:jc w:val="left"/>
              <w:rPr>
                <w:rFonts w:cs="Times New Roman"/>
                <w:szCs w:val="24"/>
              </w:rPr>
            </w:pPr>
            <w:r w:rsidRPr="00C6141B">
              <w:rPr>
                <w:rFonts w:cs="Times New Roman"/>
                <w:szCs w:val="24"/>
              </w:rPr>
              <w:t>575</w:t>
            </w:r>
          </w:p>
        </w:tc>
        <w:tc>
          <w:tcPr>
            <w:tcW w:w="0" w:type="auto"/>
            <w:vAlign w:val="bottom"/>
          </w:tcPr>
          <w:p w14:paraId="5F2E324D" w14:textId="77777777" w:rsidR="00007233" w:rsidRPr="00C6141B" w:rsidRDefault="00007233" w:rsidP="00BC62E6">
            <w:pPr>
              <w:jc w:val="left"/>
              <w:rPr>
                <w:rFonts w:cs="Times New Roman"/>
                <w:szCs w:val="24"/>
              </w:rPr>
            </w:pPr>
            <w:r w:rsidRPr="00C6141B">
              <w:rPr>
                <w:rFonts w:cs="Times New Roman"/>
                <w:szCs w:val="24"/>
              </w:rPr>
              <w:t>210,434</w:t>
            </w:r>
          </w:p>
        </w:tc>
        <w:tc>
          <w:tcPr>
            <w:tcW w:w="0" w:type="auto"/>
            <w:vAlign w:val="bottom"/>
          </w:tcPr>
          <w:p w14:paraId="0A4C8B31" w14:textId="77777777" w:rsidR="00007233" w:rsidRPr="00C6141B" w:rsidRDefault="00007233" w:rsidP="00BC62E6">
            <w:pPr>
              <w:jc w:val="left"/>
              <w:rPr>
                <w:rFonts w:cs="Times New Roman"/>
                <w:szCs w:val="24"/>
              </w:rPr>
            </w:pPr>
            <w:r w:rsidRPr="00C6141B">
              <w:rPr>
                <w:rFonts w:cs="Times New Roman"/>
                <w:szCs w:val="24"/>
              </w:rPr>
              <w:t>575/210,434</w:t>
            </w:r>
          </w:p>
        </w:tc>
        <w:tc>
          <w:tcPr>
            <w:tcW w:w="0" w:type="auto"/>
            <w:vAlign w:val="bottom"/>
          </w:tcPr>
          <w:p w14:paraId="35849AC3" w14:textId="77777777" w:rsidR="00007233" w:rsidRPr="00C6141B" w:rsidRDefault="00007233" w:rsidP="00BC62E6">
            <w:pPr>
              <w:jc w:val="left"/>
              <w:rPr>
                <w:rFonts w:cs="Times New Roman"/>
                <w:szCs w:val="24"/>
              </w:rPr>
            </w:pPr>
            <w:r w:rsidRPr="00C6141B">
              <w:rPr>
                <w:rFonts w:cs="Times New Roman"/>
                <w:szCs w:val="24"/>
              </w:rPr>
              <w:t>0.997</w:t>
            </w:r>
          </w:p>
        </w:tc>
      </w:tr>
      <w:tr w:rsidR="00007233" w:rsidRPr="00C6141B" w14:paraId="2879C921" w14:textId="77777777" w:rsidTr="00BC62E6">
        <w:trPr>
          <w:trHeight w:val="371"/>
          <w:jc w:val="center"/>
        </w:trPr>
        <w:tc>
          <w:tcPr>
            <w:tcW w:w="0" w:type="auto"/>
          </w:tcPr>
          <w:p w14:paraId="07778992" w14:textId="77777777" w:rsidR="00007233" w:rsidRPr="00C6141B" w:rsidRDefault="00007233" w:rsidP="00397EED">
            <w:pPr>
              <w:rPr>
                <w:rFonts w:cs="Times New Roman"/>
                <w:b/>
                <w:bCs/>
                <w:szCs w:val="24"/>
                <w:lang w:val="en-US"/>
              </w:rPr>
            </w:pPr>
            <w:r w:rsidRPr="00C6141B">
              <w:rPr>
                <w:rFonts w:cs="Times New Roman"/>
                <w:b/>
                <w:bCs/>
                <w:szCs w:val="24"/>
                <w:lang w:val="en-US"/>
              </w:rPr>
              <w:t>2020</w:t>
            </w:r>
          </w:p>
        </w:tc>
        <w:tc>
          <w:tcPr>
            <w:tcW w:w="0" w:type="auto"/>
            <w:vAlign w:val="bottom"/>
          </w:tcPr>
          <w:p w14:paraId="0FE55399" w14:textId="77777777" w:rsidR="00007233" w:rsidRPr="00C6141B" w:rsidRDefault="00007233" w:rsidP="00BC62E6">
            <w:pPr>
              <w:jc w:val="left"/>
              <w:rPr>
                <w:rFonts w:cs="Times New Roman"/>
                <w:szCs w:val="24"/>
              </w:rPr>
            </w:pPr>
            <w:r w:rsidRPr="00C6141B">
              <w:rPr>
                <w:rFonts w:cs="Times New Roman"/>
                <w:szCs w:val="24"/>
              </w:rPr>
              <w:t>678</w:t>
            </w:r>
          </w:p>
        </w:tc>
        <w:tc>
          <w:tcPr>
            <w:tcW w:w="0" w:type="auto"/>
            <w:vAlign w:val="bottom"/>
          </w:tcPr>
          <w:p w14:paraId="6BC4D8D7" w14:textId="77777777" w:rsidR="00007233" w:rsidRPr="00C6141B" w:rsidRDefault="00007233" w:rsidP="00BC62E6">
            <w:pPr>
              <w:jc w:val="left"/>
              <w:rPr>
                <w:rFonts w:cs="Times New Roman"/>
                <w:szCs w:val="24"/>
              </w:rPr>
            </w:pPr>
            <w:r w:rsidRPr="00C6141B">
              <w:rPr>
                <w:rFonts w:cs="Times New Roman"/>
                <w:szCs w:val="24"/>
              </w:rPr>
              <w:t>138,640</w:t>
            </w:r>
          </w:p>
        </w:tc>
        <w:tc>
          <w:tcPr>
            <w:tcW w:w="0" w:type="auto"/>
            <w:vAlign w:val="bottom"/>
          </w:tcPr>
          <w:p w14:paraId="79BF9C26" w14:textId="77777777" w:rsidR="00007233" w:rsidRPr="00C6141B" w:rsidRDefault="00007233" w:rsidP="00BC62E6">
            <w:pPr>
              <w:jc w:val="left"/>
              <w:rPr>
                <w:rFonts w:cs="Times New Roman"/>
                <w:szCs w:val="24"/>
              </w:rPr>
            </w:pPr>
            <w:r w:rsidRPr="00C6141B">
              <w:rPr>
                <w:rFonts w:cs="Times New Roman"/>
                <w:szCs w:val="24"/>
              </w:rPr>
              <w:t>678/138,640</w:t>
            </w:r>
          </w:p>
        </w:tc>
        <w:tc>
          <w:tcPr>
            <w:tcW w:w="0" w:type="auto"/>
            <w:vAlign w:val="bottom"/>
          </w:tcPr>
          <w:p w14:paraId="46D65B4F" w14:textId="77777777" w:rsidR="00007233" w:rsidRPr="00C6141B" w:rsidRDefault="00007233" w:rsidP="00BC62E6">
            <w:pPr>
              <w:jc w:val="left"/>
              <w:rPr>
                <w:rFonts w:cs="Times New Roman"/>
                <w:szCs w:val="24"/>
              </w:rPr>
            </w:pPr>
            <w:r w:rsidRPr="00C6141B">
              <w:rPr>
                <w:rFonts w:cs="Times New Roman"/>
                <w:szCs w:val="24"/>
              </w:rPr>
              <w:t>1.785</w:t>
            </w:r>
          </w:p>
        </w:tc>
      </w:tr>
      <w:tr w:rsidR="00007233" w:rsidRPr="00C6141B" w14:paraId="1068F07F" w14:textId="77777777" w:rsidTr="00BC62E6">
        <w:trPr>
          <w:trHeight w:val="371"/>
          <w:jc w:val="center"/>
        </w:trPr>
        <w:tc>
          <w:tcPr>
            <w:tcW w:w="0" w:type="auto"/>
          </w:tcPr>
          <w:p w14:paraId="6325D240" w14:textId="77777777" w:rsidR="00007233" w:rsidRPr="00C6141B" w:rsidRDefault="00007233" w:rsidP="00397EED">
            <w:pPr>
              <w:rPr>
                <w:rFonts w:cs="Times New Roman"/>
                <w:b/>
                <w:bCs/>
                <w:szCs w:val="24"/>
                <w:lang w:val="en-US"/>
              </w:rPr>
            </w:pPr>
            <w:r w:rsidRPr="00C6141B">
              <w:rPr>
                <w:rFonts w:cs="Times New Roman"/>
                <w:b/>
                <w:bCs/>
                <w:szCs w:val="24"/>
                <w:lang w:val="en-US"/>
              </w:rPr>
              <w:t>2021</w:t>
            </w:r>
          </w:p>
        </w:tc>
        <w:tc>
          <w:tcPr>
            <w:tcW w:w="0" w:type="auto"/>
            <w:vAlign w:val="bottom"/>
          </w:tcPr>
          <w:p w14:paraId="3CFFC43B" w14:textId="77777777" w:rsidR="00007233" w:rsidRPr="00C6141B" w:rsidRDefault="00007233" w:rsidP="00BC62E6">
            <w:pPr>
              <w:jc w:val="left"/>
              <w:rPr>
                <w:rFonts w:cs="Times New Roman"/>
                <w:szCs w:val="24"/>
              </w:rPr>
            </w:pPr>
            <w:r w:rsidRPr="00C6141B">
              <w:rPr>
                <w:rFonts w:cs="Times New Roman"/>
                <w:szCs w:val="24"/>
              </w:rPr>
              <w:t>662</w:t>
            </w:r>
          </w:p>
        </w:tc>
        <w:tc>
          <w:tcPr>
            <w:tcW w:w="0" w:type="auto"/>
            <w:vAlign w:val="bottom"/>
          </w:tcPr>
          <w:p w14:paraId="3B17E340" w14:textId="77777777" w:rsidR="00007233" w:rsidRPr="00C6141B" w:rsidRDefault="00007233" w:rsidP="00BC62E6">
            <w:pPr>
              <w:jc w:val="left"/>
              <w:rPr>
                <w:rFonts w:cs="Times New Roman"/>
                <w:szCs w:val="24"/>
              </w:rPr>
            </w:pPr>
            <w:r w:rsidRPr="00C6141B">
              <w:rPr>
                <w:rFonts w:cs="Times New Roman"/>
                <w:szCs w:val="24"/>
              </w:rPr>
              <w:t>191,370</w:t>
            </w:r>
          </w:p>
        </w:tc>
        <w:tc>
          <w:tcPr>
            <w:tcW w:w="0" w:type="auto"/>
            <w:vAlign w:val="bottom"/>
          </w:tcPr>
          <w:p w14:paraId="1E75E398" w14:textId="77777777" w:rsidR="00007233" w:rsidRPr="00C6141B" w:rsidRDefault="00007233" w:rsidP="00BC62E6">
            <w:pPr>
              <w:jc w:val="left"/>
              <w:rPr>
                <w:rFonts w:cs="Times New Roman"/>
                <w:szCs w:val="24"/>
              </w:rPr>
            </w:pPr>
            <w:r w:rsidRPr="00C6141B">
              <w:rPr>
                <w:rFonts w:cs="Times New Roman"/>
                <w:szCs w:val="24"/>
              </w:rPr>
              <w:t>662/191,370</w:t>
            </w:r>
          </w:p>
        </w:tc>
        <w:tc>
          <w:tcPr>
            <w:tcW w:w="0" w:type="auto"/>
            <w:vAlign w:val="bottom"/>
          </w:tcPr>
          <w:p w14:paraId="2BA913CA" w14:textId="77777777" w:rsidR="00007233" w:rsidRPr="00C6141B" w:rsidRDefault="00007233" w:rsidP="00BC62E6">
            <w:pPr>
              <w:jc w:val="left"/>
              <w:rPr>
                <w:rFonts w:cs="Times New Roman"/>
                <w:szCs w:val="24"/>
              </w:rPr>
            </w:pPr>
            <w:r w:rsidRPr="00C6141B">
              <w:rPr>
                <w:rFonts w:cs="Times New Roman"/>
                <w:szCs w:val="24"/>
              </w:rPr>
              <w:t>1.263</w:t>
            </w:r>
          </w:p>
        </w:tc>
      </w:tr>
      <w:tr w:rsidR="00007233" w:rsidRPr="00C6141B" w14:paraId="553E4705" w14:textId="77777777" w:rsidTr="00BC62E6">
        <w:trPr>
          <w:trHeight w:val="371"/>
          <w:jc w:val="center"/>
        </w:trPr>
        <w:tc>
          <w:tcPr>
            <w:tcW w:w="0" w:type="auto"/>
          </w:tcPr>
          <w:p w14:paraId="24DEEFE3" w14:textId="77777777" w:rsidR="00007233" w:rsidRPr="00C6141B" w:rsidRDefault="00007233" w:rsidP="00397EED">
            <w:pPr>
              <w:rPr>
                <w:rFonts w:cs="Times New Roman"/>
                <w:b/>
                <w:bCs/>
                <w:szCs w:val="24"/>
                <w:lang w:val="en-US"/>
              </w:rPr>
            </w:pPr>
            <w:r w:rsidRPr="00C6141B">
              <w:rPr>
                <w:rFonts w:cs="Times New Roman"/>
                <w:b/>
                <w:bCs/>
                <w:szCs w:val="24"/>
                <w:lang w:val="en-US"/>
              </w:rPr>
              <w:t>2022</w:t>
            </w:r>
          </w:p>
        </w:tc>
        <w:tc>
          <w:tcPr>
            <w:tcW w:w="0" w:type="auto"/>
            <w:vAlign w:val="bottom"/>
          </w:tcPr>
          <w:p w14:paraId="17A59057" w14:textId="77777777" w:rsidR="00007233" w:rsidRPr="00C6141B" w:rsidRDefault="00007233" w:rsidP="00BC62E6">
            <w:pPr>
              <w:jc w:val="left"/>
              <w:rPr>
                <w:rFonts w:cs="Times New Roman"/>
                <w:szCs w:val="24"/>
              </w:rPr>
            </w:pPr>
            <w:r w:rsidRPr="00C6141B">
              <w:rPr>
                <w:rFonts w:cs="Times New Roman"/>
                <w:szCs w:val="24"/>
              </w:rPr>
              <w:t>605</w:t>
            </w:r>
          </w:p>
        </w:tc>
        <w:tc>
          <w:tcPr>
            <w:tcW w:w="0" w:type="auto"/>
            <w:vAlign w:val="bottom"/>
          </w:tcPr>
          <w:p w14:paraId="459F07E9" w14:textId="77777777" w:rsidR="00007233" w:rsidRPr="00C6141B" w:rsidRDefault="00007233" w:rsidP="00BC62E6">
            <w:pPr>
              <w:jc w:val="left"/>
              <w:rPr>
                <w:rFonts w:cs="Times New Roman"/>
                <w:szCs w:val="24"/>
              </w:rPr>
            </w:pPr>
            <w:r w:rsidRPr="00C6141B">
              <w:rPr>
                <w:rFonts w:cs="Times New Roman"/>
                <w:szCs w:val="24"/>
              </w:rPr>
              <w:t>228,723</w:t>
            </w:r>
          </w:p>
        </w:tc>
        <w:tc>
          <w:tcPr>
            <w:tcW w:w="0" w:type="auto"/>
            <w:vAlign w:val="bottom"/>
          </w:tcPr>
          <w:p w14:paraId="00FF593A" w14:textId="77777777" w:rsidR="00007233" w:rsidRPr="00C6141B" w:rsidRDefault="00007233" w:rsidP="00BC62E6">
            <w:pPr>
              <w:jc w:val="left"/>
              <w:rPr>
                <w:rFonts w:cs="Times New Roman"/>
                <w:szCs w:val="24"/>
              </w:rPr>
            </w:pPr>
            <w:r w:rsidRPr="00C6141B">
              <w:rPr>
                <w:rFonts w:cs="Times New Roman"/>
                <w:szCs w:val="24"/>
              </w:rPr>
              <w:t>605/228,723</w:t>
            </w:r>
          </w:p>
        </w:tc>
        <w:tc>
          <w:tcPr>
            <w:tcW w:w="0" w:type="auto"/>
            <w:vAlign w:val="bottom"/>
          </w:tcPr>
          <w:p w14:paraId="5F0EC8E8" w14:textId="77777777" w:rsidR="00007233" w:rsidRPr="00C6141B" w:rsidRDefault="00007233" w:rsidP="00BC62E6">
            <w:pPr>
              <w:jc w:val="left"/>
              <w:rPr>
                <w:rFonts w:cs="Times New Roman"/>
                <w:szCs w:val="24"/>
              </w:rPr>
            </w:pPr>
            <w:r w:rsidRPr="00C6141B">
              <w:rPr>
                <w:rFonts w:cs="Times New Roman"/>
                <w:szCs w:val="24"/>
              </w:rPr>
              <w:t>0.965</w:t>
            </w:r>
          </w:p>
        </w:tc>
      </w:tr>
    </w:tbl>
    <w:p w14:paraId="35737876" w14:textId="59576B2E" w:rsidR="00FB5987" w:rsidRPr="00C6141B" w:rsidRDefault="00FB5987" w:rsidP="00FB5987">
      <w:pPr>
        <w:jc w:val="center"/>
        <w:rPr>
          <w:b/>
          <w:bCs/>
          <w:lang w:val="en-US"/>
        </w:rPr>
      </w:pPr>
      <w:r w:rsidRPr="00C6141B">
        <w:rPr>
          <w:b/>
          <w:bCs/>
          <w:lang w:val="en-US"/>
        </w:rPr>
        <w:t>Table No. 4</w:t>
      </w:r>
    </w:p>
    <w:p w14:paraId="56A4411D" w14:textId="6BCFCD3C" w:rsidR="00905296" w:rsidRPr="00C6141B" w:rsidRDefault="00F4707A" w:rsidP="00397EED">
      <w:pPr>
        <w:pStyle w:val="Heading2"/>
        <w:rPr>
          <w:rFonts w:cs="Times New Roman"/>
          <w:szCs w:val="24"/>
          <w:lang w:val="en-US"/>
        </w:rPr>
      </w:pPr>
      <w:bookmarkStart w:id="8" w:name="_Toc175148035"/>
      <w:r w:rsidRPr="00C6141B">
        <w:rPr>
          <w:rFonts w:cs="Times New Roman"/>
          <w:szCs w:val="24"/>
          <w:lang w:val="en-US"/>
        </w:rPr>
        <w:t>2.</w:t>
      </w:r>
      <w:r w:rsidR="00905296" w:rsidRPr="00C6141B">
        <w:rPr>
          <w:rFonts w:cs="Times New Roman"/>
          <w:szCs w:val="24"/>
          <w:lang w:val="en-US"/>
        </w:rPr>
        <w:t>2. Ratio Analysis</w:t>
      </w:r>
      <w:bookmarkEnd w:id="8"/>
    </w:p>
    <w:p w14:paraId="7662DDE8" w14:textId="77777777" w:rsidR="000A452F" w:rsidRPr="00C6141B" w:rsidRDefault="00F4707A" w:rsidP="00397EED">
      <w:pPr>
        <w:pStyle w:val="Heading3"/>
        <w:rPr>
          <w:rFonts w:cs="Times New Roman"/>
          <w:szCs w:val="24"/>
          <w:lang w:val="en-US"/>
        </w:rPr>
      </w:pPr>
      <w:bookmarkStart w:id="9" w:name="_Toc175148036"/>
      <w:r w:rsidRPr="00C6141B">
        <w:rPr>
          <w:rFonts w:cs="Times New Roman"/>
          <w:szCs w:val="24"/>
          <w:lang w:val="en-US"/>
        </w:rPr>
        <w:t xml:space="preserve">2.2.1. </w:t>
      </w:r>
      <w:r w:rsidR="00AA7F9B" w:rsidRPr="00C6141B">
        <w:rPr>
          <w:rFonts w:cs="Times New Roman"/>
          <w:szCs w:val="24"/>
          <w:lang w:val="en-US"/>
        </w:rPr>
        <w:t>Net Profit Margin</w:t>
      </w:r>
      <w:bookmarkEnd w:id="9"/>
    </w:p>
    <w:p w14:paraId="49E80E75" w14:textId="1D85111C" w:rsidR="00DF7F28" w:rsidRPr="00C6141B" w:rsidRDefault="00DF7F28" w:rsidP="00DF7F28">
      <w:pPr>
        <w:rPr>
          <w:rFonts w:cs="Times New Roman"/>
          <w:lang w:val="en-US"/>
        </w:rPr>
      </w:pPr>
      <w:r w:rsidRPr="00C6141B">
        <w:rPr>
          <w:rFonts w:cs="Times New Roman"/>
          <w:lang w:val="en-US"/>
        </w:rPr>
        <w:t>Profitability ratios are indicators of profitability that reveal a company's ability to produce money. They can also show how effectively a business controls its financial assets and returns to stockholders' equity</w:t>
      </w:r>
      <w:r w:rsidR="00F60649" w:rsidRPr="00C6141B">
        <w:rPr>
          <w:rFonts w:cs="Times New Roman"/>
          <w:lang w:val="en-US"/>
        </w:rPr>
        <w:t xml:space="preserve"> </w:t>
      </w:r>
      <w:r w:rsidRPr="00C6141B">
        <w:rPr>
          <w:rFonts w:cs="Times New Roman"/>
          <w:lang w:val="en-US"/>
        </w:rPr>
        <w:t>(</w:t>
      </w:r>
      <w:r w:rsidRPr="00C6141B">
        <w:rPr>
          <w:rFonts w:cs="Times New Roman"/>
          <w:shd w:val="clear" w:color="auto" w:fill="FFFFFF"/>
        </w:rPr>
        <w:t>Pratiwi and Noveria, 2023</w:t>
      </w:r>
      <w:r w:rsidRPr="00C6141B">
        <w:rPr>
          <w:rFonts w:cs="Times New Roman"/>
          <w:lang w:val="en-US"/>
        </w:rPr>
        <w:t>).</w:t>
      </w:r>
    </w:p>
    <w:p w14:paraId="667F7E09" w14:textId="77777777" w:rsidR="00DF7F28" w:rsidRPr="00C6141B" w:rsidRDefault="00DF7F28" w:rsidP="00DF7F28">
      <w:pPr>
        <w:keepNext/>
        <w:jc w:val="center"/>
        <w:rPr>
          <w:rFonts w:cs="Times New Roman"/>
        </w:rPr>
      </w:pPr>
      <w:r w:rsidRPr="00C6141B">
        <w:rPr>
          <w:rFonts w:cs="Times New Roman"/>
          <w:noProof/>
          <w:lang w:val="en-US" w:bidi="hi-IN"/>
        </w:rPr>
        <w:drawing>
          <wp:inline distT="0" distB="0" distL="0" distR="0" wp14:anchorId="271196EB" wp14:editId="7FC4B7B0">
            <wp:extent cx="4552950" cy="2374900"/>
            <wp:effectExtent l="0" t="0" r="0" b="0"/>
            <wp:docPr id="1467824654" name="Chart 1">
              <a:extLst xmlns:a="http://schemas.openxmlformats.org/drawingml/2006/main">
                <a:ext uri="{FF2B5EF4-FFF2-40B4-BE49-F238E27FC236}">
                  <a16:creationId xmlns:a16="http://schemas.microsoft.com/office/drawing/2014/main" id="{FA6CE1FA-CC75-0F9E-4797-886D9D922B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4130FD0" w14:textId="0C828ECA" w:rsidR="00DF7F28" w:rsidRPr="00C6141B" w:rsidRDefault="00DF7F28" w:rsidP="00DF7F28">
      <w:pPr>
        <w:pStyle w:val="Caption"/>
        <w:jc w:val="center"/>
        <w:rPr>
          <w:rFonts w:cs="Times New Roman"/>
          <w:color w:val="auto"/>
          <w:lang w:val="en-US"/>
        </w:rPr>
      </w:pPr>
      <w:r w:rsidRPr="00C6141B">
        <w:rPr>
          <w:rFonts w:cs="Times New Roman"/>
          <w:color w:val="auto"/>
        </w:rPr>
        <w:t xml:space="preserve">Figure </w:t>
      </w:r>
      <w:r w:rsidR="00AD322A" w:rsidRPr="00C6141B">
        <w:rPr>
          <w:rFonts w:cs="Times New Roman"/>
          <w:color w:val="auto"/>
        </w:rPr>
        <w:fldChar w:fldCharType="begin"/>
      </w:r>
      <w:r w:rsidRPr="00C6141B">
        <w:rPr>
          <w:rFonts w:cs="Times New Roman"/>
          <w:color w:val="auto"/>
        </w:rPr>
        <w:instrText xml:space="preserve"> SEQ Figure \* ARABIC </w:instrText>
      </w:r>
      <w:r w:rsidR="00AD322A" w:rsidRPr="00C6141B">
        <w:rPr>
          <w:rFonts w:cs="Times New Roman"/>
          <w:color w:val="auto"/>
        </w:rPr>
        <w:fldChar w:fldCharType="separate"/>
      </w:r>
      <w:r w:rsidR="0092772B" w:rsidRPr="00C6141B">
        <w:rPr>
          <w:rFonts w:cs="Times New Roman"/>
          <w:noProof/>
          <w:color w:val="auto"/>
        </w:rPr>
        <w:t>2</w:t>
      </w:r>
      <w:r w:rsidR="00AD322A" w:rsidRPr="00C6141B">
        <w:rPr>
          <w:rFonts w:cs="Times New Roman"/>
          <w:color w:val="auto"/>
        </w:rPr>
        <w:fldChar w:fldCharType="end"/>
      </w:r>
      <w:r w:rsidRPr="00C6141B">
        <w:rPr>
          <w:rFonts w:cs="Times New Roman"/>
          <w:color w:val="auto"/>
        </w:rPr>
        <w:t>: Profitability Ratio Analysis of Glencore Plc (from 2018 to 2022)</w:t>
      </w:r>
    </w:p>
    <w:p w14:paraId="26154E49" w14:textId="03D98194" w:rsidR="005B31A0" w:rsidRPr="00C6141B" w:rsidRDefault="00DE79A4" w:rsidP="00FB5987">
      <w:pPr>
        <w:rPr>
          <w:b/>
          <w:bCs/>
          <w:lang w:val="en-US"/>
        </w:rPr>
      </w:pPr>
      <w:r w:rsidRPr="00C6141B">
        <w:rPr>
          <w:rFonts w:cs="Times New Roman"/>
          <w:lang w:val="en-US"/>
        </w:rPr>
        <w:t>The above given chart shows the net profit ratio of Glencore Plc</w:t>
      </w:r>
      <w:r w:rsidR="00474741" w:rsidRPr="00C6141B">
        <w:rPr>
          <w:rFonts w:cs="Times New Roman"/>
          <w:lang w:val="en-US"/>
        </w:rPr>
        <w:t xml:space="preserve"> from the financial year 2018 to 2022</w:t>
      </w:r>
      <w:r w:rsidRPr="00C6141B">
        <w:rPr>
          <w:rFonts w:cs="Times New Roman"/>
          <w:lang w:val="en-US"/>
        </w:rPr>
        <w:t xml:space="preserve">. As it is seen that </w:t>
      </w:r>
      <w:r w:rsidR="00F74879" w:rsidRPr="00C6141B">
        <w:rPr>
          <w:rFonts w:cs="Times New Roman"/>
          <w:lang w:val="en-US"/>
        </w:rPr>
        <w:t xml:space="preserve">net profit </w:t>
      </w:r>
      <w:r w:rsidRPr="00C6141B">
        <w:rPr>
          <w:rFonts w:cs="Times New Roman"/>
          <w:lang w:val="en-US"/>
        </w:rPr>
        <w:t xml:space="preserve">ratio </w:t>
      </w:r>
      <w:r w:rsidR="00F74879" w:rsidRPr="00C6141B">
        <w:rPr>
          <w:rFonts w:cs="Times New Roman"/>
          <w:lang w:val="en-US"/>
        </w:rPr>
        <w:t xml:space="preserve">of this company is 1.19% in 2018, -0.70% in 2019, 2.77% in 2020, 2.13% in 2021 and 6.45% in 2022. These ratio numbers show a significant </w:t>
      </w:r>
      <w:r w:rsidR="00F74879" w:rsidRPr="00C6141B">
        <w:rPr>
          <w:rFonts w:cs="Times New Roman"/>
          <w:lang w:val="en-US"/>
        </w:rPr>
        <w:lastRenderedPageBreak/>
        <w:t xml:space="preserve">fluctuation in net profit during this time period of 5 years. </w:t>
      </w:r>
      <w:r w:rsidR="00CD39C0" w:rsidRPr="00C6141B">
        <w:rPr>
          <w:rFonts w:cs="Times New Roman"/>
          <w:lang w:val="en-US"/>
        </w:rPr>
        <w:t xml:space="preserve">This can be seen </w:t>
      </w:r>
      <w:r w:rsidR="00FB5987" w:rsidRPr="00C6141B">
        <w:rPr>
          <w:rFonts w:cs="Times New Roman"/>
          <w:lang w:val="en-US"/>
        </w:rPr>
        <w:t xml:space="preserve">(in </w:t>
      </w:r>
      <w:r w:rsidR="00FB5987" w:rsidRPr="00C6141B">
        <w:rPr>
          <w:lang w:val="en-US"/>
        </w:rPr>
        <w:t>Table No.1</w:t>
      </w:r>
      <w:r w:rsidR="00FB5987" w:rsidRPr="00C6141B">
        <w:rPr>
          <w:rFonts w:cs="Times New Roman"/>
          <w:lang w:val="en-US"/>
        </w:rPr>
        <w:t xml:space="preserve">) </w:t>
      </w:r>
      <w:r w:rsidR="00CD39C0" w:rsidRPr="00C6141B">
        <w:rPr>
          <w:rFonts w:cs="Times New Roman"/>
          <w:lang w:val="en-US"/>
        </w:rPr>
        <w:t xml:space="preserve">that </w:t>
      </w:r>
      <w:r w:rsidR="00474741" w:rsidRPr="00C6141B">
        <w:rPr>
          <w:rFonts w:cs="Times New Roman"/>
          <w:lang w:val="en-US"/>
        </w:rPr>
        <w:t>the net profit ratio of this company is 1.19% in 2018 which has decreased by -0.70% in 2019. As this drastic decline in this ratio is due to the grate loss of $-1506 million faced by the company in 2019. It is seen that the revenue of this company has no drastic decline whereas the net profit $2616 million in 2018 of this company turns into a loss of $-1506 million in 2019</w:t>
      </w:r>
      <w:r w:rsidR="005B31A0" w:rsidRPr="00C6141B">
        <w:rPr>
          <w:rFonts w:cs="Times New Roman"/>
          <w:lang w:val="en-US"/>
        </w:rPr>
        <w:t xml:space="preserve"> (Glencore Plc, 2022)</w:t>
      </w:r>
      <w:r w:rsidR="00474741" w:rsidRPr="00C6141B">
        <w:rPr>
          <w:rFonts w:cs="Times New Roman"/>
          <w:lang w:val="en-US"/>
        </w:rPr>
        <w:t xml:space="preserve">. This data shows that this year the company has extreme high expenses and costs so that this company is unable to gain profit. </w:t>
      </w:r>
    </w:p>
    <w:p w14:paraId="51D6F505" w14:textId="14A37D53" w:rsidR="00F60649" w:rsidRPr="00C6141B" w:rsidRDefault="00474741" w:rsidP="00DF7F28">
      <w:pPr>
        <w:rPr>
          <w:rFonts w:cs="Times New Roman"/>
          <w:lang w:val="en-US"/>
        </w:rPr>
      </w:pPr>
      <w:r w:rsidRPr="00C6141B">
        <w:rPr>
          <w:rFonts w:cs="Times New Roman"/>
          <w:lang w:val="en-US"/>
        </w:rPr>
        <w:t>However, in the fiscal year of 2020, the net profit ratio of this company has improved by 2.77% as the net profit ratio of this company has increased by $3946 million but the revenue has been decreased significantly during this time period</w:t>
      </w:r>
      <w:r w:rsidR="005B31A0" w:rsidRPr="00C6141B">
        <w:rPr>
          <w:rFonts w:cs="Times New Roman"/>
          <w:lang w:val="en-US"/>
        </w:rPr>
        <w:t xml:space="preserve"> (Glencore Plc, 2022)</w:t>
      </w:r>
      <w:r w:rsidRPr="00C6141B">
        <w:rPr>
          <w:rFonts w:cs="Times New Roman"/>
          <w:lang w:val="en-US"/>
        </w:rPr>
        <w:t>. The figure of net profit shows that in this year the company implemented effective cost-cutting strategies to make income through its operations and sales after successfully managing its expenses</w:t>
      </w:r>
      <w:r w:rsidR="005B31A0" w:rsidRPr="00C6141B">
        <w:rPr>
          <w:rFonts w:cs="Times New Roman"/>
          <w:lang w:val="en-US"/>
        </w:rPr>
        <w:t xml:space="preserve"> (</w:t>
      </w:r>
      <w:r w:rsidR="005B31A0" w:rsidRPr="00C6141B">
        <w:rPr>
          <w:rFonts w:cs="Times New Roman"/>
          <w:shd w:val="clear" w:color="auto" w:fill="FFFFFF"/>
        </w:rPr>
        <w:t>Tannady, et al., 2023</w:t>
      </w:r>
      <w:r w:rsidR="005B31A0" w:rsidRPr="00C6141B">
        <w:rPr>
          <w:rFonts w:cs="Times New Roman"/>
          <w:lang w:val="en-US"/>
        </w:rPr>
        <w:t>)</w:t>
      </w:r>
      <w:r w:rsidR="00F60649" w:rsidRPr="00C6141B">
        <w:rPr>
          <w:rFonts w:cs="Times New Roman"/>
          <w:lang w:val="en-US"/>
        </w:rPr>
        <w:t>.</w:t>
      </w:r>
      <w:r w:rsidR="005B31A0" w:rsidRPr="00C6141B">
        <w:rPr>
          <w:rFonts w:cs="Times New Roman"/>
          <w:lang w:val="en-US"/>
        </w:rPr>
        <w:t xml:space="preserve"> </w:t>
      </w:r>
      <w:r w:rsidR="00F60649" w:rsidRPr="00C6141B">
        <w:rPr>
          <w:rFonts w:cs="Times New Roman"/>
          <w:lang w:val="en-US"/>
        </w:rPr>
        <w:t>In the financial year 2021, it is seen that the net profit ratio of this company has been declined slightly by 2.13% due to the increase in revenue by $203751 million and net profit by $4349 million of the company. It is determined that this company has implemented effective strategies to boost its sales and to manage its expenditures and costs to generate more profit</w:t>
      </w:r>
      <w:r w:rsidR="005B31A0" w:rsidRPr="00C6141B">
        <w:rPr>
          <w:rFonts w:cs="Times New Roman"/>
          <w:lang w:val="en-US"/>
        </w:rPr>
        <w:t xml:space="preserve"> (</w:t>
      </w:r>
      <w:r w:rsidR="005B31A0" w:rsidRPr="00C6141B">
        <w:rPr>
          <w:rFonts w:cs="Times New Roman"/>
          <w:shd w:val="clear" w:color="auto" w:fill="FFFFFF"/>
        </w:rPr>
        <w:t>Oktavian and Handoyo, 2023</w:t>
      </w:r>
      <w:r w:rsidR="005B31A0" w:rsidRPr="00C6141B">
        <w:rPr>
          <w:rFonts w:cs="Times New Roman"/>
          <w:lang w:val="en-US"/>
        </w:rPr>
        <w:t>)</w:t>
      </w:r>
      <w:r w:rsidR="00F60649" w:rsidRPr="00C6141B">
        <w:rPr>
          <w:rFonts w:cs="Times New Roman"/>
          <w:lang w:val="en-US"/>
        </w:rPr>
        <w:t>. In the fiscal year of 2022, it is seen that this company has successfully employed some effective and productive strategies to make more profit and to minimize its expenses and other costs. As the net profit ratio is higher in this year as compared to the other years, the net profit ratio is increased by 6.45% due to a significant increment in revenue by $255984 million and net profit by $16511 million</w:t>
      </w:r>
      <w:r w:rsidR="005B31A0" w:rsidRPr="00C6141B">
        <w:rPr>
          <w:rFonts w:cs="Times New Roman"/>
          <w:lang w:val="en-US"/>
        </w:rPr>
        <w:t xml:space="preserve"> (Glencore Plc, 2022)</w:t>
      </w:r>
      <w:r w:rsidR="00F60649" w:rsidRPr="00C6141B">
        <w:rPr>
          <w:rFonts w:cs="Times New Roman"/>
          <w:lang w:val="en-US"/>
        </w:rPr>
        <w:t xml:space="preserve">. </w:t>
      </w:r>
    </w:p>
    <w:p w14:paraId="0690E697" w14:textId="77777777" w:rsidR="00DF7F28" w:rsidRPr="00C6141B" w:rsidRDefault="00DF7F28" w:rsidP="00DF7F28">
      <w:pPr>
        <w:pStyle w:val="Heading3"/>
        <w:rPr>
          <w:rFonts w:cs="Times New Roman"/>
          <w:szCs w:val="24"/>
          <w:lang w:val="en-US"/>
        </w:rPr>
      </w:pPr>
      <w:bookmarkStart w:id="10" w:name="_Toc164854225"/>
      <w:bookmarkStart w:id="11" w:name="_Toc175148037"/>
      <w:r w:rsidRPr="00C6141B">
        <w:rPr>
          <w:rFonts w:cs="Times New Roman"/>
          <w:szCs w:val="24"/>
          <w:lang w:val="en-US"/>
        </w:rPr>
        <w:t>2.2.2. Current Ratio</w:t>
      </w:r>
      <w:bookmarkEnd w:id="10"/>
      <w:bookmarkEnd w:id="11"/>
    </w:p>
    <w:p w14:paraId="7FEADB5C" w14:textId="148D71FE" w:rsidR="00DF7F28" w:rsidRPr="00C6141B" w:rsidRDefault="00DF7F28" w:rsidP="00DF7F28">
      <w:pPr>
        <w:rPr>
          <w:rFonts w:cs="Times New Roman"/>
          <w:lang w:val="en-US"/>
        </w:rPr>
      </w:pPr>
      <w:r w:rsidRPr="00C6141B">
        <w:rPr>
          <w:rFonts w:cs="Times New Roman"/>
          <w:lang w:val="en-US"/>
        </w:rPr>
        <w:t>Liquidity ratios are indicators of financial health that assist determine a company's ability to pay its current debt commitments. They assist investors and lenders whether or not they should lend money or invest in a company</w:t>
      </w:r>
      <w:r w:rsidR="0033219C" w:rsidRPr="00C6141B">
        <w:rPr>
          <w:rFonts w:cs="Times New Roman"/>
          <w:lang w:val="en-US"/>
        </w:rPr>
        <w:t xml:space="preserve"> </w:t>
      </w:r>
      <w:r w:rsidRPr="00C6141B">
        <w:rPr>
          <w:rFonts w:cs="Times New Roman"/>
          <w:lang w:val="en-US"/>
        </w:rPr>
        <w:t>(</w:t>
      </w:r>
      <w:r w:rsidRPr="00C6141B">
        <w:rPr>
          <w:rFonts w:cs="Times New Roman"/>
          <w:shd w:val="clear" w:color="auto" w:fill="FFFFFF"/>
        </w:rPr>
        <w:t>Hidayat and Dewi, 2023</w:t>
      </w:r>
      <w:r w:rsidRPr="00C6141B">
        <w:rPr>
          <w:rFonts w:cs="Times New Roman"/>
          <w:lang w:val="en-US"/>
        </w:rPr>
        <w:t>).</w:t>
      </w:r>
    </w:p>
    <w:p w14:paraId="252F8ADB" w14:textId="77777777" w:rsidR="00DF7F28" w:rsidRPr="00C6141B" w:rsidRDefault="00DF7F28" w:rsidP="00DF7F28">
      <w:pPr>
        <w:keepNext/>
        <w:jc w:val="center"/>
        <w:rPr>
          <w:rFonts w:cs="Times New Roman"/>
        </w:rPr>
      </w:pPr>
      <w:r w:rsidRPr="00C6141B">
        <w:rPr>
          <w:rFonts w:cs="Times New Roman"/>
          <w:noProof/>
          <w:lang w:val="en-US" w:bidi="hi-IN"/>
        </w:rPr>
        <w:lastRenderedPageBreak/>
        <w:drawing>
          <wp:inline distT="0" distB="0" distL="0" distR="0" wp14:anchorId="2CD24801" wp14:editId="60AEC435">
            <wp:extent cx="4184650" cy="2216150"/>
            <wp:effectExtent l="0" t="0" r="0" b="0"/>
            <wp:docPr id="1435915547" name="Chart 1">
              <a:extLst xmlns:a="http://schemas.openxmlformats.org/drawingml/2006/main">
                <a:ext uri="{FF2B5EF4-FFF2-40B4-BE49-F238E27FC236}">
                  <a16:creationId xmlns:a16="http://schemas.microsoft.com/office/drawing/2014/main" id="{6CE8F351-3566-95A7-87A6-67BC38B36D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99FEE09" w14:textId="50568579" w:rsidR="005B31A0" w:rsidRPr="00C6141B" w:rsidRDefault="00DF7F28" w:rsidP="005B31A0">
      <w:pPr>
        <w:pStyle w:val="Caption"/>
        <w:jc w:val="center"/>
        <w:rPr>
          <w:rFonts w:cs="Times New Roman"/>
          <w:color w:val="auto"/>
        </w:rPr>
      </w:pPr>
      <w:r w:rsidRPr="00C6141B">
        <w:rPr>
          <w:rFonts w:cs="Times New Roman"/>
          <w:color w:val="auto"/>
        </w:rPr>
        <w:t xml:space="preserve">Figure </w:t>
      </w:r>
      <w:r w:rsidR="00AD322A" w:rsidRPr="00C6141B">
        <w:rPr>
          <w:rFonts w:cs="Times New Roman"/>
          <w:color w:val="auto"/>
        </w:rPr>
        <w:fldChar w:fldCharType="begin"/>
      </w:r>
      <w:r w:rsidRPr="00C6141B">
        <w:rPr>
          <w:rFonts w:cs="Times New Roman"/>
          <w:color w:val="auto"/>
        </w:rPr>
        <w:instrText xml:space="preserve"> SEQ Figure \* ARABIC </w:instrText>
      </w:r>
      <w:r w:rsidR="00AD322A" w:rsidRPr="00C6141B">
        <w:rPr>
          <w:rFonts w:cs="Times New Roman"/>
          <w:color w:val="auto"/>
        </w:rPr>
        <w:fldChar w:fldCharType="separate"/>
      </w:r>
      <w:r w:rsidR="0092772B" w:rsidRPr="00C6141B">
        <w:rPr>
          <w:rFonts w:cs="Times New Roman"/>
          <w:noProof/>
          <w:color w:val="auto"/>
        </w:rPr>
        <w:t>3</w:t>
      </w:r>
      <w:r w:rsidR="00AD322A" w:rsidRPr="00C6141B">
        <w:rPr>
          <w:rFonts w:cs="Times New Roman"/>
          <w:color w:val="auto"/>
        </w:rPr>
        <w:fldChar w:fldCharType="end"/>
      </w:r>
      <w:r w:rsidRPr="00C6141B">
        <w:rPr>
          <w:rFonts w:cs="Times New Roman"/>
          <w:color w:val="auto"/>
        </w:rPr>
        <w:t xml:space="preserve">: </w:t>
      </w:r>
      <w:r w:rsidR="005B31A0" w:rsidRPr="00C6141B">
        <w:rPr>
          <w:rFonts w:cs="Times New Roman"/>
          <w:color w:val="auto"/>
        </w:rPr>
        <w:t>Current</w:t>
      </w:r>
      <w:r w:rsidRPr="00C6141B">
        <w:rPr>
          <w:rFonts w:cs="Times New Roman"/>
          <w:color w:val="auto"/>
        </w:rPr>
        <w:t xml:space="preserve"> Ratio Analysis of Glencore Plc (from 2018 to 2022)</w:t>
      </w:r>
    </w:p>
    <w:p w14:paraId="3B529B21" w14:textId="6BFA0901" w:rsidR="005B31A0" w:rsidRPr="00C6141B" w:rsidRDefault="005B31A0" w:rsidP="005B31A0">
      <w:pPr>
        <w:rPr>
          <w:rFonts w:cs="Times New Roman"/>
        </w:rPr>
      </w:pPr>
      <w:r w:rsidRPr="00C6141B">
        <w:t xml:space="preserve">The above given table graph represents the current ratio of </w:t>
      </w:r>
      <w:r w:rsidRPr="00C6141B">
        <w:rPr>
          <w:rFonts w:cs="Times New Roman"/>
        </w:rPr>
        <w:t xml:space="preserve">Glencore Plc from 2018 to 2022. As the graph shows that the current ratio of this company is 1.10 in 2018, 1.06 in 2019, 1.10 in 2020, 1.17 in 2021 and 1.30 in 2022. As there are not a significant fluctuation in the current ratio of the company. As it can be seen that in 2018 this ratio is 1.10 which shows that this company has $1.10 to pay its $1 debt. This data shows that this company has enough liquid resource to fulfil its </w:t>
      </w:r>
      <w:r w:rsidR="00A21518" w:rsidRPr="00C6141B">
        <w:rPr>
          <w:rFonts w:cs="Times New Roman"/>
        </w:rPr>
        <w:t>immediate debt obligations</w:t>
      </w:r>
      <w:r w:rsidR="0033219C" w:rsidRPr="00C6141B">
        <w:rPr>
          <w:rFonts w:cs="Times New Roman"/>
        </w:rPr>
        <w:t xml:space="preserve"> </w:t>
      </w:r>
      <w:r w:rsidR="0033219C" w:rsidRPr="00C6141B">
        <w:rPr>
          <w:rFonts w:eastAsia="Times New Roman" w:cs="Times New Roman"/>
          <w:szCs w:val="24"/>
          <w:lang w:val="en-US"/>
        </w:rPr>
        <w:t>(</w:t>
      </w:r>
      <w:r w:rsidR="0033219C" w:rsidRPr="00C6141B">
        <w:rPr>
          <w:rFonts w:cs="Times New Roman"/>
          <w:lang w:val="en-US"/>
        </w:rPr>
        <w:t>Glencore Plc, 2022</w:t>
      </w:r>
      <w:r w:rsidR="0033219C" w:rsidRPr="00C6141B">
        <w:rPr>
          <w:rFonts w:eastAsia="Times New Roman" w:cs="Times New Roman"/>
          <w:szCs w:val="24"/>
          <w:lang w:val="en-US"/>
        </w:rPr>
        <w:t>)</w:t>
      </w:r>
      <w:r w:rsidR="00A21518" w:rsidRPr="00C6141B">
        <w:rPr>
          <w:rFonts w:cs="Times New Roman"/>
        </w:rPr>
        <w:t>. However, this ratio has a slight decline in 2019 when it is 1.06 due to a significant decrease in current assets’ value as it has decreased by $41410 million from $44268 million and a slight decrease in current liabilities by $39008 million from $40372 million</w:t>
      </w:r>
      <w:r w:rsidR="00FB5987" w:rsidRPr="00C6141B">
        <w:rPr>
          <w:rFonts w:cs="Times New Roman"/>
        </w:rPr>
        <w:t xml:space="preserve"> (</w:t>
      </w:r>
      <w:r w:rsidR="00FB5987" w:rsidRPr="00C6141B">
        <w:rPr>
          <w:rFonts w:cs="Times New Roman"/>
          <w:lang w:val="en-US"/>
        </w:rPr>
        <w:t xml:space="preserve">in </w:t>
      </w:r>
      <w:r w:rsidR="00FB5987" w:rsidRPr="00C6141B">
        <w:rPr>
          <w:lang w:val="en-US"/>
        </w:rPr>
        <w:t>Table No. 2</w:t>
      </w:r>
      <w:r w:rsidR="00FB5987" w:rsidRPr="00C6141B">
        <w:rPr>
          <w:rFonts w:cs="Times New Roman"/>
        </w:rPr>
        <w:t>)</w:t>
      </w:r>
      <w:r w:rsidR="00A21518" w:rsidRPr="00C6141B">
        <w:rPr>
          <w:rFonts w:cs="Times New Roman"/>
        </w:rPr>
        <w:t>. This decline in current assets shows that it can be possible that in this year the value of some assets is depreciated or this company is not able to use its current assets effectively to make income (</w:t>
      </w:r>
      <w:r w:rsidR="00A21518" w:rsidRPr="00C6141B">
        <w:rPr>
          <w:rFonts w:cs="Times New Roman"/>
          <w:shd w:val="clear" w:color="auto" w:fill="FFFFFF"/>
        </w:rPr>
        <w:t>Aslamiah, et al., 2023</w:t>
      </w:r>
      <w:r w:rsidR="00A21518" w:rsidRPr="00C6141B">
        <w:rPr>
          <w:rFonts w:cs="Times New Roman"/>
        </w:rPr>
        <w:t>).</w:t>
      </w:r>
    </w:p>
    <w:p w14:paraId="5BD01FBE" w14:textId="415E7AB7" w:rsidR="00A21518" w:rsidRPr="00C6141B" w:rsidRDefault="00A21518" w:rsidP="005B31A0">
      <w:r w:rsidRPr="00C6141B">
        <w:rPr>
          <w:rFonts w:cs="Times New Roman"/>
        </w:rPr>
        <w:t>However, in 2020, the current ratio of this company has improved by 1.10 as it is seen that this year the company is able to improve the value of its assets as the assets value have been increased by $43212 million from $41410 million. Whereas, the overall value of the current liabilities has a slight increment by $39441 million as compared to the previous year when it was $39008 million</w:t>
      </w:r>
      <w:r w:rsidR="0033219C" w:rsidRPr="00C6141B">
        <w:rPr>
          <w:rFonts w:cs="Times New Roman"/>
        </w:rPr>
        <w:t xml:space="preserve"> </w:t>
      </w:r>
      <w:r w:rsidR="0033219C" w:rsidRPr="00C6141B">
        <w:rPr>
          <w:rFonts w:eastAsia="Times New Roman" w:cs="Times New Roman"/>
          <w:szCs w:val="24"/>
          <w:lang w:val="en-US"/>
        </w:rPr>
        <w:t>(</w:t>
      </w:r>
      <w:r w:rsidR="0033219C" w:rsidRPr="00C6141B">
        <w:rPr>
          <w:rFonts w:cs="Times New Roman"/>
          <w:lang w:val="en-US"/>
        </w:rPr>
        <w:t>Glencore Plc, 2022</w:t>
      </w:r>
      <w:r w:rsidR="0033219C" w:rsidRPr="00C6141B">
        <w:rPr>
          <w:rFonts w:eastAsia="Times New Roman" w:cs="Times New Roman"/>
          <w:szCs w:val="24"/>
          <w:lang w:val="en-US"/>
        </w:rPr>
        <w:t>)</w:t>
      </w:r>
      <w:r w:rsidRPr="00C6141B">
        <w:rPr>
          <w:rFonts w:cs="Times New Roman"/>
        </w:rPr>
        <w:t>. This improvement in current ratio shows that this company has used some effective financial strategies to use its resources effectively to fulfil its short-term debt obligations</w:t>
      </w:r>
      <w:r w:rsidR="0033219C" w:rsidRPr="00C6141B">
        <w:rPr>
          <w:rFonts w:cs="Times New Roman"/>
        </w:rPr>
        <w:t xml:space="preserve"> </w:t>
      </w:r>
      <w:r w:rsidR="0033219C" w:rsidRPr="00C6141B">
        <w:rPr>
          <w:rFonts w:cs="Times New Roman"/>
          <w:lang w:val="en-US"/>
        </w:rPr>
        <w:t>(</w:t>
      </w:r>
      <w:r w:rsidR="0033219C" w:rsidRPr="00C6141B">
        <w:rPr>
          <w:rFonts w:cs="Times New Roman"/>
          <w:shd w:val="clear" w:color="auto" w:fill="FFFFFF"/>
        </w:rPr>
        <w:t>Chairunisa, et al., 2023</w:t>
      </w:r>
      <w:r w:rsidR="0033219C" w:rsidRPr="00C6141B">
        <w:rPr>
          <w:rFonts w:cs="Times New Roman"/>
          <w:lang w:val="en-US"/>
        </w:rPr>
        <w:t>)</w:t>
      </w:r>
      <w:r w:rsidRPr="00C6141B">
        <w:rPr>
          <w:rFonts w:cs="Times New Roman"/>
        </w:rPr>
        <w:t xml:space="preserve">. </w:t>
      </w:r>
      <w:r w:rsidR="0033219C" w:rsidRPr="00C6141B">
        <w:rPr>
          <w:rFonts w:cs="Times New Roman"/>
        </w:rPr>
        <w:t xml:space="preserve">The outcomes of the fiscal year 2022 show that due to the successful implementation of effective strategies this company is able to gain a higher current ratio in 2022 as the ratio is improved by 1.30 as in this year the total assets’ value has increased significantly by $69223 million whereas current liabilities also increased by $53420 million but this company has more current resources as compared to the </w:t>
      </w:r>
      <w:r w:rsidR="0033219C" w:rsidRPr="00C6141B">
        <w:rPr>
          <w:rFonts w:cs="Times New Roman"/>
        </w:rPr>
        <w:lastRenderedPageBreak/>
        <w:t xml:space="preserve">total current liabilities which shows that this company is able to meet its short-term debt obligations effectively </w:t>
      </w:r>
      <w:r w:rsidR="0033219C" w:rsidRPr="00C6141B">
        <w:rPr>
          <w:rFonts w:eastAsia="Times New Roman" w:cs="Times New Roman"/>
          <w:szCs w:val="24"/>
          <w:lang w:val="en-US"/>
        </w:rPr>
        <w:t>(</w:t>
      </w:r>
      <w:r w:rsidR="0033219C" w:rsidRPr="00C6141B">
        <w:rPr>
          <w:rFonts w:cs="Times New Roman"/>
          <w:lang w:val="en-US"/>
        </w:rPr>
        <w:t>Glencore Plc, 2022</w:t>
      </w:r>
      <w:r w:rsidR="0033219C" w:rsidRPr="00C6141B">
        <w:rPr>
          <w:rFonts w:eastAsia="Times New Roman" w:cs="Times New Roman"/>
          <w:szCs w:val="24"/>
          <w:lang w:val="en-US"/>
        </w:rPr>
        <w:t>)</w:t>
      </w:r>
      <w:r w:rsidR="0033219C" w:rsidRPr="00C6141B">
        <w:rPr>
          <w:rFonts w:cs="Times New Roman"/>
        </w:rPr>
        <w:t xml:space="preserve">. </w:t>
      </w:r>
    </w:p>
    <w:p w14:paraId="5738557D" w14:textId="77777777" w:rsidR="000A452F" w:rsidRPr="00C6141B" w:rsidRDefault="00F4707A" w:rsidP="00397EED">
      <w:pPr>
        <w:pStyle w:val="Heading3"/>
        <w:rPr>
          <w:rFonts w:cs="Times New Roman"/>
          <w:szCs w:val="24"/>
          <w:lang w:val="en-US"/>
        </w:rPr>
      </w:pPr>
      <w:bookmarkStart w:id="12" w:name="_Toc175148038"/>
      <w:r w:rsidRPr="00C6141B">
        <w:rPr>
          <w:rFonts w:cs="Times New Roman"/>
          <w:szCs w:val="24"/>
          <w:lang w:val="en-US"/>
        </w:rPr>
        <w:t xml:space="preserve">2.2.3. </w:t>
      </w:r>
      <w:r w:rsidR="00AA7F9B" w:rsidRPr="00C6141B">
        <w:rPr>
          <w:rFonts w:cs="Times New Roman"/>
          <w:szCs w:val="24"/>
          <w:lang w:val="en-US"/>
        </w:rPr>
        <w:t>Debt-Equity Ratio</w:t>
      </w:r>
      <w:bookmarkEnd w:id="12"/>
    </w:p>
    <w:p w14:paraId="27348BC2" w14:textId="168828F3" w:rsidR="00680D0F" w:rsidRPr="00C6141B" w:rsidRDefault="00680D0F" w:rsidP="00397EED">
      <w:pPr>
        <w:rPr>
          <w:rFonts w:cs="Times New Roman"/>
          <w:szCs w:val="24"/>
        </w:rPr>
      </w:pPr>
      <w:r w:rsidRPr="00C6141B">
        <w:rPr>
          <w:rFonts w:cs="Times New Roman"/>
          <w:szCs w:val="24"/>
          <w:lang w:val="en-US"/>
        </w:rPr>
        <w:t>A financial measure called the debt-to-equity ratio (D/E ratio) compares the entire amount of debt held by a corporation to its total amount of equity</w:t>
      </w:r>
      <w:r w:rsidR="00C812D1" w:rsidRPr="00C6141B">
        <w:rPr>
          <w:rFonts w:cs="Times New Roman"/>
          <w:szCs w:val="24"/>
          <w:lang w:val="en-US"/>
        </w:rPr>
        <w:t xml:space="preserve"> </w:t>
      </w:r>
      <w:r w:rsidR="00367EF6" w:rsidRPr="00C6141B">
        <w:rPr>
          <w:rFonts w:cs="Times New Roman"/>
          <w:szCs w:val="24"/>
          <w:lang w:val="en-US"/>
        </w:rPr>
        <w:t>(</w:t>
      </w:r>
      <w:r w:rsidR="000D5C1B" w:rsidRPr="00C6141B">
        <w:rPr>
          <w:rFonts w:cs="Times New Roman"/>
          <w:szCs w:val="24"/>
          <w:shd w:val="clear" w:color="auto" w:fill="FFFFFF"/>
        </w:rPr>
        <w:t>Rahmawati and Hadian, 2022</w:t>
      </w:r>
      <w:r w:rsidR="00367EF6" w:rsidRPr="00C6141B">
        <w:rPr>
          <w:rFonts w:cs="Times New Roman"/>
          <w:szCs w:val="24"/>
          <w:lang w:val="en-US"/>
        </w:rPr>
        <w:t>)</w:t>
      </w:r>
      <w:r w:rsidRPr="00C6141B">
        <w:rPr>
          <w:rFonts w:cs="Times New Roman"/>
          <w:szCs w:val="24"/>
          <w:lang w:val="en-US"/>
        </w:rPr>
        <w:t>.</w:t>
      </w:r>
      <w:r w:rsidR="006F606B" w:rsidRPr="00C6141B">
        <w:rPr>
          <w:rFonts w:cs="Times New Roman"/>
          <w:szCs w:val="24"/>
          <w:lang w:val="en-US"/>
        </w:rPr>
        <w:t xml:space="preserve"> </w:t>
      </w:r>
    </w:p>
    <w:p w14:paraId="25E258CF" w14:textId="246CAA51" w:rsidR="00DF7F28" w:rsidRPr="00C6141B" w:rsidRDefault="00BC62E6" w:rsidP="00DF7F28">
      <w:pPr>
        <w:keepNext/>
        <w:jc w:val="center"/>
        <w:rPr>
          <w:rFonts w:cs="Times New Roman"/>
        </w:rPr>
      </w:pPr>
      <w:r w:rsidRPr="00C6141B">
        <w:rPr>
          <w:noProof/>
        </w:rPr>
        <w:drawing>
          <wp:inline distT="0" distB="0" distL="0" distR="0" wp14:anchorId="77CEABDB" wp14:editId="035619BF">
            <wp:extent cx="4330700" cy="2120900"/>
            <wp:effectExtent l="0" t="0" r="0" b="0"/>
            <wp:docPr id="263332360" name="Chart 1">
              <a:extLst xmlns:a="http://schemas.openxmlformats.org/drawingml/2006/main">
                <a:ext uri="{FF2B5EF4-FFF2-40B4-BE49-F238E27FC236}">
                  <a16:creationId xmlns:a16="http://schemas.microsoft.com/office/drawing/2014/main" id="{ADBB44AC-3EDB-2828-028A-D8FEEE6470C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C6CBC85" w14:textId="1DD401B5" w:rsidR="00115D73" w:rsidRPr="00C6141B" w:rsidRDefault="00DF7F28" w:rsidP="00115D73">
      <w:pPr>
        <w:pStyle w:val="Caption"/>
        <w:jc w:val="center"/>
        <w:rPr>
          <w:rFonts w:cs="Times New Roman"/>
          <w:color w:val="auto"/>
        </w:rPr>
      </w:pPr>
      <w:r w:rsidRPr="00C6141B">
        <w:rPr>
          <w:rFonts w:cs="Times New Roman"/>
          <w:color w:val="auto"/>
        </w:rPr>
        <w:t xml:space="preserve">Figure </w:t>
      </w:r>
      <w:r w:rsidR="00AD322A" w:rsidRPr="00C6141B">
        <w:rPr>
          <w:rFonts w:cs="Times New Roman"/>
          <w:color w:val="auto"/>
        </w:rPr>
        <w:fldChar w:fldCharType="begin"/>
      </w:r>
      <w:r w:rsidRPr="00C6141B">
        <w:rPr>
          <w:rFonts w:cs="Times New Roman"/>
          <w:color w:val="auto"/>
        </w:rPr>
        <w:instrText xml:space="preserve"> SEQ Figure \* ARABIC </w:instrText>
      </w:r>
      <w:r w:rsidR="00AD322A" w:rsidRPr="00C6141B">
        <w:rPr>
          <w:rFonts w:cs="Times New Roman"/>
          <w:color w:val="auto"/>
        </w:rPr>
        <w:fldChar w:fldCharType="separate"/>
      </w:r>
      <w:r w:rsidR="0092772B" w:rsidRPr="00C6141B">
        <w:rPr>
          <w:rFonts w:cs="Times New Roman"/>
          <w:noProof/>
          <w:color w:val="auto"/>
        </w:rPr>
        <w:t>4</w:t>
      </w:r>
      <w:r w:rsidR="00AD322A" w:rsidRPr="00C6141B">
        <w:rPr>
          <w:rFonts w:cs="Times New Roman"/>
          <w:color w:val="auto"/>
        </w:rPr>
        <w:fldChar w:fldCharType="end"/>
      </w:r>
      <w:r w:rsidRPr="00C6141B">
        <w:rPr>
          <w:rFonts w:cs="Times New Roman"/>
          <w:color w:val="auto"/>
        </w:rPr>
        <w:t>: Gearing Ratio Analysis of Glencore Plc (from 2018 to 2022)</w:t>
      </w:r>
    </w:p>
    <w:p w14:paraId="25A1B352" w14:textId="77777777" w:rsidR="00C812D1" w:rsidRPr="00C6141B" w:rsidRDefault="00115D73" w:rsidP="00115D73">
      <w:pPr>
        <w:rPr>
          <w:rFonts w:cs="Times New Roman"/>
        </w:rPr>
      </w:pPr>
      <w:r w:rsidRPr="00C6141B">
        <w:t xml:space="preserve">The above given chart shows the 5 years trend of gearing ratio of </w:t>
      </w:r>
      <w:r w:rsidRPr="00C6141B">
        <w:rPr>
          <w:rFonts w:cs="Times New Roman"/>
        </w:rPr>
        <w:t>Glencore Plc from 2018 to 2022. As to analyse the gearing ratio, debt-to-equity ratio is determined important as it shows the overall proportion of debts and equity status of a company (</w:t>
      </w:r>
      <w:r w:rsidRPr="00C6141B">
        <w:rPr>
          <w:rFonts w:cs="Times New Roman"/>
          <w:szCs w:val="24"/>
          <w:shd w:val="clear" w:color="auto" w:fill="FFFFFF"/>
        </w:rPr>
        <w:t>Colline, 2022</w:t>
      </w:r>
      <w:r w:rsidRPr="00C6141B">
        <w:rPr>
          <w:rFonts w:cs="Times New Roman"/>
        </w:rPr>
        <w:t>). As the above given graph shows that the D/E ratio of this company is 0.58 in 2018, 0.45 in 2019, 0.43 in 2020, 0.16 in 2021 and 0.00 in 2022. It can be seen that the D/E ratio is declining over this time period as it is 0.58 in 2018 and reach at 0.00 in 2022. This data shows that this company has more reliance on its own equity funds which is a good sign as it shows that this company has decreased it overall long-term debt in these years</w:t>
      </w:r>
      <w:r w:rsidR="00C812D1" w:rsidRPr="00C6141B">
        <w:rPr>
          <w:rFonts w:cs="Times New Roman"/>
        </w:rPr>
        <w:t xml:space="preserve"> (</w:t>
      </w:r>
      <w:r w:rsidR="00C812D1" w:rsidRPr="00C6141B">
        <w:rPr>
          <w:rFonts w:cs="Times New Roman"/>
          <w:szCs w:val="24"/>
          <w:lang w:val="en-US"/>
        </w:rPr>
        <w:t>Glencore Plc, 2022</w:t>
      </w:r>
      <w:r w:rsidR="00C812D1" w:rsidRPr="00C6141B">
        <w:rPr>
          <w:rFonts w:cs="Times New Roman"/>
        </w:rPr>
        <w:t>)</w:t>
      </w:r>
      <w:r w:rsidRPr="00C6141B">
        <w:rPr>
          <w:rFonts w:cs="Times New Roman"/>
        </w:rPr>
        <w:t xml:space="preserve">. As it is seen that in 2018 the total equity of this company is $45,383 million which is much higher than its total debt value in 2018 as it has $26,424 million debt in 2018. As it can be seen </w:t>
      </w:r>
      <w:r w:rsidR="00FB5987" w:rsidRPr="00C6141B">
        <w:rPr>
          <w:rFonts w:cs="Times New Roman"/>
        </w:rPr>
        <w:t>(</w:t>
      </w:r>
      <w:r w:rsidR="00FB5987" w:rsidRPr="00C6141B">
        <w:rPr>
          <w:rFonts w:cs="Times New Roman"/>
          <w:lang w:val="en-US"/>
        </w:rPr>
        <w:t xml:space="preserve">in </w:t>
      </w:r>
      <w:r w:rsidR="00FB5987" w:rsidRPr="00C6141B">
        <w:rPr>
          <w:lang w:val="en-US"/>
        </w:rPr>
        <w:t>Table No. 3</w:t>
      </w:r>
      <w:r w:rsidR="00FB5987" w:rsidRPr="00C6141B">
        <w:rPr>
          <w:rFonts w:cs="Times New Roman"/>
        </w:rPr>
        <w:t xml:space="preserve">) </w:t>
      </w:r>
      <w:r w:rsidRPr="00C6141B">
        <w:rPr>
          <w:rFonts w:cs="Times New Roman"/>
        </w:rPr>
        <w:t xml:space="preserve">that the </w:t>
      </w:r>
      <w:r w:rsidR="00FB5987" w:rsidRPr="00C6141B">
        <w:rPr>
          <w:rFonts w:cs="Times New Roman"/>
        </w:rPr>
        <w:t xml:space="preserve">equity level has decreased in 2019 by $39,236 million and the debt has declined by $17,556 million and that is the reason the D/E ratio declined by 0.45 in 2019. </w:t>
      </w:r>
    </w:p>
    <w:p w14:paraId="23E331C7" w14:textId="4253D867" w:rsidR="00115D73" w:rsidRPr="00C6141B" w:rsidRDefault="00FB5987" w:rsidP="00115D73">
      <w:r w:rsidRPr="00C6141B">
        <w:rPr>
          <w:rFonts w:cs="Times New Roman"/>
        </w:rPr>
        <w:t>Similarly, in 2020, the equity level has declined by $34,402 million and the debt has declined by $14,710 million and due to this the D/E ratio declined by 0.43 in 2020</w:t>
      </w:r>
      <w:r w:rsidR="00C812D1" w:rsidRPr="00C6141B">
        <w:rPr>
          <w:rFonts w:cs="Times New Roman"/>
        </w:rPr>
        <w:t xml:space="preserve"> (</w:t>
      </w:r>
      <w:r w:rsidR="00C812D1" w:rsidRPr="00C6141B">
        <w:rPr>
          <w:rFonts w:cs="Times New Roman"/>
          <w:szCs w:val="24"/>
          <w:lang w:val="en-US"/>
        </w:rPr>
        <w:t>Glencore Plc, 2022</w:t>
      </w:r>
      <w:r w:rsidR="00C812D1" w:rsidRPr="00C6141B">
        <w:rPr>
          <w:rFonts w:cs="Times New Roman"/>
        </w:rPr>
        <w:t>)</w:t>
      </w:r>
      <w:r w:rsidRPr="00C6141B">
        <w:rPr>
          <w:rFonts w:cs="Times New Roman"/>
        </w:rPr>
        <w:t>. Furthermore, in 2021, the equity level has improve</w:t>
      </w:r>
      <w:r w:rsidR="00C812D1" w:rsidRPr="00C6141B">
        <w:rPr>
          <w:rFonts w:cs="Times New Roman"/>
        </w:rPr>
        <w:t>d</w:t>
      </w:r>
      <w:r w:rsidRPr="00C6141B">
        <w:rPr>
          <w:rFonts w:cs="Times New Roman"/>
        </w:rPr>
        <w:t xml:space="preserve"> by $36,917 million whereas the debt has declined by $</w:t>
      </w:r>
      <w:r w:rsidR="00C812D1" w:rsidRPr="00C6141B">
        <w:rPr>
          <w:rFonts w:cs="Times New Roman"/>
        </w:rPr>
        <w:t>6000</w:t>
      </w:r>
      <w:r w:rsidRPr="00C6141B">
        <w:rPr>
          <w:rFonts w:cs="Times New Roman"/>
        </w:rPr>
        <w:t xml:space="preserve"> million and due to this </w:t>
      </w:r>
      <w:r w:rsidR="00C812D1" w:rsidRPr="00C6141B">
        <w:rPr>
          <w:rFonts w:cs="Times New Roman"/>
        </w:rPr>
        <w:t xml:space="preserve">reason, </w:t>
      </w:r>
      <w:r w:rsidRPr="00C6141B">
        <w:rPr>
          <w:rFonts w:cs="Times New Roman"/>
        </w:rPr>
        <w:t>the D/E ratio declined by 0.</w:t>
      </w:r>
      <w:r w:rsidR="00C812D1" w:rsidRPr="00C6141B">
        <w:rPr>
          <w:rFonts w:cs="Times New Roman"/>
        </w:rPr>
        <w:t>16</w:t>
      </w:r>
      <w:r w:rsidRPr="00C6141B">
        <w:rPr>
          <w:rFonts w:cs="Times New Roman"/>
        </w:rPr>
        <w:t xml:space="preserve"> in </w:t>
      </w:r>
      <w:r w:rsidR="00C812D1" w:rsidRPr="00C6141B">
        <w:rPr>
          <w:rFonts w:cs="Times New Roman"/>
        </w:rPr>
        <w:t>2021</w:t>
      </w:r>
      <w:r w:rsidRPr="00C6141B">
        <w:rPr>
          <w:rFonts w:cs="Times New Roman"/>
        </w:rPr>
        <w:t>.</w:t>
      </w:r>
      <w:r w:rsidR="00C812D1" w:rsidRPr="00C6141B">
        <w:rPr>
          <w:rFonts w:cs="Times New Roman"/>
        </w:rPr>
        <w:t xml:space="preserve"> The equity of this company has improved significantly in 2022 by $45,219 million </w:t>
      </w:r>
      <w:r w:rsidR="00C812D1" w:rsidRPr="00C6141B">
        <w:rPr>
          <w:rFonts w:cs="Times New Roman"/>
        </w:rPr>
        <w:lastRenderedPageBreak/>
        <w:t>whereas the debt level of this company has decreased by $100 million which leads to the D/E ratio of 0.002 in 2022 (</w:t>
      </w:r>
      <w:r w:rsidR="00C812D1" w:rsidRPr="00C6141B">
        <w:rPr>
          <w:rFonts w:cs="Times New Roman"/>
          <w:szCs w:val="24"/>
          <w:lang w:val="en-US"/>
        </w:rPr>
        <w:t>Glencore Plc, 2022</w:t>
      </w:r>
      <w:r w:rsidR="00C812D1" w:rsidRPr="00C6141B">
        <w:rPr>
          <w:rFonts w:cs="Times New Roman"/>
        </w:rPr>
        <w:t xml:space="preserve">). As this trend shows that the financial condition of this company is strong as it has more equity as compared to the overall long-term debt which reduce some potential financial risks for this company as this company has implemented </w:t>
      </w:r>
      <w:r w:rsidR="00C812D1" w:rsidRPr="00C6141B">
        <w:rPr>
          <w:rFonts w:cs="Times New Roman"/>
          <w:szCs w:val="24"/>
        </w:rPr>
        <w:t>effective risk management strategies which has improve and strengthened its financial stability (</w:t>
      </w:r>
      <w:r w:rsidR="00C812D1" w:rsidRPr="00C6141B">
        <w:rPr>
          <w:rFonts w:cs="Times New Roman"/>
          <w:szCs w:val="24"/>
          <w:shd w:val="clear" w:color="auto" w:fill="FFFFFF"/>
        </w:rPr>
        <w:t>Tarsono, 2021</w:t>
      </w:r>
      <w:r w:rsidR="00C812D1" w:rsidRPr="00C6141B">
        <w:rPr>
          <w:rFonts w:cs="Times New Roman"/>
          <w:szCs w:val="24"/>
        </w:rPr>
        <w:t>).</w:t>
      </w:r>
      <w:r w:rsidR="00C812D1" w:rsidRPr="00C6141B">
        <w:rPr>
          <w:rFonts w:cs="Times New Roman"/>
        </w:rPr>
        <w:t xml:space="preserve"> </w:t>
      </w:r>
    </w:p>
    <w:p w14:paraId="6CD17680" w14:textId="77777777" w:rsidR="0066565E" w:rsidRPr="00C6141B" w:rsidRDefault="00F4707A" w:rsidP="00397EED">
      <w:pPr>
        <w:pStyle w:val="Heading3"/>
        <w:rPr>
          <w:rFonts w:cs="Times New Roman"/>
          <w:szCs w:val="24"/>
          <w:lang w:val="en-US"/>
        </w:rPr>
      </w:pPr>
      <w:bookmarkStart w:id="13" w:name="_Toc175148039"/>
      <w:r w:rsidRPr="00C6141B">
        <w:rPr>
          <w:rFonts w:cs="Times New Roman"/>
          <w:szCs w:val="24"/>
          <w:lang w:val="en-US"/>
        </w:rPr>
        <w:t xml:space="preserve">2.2.4. </w:t>
      </w:r>
      <w:r w:rsidR="00AA7F9B" w:rsidRPr="00C6141B">
        <w:rPr>
          <w:rFonts w:cs="Times New Roman"/>
          <w:szCs w:val="24"/>
          <w:lang w:val="en-US"/>
        </w:rPr>
        <w:t>Inventory Turnover Ratio</w:t>
      </w:r>
      <w:bookmarkEnd w:id="13"/>
    </w:p>
    <w:p w14:paraId="3ABBF0C1" w14:textId="73F456EE" w:rsidR="002A2EC2" w:rsidRPr="00C6141B" w:rsidRDefault="00B3018C" w:rsidP="00397EED">
      <w:pPr>
        <w:rPr>
          <w:rFonts w:cs="Times New Roman"/>
          <w:szCs w:val="24"/>
          <w:lang w:val="en-US"/>
        </w:rPr>
      </w:pPr>
      <w:r w:rsidRPr="00C6141B">
        <w:rPr>
          <w:rFonts w:cs="Times New Roman"/>
          <w:szCs w:val="24"/>
          <w:lang w:val="en-US"/>
        </w:rPr>
        <w:t>By contrasting the average inventory level with the cost of goods sold (COGS), the inventory turnover ratio evaluates how well a business maintains its stock</w:t>
      </w:r>
      <w:r w:rsidR="00C812D1" w:rsidRPr="00C6141B">
        <w:rPr>
          <w:rFonts w:cs="Times New Roman"/>
          <w:szCs w:val="24"/>
          <w:lang w:val="en-US"/>
        </w:rPr>
        <w:t xml:space="preserve"> </w:t>
      </w:r>
      <w:r w:rsidR="006D2EDF" w:rsidRPr="00C6141B">
        <w:rPr>
          <w:rFonts w:cs="Times New Roman"/>
          <w:szCs w:val="24"/>
          <w:lang w:val="en-US"/>
        </w:rPr>
        <w:t>(</w:t>
      </w:r>
      <w:r w:rsidR="006D2EDF" w:rsidRPr="00C6141B">
        <w:rPr>
          <w:rFonts w:cs="Times New Roman"/>
          <w:szCs w:val="24"/>
          <w:shd w:val="clear" w:color="auto" w:fill="FFFFFF"/>
        </w:rPr>
        <w:t>Rahayu and Ilham, 2023)</w:t>
      </w:r>
      <w:r w:rsidRPr="00C6141B">
        <w:rPr>
          <w:rFonts w:cs="Times New Roman"/>
          <w:szCs w:val="24"/>
          <w:lang w:val="en-US"/>
        </w:rPr>
        <w:t>.</w:t>
      </w:r>
    </w:p>
    <w:p w14:paraId="570FF773" w14:textId="3C89455F" w:rsidR="00DF7F28" w:rsidRPr="00C6141B" w:rsidRDefault="00BC62E6" w:rsidP="00DF7F28">
      <w:pPr>
        <w:keepNext/>
        <w:jc w:val="center"/>
        <w:rPr>
          <w:rFonts w:cs="Times New Roman"/>
        </w:rPr>
      </w:pPr>
      <w:r w:rsidRPr="00C6141B">
        <w:rPr>
          <w:noProof/>
        </w:rPr>
        <w:drawing>
          <wp:inline distT="0" distB="0" distL="0" distR="0" wp14:anchorId="793730A4" wp14:editId="722ED229">
            <wp:extent cx="4089400" cy="2311400"/>
            <wp:effectExtent l="0" t="0" r="0" b="0"/>
            <wp:docPr id="762579605" name="Chart 1">
              <a:extLst xmlns:a="http://schemas.openxmlformats.org/drawingml/2006/main">
                <a:ext uri="{FF2B5EF4-FFF2-40B4-BE49-F238E27FC236}">
                  <a16:creationId xmlns:a16="http://schemas.microsoft.com/office/drawing/2014/main" id="{74D4BAE5-836E-D635-079A-FC1C458BCE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A94E0BB" w14:textId="18536BB0" w:rsidR="00C769BC" w:rsidRPr="00C6141B" w:rsidRDefault="00DF7F28" w:rsidP="00DF7F28">
      <w:pPr>
        <w:pStyle w:val="Caption"/>
        <w:jc w:val="center"/>
        <w:rPr>
          <w:rFonts w:cs="Times New Roman"/>
          <w:color w:val="auto"/>
          <w:sz w:val="24"/>
          <w:szCs w:val="24"/>
        </w:rPr>
      </w:pPr>
      <w:r w:rsidRPr="00C6141B">
        <w:rPr>
          <w:rFonts w:cs="Times New Roman"/>
          <w:color w:val="auto"/>
        </w:rPr>
        <w:t xml:space="preserve">Figure </w:t>
      </w:r>
      <w:r w:rsidR="00AD322A" w:rsidRPr="00C6141B">
        <w:rPr>
          <w:rFonts w:cs="Times New Roman"/>
          <w:color w:val="auto"/>
        </w:rPr>
        <w:fldChar w:fldCharType="begin"/>
      </w:r>
      <w:r w:rsidRPr="00C6141B">
        <w:rPr>
          <w:rFonts w:cs="Times New Roman"/>
          <w:color w:val="auto"/>
        </w:rPr>
        <w:instrText xml:space="preserve"> SEQ Figure \* ARABIC </w:instrText>
      </w:r>
      <w:r w:rsidR="00AD322A" w:rsidRPr="00C6141B">
        <w:rPr>
          <w:rFonts w:cs="Times New Roman"/>
          <w:color w:val="auto"/>
        </w:rPr>
        <w:fldChar w:fldCharType="separate"/>
      </w:r>
      <w:r w:rsidR="0092772B" w:rsidRPr="00C6141B">
        <w:rPr>
          <w:rFonts w:cs="Times New Roman"/>
          <w:noProof/>
          <w:color w:val="auto"/>
        </w:rPr>
        <w:t>5</w:t>
      </w:r>
      <w:r w:rsidR="00AD322A" w:rsidRPr="00C6141B">
        <w:rPr>
          <w:rFonts w:cs="Times New Roman"/>
          <w:color w:val="auto"/>
        </w:rPr>
        <w:fldChar w:fldCharType="end"/>
      </w:r>
      <w:r w:rsidRPr="00C6141B">
        <w:rPr>
          <w:rFonts w:cs="Times New Roman"/>
          <w:color w:val="auto"/>
        </w:rPr>
        <w:t>: Efficiency Ratio Analysis of Glencore Plc, from (2018 to 2022)</w:t>
      </w:r>
    </w:p>
    <w:p w14:paraId="4BD3925E" w14:textId="517D7654" w:rsidR="008B0A66" w:rsidRPr="00C6141B" w:rsidRDefault="000E0E77" w:rsidP="000E0E77">
      <w:pPr>
        <w:rPr>
          <w:rFonts w:cs="Times New Roman"/>
          <w:szCs w:val="24"/>
          <w:lang w:val="en-US"/>
        </w:rPr>
      </w:pPr>
      <w:r w:rsidRPr="00C6141B">
        <w:rPr>
          <w:rFonts w:cs="Times New Roman"/>
          <w:szCs w:val="24"/>
          <w:lang w:val="en-US"/>
        </w:rPr>
        <w:t xml:space="preserve">The above given graph shows the trend of inventory turnover ratio of </w:t>
      </w:r>
      <w:r w:rsidR="006E4874" w:rsidRPr="00C6141B">
        <w:rPr>
          <w:rFonts w:cs="Times New Roman"/>
          <w:szCs w:val="24"/>
        </w:rPr>
        <w:t>Glencore Plc from 2018 to 2022. As it is seen that the inventory turnover of this company is 0.61 days in 2018, 0.99 days in 2019, 1.78 in 2020, 1.26 in 2021 and 0.96 in 2022. As this trend of inventory turnover shows that this company is able to use effectively its stock in these years as it is seen that this company is able to sell or restock its inventory within 1 day in 2018</w:t>
      </w:r>
      <w:r w:rsidR="008B0A66" w:rsidRPr="00C6141B">
        <w:rPr>
          <w:rFonts w:cs="Times New Roman"/>
          <w:szCs w:val="24"/>
        </w:rPr>
        <w:t xml:space="preserve"> </w:t>
      </w:r>
      <w:r w:rsidR="008B0A66" w:rsidRPr="00C6141B">
        <w:rPr>
          <w:rFonts w:cs="Times New Roman"/>
          <w:szCs w:val="24"/>
          <w:lang w:val="en-US"/>
        </w:rPr>
        <w:t xml:space="preserve">(Glencore Plc, 2022). </w:t>
      </w:r>
      <w:r w:rsidR="006E4874" w:rsidRPr="00C6141B">
        <w:rPr>
          <w:rFonts w:cs="Times New Roman"/>
          <w:szCs w:val="24"/>
        </w:rPr>
        <w:t>Additionally, it is determined that this company is able to sell its inventory in 1 days in 2019 also. Although, this has increased slightly in 2020 by 1.78 days but is shows the capability of this company to sell its stock to make revenue effectively</w:t>
      </w:r>
      <w:r w:rsidR="008B0A66" w:rsidRPr="00C6141B">
        <w:rPr>
          <w:rFonts w:cs="Times New Roman"/>
          <w:szCs w:val="24"/>
        </w:rPr>
        <w:t xml:space="preserve"> (</w:t>
      </w:r>
      <w:r w:rsidR="008B0A66" w:rsidRPr="00C6141B">
        <w:rPr>
          <w:rFonts w:cs="Times New Roman"/>
          <w:szCs w:val="24"/>
          <w:lang w:val="en-US"/>
        </w:rPr>
        <w:t>Glencore Plc, 2022</w:t>
      </w:r>
      <w:r w:rsidR="008B0A66" w:rsidRPr="00C6141B">
        <w:rPr>
          <w:rFonts w:cs="Times New Roman"/>
          <w:szCs w:val="24"/>
        </w:rPr>
        <w:t>)</w:t>
      </w:r>
      <w:r w:rsidR="006E4874" w:rsidRPr="00C6141B">
        <w:rPr>
          <w:rFonts w:cs="Times New Roman"/>
          <w:szCs w:val="24"/>
        </w:rPr>
        <w:t xml:space="preserve">. Similarly, the similar trend has been noticed </w:t>
      </w:r>
      <w:r w:rsidR="00C84D90" w:rsidRPr="00C6141B">
        <w:rPr>
          <w:rFonts w:cs="Times New Roman"/>
          <w:szCs w:val="24"/>
        </w:rPr>
        <w:t>in the next years 2021 and 2022</w:t>
      </w:r>
      <w:r w:rsidR="008B0A66" w:rsidRPr="00C6141B">
        <w:rPr>
          <w:rFonts w:cs="Times New Roman"/>
          <w:szCs w:val="24"/>
        </w:rPr>
        <w:t xml:space="preserve">. </w:t>
      </w:r>
      <w:r w:rsidR="008B0A66" w:rsidRPr="00C6141B">
        <w:rPr>
          <w:rFonts w:cs="Times New Roman"/>
          <w:szCs w:val="24"/>
          <w:lang w:val="en-US"/>
        </w:rPr>
        <w:t xml:space="preserve">The inventory turnover rate has improved to 1.263 days, indicating a potential recovery in the firm towards effective inventory control by 2021. This enhanced feature has indicated that Glencore is able to lower the amount of time inventory had been kept on hand, simplify processes, and maybe take </w:t>
      </w:r>
      <w:r w:rsidR="008B0A66" w:rsidRPr="00C6141B">
        <w:rPr>
          <w:rFonts w:cs="Times New Roman"/>
          <w:szCs w:val="24"/>
          <w:lang w:val="en-US"/>
        </w:rPr>
        <w:lastRenderedPageBreak/>
        <w:t xml:space="preserve">advantage of a better market. As a result, the cost of sales increased to $191,370 million (Glencore Plc, 2022). </w:t>
      </w:r>
    </w:p>
    <w:p w14:paraId="651154E5" w14:textId="6E68F6DE" w:rsidR="008B0A66" w:rsidRPr="00C6141B" w:rsidRDefault="008B0A66" w:rsidP="000E0E77">
      <w:pPr>
        <w:rPr>
          <w:rFonts w:cs="Times New Roman"/>
          <w:szCs w:val="24"/>
          <w:lang w:val="en-US"/>
        </w:rPr>
      </w:pPr>
      <w:r w:rsidRPr="00C6141B">
        <w:rPr>
          <w:rFonts w:cs="Times New Roman"/>
          <w:szCs w:val="24"/>
          <w:lang w:val="en-US"/>
        </w:rPr>
        <w:t>T</w:t>
      </w:r>
      <w:r w:rsidR="00C84D90" w:rsidRPr="00C6141B">
        <w:rPr>
          <w:rFonts w:cs="Times New Roman"/>
          <w:szCs w:val="24"/>
        </w:rPr>
        <w:t>he inventory turnover is 1.26 days in 2021 which has decreased in 2022 by 0.96 days</w:t>
      </w:r>
      <w:r w:rsidRPr="00C6141B">
        <w:rPr>
          <w:rFonts w:cs="Times New Roman"/>
          <w:szCs w:val="24"/>
        </w:rPr>
        <w:t xml:space="preserve"> which </w:t>
      </w:r>
      <w:r w:rsidRPr="00C6141B">
        <w:rPr>
          <w:rFonts w:cs="Times New Roman"/>
          <w:szCs w:val="24"/>
          <w:lang w:val="en-US"/>
        </w:rPr>
        <w:t>suggesting that the corporation is converting its inventory into sales more quickly than it has in the previous two years. In a high-demand market, excellent inventory management and sales success are demonstrated by the $228,723 million increase in cost of sales, which is accompanied by a decrease in inventory days</w:t>
      </w:r>
      <w:r w:rsidRPr="00C6141B">
        <w:rPr>
          <w:rFonts w:cs="Times New Roman"/>
          <w:szCs w:val="24"/>
        </w:rPr>
        <w:t xml:space="preserve"> (</w:t>
      </w:r>
      <w:r w:rsidRPr="00C6141B">
        <w:rPr>
          <w:rFonts w:cs="Times New Roman"/>
          <w:szCs w:val="24"/>
          <w:lang w:val="en-US"/>
        </w:rPr>
        <w:t>Glencore Plc, 2022</w:t>
      </w:r>
      <w:r w:rsidRPr="00C6141B">
        <w:rPr>
          <w:rFonts w:cs="Times New Roman"/>
          <w:szCs w:val="24"/>
        </w:rPr>
        <w:t>)</w:t>
      </w:r>
      <w:r w:rsidR="00C84D90" w:rsidRPr="00C6141B">
        <w:rPr>
          <w:rFonts w:cs="Times New Roman"/>
          <w:szCs w:val="24"/>
        </w:rPr>
        <w:t xml:space="preserve">. This trend of inventory turnover represents the overall status of the company’s capability to sell and use its inventory effectively to boost sales and to increase income. </w:t>
      </w:r>
      <w:r w:rsidR="00C84D90" w:rsidRPr="00C6141B">
        <w:rPr>
          <w:rFonts w:cs="Times New Roman"/>
          <w:szCs w:val="24"/>
          <w:lang w:val="en-US"/>
        </w:rPr>
        <w:t>This low turnover actually suggests that the company has managing its inventory well, which most likely resulted in lower holding costs and a lower risk of expiration (</w:t>
      </w:r>
      <w:r w:rsidR="00C84D90" w:rsidRPr="00C6141B">
        <w:rPr>
          <w:rFonts w:cs="Times New Roman"/>
          <w:szCs w:val="24"/>
          <w:shd w:val="clear" w:color="auto" w:fill="FFFFFF"/>
        </w:rPr>
        <w:t>Siregar and Harahap, 2021</w:t>
      </w:r>
      <w:r w:rsidR="00C84D90" w:rsidRPr="00C6141B">
        <w:rPr>
          <w:rFonts w:cs="Times New Roman"/>
          <w:szCs w:val="24"/>
          <w:lang w:val="en-US"/>
        </w:rPr>
        <w:t>).</w:t>
      </w:r>
    </w:p>
    <w:p w14:paraId="77971219" w14:textId="5C436027" w:rsidR="0066565E" w:rsidRPr="00C6141B" w:rsidRDefault="00011192" w:rsidP="00397EED">
      <w:pPr>
        <w:pStyle w:val="Heading2"/>
        <w:rPr>
          <w:rFonts w:cs="Times New Roman"/>
          <w:szCs w:val="24"/>
          <w:lang w:val="en-US"/>
        </w:rPr>
      </w:pPr>
      <w:bookmarkStart w:id="14" w:name="_Toc175148040"/>
      <w:r w:rsidRPr="00C6141B">
        <w:rPr>
          <w:rFonts w:cs="Times New Roman"/>
          <w:szCs w:val="24"/>
          <w:lang w:val="en-US"/>
        </w:rPr>
        <w:t>2.</w:t>
      </w:r>
      <w:r w:rsidR="00F4707A" w:rsidRPr="00C6141B">
        <w:rPr>
          <w:rFonts w:cs="Times New Roman"/>
          <w:szCs w:val="24"/>
          <w:lang w:val="en-US"/>
        </w:rPr>
        <w:t>3.</w:t>
      </w:r>
      <w:r w:rsidR="006F606B" w:rsidRPr="00C6141B">
        <w:rPr>
          <w:rFonts w:cs="Times New Roman"/>
          <w:szCs w:val="24"/>
          <w:lang w:val="en-US"/>
        </w:rPr>
        <w:t xml:space="preserve"> </w:t>
      </w:r>
      <w:r w:rsidR="00F908D3" w:rsidRPr="00C6141B">
        <w:rPr>
          <w:rFonts w:cs="Times New Roman"/>
          <w:szCs w:val="24"/>
          <w:lang w:val="en-US"/>
        </w:rPr>
        <w:t>Competitor Analysis</w:t>
      </w:r>
      <w:bookmarkEnd w:id="14"/>
    </w:p>
    <w:p w14:paraId="187E9510" w14:textId="1FF109A4" w:rsidR="00C30614" w:rsidRPr="00C6141B" w:rsidRDefault="00C30614" w:rsidP="00C30614">
      <w:pPr>
        <w:rPr>
          <w:lang w:val="en-US"/>
        </w:rPr>
      </w:pPr>
      <w:r w:rsidRPr="00C6141B">
        <w:rPr>
          <w:rFonts w:cs="Times New Roman"/>
          <w:lang w:val="en-US"/>
        </w:rPr>
        <w:t xml:space="preserve">Anglo-American Plc has been selected to </w:t>
      </w:r>
      <w:r w:rsidR="00FC2B65" w:rsidRPr="00C6141B">
        <w:rPr>
          <w:rFonts w:cs="Times New Roman"/>
          <w:lang w:val="en-US"/>
        </w:rPr>
        <w:t xml:space="preserve">compare the financial ratios of </w:t>
      </w:r>
      <w:r w:rsidR="00FC2B65" w:rsidRPr="00C6141B">
        <w:rPr>
          <w:rFonts w:cs="Times New Roman"/>
          <w:szCs w:val="24"/>
          <w:lang w:val="en-US"/>
        </w:rPr>
        <w:t>Glencore Plc as it helps in identifying if Glencore Plc is performing well in its industry.</w:t>
      </w:r>
    </w:p>
    <w:p w14:paraId="4F758E68" w14:textId="354B1D59" w:rsidR="00C30614" w:rsidRPr="00C6141B" w:rsidRDefault="00C30614" w:rsidP="00C30614">
      <w:pPr>
        <w:pStyle w:val="Heading3"/>
        <w:rPr>
          <w:lang w:val="en-US"/>
        </w:rPr>
      </w:pPr>
      <w:bookmarkStart w:id="15" w:name="_Toc175148041"/>
      <w:r w:rsidRPr="00C6141B">
        <w:rPr>
          <w:lang w:val="en-US"/>
        </w:rPr>
        <w:t>2.3.1 Net Profit Ratio</w:t>
      </w:r>
      <w:bookmarkEnd w:id="15"/>
    </w:p>
    <w:p w14:paraId="24E43244" w14:textId="77777777" w:rsidR="00FC2B65" w:rsidRPr="00C6141B" w:rsidRDefault="00C30614" w:rsidP="00FC2B65">
      <w:pPr>
        <w:keepNext/>
        <w:jc w:val="center"/>
      </w:pPr>
      <w:r w:rsidRPr="00C6141B">
        <w:rPr>
          <w:noProof/>
        </w:rPr>
        <w:drawing>
          <wp:inline distT="0" distB="0" distL="0" distR="0" wp14:anchorId="69A1721D" wp14:editId="682C222E">
            <wp:extent cx="4171950" cy="2101850"/>
            <wp:effectExtent l="0" t="0" r="0" b="0"/>
            <wp:docPr id="1466632631" name="Chart 1">
              <a:extLst xmlns:a="http://schemas.openxmlformats.org/drawingml/2006/main">
                <a:ext uri="{FF2B5EF4-FFF2-40B4-BE49-F238E27FC236}">
                  <a16:creationId xmlns:a16="http://schemas.microsoft.com/office/drawing/2014/main" id="{D387A4F8-5428-9A7D-7E32-0792FA960ED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532BB82" w14:textId="36D2087B" w:rsidR="00C30614" w:rsidRPr="00C6141B" w:rsidRDefault="00FC2B65" w:rsidP="00FC2B65">
      <w:pPr>
        <w:pStyle w:val="Caption"/>
        <w:jc w:val="center"/>
        <w:rPr>
          <w:rFonts w:cs="Times New Roman"/>
          <w:color w:val="auto"/>
          <w:lang w:val="en-US"/>
        </w:rPr>
      </w:pPr>
      <w:r w:rsidRPr="00C6141B">
        <w:rPr>
          <w:color w:val="auto"/>
        </w:rPr>
        <w:t xml:space="preserve">Figure </w:t>
      </w:r>
      <w:r w:rsidRPr="00C6141B">
        <w:rPr>
          <w:color w:val="auto"/>
        </w:rPr>
        <w:fldChar w:fldCharType="begin"/>
      </w:r>
      <w:r w:rsidRPr="00C6141B">
        <w:rPr>
          <w:color w:val="auto"/>
        </w:rPr>
        <w:instrText xml:space="preserve"> SEQ Figure \* ARABIC </w:instrText>
      </w:r>
      <w:r w:rsidRPr="00C6141B">
        <w:rPr>
          <w:color w:val="auto"/>
        </w:rPr>
        <w:fldChar w:fldCharType="separate"/>
      </w:r>
      <w:r w:rsidR="0092772B" w:rsidRPr="00C6141B">
        <w:rPr>
          <w:noProof/>
          <w:color w:val="auto"/>
        </w:rPr>
        <w:t>6</w:t>
      </w:r>
      <w:r w:rsidRPr="00C6141B">
        <w:rPr>
          <w:color w:val="auto"/>
        </w:rPr>
        <w:fldChar w:fldCharType="end"/>
      </w:r>
      <w:r w:rsidRPr="00C6141B">
        <w:rPr>
          <w:color w:val="auto"/>
        </w:rPr>
        <w:t>: Comparison of Net Profit Ratio</w:t>
      </w:r>
    </w:p>
    <w:p w14:paraId="799E3008" w14:textId="2C32F009" w:rsidR="004E535E" w:rsidRPr="00C6141B" w:rsidRDefault="00C30614" w:rsidP="00397EED">
      <w:pPr>
        <w:rPr>
          <w:rFonts w:cs="Times New Roman"/>
          <w:lang w:val="en-US"/>
        </w:rPr>
      </w:pPr>
      <w:r w:rsidRPr="00C6141B">
        <w:rPr>
          <w:rFonts w:cs="Times New Roman"/>
          <w:lang w:val="en-US"/>
        </w:rPr>
        <w:t>This chart shows the net profit ratio of Glencore Plc and Anglo-American Plc a</w:t>
      </w:r>
      <w:r w:rsidR="00FC2B65" w:rsidRPr="00C6141B">
        <w:rPr>
          <w:rFonts w:cs="Times New Roman"/>
          <w:lang w:val="en-US"/>
        </w:rPr>
        <w:t>nd it is determined that the net profit ratio of Anglo-American Plc is 12.85% in 2018, 11.87% in 2019, 8.21% in 2020, 20.60% in 2021 and 12.85% in 2022. Whereas, net profit ratio of Glencore Plc is 1.19% in 2018, -0.70% in 2019, 2.77% in 2020, 2.13% in 2021 and 6.45% in 2022 (</w:t>
      </w:r>
      <w:r w:rsidR="00FC2B65" w:rsidRPr="00C6141B">
        <w:rPr>
          <w:rFonts w:cs="Times New Roman"/>
          <w:szCs w:val="24"/>
          <w:lang w:val="en-US"/>
        </w:rPr>
        <w:t>Glencore Plc, 2022</w:t>
      </w:r>
      <w:r w:rsidR="00FC2B65" w:rsidRPr="00C6141B">
        <w:rPr>
          <w:rFonts w:cs="Times New Roman"/>
          <w:lang w:val="en-US"/>
        </w:rPr>
        <w:t xml:space="preserve">). As it is seen that during these time period the net profit ratio of Anglo-American Plc is higher as compared to the Glencore Plc. This data shows that the Anglo-American Plc is performing well in this industry as it has implemented more effective </w:t>
      </w:r>
      <w:r w:rsidR="00FC2B65" w:rsidRPr="00C6141B">
        <w:rPr>
          <w:rFonts w:cs="Times New Roman"/>
          <w:lang w:val="en-US"/>
        </w:rPr>
        <w:lastRenderedPageBreak/>
        <w:t xml:space="preserve">strategies to manage its expenses and costs. Additionally, this company is able to make sufficient income through its operations and sales </w:t>
      </w:r>
      <w:r w:rsidR="003F073E" w:rsidRPr="00C6141B">
        <w:rPr>
          <w:rFonts w:eastAsia="Times New Roman" w:cs="Times New Roman"/>
          <w:szCs w:val="24"/>
          <w:lang w:val="en-US"/>
        </w:rPr>
        <w:t>(</w:t>
      </w:r>
      <w:r w:rsidR="003F073E" w:rsidRPr="00C6141B">
        <w:rPr>
          <w:rFonts w:cs="Times New Roman"/>
          <w:szCs w:val="24"/>
          <w:lang w:val="en-US"/>
        </w:rPr>
        <w:t>Anglo American, 2022</w:t>
      </w:r>
      <w:r w:rsidR="003F073E" w:rsidRPr="00C6141B">
        <w:rPr>
          <w:rFonts w:eastAsia="Times New Roman" w:cs="Times New Roman"/>
          <w:szCs w:val="24"/>
          <w:lang w:val="en-US"/>
        </w:rPr>
        <w:t xml:space="preserve">). </w:t>
      </w:r>
    </w:p>
    <w:p w14:paraId="2CDA459F" w14:textId="3D275580" w:rsidR="00C30614" w:rsidRPr="00C6141B" w:rsidRDefault="00C30614" w:rsidP="00C30614">
      <w:pPr>
        <w:pStyle w:val="Heading3"/>
        <w:rPr>
          <w:rFonts w:eastAsia="Times New Roman"/>
          <w:lang w:val="en-US"/>
        </w:rPr>
      </w:pPr>
      <w:bookmarkStart w:id="16" w:name="_Toc175148042"/>
      <w:r w:rsidRPr="00C6141B">
        <w:rPr>
          <w:rFonts w:eastAsia="Times New Roman"/>
          <w:lang w:val="en-US"/>
        </w:rPr>
        <w:t>2.3.2 Current Ratio</w:t>
      </w:r>
      <w:bookmarkEnd w:id="16"/>
    </w:p>
    <w:p w14:paraId="2AC79831" w14:textId="77777777" w:rsidR="00FC2B65" w:rsidRPr="00C6141B" w:rsidRDefault="00C30614" w:rsidP="00FC2B65">
      <w:pPr>
        <w:keepNext/>
        <w:jc w:val="center"/>
      </w:pPr>
      <w:r w:rsidRPr="00C6141B">
        <w:rPr>
          <w:noProof/>
        </w:rPr>
        <w:drawing>
          <wp:inline distT="0" distB="0" distL="0" distR="0" wp14:anchorId="45CC10C6" wp14:editId="3D924F3D">
            <wp:extent cx="4419600" cy="2152650"/>
            <wp:effectExtent l="0" t="0" r="0" b="0"/>
            <wp:docPr id="1294333310" name="Chart 1">
              <a:extLst xmlns:a="http://schemas.openxmlformats.org/drawingml/2006/main">
                <a:ext uri="{FF2B5EF4-FFF2-40B4-BE49-F238E27FC236}">
                  <a16:creationId xmlns:a16="http://schemas.microsoft.com/office/drawing/2014/main" id="{6D4900FE-4DEC-48CF-C824-E3BE7DA59D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A8D1788" w14:textId="601F79CB" w:rsidR="00C30614" w:rsidRPr="00C6141B" w:rsidRDefault="00FC2B65" w:rsidP="00FC2B65">
      <w:pPr>
        <w:pStyle w:val="Caption"/>
        <w:jc w:val="center"/>
        <w:rPr>
          <w:rFonts w:cs="Times New Roman"/>
          <w:color w:val="auto"/>
          <w:lang w:val="en-US"/>
        </w:rPr>
      </w:pPr>
      <w:r w:rsidRPr="00C6141B">
        <w:rPr>
          <w:color w:val="auto"/>
        </w:rPr>
        <w:t xml:space="preserve">Figure </w:t>
      </w:r>
      <w:r w:rsidRPr="00C6141B">
        <w:rPr>
          <w:color w:val="auto"/>
        </w:rPr>
        <w:fldChar w:fldCharType="begin"/>
      </w:r>
      <w:r w:rsidRPr="00C6141B">
        <w:rPr>
          <w:color w:val="auto"/>
        </w:rPr>
        <w:instrText xml:space="preserve"> SEQ Figure \* ARABIC </w:instrText>
      </w:r>
      <w:r w:rsidRPr="00C6141B">
        <w:rPr>
          <w:color w:val="auto"/>
        </w:rPr>
        <w:fldChar w:fldCharType="separate"/>
      </w:r>
      <w:r w:rsidR="0092772B" w:rsidRPr="00C6141B">
        <w:rPr>
          <w:noProof/>
          <w:color w:val="auto"/>
        </w:rPr>
        <w:t>7</w:t>
      </w:r>
      <w:r w:rsidRPr="00C6141B">
        <w:rPr>
          <w:color w:val="auto"/>
        </w:rPr>
        <w:fldChar w:fldCharType="end"/>
      </w:r>
      <w:r w:rsidRPr="00C6141B">
        <w:rPr>
          <w:color w:val="auto"/>
        </w:rPr>
        <w:t>: Comparison of Current Ratio</w:t>
      </w:r>
    </w:p>
    <w:p w14:paraId="1F0256DB" w14:textId="4A294FF4" w:rsidR="003F073E" w:rsidRPr="00C6141B" w:rsidRDefault="00FC2B65" w:rsidP="00397EED">
      <w:pPr>
        <w:rPr>
          <w:rFonts w:eastAsia="Times New Roman" w:cs="Times New Roman"/>
          <w:szCs w:val="24"/>
          <w:lang w:val="en-US"/>
        </w:rPr>
      </w:pPr>
      <w:r w:rsidRPr="00C6141B">
        <w:rPr>
          <w:rFonts w:cs="Times New Roman"/>
          <w:lang w:val="en-US"/>
        </w:rPr>
        <w:t xml:space="preserve">The current ratio of both companies is represented by the above given chart. As it is seen that </w:t>
      </w:r>
      <w:r w:rsidR="00616B25" w:rsidRPr="00C6141B">
        <w:rPr>
          <w:rFonts w:cs="Times New Roman"/>
        </w:rPr>
        <w:t xml:space="preserve">the current ratio of </w:t>
      </w:r>
      <w:r w:rsidR="00616B25" w:rsidRPr="00C6141B">
        <w:rPr>
          <w:rFonts w:cs="Times New Roman"/>
          <w:szCs w:val="24"/>
          <w:lang w:val="en-US"/>
        </w:rPr>
        <w:t>Glencore Plc</w:t>
      </w:r>
      <w:r w:rsidR="00616B25" w:rsidRPr="00C6141B">
        <w:rPr>
          <w:rFonts w:cs="Times New Roman"/>
        </w:rPr>
        <w:t xml:space="preserve"> is 1.10 in 2018, 1.06 in 2019, 1.10 in 2020, 1.17 in 2021 and 1.30 in 2022 </w:t>
      </w:r>
      <w:r w:rsidR="00616B25" w:rsidRPr="00C6141B">
        <w:rPr>
          <w:rFonts w:cs="Times New Roman"/>
          <w:lang w:val="en-US"/>
        </w:rPr>
        <w:t>(</w:t>
      </w:r>
      <w:r w:rsidR="00616B25" w:rsidRPr="00C6141B">
        <w:rPr>
          <w:rFonts w:cs="Times New Roman"/>
          <w:szCs w:val="24"/>
          <w:lang w:val="en-US"/>
        </w:rPr>
        <w:t>Glencore Plc, 2022)</w:t>
      </w:r>
      <w:r w:rsidR="00616B25" w:rsidRPr="00C6141B">
        <w:rPr>
          <w:rFonts w:cs="Times New Roman"/>
        </w:rPr>
        <w:t xml:space="preserve">. Whereas, the current ratio of </w:t>
      </w:r>
      <w:r w:rsidR="00616B25" w:rsidRPr="00C6141B">
        <w:rPr>
          <w:rFonts w:cs="Times New Roman"/>
          <w:szCs w:val="24"/>
          <w:lang w:val="en-US"/>
        </w:rPr>
        <w:t>Anglo-American</w:t>
      </w:r>
      <w:r w:rsidR="00616B25" w:rsidRPr="00C6141B">
        <w:rPr>
          <w:rFonts w:cs="Times New Roman"/>
        </w:rPr>
        <w:t xml:space="preserve"> Plc is 1.95 in 2018, 1.85 in 2019, 1.93 in 2020, 1.78 in 2021 and 1.89 in 2022. As it is determined that both companies have sufficient current resources to meet its short-term liabilities but after comparing the value of both companies, it is found out, that </w:t>
      </w:r>
      <w:r w:rsidR="00616B25" w:rsidRPr="00C6141B">
        <w:rPr>
          <w:rFonts w:cs="Times New Roman"/>
          <w:szCs w:val="24"/>
          <w:lang w:val="en-US"/>
        </w:rPr>
        <w:t xml:space="preserve">Anglo American Plc is performing well and has a strong financial status in the industry as the current ratio of this company is higher than Glencore Plc </w:t>
      </w:r>
      <w:r w:rsidR="003F073E" w:rsidRPr="00C6141B">
        <w:rPr>
          <w:rFonts w:eastAsia="Times New Roman" w:cs="Times New Roman"/>
          <w:szCs w:val="24"/>
          <w:lang w:val="en-US"/>
        </w:rPr>
        <w:t>(</w:t>
      </w:r>
      <w:r w:rsidR="003F073E" w:rsidRPr="00C6141B">
        <w:rPr>
          <w:rFonts w:cs="Times New Roman"/>
          <w:szCs w:val="24"/>
          <w:lang w:val="en-US"/>
        </w:rPr>
        <w:t>Anglo American, 2022</w:t>
      </w:r>
      <w:r w:rsidR="003F073E" w:rsidRPr="00C6141B">
        <w:rPr>
          <w:rFonts w:eastAsia="Times New Roman" w:cs="Times New Roman"/>
          <w:szCs w:val="24"/>
          <w:lang w:val="en-US"/>
        </w:rPr>
        <w:t xml:space="preserve">). </w:t>
      </w:r>
    </w:p>
    <w:p w14:paraId="4107BA09" w14:textId="00281F13" w:rsidR="00C30614" w:rsidRPr="00C6141B" w:rsidRDefault="00C30614" w:rsidP="00C30614">
      <w:pPr>
        <w:pStyle w:val="Heading3"/>
        <w:rPr>
          <w:lang w:val="en-US"/>
        </w:rPr>
      </w:pPr>
      <w:bookmarkStart w:id="17" w:name="_Toc175148043"/>
      <w:r w:rsidRPr="00C6141B">
        <w:rPr>
          <w:lang w:val="en-US"/>
        </w:rPr>
        <w:t>2.3.3 Inventory Turnover Ratio</w:t>
      </w:r>
      <w:bookmarkEnd w:id="17"/>
    </w:p>
    <w:p w14:paraId="50AA5DBD" w14:textId="77777777" w:rsidR="0092772B" w:rsidRPr="00C6141B" w:rsidRDefault="00C30614" w:rsidP="0092772B">
      <w:pPr>
        <w:keepNext/>
        <w:jc w:val="center"/>
      </w:pPr>
      <w:r w:rsidRPr="00C6141B">
        <w:rPr>
          <w:noProof/>
        </w:rPr>
        <w:drawing>
          <wp:inline distT="0" distB="0" distL="0" distR="0" wp14:anchorId="36C9EDC2" wp14:editId="67C99D2D">
            <wp:extent cx="4419600" cy="2254250"/>
            <wp:effectExtent l="0" t="0" r="0" b="0"/>
            <wp:docPr id="731391662" name="Chart 1">
              <a:extLst xmlns:a="http://schemas.openxmlformats.org/drawingml/2006/main">
                <a:ext uri="{FF2B5EF4-FFF2-40B4-BE49-F238E27FC236}">
                  <a16:creationId xmlns:a16="http://schemas.microsoft.com/office/drawing/2014/main" id="{46E712E2-78B0-7476-8F81-20E42CC52AF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164C311" w14:textId="4D0D5FF1" w:rsidR="00C30614" w:rsidRPr="00C6141B" w:rsidRDefault="0092772B" w:rsidP="0092772B">
      <w:pPr>
        <w:pStyle w:val="Caption"/>
        <w:jc w:val="center"/>
        <w:rPr>
          <w:rFonts w:cs="Times New Roman"/>
          <w:color w:val="auto"/>
          <w:szCs w:val="24"/>
          <w:lang w:val="en-US"/>
        </w:rPr>
      </w:pPr>
      <w:r w:rsidRPr="00C6141B">
        <w:rPr>
          <w:color w:val="auto"/>
        </w:rPr>
        <w:t xml:space="preserve">Figure </w:t>
      </w:r>
      <w:r w:rsidRPr="00C6141B">
        <w:rPr>
          <w:color w:val="auto"/>
        </w:rPr>
        <w:fldChar w:fldCharType="begin"/>
      </w:r>
      <w:r w:rsidRPr="00C6141B">
        <w:rPr>
          <w:color w:val="auto"/>
        </w:rPr>
        <w:instrText xml:space="preserve"> SEQ Figure \* ARABIC </w:instrText>
      </w:r>
      <w:r w:rsidRPr="00C6141B">
        <w:rPr>
          <w:color w:val="auto"/>
        </w:rPr>
        <w:fldChar w:fldCharType="separate"/>
      </w:r>
      <w:r w:rsidRPr="00C6141B">
        <w:rPr>
          <w:noProof/>
          <w:color w:val="auto"/>
        </w:rPr>
        <w:t>8</w:t>
      </w:r>
      <w:r w:rsidRPr="00C6141B">
        <w:rPr>
          <w:color w:val="auto"/>
        </w:rPr>
        <w:fldChar w:fldCharType="end"/>
      </w:r>
      <w:r w:rsidRPr="00C6141B">
        <w:rPr>
          <w:color w:val="auto"/>
        </w:rPr>
        <w:t>: Comparison of Efficiency Ratio</w:t>
      </w:r>
    </w:p>
    <w:p w14:paraId="7AFD173F" w14:textId="0CAAEBA6" w:rsidR="00C30614" w:rsidRPr="00C6141B" w:rsidRDefault="00616B25" w:rsidP="00397EED">
      <w:pPr>
        <w:rPr>
          <w:rFonts w:eastAsia="Times New Roman" w:cs="Times New Roman"/>
          <w:szCs w:val="24"/>
          <w:lang w:val="en-US"/>
        </w:rPr>
      </w:pPr>
      <w:r w:rsidRPr="00C6141B">
        <w:rPr>
          <w:rFonts w:cs="Times New Roman"/>
          <w:lang w:val="en-US"/>
        </w:rPr>
        <w:lastRenderedPageBreak/>
        <w:t xml:space="preserve">As the inventory turnover ratio of both companies is represented by the above given chart. As it is seen that </w:t>
      </w:r>
      <w:r w:rsidRPr="00C6141B">
        <w:rPr>
          <w:rFonts w:cs="Times New Roman"/>
        </w:rPr>
        <w:t xml:space="preserve">the </w:t>
      </w:r>
      <w:r w:rsidRPr="00C6141B">
        <w:rPr>
          <w:rFonts w:cs="Times New Roman"/>
          <w:szCs w:val="24"/>
        </w:rPr>
        <w:t xml:space="preserve">inventory turnover </w:t>
      </w:r>
      <w:r w:rsidR="0092772B" w:rsidRPr="00C6141B">
        <w:rPr>
          <w:rFonts w:cs="Times New Roman"/>
          <w:szCs w:val="24"/>
        </w:rPr>
        <w:t xml:space="preserve">ratio </w:t>
      </w:r>
      <w:r w:rsidRPr="00C6141B">
        <w:rPr>
          <w:rFonts w:cs="Times New Roman"/>
          <w:szCs w:val="24"/>
        </w:rPr>
        <w:t xml:space="preserve">of </w:t>
      </w:r>
      <w:r w:rsidRPr="00C6141B">
        <w:rPr>
          <w:rFonts w:cs="Times New Roman"/>
          <w:szCs w:val="24"/>
          <w:lang w:val="en-US"/>
        </w:rPr>
        <w:t>Glencore Plc</w:t>
      </w:r>
      <w:r w:rsidRPr="00C6141B">
        <w:rPr>
          <w:rFonts w:cs="Times New Roman"/>
          <w:szCs w:val="24"/>
        </w:rPr>
        <w:t xml:space="preserve"> is 10.28 in 2018, 10.55 in 2019, 6.07 in 2020, 6.73 in 2021 and 6.82 in 2022 </w:t>
      </w:r>
      <w:r w:rsidRPr="00C6141B">
        <w:rPr>
          <w:rFonts w:cs="Times New Roman"/>
          <w:lang w:val="en-US"/>
        </w:rPr>
        <w:t>(</w:t>
      </w:r>
      <w:r w:rsidRPr="00C6141B">
        <w:rPr>
          <w:rFonts w:cs="Times New Roman"/>
          <w:szCs w:val="24"/>
          <w:lang w:val="en-US"/>
        </w:rPr>
        <w:t>Glencore Plc, 2022)</w:t>
      </w:r>
      <w:r w:rsidRPr="00C6141B">
        <w:rPr>
          <w:rFonts w:cs="Times New Roman"/>
        </w:rPr>
        <w:t xml:space="preserve">. Whereas, the </w:t>
      </w:r>
      <w:r w:rsidR="0092772B" w:rsidRPr="00C6141B">
        <w:rPr>
          <w:rFonts w:cs="Times New Roman"/>
          <w:szCs w:val="24"/>
        </w:rPr>
        <w:t xml:space="preserve">inventory turnover </w:t>
      </w:r>
      <w:r w:rsidRPr="00C6141B">
        <w:rPr>
          <w:rFonts w:cs="Times New Roman"/>
        </w:rPr>
        <w:t xml:space="preserve">ratio of </w:t>
      </w:r>
      <w:r w:rsidRPr="00C6141B">
        <w:rPr>
          <w:rFonts w:cs="Times New Roman"/>
          <w:szCs w:val="24"/>
          <w:lang w:val="en-US"/>
        </w:rPr>
        <w:t>Anglo-American</w:t>
      </w:r>
      <w:r w:rsidRPr="00C6141B">
        <w:rPr>
          <w:rFonts w:cs="Times New Roman"/>
        </w:rPr>
        <w:t xml:space="preserve"> Plc is </w:t>
      </w:r>
      <w:r w:rsidR="0092772B" w:rsidRPr="00C6141B">
        <w:rPr>
          <w:rFonts w:cs="Times New Roman"/>
        </w:rPr>
        <w:t>4</w:t>
      </w:r>
      <w:r w:rsidRPr="00C6141B">
        <w:rPr>
          <w:rFonts w:cs="Times New Roman"/>
        </w:rPr>
        <w:t>.</w:t>
      </w:r>
      <w:r w:rsidR="0092772B" w:rsidRPr="00C6141B">
        <w:rPr>
          <w:rFonts w:cs="Times New Roman"/>
        </w:rPr>
        <w:t>82</w:t>
      </w:r>
      <w:r w:rsidRPr="00C6141B">
        <w:rPr>
          <w:rFonts w:cs="Times New Roman"/>
        </w:rPr>
        <w:t xml:space="preserve"> in 2018, </w:t>
      </w:r>
      <w:r w:rsidR="0092772B" w:rsidRPr="00C6141B">
        <w:rPr>
          <w:rFonts w:cs="Times New Roman"/>
        </w:rPr>
        <w:t>5</w:t>
      </w:r>
      <w:r w:rsidRPr="00C6141B">
        <w:rPr>
          <w:rFonts w:cs="Times New Roman"/>
        </w:rPr>
        <w:t>.</w:t>
      </w:r>
      <w:r w:rsidR="0092772B" w:rsidRPr="00C6141B">
        <w:rPr>
          <w:rFonts w:cs="Times New Roman"/>
        </w:rPr>
        <w:t>4</w:t>
      </w:r>
      <w:r w:rsidRPr="00C6141B">
        <w:rPr>
          <w:rFonts w:cs="Times New Roman"/>
        </w:rPr>
        <w:t xml:space="preserve">8 in 2019, </w:t>
      </w:r>
      <w:r w:rsidR="0092772B" w:rsidRPr="00C6141B">
        <w:rPr>
          <w:rFonts w:cs="Times New Roman"/>
        </w:rPr>
        <w:t>3</w:t>
      </w:r>
      <w:r w:rsidRPr="00C6141B">
        <w:rPr>
          <w:rFonts w:cs="Times New Roman"/>
        </w:rPr>
        <w:t>.</w:t>
      </w:r>
      <w:r w:rsidR="0092772B" w:rsidRPr="00C6141B">
        <w:rPr>
          <w:rFonts w:cs="Times New Roman"/>
        </w:rPr>
        <w:t>32</w:t>
      </w:r>
      <w:r w:rsidRPr="00C6141B">
        <w:rPr>
          <w:rFonts w:cs="Times New Roman"/>
        </w:rPr>
        <w:t xml:space="preserve"> in 2020, </w:t>
      </w:r>
      <w:r w:rsidR="0092772B" w:rsidRPr="00C6141B">
        <w:rPr>
          <w:rFonts w:cs="Times New Roman"/>
        </w:rPr>
        <w:t>4</w:t>
      </w:r>
      <w:r w:rsidRPr="00C6141B">
        <w:rPr>
          <w:rFonts w:cs="Times New Roman"/>
        </w:rPr>
        <w:t>.</w:t>
      </w:r>
      <w:r w:rsidR="0092772B" w:rsidRPr="00C6141B">
        <w:rPr>
          <w:rFonts w:cs="Times New Roman"/>
        </w:rPr>
        <w:t>5</w:t>
      </w:r>
      <w:r w:rsidRPr="00C6141B">
        <w:rPr>
          <w:rFonts w:cs="Times New Roman"/>
        </w:rPr>
        <w:t xml:space="preserve">8 in 2021 and </w:t>
      </w:r>
      <w:r w:rsidR="0092772B" w:rsidRPr="00C6141B">
        <w:rPr>
          <w:rFonts w:cs="Times New Roman"/>
        </w:rPr>
        <w:t>3</w:t>
      </w:r>
      <w:r w:rsidRPr="00C6141B">
        <w:rPr>
          <w:rFonts w:cs="Times New Roman"/>
        </w:rPr>
        <w:t>.9</w:t>
      </w:r>
      <w:r w:rsidR="0092772B" w:rsidRPr="00C6141B">
        <w:rPr>
          <w:rFonts w:cs="Times New Roman"/>
        </w:rPr>
        <w:t>2</w:t>
      </w:r>
      <w:r w:rsidRPr="00C6141B">
        <w:rPr>
          <w:rFonts w:cs="Times New Roman"/>
        </w:rPr>
        <w:t xml:space="preserve"> in 2022.</w:t>
      </w:r>
      <w:r w:rsidR="0092772B" w:rsidRPr="00C6141B">
        <w:rPr>
          <w:rFonts w:cs="Times New Roman"/>
        </w:rPr>
        <w:t xml:space="preserve"> As this </w:t>
      </w:r>
      <w:r w:rsidR="0092772B" w:rsidRPr="00C6141B">
        <w:rPr>
          <w:rFonts w:cs="Times New Roman"/>
          <w:szCs w:val="24"/>
        </w:rPr>
        <w:t xml:space="preserve">inventory turnover ratio of both companies shows both companies are able to use their inventory stock to boost sales and can make income but as comparing this ratio of both companies it is determined that </w:t>
      </w:r>
      <w:r w:rsidR="0092772B" w:rsidRPr="00C6141B">
        <w:rPr>
          <w:rFonts w:cs="Times New Roman"/>
          <w:szCs w:val="24"/>
          <w:lang w:val="en-US"/>
        </w:rPr>
        <w:t xml:space="preserve">Glencore Plc has the ability to sell its inventory more frequently and, in less time, as compared to the inventory turnover ratio of Anglo-American Plc </w:t>
      </w:r>
      <w:r w:rsidR="00C30614" w:rsidRPr="00C6141B">
        <w:rPr>
          <w:rFonts w:eastAsia="Times New Roman" w:cs="Times New Roman"/>
          <w:szCs w:val="24"/>
          <w:lang w:val="en-US"/>
        </w:rPr>
        <w:t>(</w:t>
      </w:r>
      <w:r w:rsidR="00C30614" w:rsidRPr="00C6141B">
        <w:rPr>
          <w:rFonts w:cs="Times New Roman"/>
          <w:szCs w:val="24"/>
          <w:lang w:val="en-US"/>
        </w:rPr>
        <w:t>Anglo American</w:t>
      </w:r>
      <w:r w:rsidRPr="00C6141B">
        <w:rPr>
          <w:rFonts w:cs="Times New Roman"/>
          <w:szCs w:val="24"/>
          <w:lang w:val="en-US"/>
        </w:rPr>
        <w:t xml:space="preserve"> Plc</w:t>
      </w:r>
      <w:r w:rsidR="00C30614" w:rsidRPr="00C6141B">
        <w:rPr>
          <w:rFonts w:cs="Times New Roman"/>
          <w:szCs w:val="24"/>
          <w:lang w:val="en-US"/>
        </w:rPr>
        <w:t>, 2022</w:t>
      </w:r>
      <w:r w:rsidR="00C30614" w:rsidRPr="00C6141B">
        <w:rPr>
          <w:rFonts w:eastAsia="Times New Roman" w:cs="Times New Roman"/>
          <w:szCs w:val="24"/>
          <w:lang w:val="en-US"/>
        </w:rPr>
        <w:t>).</w:t>
      </w:r>
    </w:p>
    <w:p w14:paraId="7ACE093D" w14:textId="10A9E8B1" w:rsidR="008A2026" w:rsidRPr="00C6141B" w:rsidRDefault="00C30614" w:rsidP="00C30614">
      <w:pPr>
        <w:pStyle w:val="Heading3"/>
      </w:pPr>
      <w:bookmarkStart w:id="18" w:name="_Toc175148044"/>
      <w:r w:rsidRPr="00C6141B">
        <w:t>2.3.4 Debt</w:t>
      </w:r>
      <w:r w:rsidR="008A2026" w:rsidRPr="00C6141B">
        <w:t>-to-</w:t>
      </w:r>
      <w:r w:rsidRPr="00C6141B">
        <w:t>Equity Ratio</w:t>
      </w:r>
      <w:bookmarkEnd w:id="18"/>
    </w:p>
    <w:p w14:paraId="46C1439E" w14:textId="77777777" w:rsidR="0092772B" w:rsidRPr="00C6141B" w:rsidRDefault="00C30614" w:rsidP="0092772B">
      <w:pPr>
        <w:keepNext/>
        <w:jc w:val="center"/>
      </w:pPr>
      <w:r w:rsidRPr="00C6141B">
        <w:rPr>
          <w:noProof/>
        </w:rPr>
        <w:drawing>
          <wp:inline distT="0" distB="0" distL="0" distR="0" wp14:anchorId="4D0737D2" wp14:editId="1C92F892">
            <wp:extent cx="4597400" cy="2355850"/>
            <wp:effectExtent l="0" t="0" r="0" b="0"/>
            <wp:docPr id="38056288" name="Chart 1">
              <a:extLst xmlns:a="http://schemas.openxmlformats.org/drawingml/2006/main">
                <a:ext uri="{FF2B5EF4-FFF2-40B4-BE49-F238E27FC236}">
                  <a16:creationId xmlns:a16="http://schemas.microsoft.com/office/drawing/2014/main" id="{90A777D4-C0F8-8CD4-D57B-AB90E96B68F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8407008" w14:textId="1B809BF2" w:rsidR="00C30614" w:rsidRPr="00C6141B" w:rsidRDefault="0092772B" w:rsidP="0092772B">
      <w:pPr>
        <w:pStyle w:val="Caption"/>
        <w:jc w:val="center"/>
        <w:rPr>
          <w:rFonts w:cs="Times New Roman"/>
          <w:color w:val="auto"/>
          <w:szCs w:val="24"/>
        </w:rPr>
      </w:pPr>
      <w:r w:rsidRPr="00C6141B">
        <w:rPr>
          <w:color w:val="auto"/>
        </w:rPr>
        <w:t xml:space="preserve">Figure </w:t>
      </w:r>
      <w:r w:rsidRPr="00C6141B">
        <w:rPr>
          <w:color w:val="auto"/>
        </w:rPr>
        <w:fldChar w:fldCharType="begin"/>
      </w:r>
      <w:r w:rsidRPr="00C6141B">
        <w:rPr>
          <w:color w:val="auto"/>
        </w:rPr>
        <w:instrText xml:space="preserve"> SEQ Figure \* ARABIC </w:instrText>
      </w:r>
      <w:r w:rsidRPr="00C6141B">
        <w:rPr>
          <w:color w:val="auto"/>
        </w:rPr>
        <w:fldChar w:fldCharType="separate"/>
      </w:r>
      <w:r w:rsidRPr="00C6141B">
        <w:rPr>
          <w:noProof/>
          <w:color w:val="auto"/>
        </w:rPr>
        <w:t>9</w:t>
      </w:r>
      <w:r w:rsidRPr="00C6141B">
        <w:rPr>
          <w:color w:val="auto"/>
        </w:rPr>
        <w:fldChar w:fldCharType="end"/>
      </w:r>
      <w:r w:rsidRPr="00C6141B">
        <w:rPr>
          <w:color w:val="auto"/>
        </w:rPr>
        <w:t>: Comparison of Gearing Ratio</w:t>
      </w:r>
    </w:p>
    <w:p w14:paraId="40610B4F" w14:textId="43941D5E" w:rsidR="00E904E1" w:rsidRPr="00C6141B" w:rsidRDefault="0092772B" w:rsidP="00E904E1">
      <w:pPr>
        <w:rPr>
          <w:rFonts w:cs="Times New Roman"/>
          <w:szCs w:val="24"/>
          <w:lang w:val="en-US"/>
        </w:rPr>
      </w:pPr>
      <w:r w:rsidRPr="00C6141B">
        <w:rPr>
          <w:rFonts w:cs="Times New Roman"/>
          <w:szCs w:val="24"/>
        </w:rPr>
        <w:t xml:space="preserve">The D/E ratio of </w:t>
      </w:r>
      <w:r w:rsidRPr="00C6141B">
        <w:rPr>
          <w:rFonts w:cs="Times New Roman"/>
          <w:szCs w:val="24"/>
          <w:lang w:val="en-US"/>
        </w:rPr>
        <w:t>Glencore Plc</w:t>
      </w:r>
      <w:r w:rsidRPr="00C6141B">
        <w:rPr>
          <w:rFonts w:cs="Times New Roman"/>
        </w:rPr>
        <w:t xml:space="preserve"> is 0.58 in 2018, 0.45 in 2019, 0.43 in 2020, 0.16 in 2021 and 0.00 in 2022. </w:t>
      </w:r>
      <w:r w:rsidR="00E904E1" w:rsidRPr="00C6141B">
        <w:rPr>
          <w:rFonts w:cs="Times New Roman"/>
        </w:rPr>
        <w:t xml:space="preserve">As this ratio shows that the financial condition of this company is strong as it has more equity as compared to the overall long-term debt which reduce some potential financial risks for this company. Whereas the </w:t>
      </w:r>
      <w:r w:rsidR="00E904E1" w:rsidRPr="00C6141B">
        <w:rPr>
          <w:rFonts w:cs="Times New Roman"/>
          <w:szCs w:val="24"/>
        </w:rPr>
        <w:t xml:space="preserve">D/E ratio of </w:t>
      </w:r>
      <w:r w:rsidR="00E904E1" w:rsidRPr="00C6141B">
        <w:rPr>
          <w:rFonts w:cs="Times New Roman"/>
          <w:szCs w:val="24"/>
          <w:lang w:val="en-US"/>
        </w:rPr>
        <w:t>Anglo-American Plc</w:t>
      </w:r>
      <w:r w:rsidR="00E904E1" w:rsidRPr="00C6141B">
        <w:rPr>
          <w:rFonts w:cs="Times New Roman"/>
        </w:rPr>
        <w:t xml:space="preserve"> is 0.30 in 2018, 0.34 in 2019, 0.41 in 2020, 0.37 in 2021 and 0.42 in 2022. Which shows that the financial condition of this company is also strong as it rely on equity as compared to the debt, but in comparison of </w:t>
      </w:r>
      <w:r w:rsidR="00E904E1" w:rsidRPr="00C6141B">
        <w:rPr>
          <w:rFonts w:cs="Times New Roman"/>
          <w:szCs w:val="24"/>
          <w:lang w:val="en-US"/>
        </w:rPr>
        <w:t>Glencore Plc, Anglo-American Plc has higher D/E ratio which shows that this company has more debt as compared to Glencore Plc.</w:t>
      </w:r>
    </w:p>
    <w:p w14:paraId="13AEB866" w14:textId="7719C701" w:rsidR="00E904E1" w:rsidRPr="00C6141B" w:rsidRDefault="00E904E1" w:rsidP="00E904E1">
      <w:pPr>
        <w:rPr>
          <w:rFonts w:cs="Times New Roman"/>
          <w:szCs w:val="24"/>
          <w:lang w:val="en-US"/>
        </w:rPr>
      </w:pPr>
      <w:r w:rsidRPr="00C6141B">
        <w:rPr>
          <w:rFonts w:cs="Times New Roman"/>
          <w:szCs w:val="24"/>
          <w:lang w:val="en-US"/>
        </w:rPr>
        <w:t>Overall, it can be determined that Anglo-American Plc is performing well and has a strong financial position as compared to Glencore Plc.</w:t>
      </w:r>
    </w:p>
    <w:p w14:paraId="4D45550E" w14:textId="17C1DCC0" w:rsidR="004E535E" w:rsidRPr="00C6141B" w:rsidRDefault="00011192" w:rsidP="00397EED">
      <w:pPr>
        <w:pStyle w:val="Heading2"/>
        <w:rPr>
          <w:rFonts w:cs="Times New Roman"/>
          <w:szCs w:val="24"/>
          <w:lang w:val="en-US"/>
        </w:rPr>
      </w:pPr>
      <w:bookmarkStart w:id="19" w:name="_Toc175148045"/>
      <w:r w:rsidRPr="00C6141B">
        <w:rPr>
          <w:rFonts w:cs="Times New Roman"/>
          <w:szCs w:val="24"/>
          <w:lang w:val="en-US"/>
        </w:rPr>
        <w:lastRenderedPageBreak/>
        <w:t>2.</w:t>
      </w:r>
      <w:r w:rsidR="00905296" w:rsidRPr="00C6141B">
        <w:rPr>
          <w:rFonts w:cs="Times New Roman"/>
          <w:szCs w:val="24"/>
          <w:lang w:val="en-US"/>
        </w:rPr>
        <w:t>4.</w:t>
      </w:r>
      <w:r w:rsidR="00F01B42" w:rsidRPr="00C6141B">
        <w:rPr>
          <w:rFonts w:cs="Times New Roman"/>
          <w:szCs w:val="24"/>
          <w:lang w:val="en-US"/>
        </w:rPr>
        <w:t xml:space="preserve"> </w:t>
      </w:r>
      <w:r w:rsidR="00F908D3" w:rsidRPr="00C6141B">
        <w:rPr>
          <w:rFonts w:cs="Times New Roman"/>
          <w:szCs w:val="24"/>
          <w:lang w:val="en-US"/>
        </w:rPr>
        <w:t>Recommendations</w:t>
      </w:r>
      <w:bookmarkEnd w:id="19"/>
    </w:p>
    <w:p w14:paraId="77DCE980" w14:textId="77777777" w:rsidR="008B28E4" w:rsidRPr="00C6141B" w:rsidRDefault="008B28E4" w:rsidP="008B28E4">
      <w:pPr>
        <w:rPr>
          <w:rFonts w:cs="Times New Roman"/>
          <w:lang w:val="en-US"/>
        </w:rPr>
      </w:pPr>
      <w:r w:rsidRPr="00C6141B">
        <w:rPr>
          <w:rFonts w:cs="Times New Roman"/>
          <w:lang w:val="en-US"/>
        </w:rPr>
        <w:t>Based on the analysis of the ratio statistics for Glencore Plc from 2018 to 2022, some recommendations have been provided to enhance the company's financial performance and position:</w:t>
      </w:r>
    </w:p>
    <w:p w14:paraId="70F6D785" w14:textId="21C95F77" w:rsidR="008B28E4" w:rsidRPr="00C6141B" w:rsidRDefault="008B28E4" w:rsidP="008B28E4">
      <w:pPr>
        <w:rPr>
          <w:rFonts w:cs="Times New Roman"/>
          <w:lang w:val="en-US"/>
        </w:rPr>
      </w:pPr>
      <w:r w:rsidRPr="00C6141B">
        <w:rPr>
          <w:rFonts w:cs="Times New Roman"/>
          <w:b/>
          <w:bCs/>
          <w:i/>
          <w:iCs/>
          <w:u w:val="single"/>
          <w:lang w:val="en-US"/>
        </w:rPr>
        <w:t>Improve</w:t>
      </w:r>
      <w:r w:rsidR="009F6675" w:rsidRPr="00C6141B">
        <w:rPr>
          <w:rFonts w:cs="Times New Roman"/>
          <w:b/>
          <w:bCs/>
          <w:i/>
          <w:iCs/>
          <w:u w:val="single"/>
          <w:lang w:val="en-US"/>
        </w:rPr>
        <w:t xml:space="preserve"> </w:t>
      </w:r>
      <w:r w:rsidRPr="00C6141B">
        <w:rPr>
          <w:rFonts w:cs="Times New Roman"/>
          <w:b/>
          <w:bCs/>
          <w:i/>
          <w:iCs/>
          <w:u w:val="single"/>
          <w:lang w:val="en-US"/>
        </w:rPr>
        <w:t>Profitability Management Process:</w:t>
      </w:r>
      <w:r w:rsidR="00DE79A4" w:rsidRPr="00C6141B">
        <w:t xml:space="preserve"> I</w:t>
      </w:r>
      <w:r w:rsidRPr="00C6141B">
        <w:rPr>
          <w:rFonts w:cs="Times New Roman"/>
          <w:lang w:val="en-US"/>
        </w:rPr>
        <w:t>t is imperative that Glencore's financial performance be stabilised and enhanced. To do this, it may be necessary to closely monitor expenses, improve operational efficiency, and look into potential new revenue streams. By identifying and addressing factors that contribute to fluctuations in profitability, such as unstable commodity prices or ineffective procedures, Glencore may try to produce more consistent and long-lasting earnings (</w:t>
      </w:r>
      <w:r w:rsidR="005021D5" w:rsidRPr="00C6141B">
        <w:rPr>
          <w:rFonts w:cs="Times New Roman"/>
          <w:shd w:val="clear" w:color="auto" w:fill="FFFFFF"/>
        </w:rPr>
        <w:t>Toumeh, et al., 2023</w:t>
      </w:r>
      <w:r w:rsidRPr="00C6141B">
        <w:rPr>
          <w:rFonts w:cs="Times New Roman"/>
          <w:lang w:val="en-US"/>
        </w:rPr>
        <w:t>).</w:t>
      </w:r>
    </w:p>
    <w:p w14:paraId="48B70B9E" w14:textId="431AE19D" w:rsidR="008B28E4" w:rsidRPr="00C6141B" w:rsidRDefault="008B28E4" w:rsidP="008B28E4">
      <w:pPr>
        <w:rPr>
          <w:rFonts w:cs="Times New Roman"/>
          <w:lang w:val="en-US"/>
        </w:rPr>
      </w:pPr>
      <w:r w:rsidRPr="00C6141B">
        <w:rPr>
          <w:rFonts w:cs="Times New Roman"/>
          <w:b/>
          <w:bCs/>
          <w:i/>
          <w:iCs/>
          <w:u w:val="single"/>
          <w:lang w:val="en-US"/>
        </w:rPr>
        <w:t>Enhance Risk Management:</w:t>
      </w:r>
      <w:r w:rsidR="00DE79A4" w:rsidRPr="00C6141B">
        <w:t xml:space="preserve"> </w:t>
      </w:r>
      <w:r w:rsidRPr="00C6141B">
        <w:rPr>
          <w:rFonts w:cs="Times New Roman"/>
          <w:lang w:val="en-US"/>
        </w:rPr>
        <w:t>Glencore should prioritise strengthening its risk management protocols to enhance risk management, taking into account variations in profitability and liquidity metrics. In order to mitigate the impact of fluctuations in commodity prices, comprehensive risk assessments must be carried out, effective hedging strategies must be implemented, and adequate financial reserves must be maintained to withstand any market disruptions or downturns (</w:t>
      </w:r>
      <w:r w:rsidR="005021D5" w:rsidRPr="00C6141B">
        <w:rPr>
          <w:rFonts w:cs="Times New Roman"/>
          <w:shd w:val="clear" w:color="auto" w:fill="FFFFFF"/>
        </w:rPr>
        <w:t>Ilham, et al., 2023</w:t>
      </w:r>
      <w:r w:rsidRPr="00C6141B">
        <w:rPr>
          <w:rFonts w:cs="Times New Roman"/>
          <w:lang w:val="en-US"/>
        </w:rPr>
        <w:t>).</w:t>
      </w:r>
    </w:p>
    <w:p w14:paraId="5283AC1C" w14:textId="03C10225" w:rsidR="00A45FA5" w:rsidRPr="00C6141B" w:rsidRDefault="00A45FA5" w:rsidP="00397EED">
      <w:pPr>
        <w:rPr>
          <w:rFonts w:cs="Times New Roman"/>
          <w:szCs w:val="24"/>
        </w:rPr>
      </w:pPr>
      <w:r w:rsidRPr="00C6141B">
        <w:rPr>
          <w:rFonts w:cs="Times New Roman"/>
          <w:b/>
          <w:i/>
          <w:szCs w:val="24"/>
          <w:u w:val="single"/>
          <w:lang w:val="en-US"/>
        </w:rPr>
        <w:t xml:space="preserve">Optimize </w:t>
      </w:r>
      <w:r w:rsidR="00F500FA" w:rsidRPr="00C6141B">
        <w:rPr>
          <w:rFonts w:cs="Times New Roman"/>
          <w:b/>
          <w:i/>
          <w:szCs w:val="24"/>
          <w:u w:val="single"/>
          <w:lang w:val="en-US"/>
        </w:rPr>
        <w:t>Capital Structure</w:t>
      </w:r>
      <w:r w:rsidRPr="00C6141B">
        <w:rPr>
          <w:rFonts w:cs="Times New Roman"/>
          <w:szCs w:val="24"/>
          <w:lang w:val="en-US"/>
        </w:rPr>
        <w:t xml:space="preserve">: </w:t>
      </w:r>
      <w:r w:rsidR="008B28E4" w:rsidRPr="00C6141B">
        <w:rPr>
          <w:rFonts w:cs="Times New Roman"/>
          <w:lang w:val="en-US"/>
        </w:rPr>
        <w:t>Working capital management may be improved much further by Glencore. By reducing the time, it takes to collect accounts receivable, streamlining inventory management processes to reduce carrying costs, and negotiating favourable terms for supplier payments, cash conversion cycles can be reduced</w:t>
      </w:r>
      <w:r w:rsidR="00E904E1" w:rsidRPr="00C6141B">
        <w:rPr>
          <w:rFonts w:cs="Times New Roman"/>
          <w:lang w:val="en-US"/>
        </w:rPr>
        <w:t xml:space="preserve"> (</w:t>
      </w:r>
      <w:r w:rsidR="00E904E1" w:rsidRPr="00C6141B">
        <w:rPr>
          <w:rFonts w:cs="Times New Roman"/>
          <w:shd w:val="clear" w:color="auto" w:fill="FFFFFF"/>
        </w:rPr>
        <w:t>Gerged, et al., 2023</w:t>
      </w:r>
      <w:r w:rsidR="00E904E1" w:rsidRPr="00C6141B">
        <w:rPr>
          <w:rFonts w:cs="Times New Roman"/>
          <w:lang w:val="en-US"/>
        </w:rPr>
        <w:t>)</w:t>
      </w:r>
      <w:r w:rsidR="008B28E4" w:rsidRPr="00C6141B">
        <w:rPr>
          <w:rFonts w:cs="Times New Roman"/>
          <w:lang w:val="en-US"/>
        </w:rPr>
        <w:t>. Glencore may increase its ability to meet short-term obligations and seize growth possibilities by effectively managing its working capital.</w:t>
      </w:r>
      <w:r w:rsidR="009818B4" w:rsidRPr="00C6141B">
        <w:rPr>
          <w:rFonts w:cs="Times New Roman"/>
          <w:lang w:val="en-US"/>
        </w:rPr>
        <w:t xml:space="preserve"> </w:t>
      </w:r>
      <w:r w:rsidRPr="00C6141B">
        <w:rPr>
          <w:rFonts w:cs="Times New Roman"/>
          <w:szCs w:val="24"/>
        </w:rPr>
        <w:t>To attain a balanced capital structure and lower financial risk, the company should concentrate on improving the management of its debt-to-equity ratio</w:t>
      </w:r>
      <w:r w:rsidR="00C30614" w:rsidRPr="00C6141B">
        <w:rPr>
          <w:rFonts w:cs="Times New Roman"/>
          <w:szCs w:val="24"/>
        </w:rPr>
        <w:t xml:space="preserve"> </w:t>
      </w:r>
      <w:r w:rsidR="00F500FA" w:rsidRPr="00C6141B">
        <w:rPr>
          <w:rFonts w:cs="Times New Roman"/>
          <w:szCs w:val="24"/>
        </w:rPr>
        <w:t>(</w:t>
      </w:r>
      <w:r w:rsidR="00F500FA" w:rsidRPr="00C6141B">
        <w:rPr>
          <w:rFonts w:cs="Times New Roman"/>
          <w:szCs w:val="24"/>
          <w:shd w:val="clear" w:color="auto" w:fill="FFFFFF"/>
        </w:rPr>
        <w:t>Cevikcan and Kose, 2021)</w:t>
      </w:r>
      <w:r w:rsidRPr="00C6141B">
        <w:rPr>
          <w:rFonts w:cs="Times New Roman"/>
          <w:szCs w:val="24"/>
        </w:rPr>
        <w:t>. In order to resolve this, the business needs to carefully examine its debt commitments, interest rates, and payback plans. In order to provide sufficient finance for upcoming expansion projects while preserving financial stability, the company should also assess its equity financing options</w:t>
      </w:r>
      <w:r w:rsidR="00F500FA" w:rsidRPr="00C6141B">
        <w:rPr>
          <w:rFonts w:cs="Times New Roman"/>
          <w:szCs w:val="24"/>
        </w:rPr>
        <w:t xml:space="preserve"> (</w:t>
      </w:r>
      <w:r w:rsidR="00F500FA" w:rsidRPr="00C6141B">
        <w:rPr>
          <w:rFonts w:cs="Times New Roman"/>
          <w:szCs w:val="24"/>
          <w:shd w:val="clear" w:color="auto" w:fill="FFFFFF"/>
        </w:rPr>
        <w:t>Odhiambo, et al., 2022)</w:t>
      </w:r>
      <w:r w:rsidRPr="00C6141B">
        <w:rPr>
          <w:rFonts w:cs="Times New Roman"/>
          <w:szCs w:val="24"/>
        </w:rPr>
        <w:t>.</w:t>
      </w:r>
    </w:p>
    <w:p w14:paraId="206E82C5" w14:textId="0A1E7D44" w:rsidR="008B5741" w:rsidRPr="00C6141B" w:rsidRDefault="00B90060" w:rsidP="00397EED">
      <w:pPr>
        <w:rPr>
          <w:rFonts w:cs="Times New Roman"/>
          <w:szCs w:val="24"/>
          <w:lang w:val="en-US"/>
        </w:rPr>
      </w:pPr>
      <w:r w:rsidRPr="00C6141B">
        <w:rPr>
          <w:rFonts w:cs="Times New Roman"/>
          <w:b/>
          <w:i/>
          <w:szCs w:val="24"/>
          <w:u w:val="single"/>
          <w:lang w:val="en-US"/>
        </w:rPr>
        <w:t>Inventory Management Practices</w:t>
      </w:r>
      <w:r w:rsidRPr="00C6141B">
        <w:rPr>
          <w:rFonts w:cs="Times New Roman"/>
          <w:szCs w:val="24"/>
          <w:lang w:val="en-US"/>
        </w:rPr>
        <w:t>: To maximise inventory turnover and boost operational efficiency, the business should concentrate on improving its inventory management procedures. There is opportunity for improvement, especially in maintaining a constant turnover rate, even though the inventory turnover ratio fluctuated over time, reflecting shifts in sales performance and inventory management</w:t>
      </w:r>
      <w:r w:rsidR="00581BB0" w:rsidRPr="00C6141B">
        <w:rPr>
          <w:rFonts w:cs="Times New Roman"/>
          <w:szCs w:val="24"/>
          <w:lang w:val="en-US"/>
        </w:rPr>
        <w:t xml:space="preserve"> (</w:t>
      </w:r>
      <w:r w:rsidR="00581BB0" w:rsidRPr="00C6141B">
        <w:rPr>
          <w:rFonts w:cs="Times New Roman"/>
          <w:szCs w:val="24"/>
          <w:shd w:val="clear" w:color="auto" w:fill="FFFFFF"/>
        </w:rPr>
        <w:t>Kehinde Busola, et al., 2020)</w:t>
      </w:r>
      <w:r w:rsidRPr="00C6141B">
        <w:rPr>
          <w:rFonts w:cs="Times New Roman"/>
          <w:szCs w:val="24"/>
          <w:lang w:val="en-US"/>
        </w:rPr>
        <w:t xml:space="preserve">. This can be </w:t>
      </w:r>
      <w:r w:rsidRPr="00C6141B">
        <w:rPr>
          <w:rFonts w:cs="Times New Roman"/>
          <w:szCs w:val="24"/>
          <w:lang w:val="en-US"/>
        </w:rPr>
        <w:lastRenderedPageBreak/>
        <w:t>accomplished by the business putting in place sophisticated inventory tracking systems to precisely measure lead times, demand trends, and stock levels. In order to cut lead times and lower the possibility of excess inventory or stockouts, the business should also optimise its supply chain procedures</w:t>
      </w:r>
      <w:r w:rsidR="00C30614" w:rsidRPr="00C6141B">
        <w:rPr>
          <w:rFonts w:cs="Times New Roman"/>
          <w:szCs w:val="24"/>
          <w:lang w:val="en-US"/>
        </w:rPr>
        <w:t xml:space="preserve"> </w:t>
      </w:r>
      <w:r w:rsidR="00581BB0" w:rsidRPr="00C6141B">
        <w:rPr>
          <w:rFonts w:cs="Times New Roman"/>
          <w:szCs w:val="24"/>
          <w:lang w:val="en-US"/>
        </w:rPr>
        <w:t>(</w:t>
      </w:r>
      <w:r w:rsidR="00581BB0" w:rsidRPr="00C6141B">
        <w:rPr>
          <w:rFonts w:cs="Times New Roman"/>
          <w:szCs w:val="24"/>
          <w:shd w:val="clear" w:color="auto" w:fill="FFFFFF"/>
        </w:rPr>
        <w:t>Orobia, et al., 2020)</w:t>
      </w:r>
      <w:r w:rsidRPr="00C6141B">
        <w:rPr>
          <w:rFonts w:cs="Times New Roman"/>
          <w:szCs w:val="24"/>
          <w:lang w:val="en-US"/>
        </w:rPr>
        <w:t>.</w:t>
      </w:r>
    </w:p>
    <w:p w14:paraId="4A9B75D0" w14:textId="77777777" w:rsidR="008B5741" w:rsidRPr="00C6141B" w:rsidRDefault="008B5741">
      <w:pPr>
        <w:spacing w:line="276" w:lineRule="auto"/>
        <w:jc w:val="left"/>
        <w:rPr>
          <w:rFonts w:cs="Times New Roman"/>
          <w:szCs w:val="24"/>
          <w:lang w:val="en-US"/>
        </w:rPr>
      </w:pPr>
      <w:r w:rsidRPr="00C6141B">
        <w:rPr>
          <w:rFonts w:cs="Times New Roman"/>
          <w:szCs w:val="24"/>
          <w:lang w:val="en-US"/>
        </w:rPr>
        <w:br w:type="page"/>
      </w:r>
    </w:p>
    <w:p w14:paraId="490399E2" w14:textId="77777777" w:rsidR="009A078E" w:rsidRPr="00C6141B" w:rsidRDefault="008B5741" w:rsidP="008B5741">
      <w:pPr>
        <w:pStyle w:val="Heading1"/>
        <w:rPr>
          <w:rFonts w:cs="Times New Roman"/>
          <w:lang w:val="en-US"/>
        </w:rPr>
      </w:pPr>
      <w:bookmarkStart w:id="20" w:name="_Toc175148046"/>
      <w:r w:rsidRPr="00C6141B">
        <w:rPr>
          <w:rFonts w:cs="Times New Roman"/>
          <w:lang w:val="en-US"/>
        </w:rPr>
        <w:lastRenderedPageBreak/>
        <w:t xml:space="preserve">3. Part </w:t>
      </w:r>
      <w:r w:rsidR="009A078E" w:rsidRPr="00C6141B">
        <w:rPr>
          <w:rFonts w:cs="Times New Roman"/>
          <w:lang w:val="en-US"/>
        </w:rPr>
        <w:t>C</w:t>
      </w:r>
      <w:r w:rsidRPr="00C6141B">
        <w:rPr>
          <w:rFonts w:cs="Times New Roman"/>
          <w:lang w:val="en-US"/>
        </w:rPr>
        <w:t xml:space="preserve">: Investment </w:t>
      </w:r>
      <w:r w:rsidR="009A078E" w:rsidRPr="00C6141B">
        <w:rPr>
          <w:rFonts w:cs="Times New Roman"/>
          <w:lang w:val="en-US"/>
        </w:rPr>
        <w:t>Appraisal of Projects</w:t>
      </w:r>
      <w:bookmarkEnd w:id="20"/>
    </w:p>
    <w:p w14:paraId="2A334D77" w14:textId="77777777" w:rsidR="009A078E" w:rsidRPr="00C6141B" w:rsidRDefault="009A078E" w:rsidP="009A078E">
      <w:pPr>
        <w:pStyle w:val="Heading2"/>
        <w:rPr>
          <w:rFonts w:cs="Times New Roman"/>
        </w:rPr>
      </w:pPr>
      <w:bookmarkStart w:id="21" w:name="_Toc175148047"/>
      <w:r w:rsidRPr="00C6141B">
        <w:rPr>
          <w:rFonts w:cs="Times New Roman"/>
        </w:rPr>
        <w:t>3.1 Computation and evaluation of NPV, PBP and ARR</w:t>
      </w:r>
      <w:bookmarkEnd w:id="21"/>
    </w:p>
    <w:p w14:paraId="0D2FAA52" w14:textId="77777777" w:rsidR="009A078E" w:rsidRPr="00C6141B" w:rsidRDefault="009A078E" w:rsidP="009A078E">
      <w:pPr>
        <w:pStyle w:val="Heading3"/>
        <w:rPr>
          <w:rFonts w:cs="Times New Roman"/>
        </w:rPr>
      </w:pPr>
      <w:bookmarkStart w:id="22" w:name="_Toc175148048"/>
      <w:r w:rsidRPr="00C6141B">
        <w:rPr>
          <w:rFonts w:cs="Times New Roman"/>
        </w:rPr>
        <w:t>3.1.1 Net Present Value (NPV)</w:t>
      </w:r>
      <w:bookmarkEnd w:id="22"/>
    </w:p>
    <w:p w14:paraId="78A5C854" w14:textId="102D0524" w:rsidR="009A078E" w:rsidRPr="00C6141B" w:rsidRDefault="009A078E" w:rsidP="009A078E">
      <w:pPr>
        <w:rPr>
          <w:rFonts w:cs="Times New Roman"/>
          <w:szCs w:val="24"/>
        </w:rPr>
      </w:pPr>
      <w:r w:rsidRPr="00C6141B">
        <w:rPr>
          <w:rFonts w:cs="Times New Roman"/>
          <w:szCs w:val="24"/>
        </w:rPr>
        <w:t xml:space="preserve">NPV is the value that compares cost of investment with present value of all future cash flows. This is one of the most important investment appraisal methods </w:t>
      </w:r>
      <w:r w:rsidR="00C11FFD" w:rsidRPr="00C6141B">
        <w:rPr>
          <w:rFonts w:cs="Times New Roman"/>
          <w:szCs w:val="24"/>
        </w:rPr>
        <w:t>to decide for project selection</w:t>
      </w:r>
      <w:r w:rsidR="00E904E1" w:rsidRPr="00C6141B">
        <w:rPr>
          <w:rFonts w:cs="Times New Roman"/>
          <w:szCs w:val="24"/>
        </w:rPr>
        <w:t xml:space="preserve"> </w:t>
      </w:r>
      <w:r w:rsidR="00C11FFD" w:rsidRPr="00C6141B">
        <w:rPr>
          <w:rFonts w:cs="Times New Roman"/>
          <w:szCs w:val="24"/>
        </w:rPr>
        <w:t>(Michelon et al, 2020)</w:t>
      </w:r>
      <w:r w:rsidR="0051383E" w:rsidRPr="00C6141B">
        <w:rPr>
          <w:rFonts w:cs="Times New Roman"/>
          <w:szCs w:val="24"/>
        </w:rPr>
        <w:t>.</w:t>
      </w:r>
    </w:p>
    <w:tbl>
      <w:tblPr>
        <w:tblW w:w="9385" w:type="dxa"/>
        <w:tblInd w:w="93" w:type="dxa"/>
        <w:tblLook w:val="04A0" w:firstRow="1" w:lastRow="0" w:firstColumn="1" w:lastColumn="0" w:noHBand="0" w:noVBand="1"/>
      </w:tblPr>
      <w:tblGrid>
        <w:gridCol w:w="969"/>
        <w:gridCol w:w="1865"/>
        <w:gridCol w:w="2057"/>
        <w:gridCol w:w="2045"/>
        <w:gridCol w:w="2449"/>
      </w:tblGrid>
      <w:tr w:rsidR="009A078E" w:rsidRPr="00C6141B" w14:paraId="12F7E056" w14:textId="77777777" w:rsidTr="00E8027C">
        <w:trPr>
          <w:trHeight w:val="460"/>
        </w:trPr>
        <w:tc>
          <w:tcPr>
            <w:tcW w:w="9385" w:type="dxa"/>
            <w:gridSpan w:val="5"/>
            <w:tcBorders>
              <w:top w:val="single" w:sz="8" w:space="0" w:color="auto"/>
              <w:left w:val="single" w:sz="8" w:space="0" w:color="auto"/>
              <w:bottom w:val="single" w:sz="8" w:space="0" w:color="auto"/>
              <w:right w:val="single" w:sz="8" w:space="0" w:color="000000"/>
            </w:tcBorders>
            <w:shd w:val="clear" w:color="000000" w:fill="CCC0DA"/>
            <w:noWrap/>
            <w:hideMark/>
          </w:tcPr>
          <w:p w14:paraId="1530FA1D" w14:textId="367A3B33" w:rsidR="009A078E" w:rsidRPr="00C6141B" w:rsidRDefault="009A078E" w:rsidP="00E8027C">
            <w:pPr>
              <w:spacing w:after="0" w:line="240" w:lineRule="auto"/>
              <w:jc w:val="center"/>
              <w:rPr>
                <w:rFonts w:eastAsia="Times New Roman" w:cs="Times New Roman"/>
                <w:b/>
                <w:bCs/>
                <w:szCs w:val="24"/>
                <w:lang w:bidi="hi-IN"/>
              </w:rPr>
            </w:pPr>
            <w:r w:rsidRPr="00C6141B">
              <w:rPr>
                <w:rFonts w:eastAsia="Times New Roman" w:cs="Times New Roman"/>
                <w:b/>
                <w:bCs/>
                <w:szCs w:val="24"/>
                <w:lang w:bidi="hi-IN"/>
              </w:rPr>
              <w:t>NPV computation for project A</w:t>
            </w:r>
          </w:p>
        </w:tc>
      </w:tr>
      <w:tr w:rsidR="009A078E" w:rsidRPr="00C6141B" w14:paraId="0D7C6B55" w14:textId="77777777" w:rsidTr="00E8027C">
        <w:trPr>
          <w:trHeight w:val="245"/>
        </w:trPr>
        <w:tc>
          <w:tcPr>
            <w:tcW w:w="969" w:type="dxa"/>
            <w:tcBorders>
              <w:top w:val="nil"/>
              <w:left w:val="single" w:sz="8" w:space="0" w:color="auto"/>
              <w:bottom w:val="single" w:sz="4" w:space="0" w:color="auto"/>
              <w:right w:val="single" w:sz="4" w:space="0" w:color="auto"/>
            </w:tcBorders>
            <w:shd w:val="clear" w:color="000000" w:fill="E5E0EC"/>
            <w:noWrap/>
            <w:hideMark/>
          </w:tcPr>
          <w:p w14:paraId="4A6606C1" w14:textId="0A04817A" w:rsidR="009A078E" w:rsidRPr="00C6141B" w:rsidRDefault="009A078E" w:rsidP="00E8027C">
            <w:pPr>
              <w:spacing w:after="0" w:line="240" w:lineRule="auto"/>
              <w:jc w:val="center"/>
              <w:rPr>
                <w:rFonts w:eastAsia="Times New Roman" w:cs="Times New Roman"/>
                <w:b/>
                <w:bCs/>
                <w:szCs w:val="24"/>
                <w:lang w:bidi="hi-IN"/>
              </w:rPr>
            </w:pPr>
            <w:r w:rsidRPr="00C6141B">
              <w:rPr>
                <w:rFonts w:eastAsia="Times New Roman" w:cs="Times New Roman"/>
                <w:b/>
                <w:bCs/>
                <w:szCs w:val="24"/>
                <w:lang w:bidi="hi-IN"/>
              </w:rPr>
              <w:t>Year</w:t>
            </w:r>
          </w:p>
        </w:tc>
        <w:tc>
          <w:tcPr>
            <w:tcW w:w="1865" w:type="dxa"/>
            <w:tcBorders>
              <w:top w:val="nil"/>
              <w:left w:val="nil"/>
              <w:bottom w:val="single" w:sz="4" w:space="0" w:color="auto"/>
              <w:right w:val="single" w:sz="4" w:space="0" w:color="auto"/>
            </w:tcBorders>
            <w:shd w:val="clear" w:color="000000" w:fill="E5E0EC"/>
            <w:noWrap/>
            <w:hideMark/>
          </w:tcPr>
          <w:p w14:paraId="471DE6D7" w14:textId="69E7D798" w:rsidR="009A078E" w:rsidRPr="00C6141B" w:rsidRDefault="009A078E" w:rsidP="00E8027C">
            <w:pPr>
              <w:spacing w:after="0" w:line="240" w:lineRule="auto"/>
              <w:jc w:val="center"/>
              <w:rPr>
                <w:rFonts w:eastAsia="Times New Roman" w:cs="Times New Roman"/>
                <w:b/>
                <w:bCs/>
                <w:szCs w:val="24"/>
                <w:lang w:bidi="hi-IN"/>
              </w:rPr>
            </w:pPr>
            <w:r w:rsidRPr="00C6141B">
              <w:rPr>
                <w:rFonts w:eastAsia="Times New Roman" w:cs="Times New Roman"/>
                <w:b/>
                <w:bCs/>
                <w:szCs w:val="24"/>
                <w:lang w:bidi="hi-IN"/>
              </w:rPr>
              <w:t>initial investment (£m)</w:t>
            </w:r>
          </w:p>
        </w:tc>
        <w:tc>
          <w:tcPr>
            <w:tcW w:w="2057" w:type="dxa"/>
            <w:tcBorders>
              <w:top w:val="nil"/>
              <w:left w:val="nil"/>
              <w:bottom w:val="single" w:sz="4" w:space="0" w:color="auto"/>
              <w:right w:val="single" w:sz="4" w:space="0" w:color="auto"/>
            </w:tcBorders>
            <w:shd w:val="clear" w:color="000000" w:fill="E5E0EC"/>
            <w:noWrap/>
            <w:hideMark/>
          </w:tcPr>
          <w:p w14:paraId="612D9FF1" w14:textId="7E46DDD9" w:rsidR="009A078E" w:rsidRPr="00C6141B" w:rsidRDefault="009A078E" w:rsidP="00E8027C">
            <w:pPr>
              <w:spacing w:after="0" w:line="240" w:lineRule="auto"/>
              <w:jc w:val="center"/>
              <w:rPr>
                <w:rFonts w:eastAsia="Times New Roman" w:cs="Times New Roman"/>
                <w:b/>
                <w:bCs/>
                <w:szCs w:val="24"/>
                <w:lang w:bidi="hi-IN"/>
              </w:rPr>
            </w:pPr>
            <w:r w:rsidRPr="00C6141B">
              <w:rPr>
                <w:rFonts w:eastAsia="Times New Roman" w:cs="Times New Roman"/>
                <w:b/>
                <w:bCs/>
                <w:szCs w:val="24"/>
                <w:lang w:bidi="hi-IN"/>
              </w:rPr>
              <w:t>Inflow (£m)</w:t>
            </w:r>
          </w:p>
        </w:tc>
        <w:tc>
          <w:tcPr>
            <w:tcW w:w="2045" w:type="dxa"/>
            <w:tcBorders>
              <w:top w:val="single" w:sz="8" w:space="0" w:color="auto"/>
              <w:left w:val="nil"/>
              <w:bottom w:val="single" w:sz="4" w:space="0" w:color="auto"/>
              <w:right w:val="single" w:sz="4" w:space="0" w:color="000000"/>
            </w:tcBorders>
            <w:shd w:val="clear" w:color="000000" w:fill="E5E0EC"/>
            <w:noWrap/>
            <w:hideMark/>
          </w:tcPr>
          <w:p w14:paraId="2E5DD896" w14:textId="1472D46B" w:rsidR="009A078E" w:rsidRPr="00C6141B" w:rsidRDefault="009A078E" w:rsidP="00E8027C">
            <w:pPr>
              <w:spacing w:after="0" w:line="240" w:lineRule="auto"/>
              <w:jc w:val="center"/>
              <w:rPr>
                <w:rFonts w:eastAsia="Times New Roman" w:cs="Times New Roman"/>
                <w:b/>
                <w:bCs/>
                <w:szCs w:val="24"/>
                <w:lang w:bidi="hi-IN"/>
              </w:rPr>
            </w:pPr>
            <w:r w:rsidRPr="00C6141B">
              <w:rPr>
                <w:rFonts w:eastAsia="Times New Roman" w:cs="Times New Roman"/>
                <w:b/>
                <w:bCs/>
                <w:szCs w:val="24"/>
                <w:lang w:bidi="hi-IN"/>
              </w:rPr>
              <w:t>PV factor @0.75%</w:t>
            </w:r>
          </w:p>
        </w:tc>
        <w:tc>
          <w:tcPr>
            <w:tcW w:w="2448" w:type="dxa"/>
            <w:tcBorders>
              <w:top w:val="nil"/>
              <w:left w:val="nil"/>
              <w:bottom w:val="single" w:sz="4" w:space="0" w:color="auto"/>
              <w:right w:val="single" w:sz="8" w:space="0" w:color="auto"/>
            </w:tcBorders>
            <w:shd w:val="clear" w:color="000000" w:fill="E5E0EC"/>
            <w:noWrap/>
            <w:hideMark/>
          </w:tcPr>
          <w:p w14:paraId="614ACBE1" w14:textId="144BCB4A" w:rsidR="009A078E" w:rsidRPr="00C6141B" w:rsidRDefault="009A078E" w:rsidP="00E8027C">
            <w:pPr>
              <w:spacing w:after="0" w:line="240" w:lineRule="auto"/>
              <w:jc w:val="center"/>
              <w:rPr>
                <w:rFonts w:eastAsia="Times New Roman" w:cs="Times New Roman"/>
                <w:b/>
                <w:bCs/>
                <w:szCs w:val="24"/>
                <w:lang w:bidi="hi-IN"/>
              </w:rPr>
            </w:pPr>
            <w:r w:rsidRPr="00C6141B">
              <w:rPr>
                <w:rFonts w:eastAsia="Times New Roman" w:cs="Times New Roman"/>
                <w:b/>
                <w:bCs/>
                <w:szCs w:val="24"/>
                <w:lang w:bidi="hi-IN"/>
              </w:rPr>
              <w:t>Present value (£m)</w:t>
            </w:r>
          </w:p>
        </w:tc>
      </w:tr>
      <w:tr w:rsidR="009A078E" w:rsidRPr="00C6141B" w14:paraId="64222822" w14:textId="77777777" w:rsidTr="00E8027C">
        <w:trPr>
          <w:trHeight w:val="245"/>
        </w:trPr>
        <w:tc>
          <w:tcPr>
            <w:tcW w:w="969" w:type="dxa"/>
            <w:tcBorders>
              <w:top w:val="nil"/>
              <w:left w:val="single" w:sz="8" w:space="0" w:color="auto"/>
              <w:bottom w:val="single" w:sz="4" w:space="0" w:color="auto"/>
              <w:right w:val="single" w:sz="4" w:space="0" w:color="auto"/>
            </w:tcBorders>
            <w:shd w:val="clear" w:color="000000" w:fill="E5E0EC"/>
            <w:noWrap/>
            <w:hideMark/>
          </w:tcPr>
          <w:p w14:paraId="792E4144" w14:textId="77777777"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0</w:t>
            </w:r>
          </w:p>
        </w:tc>
        <w:tc>
          <w:tcPr>
            <w:tcW w:w="1865" w:type="dxa"/>
            <w:tcBorders>
              <w:top w:val="nil"/>
              <w:left w:val="nil"/>
              <w:bottom w:val="single" w:sz="4" w:space="0" w:color="auto"/>
              <w:right w:val="single" w:sz="4" w:space="0" w:color="auto"/>
            </w:tcBorders>
            <w:shd w:val="clear" w:color="000000" w:fill="E5E0EC"/>
            <w:noWrap/>
            <w:hideMark/>
          </w:tcPr>
          <w:p w14:paraId="7E8AC00A" w14:textId="3AC2951F"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(5,000.00)</w:t>
            </w:r>
          </w:p>
        </w:tc>
        <w:tc>
          <w:tcPr>
            <w:tcW w:w="2057" w:type="dxa"/>
            <w:tcBorders>
              <w:top w:val="nil"/>
              <w:left w:val="nil"/>
              <w:bottom w:val="single" w:sz="4" w:space="0" w:color="auto"/>
              <w:right w:val="single" w:sz="4" w:space="0" w:color="auto"/>
            </w:tcBorders>
            <w:shd w:val="clear" w:color="000000" w:fill="E5E0EC"/>
            <w:noWrap/>
            <w:hideMark/>
          </w:tcPr>
          <w:p w14:paraId="2BF64708" w14:textId="00CE42F2"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w:t>
            </w:r>
          </w:p>
        </w:tc>
        <w:tc>
          <w:tcPr>
            <w:tcW w:w="2045" w:type="dxa"/>
            <w:tcBorders>
              <w:top w:val="single" w:sz="4" w:space="0" w:color="auto"/>
              <w:left w:val="nil"/>
              <w:bottom w:val="single" w:sz="4" w:space="0" w:color="auto"/>
              <w:right w:val="single" w:sz="4" w:space="0" w:color="000000"/>
            </w:tcBorders>
            <w:shd w:val="clear" w:color="000000" w:fill="E5E0EC"/>
            <w:noWrap/>
            <w:hideMark/>
          </w:tcPr>
          <w:p w14:paraId="220FBA13" w14:textId="688E8BBD"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1.000</w:t>
            </w:r>
          </w:p>
        </w:tc>
        <w:tc>
          <w:tcPr>
            <w:tcW w:w="2448" w:type="dxa"/>
            <w:tcBorders>
              <w:top w:val="nil"/>
              <w:left w:val="nil"/>
              <w:bottom w:val="single" w:sz="4" w:space="0" w:color="auto"/>
              <w:right w:val="single" w:sz="8" w:space="0" w:color="auto"/>
            </w:tcBorders>
            <w:shd w:val="clear" w:color="000000" w:fill="E5E0EC"/>
            <w:noWrap/>
            <w:hideMark/>
          </w:tcPr>
          <w:p w14:paraId="50623F45" w14:textId="3F93C2FC"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(5,000.00)</w:t>
            </w:r>
          </w:p>
        </w:tc>
      </w:tr>
      <w:tr w:rsidR="009A078E" w:rsidRPr="00C6141B" w14:paraId="2ABE239B" w14:textId="77777777" w:rsidTr="00E8027C">
        <w:trPr>
          <w:trHeight w:val="245"/>
        </w:trPr>
        <w:tc>
          <w:tcPr>
            <w:tcW w:w="969" w:type="dxa"/>
            <w:tcBorders>
              <w:top w:val="nil"/>
              <w:left w:val="single" w:sz="8" w:space="0" w:color="auto"/>
              <w:bottom w:val="single" w:sz="4" w:space="0" w:color="auto"/>
              <w:right w:val="single" w:sz="4" w:space="0" w:color="auto"/>
            </w:tcBorders>
            <w:shd w:val="clear" w:color="000000" w:fill="E5E0EC"/>
            <w:noWrap/>
            <w:hideMark/>
          </w:tcPr>
          <w:p w14:paraId="0D6A9A0A" w14:textId="77777777"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1</w:t>
            </w:r>
          </w:p>
        </w:tc>
        <w:tc>
          <w:tcPr>
            <w:tcW w:w="1865" w:type="dxa"/>
            <w:tcBorders>
              <w:top w:val="nil"/>
              <w:left w:val="nil"/>
              <w:bottom w:val="single" w:sz="4" w:space="0" w:color="auto"/>
              <w:right w:val="single" w:sz="4" w:space="0" w:color="auto"/>
            </w:tcBorders>
            <w:shd w:val="clear" w:color="000000" w:fill="E5E0EC"/>
            <w:noWrap/>
            <w:hideMark/>
          </w:tcPr>
          <w:p w14:paraId="4DA42482" w14:textId="22AC18A9" w:rsidR="009A078E" w:rsidRPr="00C6141B" w:rsidRDefault="009A078E" w:rsidP="00E8027C">
            <w:pPr>
              <w:spacing w:after="0" w:line="240" w:lineRule="auto"/>
              <w:jc w:val="center"/>
              <w:rPr>
                <w:rFonts w:eastAsia="Times New Roman" w:cs="Times New Roman"/>
                <w:szCs w:val="24"/>
                <w:lang w:bidi="hi-IN"/>
              </w:rPr>
            </w:pPr>
          </w:p>
        </w:tc>
        <w:tc>
          <w:tcPr>
            <w:tcW w:w="2057" w:type="dxa"/>
            <w:tcBorders>
              <w:top w:val="nil"/>
              <w:left w:val="nil"/>
              <w:bottom w:val="single" w:sz="4" w:space="0" w:color="auto"/>
              <w:right w:val="single" w:sz="4" w:space="0" w:color="auto"/>
            </w:tcBorders>
            <w:shd w:val="clear" w:color="000000" w:fill="E5E0EC"/>
            <w:noWrap/>
            <w:hideMark/>
          </w:tcPr>
          <w:p w14:paraId="2D1975E1" w14:textId="50C108BF"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2,500.00</w:t>
            </w:r>
          </w:p>
        </w:tc>
        <w:tc>
          <w:tcPr>
            <w:tcW w:w="2045" w:type="dxa"/>
            <w:tcBorders>
              <w:top w:val="single" w:sz="4" w:space="0" w:color="auto"/>
              <w:left w:val="nil"/>
              <w:bottom w:val="single" w:sz="4" w:space="0" w:color="auto"/>
              <w:right w:val="single" w:sz="4" w:space="0" w:color="000000"/>
            </w:tcBorders>
            <w:shd w:val="clear" w:color="000000" w:fill="E5E0EC"/>
            <w:noWrap/>
            <w:hideMark/>
          </w:tcPr>
          <w:p w14:paraId="44CC0CBC" w14:textId="02CA88CD"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0.993</w:t>
            </w:r>
          </w:p>
        </w:tc>
        <w:tc>
          <w:tcPr>
            <w:tcW w:w="2448" w:type="dxa"/>
            <w:tcBorders>
              <w:top w:val="nil"/>
              <w:left w:val="nil"/>
              <w:bottom w:val="single" w:sz="4" w:space="0" w:color="auto"/>
              <w:right w:val="single" w:sz="8" w:space="0" w:color="auto"/>
            </w:tcBorders>
            <w:shd w:val="clear" w:color="000000" w:fill="E5E0EC"/>
            <w:noWrap/>
            <w:hideMark/>
          </w:tcPr>
          <w:p w14:paraId="63115386" w14:textId="1871838B"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2,481.39</w:t>
            </w:r>
          </w:p>
        </w:tc>
      </w:tr>
      <w:tr w:rsidR="009A078E" w:rsidRPr="00C6141B" w14:paraId="57354F45" w14:textId="77777777" w:rsidTr="00E8027C">
        <w:trPr>
          <w:trHeight w:val="245"/>
        </w:trPr>
        <w:tc>
          <w:tcPr>
            <w:tcW w:w="969" w:type="dxa"/>
            <w:tcBorders>
              <w:top w:val="nil"/>
              <w:left w:val="single" w:sz="8" w:space="0" w:color="auto"/>
              <w:bottom w:val="single" w:sz="4" w:space="0" w:color="auto"/>
              <w:right w:val="single" w:sz="4" w:space="0" w:color="auto"/>
            </w:tcBorders>
            <w:shd w:val="clear" w:color="000000" w:fill="E5E0EC"/>
            <w:noWrap/>
            <w:hideMark/>
          </w:tcPr>
          <w:p w14:paraId="5B68C8AC" w14:textId="77777777"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2</w:t>
            </w:r>
          </w:p>
        </w:tc>
        <w:tc>
          <w:tcPr>
            <w:tcW w:w="1865" w:type="dxa"/>
            <w:tcBorders>
              <w:top w:val="nil"/>
              <w:left w:val="nil"/>
              <w:bottom w:val="single" w:sz="4" w:space="0" w:color="auto"/>
              <w:right w:val="single" w:sz="4" w:space="0" w:color="auto"/>
            </w:tcBorders>
            <w:shd w:val="clear" w:color="000000" w:fill="E5E0EC"/>
            <w:noWrap/>
            <w:hideMark/>
          </w:tcPr>
          <w:p w14:paraId="5DE766BE" w14:textId="55D03839" w:rsidR="009A078E" w:rsidRPr="00C6141B" w:rsidRDefault="009A078E" w:rsidP="00E8027C">
            <w:pPr>
              <w:spacing w:after="0" w:line="240" w:lineRule="auto"/>
              <w:jc w:val="center"/>
              <w:rPr>
                <w:rFonts w:eastAsia="Times New Roman" w:cs="Times New Roman"/>
                <w:szCs w:val="24"/>
                <w:lang w:bidi="hi-IN"/>
              </w:rPr>
            </w:pPr>
          </w:p>
        </w:tc>
        <w:tc>
          <w:tcPr>
            <w:tcW w:w="2057" w:type="dxa"/>
            <w:tcBorders>
              <w:top w:val="nil"/>
              <w:left w:val="nil"/>
              <w:bottom w:val="single" w:sz="4" w:space="0" w:color="auto"/>
              <w:right w:val="single" w:sz="4" w:space="0" w:color="auto"/>
            </w:tcBorders>
            <w:shd w:val="clear" w:color="000000" w:fill="E5E0EC"/>
            <w:noWrap/>
            <w:hideMark/>
          </w:tcPr>
          <w:p w14:paraId="115D7552" w14:textId="00931889"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2,000.00</w:t>
            </w:r>
          </w:p>
        </w:tc>
        <w:tc>
          <w:tcPr>
            <w:tcW w:w="2045" w:type="dxa"/>
            <w:tcBorders>
              <w:top w:val="single" w:sz="4" w:space="0" w:color="auto"/>
              <w:left w:val="nil"/>
              <w:bottom w:val="single" w:sz="4" w:space="0" w:color="auto"/>
              <w:right w:val="single" w:sz="4" w:space="0" w:color="000000"/>
            </w:tcBorders>
            <w:shd w:val="clear" w:color="000000" w:fill="E5E0EC"/>
            <w:noWrap/>
            <w:hideMark/>
          </w:tcPr>
          <w:p w14:paraId="496A8CA7" w14:textId="590F4A56"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0.985</w:t>
            </w:r>
          </w:p>
        </w:tc>
        <w:tc>
          <w:tcPr>
            <w:tcW w:w="2448" w:type="dxa"/>
            <w:tcBorders>
              <w:top w:val="nil"/>
              <w:left w:val="nil"/>
              <w:bottom w:val="single" w:sz="4" w:space="0" w:color="auto"/>
              <w:right w:val="single" w:sz="8" w:space="0" w:color="auto"/>
            </w:tcBorders>
            <w:shd w:val="clear" w:color="000000" w:fill="E5E0EC"/>
            <w:noWrap/>
            <w:hideMark/>
          </w:tcPr>
          <w:p w14:paraId="17A2AF8C" w14:textId="31B78ECD"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1,970.33</w:t>
            </w:r>
          </w:p>
        </w:tc>
      </w:tr>
      <w:tr w:rsidR="009A078E" w:rsidRPr="00C6141B" w14:paraId="5BE0C651" w14:textId="77777777" w:rsidTr="00E8027C">
        <w:trPr>
          <w:trHeight w:val="245"/>
        </w:trPr>
        <w:tc>
          <w:tcPr>
            <w:tcW w:w="969" w:type="dxa"/>
            <w:tcBorders>
              <w:top w:val="nil"/>
              <w:left w:val="single" w:sz="8" w:space="0" w:color="auto"/>
              <w:bottom w:val="single" w:sz="4" w:space="0" w:color="auto"/>
              <w:right w:val="single" w:sz="4" w:space="0" w:color="auto"/>
            </w:tcBorders>
            <w:shd w:val="clear" w:color="000000" w:fill="E5E0EC"/>
            <w:noWrap/>
            <w:hideMark/>
          </w:tcPr>
          <w:p w14:paraId="332EF9DC" w14:textId="77777777"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3</w:t>
            </w:r>
          </w:p>
        </w:tc>
        <w:tc>
          <w:tcPr>
            <w:tcW w:w="1865" w:type="dxa"/>
            <w:tcBorders>
              <w:top w:val="nil"/>
              <w:left w:val="nil"/>
              <w:bottom w:val="single" w:sz="4" w:space="0" w:color="auto"/>
              <w:right w:val="single" w:sz="4" w:space="0" w:color="auto"/>
            </w:tcBorders>
            <w:shd w:val="clear" w:color="000000" w:fill="E5E0EC"/>
            <w:noWrap/>
            <w:hideMark/>
          </w:tcPr>
          <w:p w14:paraId="2C344710" w14:textId="69EE2011" w:rsidR="009A078E" w:rsidRPr="00C6141B" w:rsidRDefault="009A078E" w:rsidP="00E8027C">
            <w:pPr>
              <w:spacing w:after="0" w:line="240" w:lineRule="auto"/>
              <w:jc w:val="center"/>
              <w:rPr>
                <w:rFonts w:eastAsia="Times New Roman" w:cs="Times New Roman"/>
                <w:szCs w:val="24"/>
                <w:lang w:bidi="hi-IN"/>
              </w:rPr>
            </w:pPr>
          </w:p>
        </w:tc>
        <w:tc>
          <w:tcPr>
            <w:tcW w:w="2057" w:type="dxa"/>
            <w:tcBorders>
              <w:top w:val="nil"/>
              <w:left w:val="nil"/>
              <w:bottom w:val="single" w:sz="4" w:space="0" w:color="auto"/>
              <w:right w:val="single" w:sz="4" w:space="0" w:color="auto"/>
            </w:tcBorders>
            <w:shd w:val="clear" w:color="000000" w:fill="E5E0EC"/>
            <w:noWrap/>
            <w:hideMark/>
          </w:tcPr>
          <w:p w14:paraId="6C96F7FE" w14:textId="1703C3B7"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1,000.00</w:t>
            </w:r>
          </w:p>
        </w:tc>
        <w:tc>
          <w:tcPr>
            <w:tcW w:w="2045" w:type="dxa"/>
            <w:tcBorders>
              <w:top w:val="single" w:sz="4" w:space="0" w:color="auto"/>
              <w:left w:val="nil"/>
              <w:bottom w:val="single" w:sz="4" w:space="0" w:color="auto"/>
              <w:right w:val="single" w:sz="4" w:space="0" w:color="000000"/>
            </w:tcBorders>
            <w:shd w:val="clear" w:color="000000" w:fill="E5E0EC"/>
            <w:noWrap/>
            <w:hideMark/>
          </w:tcPr>
          <w:p w14:paraId="76B4BA8A" w14:textId="46E1BD4B"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0.978</w:t>
            </w:r>
          </w:p>
        </w:tc>
        <w:tc>
          <w:tcPr>
            <w:tcW w:w="2448" w:type="dxa"/>
            <w:tcBorders>
              <w:top w:val="nil"/>
              <w:left w:val="nil"/>
              <w:bottom w:val="single" w:sz="4" w:space="0" w:color="auto"/>
              <w:right w:val="single" w:sz="8" w:space="0" w:color="auto"/>
            </w:tcBorders>
            <w:shd w:val="clear" w:color="000000" w:fill="E5E0EC"/>
            <w:noWrap/>
            <w:hideMark/>
          </w:tcPr>
          <w:p w14:paraId="0E65364C" w14:textId="56C7B745"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977.83</w:t>
            </w:r>
          </w:p>
        </w:tc>
      </w:tr>
      <w:tr w:rsidR="009A078E" w:rsidRPr="00C6141B" w14:paraId="4588EE92" w14:textId="77777777" w:rsidTr="00E8027C">
        <w:trPr>
          <w:trHeight w:val="245"/>
        </w:trPr>
        <w:tc>
          <w:tcPr>
            <w:tcW w:w="969" w:type="dxa"/>
            <w:tcBorders>
              <w:top w:val="nil"/>
              <w:left w:val="single" w:sz="8" w:space="0" w:color="auto"/>
              <w:bottom w:val="single" w:sz="4" w:space="0" w:color="auto"/>
              <w:right w:val="single" w:sz="4" w:space="0" w:color="auto"/>
            </w:tcBorders>
            <w:shd w:val="clear" w:color="000000" w:fill="E5E0EC"/>
            <w:noWrap/>
            <w:hideMark/>
          </w:tcPr>
          <w:p w14:paraId="592500EB" w14:textId="77777777"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4</w:t>
            </w:r>
          </w:p>
        </w:tc>
        <w:tc>
          <w:tcPr>
            <w:tcW w:w="1865" w:type="dxa"/>
            <w:tcBorders>
              <w:top w:val="nil"/>
              <w:left w:val="nil"/>
              <w:bottom w:val="single" w:sz="4" w:space="0" w:color="auto"/>
              <w:right w:val="single" w:sz="4" w:space="0" w:color="auto"/>
            </w:tcBorders>
            <w:shd w:val="clear" w:color="000000" w:fill="E5E0EC"/>
            <w:noWrap/>
            <w:hideMark/>
          </w:tcPr>
          <w:p w14:paraId="7BA11BFF" w14:textId="46CEB5CC" w:rsidR="009A078E" w:rsidRPr="00C6141B" w:rsidRDefault="009A078E" w:rsidP="00E8027C">
            <w:pPr>
              <w:spacing w:after="0" w:line="240" w:lineRule="auto"/>
              <w:jc w:val="center"/>
              <w:rPr>
                <w:rFonts w:eastAsia="Times New Roman" w:cs="Times New Roman"/>
                <w:szCs w:val="24"/>
                <w:lang w:bidi="hi-IN"/>
              </w:rPr>
            </w:pPr>
          </w:p>
        </w:tc>
        <w:tc>
          <w:tcPr>
            <w:tcW w:w="2057" w:type="dxa"/>
            <w:tcBorders>
              <w:top w:val="nil"/>
              <w:left w:val="nil"/>
              <w:bottom w:val="single" w:sz="4" w:space="0" w:color="auto"/>
              <w:right w:val="single" w:sz="4" w:space="0" w:color="auto"/>
            </w:tcBorders>
            <w:shd w:val="clear" w:color="000000" w:fill="E5E0EC"/>
            <w:noWrap/>
            <w:hideMark/>
          </w:tcPr>
          <w:p w14:paraId="6EBC03AA" w14:textId="032123E3"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(442.00)</w:t>
            </w:r>
          </w:p>
        </w:tc>
        <w:tc>
          <w:tcPr>
            <w:tcW w:w="2045" w:type="dxa"/>
            <w:tcBorders>
              <w:top w:val="single" w:sz="4" w:space="0" w:color="auto"/>
              <w:left w:val="nil"/>
              <w:bottom w:val="single" w:sz="4" w:space="0" w:color="auto"/>
              <w:right w:val="single" w:sz="4" w:space="0" w:color="000000"/>
            </w:tcBorders>
            <w:shd w:val="clear" w:color="000000" w:fill="E5E0EC"/>
            <w:noWrap/>
            <w:hideMark/>
          </w:tcPr>
          <w:p w14:paraId="3DE57EAE" w14:textId="721531E5"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0.971</w:t>
            </w:r>
          </w:p>
        </w:tc>
        <w:tc>
          <w:tcPr>
            <w:tcW w:w="2448" w:type="dxa"/>
            <w:tcBorders>
              <w:top w:val="nil"/>
              <w:left w:val="nil"/>
              <w:bottom w:val="single" w:sz="4" w:space="0" w:color="auto"/>
              <w:right w:val="single" w:sz="8" w:space="0" w:color="auto"/>
            </w:tcBorders>
            <w:shd w:val="clear" w:color="000000" w:fill="E5E0EC"/>
            <w:noWrap/>
            <w:hideMark/>
          </w:tcPr>
          <w:p w14:paraId="28399EAC" w14:textId="322822D1"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(428.98)</w:t>
            </w:r>
          </w:p>
        </w:tc>
      </w:tr>
      <w:tr w:rsidR="009A078E" w:rsidRPr="00C6141B" w14:paraId="16A4EA81" w14:textId="77777777" w:rsidTr="00E8027C">
        <w:trPr>
          <w:trHeight w:val="386"/>
        </w:trPr>
        <w:tc>
          <w:tcPr>
            <w:tcW w:w="969" w:type="dxa"/>
            <w:tcBorders>
              <w:top w:val="nil"/>
              <w:left w:val="single" w:sz="8" w:space="0" w:color="auto"/>
              <w:bottom w:val="single" w:sz="8" w:space="0" w:color="auto"/>
              <w:right w:val="single" w:sz="4" w:space="0" w:color="auto"/>
            </w:tcBorders>
            <w:shd w:val="clear" w:color="000000" w:fill="E5E0EC"/>
            <w:noWrap/>
            <w:hideMark/>
          </w:tcPr>
          <w:p w14:paraId="313538D2" w14:textId="48CC72E2" w:rsidR="009A078E" w:rsidRPr="00C6141B" w:rsidRDefault="009A078E" w:rsidP="00E8027C">
            <w:pPr>
              <w:spacing w:after="0" w:line="240" w:lineRule="auto"/>
              <w:jc w:val="center"/>
              <w:rPr>
                <w:rFonts w:eastAsia="Times New Roman" w:cs="Times New Roman"/>
                <w:szCs w:val="24"/>
                <w:lang w:bidi="hi-IN"/>
              </w:rPr>
            </w:pPr>
          </w:p>
        </w:tc>
        <w:tc>
          <w:tcPr>
            <w:tcW w:w="1865" w:type="dxa"/>
            <w:tcBorders>
              <w:top w:val="nil"/>
              <w:left w:val="nil"/>
              <w:bottom w:val="single" w:sz="8" w:space="0" w:color="auto"/>
              <w:right w:val="single" w:sz="4" w:space="0" w:color="auto"/>
            </w:tcBorders>
            <w:shd w:val="clear" w:color="000000" w:fill="E5E0EC"/>
            <w:noWrap/>
            <w:hideMark/>
          </w:tcPr>
          <w:p w14:paraId="61D1ABB3" w14:textId="66602277" w:rsidR="009A078E" w:rsidRPr="00C6141B" w:rsidRDefault="009A078E" w:rsidP="00E8027C">
            <w:pPr>
              <w:spacing w:after="0" w:line="240" w:lineRule="auto"/>
              <w:jc w:val="center"/>
              <w:rPr>
                <w:rFonts w:eastAsia="Times New Roman" w:cs="Times New Roman"/>
                <w:szCs w:val="24"/>
                <w:lang w:bidi="hi-IN"/>
              </w:rPr>
            </w:pPr>
          </w:p>
        </w:tc>
        <w:tc>
          <w:tcPr>
            <w:tcW w:w="4102" w:type="dxa"/>
            <w:gridSpan w:val="2"/>
            <w:tcBorders>
              <w:top w:val="single" w:sz="4" w:space="0" w:color="auto"/>
              <w:left w:val="nil"/>
              <w:bottom w:val="single" w:sz="8" w:space="0" w:color="auto"/>
              <w:right w:val="single" w:sz="4" w:space="0" w:color="auto"/>
            </w:tcBorders>
            <w:shd w:val="clear" w:color="000000" w:fill="E5E0EC"/>
            <w:noWrap/>
            <w:hideMark/>
          </w:tcPr>
          <w:p w14:paraId="43B4E2F2" w14:textId="3C1A0555" w:rsidR="009A078E" w:rsidRPr="00C6141B" w:rsidRDefault="009A078E" w:rsidP="00E8027C">
            <w:pPr>
              <w:spacing w:after="0" w:line="240" w:lineRule="auto"/>
              <w:jc w:val="center"/>
              <w:rPr>
                <w:rFonts w:eastAsia="Times New Roman" w:cs="Times New Roman"/>
                <w:b/>
                <w:bCs/>
                <w:szCs w:val="24"/>
                <w:lang w:bidi="hi-IN"/>
              </w:rPr>
            </w:pPr>
            <w:r w:rsidRPr="00C6141B">
              <w:rPr>
                <w:rFonts w:eastAsia="Times New Roman" w:cs="Times New Roman"/>
                <w:b/>
                <w:bCs/>
                <w:szCs w:val="24"/>
                <w:lang w:bidi="hi-IN"/>
              </w:rPr>
              <w:t>NPV</w:t>
            </w:r>
          </w:p>
        </w:tc>
        <w:tc>
          <w:tcPr>
            <w:tcW w:w="2448" w:type="dxa"/>
            <w:tcBorders>
              <w:top w:val="nil"/>
              <w:left w:val="nil"/>
              <w:bottom w:val="single" w:sz="8" w:space="0" w:color="auto"/>
              <w:right w:val="single" w:sz="8" w:space="0" w:color="auto"/>
            </w:tcBorders>
            <w:shd w:val="clear" w:color="000000" w:fill="E5E0EC"/>
            <w:noWrap/>
            <w:hideMark/>
          </w:tcPr>
          <w:p w14:paraId="0D732D7E" w14:textId="5F7DDF08" w:rsidR="009A078E" w:rsidRPr="00C6141B" w:rsidRDefault="009A078E" w:rsidP="00E8027C">
            <w:pPr>
              <w:spacing w:after="0" w:line="240" w:lineRule="auto"/>
              <w:jc w:val="center"/>
              <w:rPr>
                <w:rFonts w:eastAsia="Times New Roman" w:cs="Times New Roman"/>
                <w:b/>
                <w:bCs/>
                <w:szCs w:val="24"/>
                <w:lang w:bidi="hi-IN"/>
              </w:rPr>
            </w:pPr>
            <w:r w:rsidRPr="00C6141B">
              <w:rPr>
                <w:rFonts w:eastAsia="Times New Roman" w:cs="Times New Roman"/>
                <w:b/>
                <w:bCs/>
                <w:szCs w:val="24"/>
                <w:lang w:bidi="hi-IN"/>
              </w:rPr>
              <w:t>0.57</w:t>
            </w:r>
          </w:p>
        </w:tc>
      </w:tr>
      <w:tr w:rsidR="009A078E" w:rsidRPr="00C6141B" w14:paraId="59382E97" w14:textId="77777777" w:rsidTr="00E8027C">
        <w:trPr>
          <w:trHeight w:val="449"/>
        </w:trPr>
        <w:tc>
          <w:tcPr>
            <w:tcW w:w="9385" w:type="dxa"/>
            <w:gridSpan w:val="5"/>
            <w:tcBorders>
              <w:top w:val="single" w:sz="8" w:space="0" w:color="auto"/>
              <w:left w:val="single" w:sz="8" w:space="0" w:color="auto"/>
              <w:bottom w:val="single" w:sz="8" w:space="0" w:color="auto"/>
              <w:right w:val="single" w:sz="8" w:space="0" w:color="000000"/>
            </w:tcBorders>
            <w:shd w:val="clear" w:color="000000" w:fill="CCC0DA"/>
            <w:noWrap/>
            <w:hideMark/>
          </w:tcPr>
          <w:p w14:paraId="4FC52563" w14:textId="4C5A123B" w:rsidR="009A078E" w:rsidRPr="00C6141B" w:rsidRDefault="009A078E" w:rsidP="00E8027C">
            <w:pPr>
              <w:spacing w:after="0" w:line="240" w:lineRule="auto"/>
              <w:jc w:val="center"/>
              <w:rPr>
                <w:rFonts w:eastAsia="Times New Roman" w:cs="Times New Roman"/>
                <w:b/>
                <w:bCs/>
                <w:szCs w:val="24"/>
                <w:lang w:bidi="hi-IN"/>
              </w:rPr>
            </w:pPr>
            <w:r w:rsidRPr="00C6141B">
              <w:rPr>
                <w:rFonts w:eastAsia="Times New Roman" w:cs="Times New Roman"/>
                <w:b/>
                <w:bCs/>
                <w:szCs w:val="24"/>
                <w:lang w:bidi="hi-IN"/>
              </w:rPr>
              <w:t>NPV computation for project B</w:t>
            </w:r>
          </w:p>
        </w:tc>
      </w:tr>
      <w:tr w:rsidR="009A078E" w:rsidRPr="00C6141B" w14:paraId="26E898A8" w14:textId="77777777" w:rsidTr="00E8027C">
        <w:trPr>
          <w:trHeight w:val="245"/>
        </w:trPr>
        <w:tc>
          <w:tcPr>
            <w:tcW w:w="969" w:type="dxa"/>
            <w:tcBorders>
              <w:top w:val="nil"/>
              <w:left w:val="single" w:sz="8" w:space="0" w:color="auto"/>
              <w:bottom w:val="single" w:sz="4" w:space="0" w:color="auto"/>
              <w:right w:val="single" w:sz="4" w:space="0" w:color="auto"/>
            </w:tcBorders>
            <w:shd w:val="clear" w:color="000000" w:fill="E5E0EC"/>
            <w:noWrap/>
            <w:hideMark/>
          </w:tcPr>
          <w:p w14:paraId="5B6038B6" w14:textId="529069DC" w:rsidR="009A078E" w:rsidRPr="00C6141B" w:rsidRDefault="009A078E" w:rsidP="00E8027C">
            <w:pPr>
              <w:spacing w:after="0" w:line="240" w:lineRule="auto"/>
              <w:jc w:val="center"/>
              <w:rPr>
                <w:rFonts w:eastAsia="Times New Roman" w:cs="Times New Roman"/>
                <w:b/>
                <w:bCs/>
                <w:szCs w:val="24"/>
                <w:lang w:bidi="hi-IN"/>
              </w:rPr>
            </w:pPr>
            <w:r w:rsidRPr="00C6141B">
              <w:rPr>
                <w:rFonts w:eastAsia="Times New Roman" w:cs="Times New Roman"/>
                <w:b/>
                <w:bCs/>
                <w:szCs w:val="24"/>
                <w:lang w:bidi="hi-IN"/>
              </w:rPr>
              <w:t>Year</w:t>
            </w:r>
          </w:p>
        </w:tc>
        <w:tc>
          <w:tcPr>
            <w:tcW w:w="1865" w:type="dxa"/>
            <w:tcBorders>
              <w:top w:val="nil"/>
              <w:left w:val="nil"/>
              <w:bottom w:val="single" w:sz="4" w:space="0" w:color="auto"/>
              <w:right w:val="single" w:sz="4" w:space="0" w:color="auto"/>
            </w:tcBorders>
            <w:shd w:val="clear" w:color="000000" w:fill="E5E0EC"/>
            <w:noWrap/>
            <w:hideMark/>
          </w:tcPr>
          <w:p w14:paraId="156C8080" w14:textId="5D3A3E3D" w:rsidR="009A078E" w:rsidRPr="00C6141B" w:rsidRDefault="00E8027C" w:rsidP="00E8027C">
            <w:pPr>
              <w:spacing w:after="0" w:line="240" w:lineRule="auto"/>
              <w:jc w:val="center"/>
              <w:rPr>
                <w:rFonts w:eastAsia="Times New Roman" w:cs="Times New Roman"/>
                <w:b/>
                <w:bCs/>
                <w:szCs w:val="24"/>
                <w:lang w:bidi="hi-IN"/>
              </w:rPr>
            </w:pPr>
            <w:r w:rsidRPr="00C6141B">
              <w:rPr>
                <w:rFonts w:eastAsia="Times New Roman" w:cs="Times New Roman"/>
                <w:b/>
                <w:bCs/>
                <w:szCs w:val="24"/>
                <w:lang w:bidi="hi-IN"/>
              </w:rPr>
              <w:t>I</w:t>
            </w:r>
            <w:r w:rsidR="009A078E" w:rsidRPr="00C6141B">
              <w:rPr>
                <w:rFonts w:eastAsia="Times New Roman" w:cs="Times New Roman"/>
                <w:b/>
                <w:bCs/>
                <w:szCs w:val="24"/>
                <w:lang w:bidi="hi-IN"/>
              </w:rPr>
              <w:t>nitial</w:t>
            </w:r>
            <w:r w:rsidRPr="00C6141B">
              <w:rPr>
                <w:rFonts w:eastAsia="Times New Roman" w:cs="Times New Roman"/>
                <w:b/>
                <w:bCs/>
                <w:szCs w:val="24"/>
                <w:lang w:bidi="hi-IN"/>
              </w:rPr>
              <w:t xml:space="preserve"> </w:t>
            </w:r>
            <w:r w:rsidR="009A078E" w:rsidRPr="00C6141B">
              <w:rPr>
                <w:rFonts w:eastAsia="Times New Roman" w:cs="Times New Roman"/>
                <w:b/>
                <w:bCs/>
                <w:szCs w:val="24"/>
                <w:lang w:bidi="hi-IN"/>
              </w:rPr>
              <w:t>investment (£m)</w:t>
            </w:r>
          </w:p>
        </w:tc>
        <w:tc>
          <w:tcPr>
            <w:tcW w:w="2057" w:type="dxa"/>
            <w:tcBorders>
              <w:top w:val="nil"/>
              <w:left w:val="nil"/>
              <w:bottom w:val="single" w:sz="4" w:space="0" w:color="auto"/>
              <w:right w:val="single" w:sz="4" w:space="0" w:color="auto"/>
            </w:tcBorders>
            <w:shd w:val="clear" w:color="000000" w:fill="E5E0EC"/>
            <w:noWrap/>
            <w:hideMark/>
          </w:tcPr>
          <w:p w14:paraId="7E8A74EE" w14:textId="1376BD94" w:rsidR="009A078E" w:rsidRPr="00C6141B" w:rsidRDefault="009A078E" w:rsidP="00E8027C">
            <w:pPr>
              <w:spacing w:after="0" w:line="240" w:lineRule="auto"/>
              <w:jc w:val="center"/>
              <w:rPr>
                <w:rFonts w:eastAsia="Times New Roman" w:cs="Times New Roman"/>
                <w:b/>
                <w:bCs/>
                <w:szCs w:val="24"/>
                <w:lang w:bidi="hi-IN"/>
              </w:rPr>
            </w:pPr>
            <w:r w:rsidRPr="00C6141B">
              <w:rPr>
                <w:rFonts w:eastAsia="Times New Roman" w:cs="Times New Roman"/>
                <w:b/>
                <w:bCs/>
                <w:szCs w:val="24"/>
                <w:lang w:bidi="hi-IN"/>
              </w:rPr>
              <w:t>Inflow (£m)</w:t>
            </w:r>
          </w:p>
        </w:tc>
        <w:tc>
          <w:tcPr>
            <w:tcW w:w="2045" w:type="dxa"/>
            <w:tcBorders>
              <w:top w:val="single" w:sz="8" w:space="0" w:color="auto"/>
              <w:left w:val="nil"/>
              <w:bottom w:val="single" w:sz="4" w:space="0" w:color="auto"/>
              <w:right w:val="single" w:sz="4" w:space="0" w:color="000000"/>
            </w:tcBorders>
            <w:shd w:val="clear" w:color="000000" w:fill="E5E0EC"/>
            <w:noWrap/>
            <w:hideMark/>
          </w:tcPr>
          <w:p w14:paraId="20B4C4C6" w14:textId="1AC868BB" w:rsidR="009A078E" w:rsidRPr="00C6141B" w:rsidRDefault="009A078E" w:rsidP="00E8027C">
            <w:pPr>
              <w:spacing w:after="0" w:line="240" w:lineRule="auto"/>
              <w:jc w:val="center"/>
              <w:rPr>
                <w:rFonts w:eastAsia="Times New Roman" w:cs="Times New Roman"/>
                <w:b/>
                <w:bCs/>
                <w:szCs w:val="24"/>
                <w:lang w:bidi="hi-IN"/>
              </w:rPr>
            </w:pPr>
            <w:r w:rsidRPr="00C6141B">
              <w:rPr>
                <w:rFonts w:eastAsia="Times New Roman" w:cs="Times New Roman"/>
                <w:b/>
                <w:bCs/>
                <w:szCs w:val="24"/>
                <w:lang w:bidi="hi-IN"/>
              </w:rPr>
              <w:t>PV factor @0.75%</w:t>
            </w:r>
          </w:p>
        </w:tc>
        <w:tc>
          <w:tcPr>
            <w:tcW w:w="2448" w:type="dxa"/>
            <w:tcBorders>
              <w:top w:val="nil"/>
              <w:left w:val="nil"/>
              <w:bottom w:val="single" w:sz="4" w:space="0" w:color="auto"/>
              <w:right w:val="single" w:sz="8" w:space="0" w:color="auto"/>
            </w:tcBorders>
            <w:shd w:val="clear" w:color="000000" w:fill="E5E0EC"/>
            <w:noWrap/>
            <w:hideMark/>
          </w:tcPr>
          <w:p w14:paraId="51EDB293" w14:textId="15668768" w:rsidR="009A078E" w:rsidRPr="00C6141B" w:rsidRDefault="009A078E" w:rsidP="00E8027C">
            <w:pPr>
              <w:spacing w:after="0" w:line="240" w:lineRule="auto"/>
              <w:jc w:val="center"/>
              <w:rPr>
                <w:rFonts w:eastAsia="Times New Roman" w:cs="Times New Roman"/>
                <w:b/>
                <w:bCs/>
                <w:szCs w:val="24"/>
                <w:lang w:bidi="hi-IN"/>
              </w:rPr>
            </w:pPr>
            <w:r w:rsidRPr="00C6141B">
              <w:rPr>
                <w:rFonts w:eastAsia="Times New Roman" w:cs="Times New Roman"/>
                <w:b/>
                <w:bCs/>
                <w:szCs w:val="24"/>
                <w:lang w:bidi="hi-IN"/>
              </w:rPr>
              <w:t>Present value (£m)</w:t>
            </w:r>
          </w:p>
        </w:tc>
      </w:tr>
      <w:tr w:rsidR="009A078E" w:rsidRPr="00C6141B" w14:paraId="38635D06" w14:textId="77777777" w:rsidTr="00E8027C">
        <w:trPr>
          <w:trHeight w:val="245"/>
        </w:trPr>
        <w:tc>
          <w:tcPr>
            <w:tcW w:w="969" w:type="dxa"/>
            <w:tcBorders>
              <w:top w:val="nil"/>
              <w:left w:val="single" w:sz="8" w:space="0" w:color="auto"/>
              <w:bottom w:val="single" w:sz="4" w:space="0" w:color="auto"/>
              <w:right w:val="single" w:sz="4" w:space="0" w:color="auto"/>
            </w:tcBorders>
            <w:shd w:val="clear" w:color="000000" w:fill="E5E0EC"/>
            <w:noWrap/>
            <w:hideMark/>
          </w:tcPr>
          <w:p w14:paraId="4435240C" w14:textId="77777777"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0</w:t>
            </w:r>
          </w:p>
        </w:tc>
        <w:tc>
          <w:tcPr>
            <w:tcW w:w="1865" w:type="dxa"/>
            <w:tcBorders>
              <w:top w:val="nil"/>
              <w:left w:val="nil"/>
              <w:bottom w:val="single" w:sz="4" w:space="0" w:color="auto"/>
              <w:right w:val="single" w:sz="4" w:space="0" w:color="auto"/>
            </w:tcBorders>
            <w:shd w:val="clear" w:color="000000" w:fill="E5E0EC"/>
            <w:noWrap/>
            <w:hideMark/>
          </w:tcPr>
          <w:p w14:paraId="45B4B0FB" w14:textId="19656079"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(1,000.00)</w:t>
            </w:r>
          </w:p>
        </w:tc>
        <w:tc>
          <w:tcPr>
            <w:tcW w:w="2057" w:type="dxa"/>
            <w:tcBorders>
              <w:top w:val="nil"/>
              <w:left w:val="nil"/>
              <w:bottom w:val="single" w:sz="4" w:space="0" w:color="auto"/>
              <w:right w:val="single" w:sz="4" w:space="0" w:color="auto"/>
            </w:tcBorders>
            <w:shd w:val="clear" w:color="000000" w:fill="E5E0EC"/>
            <w:noWrap/>
            <w:hideMark/>
          </w:tcPr>
          <w:p w14:paraId="3FF6781B" w14:textId="73ABDADF"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w:t>
            </w:r>
          </w:p>
        </w:tc>
        <w:tc>
          <w:tcPr>
            <w:tcW w:w="2045" w:type="dxa"/>
            <w:tcBorders>
              <w:top w:val="single" w:sz="4" w:space="0" w:color="auto"/>
              <w:left w:val="nil"/>
              <w:bottom w:val="single" w:sz="4" w:space="0" w:color="auto"/>
              <w:right w:val="single" w:sz="4" w:space="0" w:color="000000"/>
            </w:tcBorders>
            <w:shd w:val="clear" w:color="000000" w:fill="E5E0EC"/>
            <w:noWrap/>
            <w:hideMark/>
          </w:tcPr>
          <w:p w14:paraId="6D6A855D" w14:textId="329DC7CE"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1.000</w:t>
            </w:r>
          </w:p>
        </w:tc>
        <w:tc>
          <w:tcPr>
            <w:tcW w:w="2448" w:type="dxa"/>
            <w:tcBorders>
              <w:top w:val="nil"/>
              <w:left w:val="nil"/>
              <w:bottom w:val="single" w:sz="4" w:space="0" w:color="auto"/>
              <w:right w:val="single" w:sz="8" w:space="0" w:color="auto"/>
            </w:tcBorders>
            <w:shd w:val="clear" w:color="000000" w:fill="E5E0EC"/>
            <w:noWrap/>
            <w:hideMark/>
          </w:tcPr>
          <w:p w14:paraId="2A8B2DA8" w14:textId="6A06E7B9"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(1,000.00)</w:t>
            </w:r>
          </w:p>
        </w:tc>
      </w:tr>
      <w:tr w:rsidR="009A078E" w:rsidRPr="00C6141B" w14:paraId="05BFE317" w14:textId="77777777" w:rsidTr="00E8027C">
        <w:trPr>
          <w:trHeight w:val="245"/>
        </w:trPr>
        <w:tc>
          <w:tcPr>
            <w:tcW w:w="969" w:type="dxa"/>
            <w:tcBorders>
              <w:top w:val="nil"/>
              <w:left w:val="single" w:sz="8" w:space="0" w:color="auto"/>
              <w:bottom w:val="single" w:sz="4" w:space="0" w:color="auto"/>
              <w:right w:val="single" w:sz="4" w:space="0" w:color="auto"/>
            </w:tcBorders>
            <w:shd w:val="clear" w:color="000000" w:fill="E5E0EC"/>
            <w:noWrap/>
            <w:hideMark/>
          </w:tcPr>
          <w:p w14:paraId="56F48499" w14:textId="77777777"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1</w:t>
            </w:r>
          </w:p>
        </w:tc>
        <w:tc>
          <w:tcPr>
            <w:tcW w:w="1865" w:type="dxa"/>
            <w:tcBorders>
              <w:top w:val="nil"/>
              <w:left w:val="nil"/>
              <w:bottom w:val="single" w:sz="4" w:space="0" w:color="auto"/>
              <w:right w:val="single" w:sz="4" w:space="0" w:color="auto"/>
            </w:tcBorders>
            <w:shd w:val="clear" w:color="000000" w:fill="E5E0EC"/>
            <w:noWrap/>
            <w:hideMark/>
          </w:tcPr>
          <w:p w14:paraId="7D8FBE1D" w14:textId="25F4A5C3" w:rsidR="009A078E" w:rsidRPr="00C6141B" w:rsidRDefault="009A078E" w:rsidP="00E8027C">
            <w:pPr>
              <w:spacing w:after="0" w:line="240" w:lineRule="auto"/>
              <w:jc w:val="center"/>
              <w:rPr>
                <w:rFonts w:eastAsia="Times New Roman" w:cs="Times New Roman"/>
                <w:szCs w:val="24"/>
                <w:lang w:bidi="hi-IN"/>
              </w:rPr>
            </w:pPr>
          </w:p>
        </w:tc>
        <w:tc>
          <w:tcPr>
            <w:tcW w:w="2057" w:type="dxa"/>
            <w:tcBorders>
              <w:top w:val="nil"/>
              <w:left w:val="nil"/>
              <w:bottom w:val="single" w:sz="4" w:space="0" w:color="auto"/>
              <w:right w:val="single" w:sz="4" w:space="0" w:color="auto"/>
            </w:tcBorders>
            <w:shd w:val="clear" w:color="000000" w:fill="E5E0EC"/>
            <w:noWrap/>
            <w:hideMark/>
          </w:tcPr>
          <w:p w14:paraId="0E7D6B41" w14:textId="38959A59"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1,500.00</w:t>
            </w:r>
          </w:p>
        </w:tc>
        <w:tc>
          <w:tcPr>
            <w:tcW w:w="2045" w:type="dxa"/>
            <w:tcBorders>
              <w:top w:val="single" w:sz="4" w:space="0" w:color="auto"/>
              <w:left w:val="nil"/>
              <w:bottom w:val="single" w:sz="4" w:space="0" w:color="auto"/>
              <w:right w:val="single" w:sz="4" w:space="0" w:color="000000"/>
            </w:tcBorders>
            <w:shd w:val="clear" w:color="000000" w:fill="E5E0EC"/>
            <w:noWrap/>
            <w:hideMark/>
          </w:tcPr>
          <w:p w14:paraId="7C8854E2" w14:textId="1C23EC11"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0.993</w:t>
            </w:r>
          </w:p>
        </w:tc>
        <w:tc>
          <w:tcPr>
            <w:tcW w:w="2448" w:type="dxa"/>
            <w:tcBorders>
              <w:top w:val="nil"/>
              <w:left w:val="nil"/>
              <w:bottom w:val="single" w:sz="4" w:space="0" w:color="auto"/>
              <w:right w:val="single" w:sz="8" w:space="0" w:color="auto"/>
            </w:tcBorders>
            <w:shd w:val="clear" w:color="000000" w:fill="E5E0EC"/>
            <w:noWrap/>
            <w:hideMark/>
          </w:tcPr>
          <w:p w14:paraId="152D4BC1" w14:textId="644EE947"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1,488.83</w:t>
            </w:r>
          </w:p>
        </w:tc>
      </w:tr>
      <w:tr w:rsidR="009A078E" w:rsidRPr="00C6141B" w14:paraId="71BA7E42" w14:textId="77777777" w:rsidTr="00E8027C">
        <w:trPr>
          <w:trHeight w:val="245"/>
        </w:trPr>
        <w:tc>
          <w:tcPr>
            <w:tcW w:w="969" w:type="dxa"/>
            <w:tcBorders>
              <w:top w:val="nil"/>
              <w:left w:val="single" w:sz="8" w:space="0" w:color="auto"/>
              <w:bottom w:val="single" w:sz="4" w:space="0" w:color="auto"/>
              <w:right w:val="single" w:sz="4" w:space="0" w:color="auto"/>
            </w:tcBorders>
            <w:shd w:val="clear" w:color="000000" w:fill="E5E0EC"/>
            <w:noWrap/>
            <w:hideMark/>
          </w:tcPr>
          <w:p w14:paraId="2D7790C5" w14:textId="77777777"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2</w:t>
            </w:r>
          </w:p>
        </w:tc>
        <w:tc>
          <w:tcPr>
            <w:tcW w:w="1865" w:type="dxa"/>
            <w:tcBorders>
              <w:top w:val="nil"/>
              <w:left w:val="nil"/>
              <w:bottom w:val="single" w:sz="4" w:space="0" w:color="auto"/>
              <w:right w:val="single" w:sz="4" w:space="0" w:color="auto"/>
            </w:tcBorders>
            <w:shd w:val="clear" w:color="000000" w:fill="E5E0EC"/>
            <w:noWrap/>
            <w:hideMark/>
          </w:tcPr>
          <w:p w14:paraId="5EF99DDF" w14:textId="425839A3" w:rsidR="009A078E" w:rsidRPr="00C6141B" w:rsidRDefault="009A078E" w:rsidP="00E8027C">
            <w:pPr>
              <w:spacing w:after="0" w:line="240" w:lineRule="auto"/>
              <w:jc w:val="center"/>
              <w:rPr>
                <w:rFonts w:eastAsia="Times New Roman" w:cs="Times New Roman"/>
                <w:szCs w:val="24"/>
                <w:lang w:bidi="hi-IN"/>
              </w:rPr>
            </w:pPr>
          </w:p>
        </w:tc>
        <w:tc>
          <w:tcPr>
            <w:tcW w:w="2057" w:type="dxa"/>
            <w:tcBorders>
              <w:top w:val="nil"/>
              <w:left w:val="nil"/>
              <w:bottom w:val="single" w:sz="4" w:space="0" w:color="auto"/>
              <w:right w:val="single" w:sz="4" w:space="0" w:color="auto"/>
            </w:tcBorders>
            <w:shd w:val="clear" w:color="000000" w:fill="E5E0EC"/>
            <w:noWrap/>
            <w:hideMark/>
          </w:tcPr>
          <w:p w14:paraId="292A58B8" w14:textId="3DE85481"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1,000.00</w:t>
            </w:r>
          </w:p>
        </w:tc>
        <w:tc>
          <w:tcPr>
            <w:tcW w:w="2045" w:type="dxa"/>
            <w:tcBorders>
              <w:top w:val="single" w:sz="4" w:space="0" w:color="auto"/>
              <w:left w:val="nil"/>
              <w:bottom w:val="single" w:sz="4" w:space="0" w:color="auto"/>
              <w:right w:val="single" w:sz="4" w:space="0" w:color="000000"/>
            </w:tcBorders>
            <w:shd w:val="clear" w:color="000000" w:fill="E5E0EC"/>
            <w:noWrap/>
            <w:hideMark/>
          </w:tcPr>
          <w:p w14:paraId="589A431D" w14:textId="085A093E"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0.985</w:t>
            </w:r>
          </w:p>
        </w:tc>
        <w:tc>
          <w:tcPr>
            <w:tcW w:w="2448" w:type="dxa"/>
            <w:tcBorders>
              <w:top w:val="nil"/>
              <w:left w:val="nil"/>
              <w:bottom w:val="single" w:sz="4" w:space="0" w:color="auto"/>
              <w:right w:val="single" w:sz="8" w:space="0" w:color="auto"/>
            </w:tcBorders>
            <w:shd w:val="clear" w:color="000000" w:fill="E5E0EC"/>
            <w:noWrap/>
            <w:hideMark/>
          </w:tcPr>
          <w:p w14:paraId="310D992F" w14:textId="729E797B"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985.17</w:t>
            </w:r>
          </w:p>
        </w:tc>
      </w:tr>
      <w:tr w:rsidR="009A078E" w:rsidRPr="00C6141B" w14:paraId="7B5F78EC" w14:textId="77777777" w:rsidTr="00E8027C">
        <w:trPr>
          <w:trHeight w:val="245"/>
        </w:trPr>
        <w:tc>
          <w:tcPr>
            <w:tcW w:w="969" w:type="dxa"/>
            <w:tcBorders>
              <w:top w:val="nil"/>
              <w:left w:val="single" w:sz="8" w:space="0" w:color="auto"/>
              <w:bottom w:val="single" w:sz="4" w:space="0" w:color="auto"/>
              <w:right w:val="single" w:sz="4" w:space="0" w:color="auto"/>
            </w:tcBorders>
            <w:shd w:val="clear" w:color="000000" w:fill="E5E0EC"/>
            <w:noWrap/>
            <w:hideMark/>
          </w:tcPr>
          <w:p w14:paraId="1A8A902E" w14:textId="77777777"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3</w:t>
            </w:r>
          </w:p>
        </w:tc>
        <w:tc>
          <w:tcPr>
            <w:tcW w:w="1865" w:type="dxa"/>
            <w:tcBorders>
              <w:top w:val="nil"/>
              <w:left w:val="nil"/>
              <w:bottom w:val="single" w:sz="4" w:space="0" w:color="auto"/>
              <w:right w:val="single" w:sz="4" w:space="0" w:color="auto"/>
            </w:tcBorders>
            <w:shd w:val="clear" w:color="000000" w:fill="E5E0EC"/>
            <w:noWrap/>
            <w:hideMark/>
          </w:tcPr>
          <w:p w14:paraId="50CA0542" w14:textId="44A76217" w:rsidR="009A078E" w:rsidRPr="00C6141B" w:rsidRDefault="009A078E" w:rsidP="00E8027C">
            <w:pPr>
              <w:spacing w:after="0" w:line="240" w:lineRule="auto"/>
              <w:jc w:val="center"/>
              <w:rPr>
                <w:rFonts w:eastAsia="Times New Roman" w:cs="Times New Roman"/>
                <w:szCs w:val="24"/>
                <w:lang w:bidi="hi-IN"/>
              </w:rPr>
            </w:pPr>
          </w:p>
        </w:tc>
        <w:tc>
          <w:tcPr>
            <w:tcW w:w="2057" w:type="dxa"/>
            <w:tcBorders>
              <w:top w:val="nil"/>
              <w:left w:val="nil"/>
              <w:bottom w:val="single" w:sz="4" w:space="0" w:color="auto"/>
              <w:right w:val="single" w:sz="4" w:space="0" w:color="auto"/>
            </w:tcBorders>
            <w:shd w:val="clear" w:color="000000" w:fill="E5E0EC"/>
            <w:noWrap/>
            <w:hideMark/>
          </w:tcPr>
          <w:p w14:paraId="713898EE" w14:textId="72812FAE"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1,000.00</w:t>
            </w:r>
          </w:p>
        </w:tc>
        <w:tc>
          <w:tcPr>
            <w:tcW w:w="2045" w:type="dxa"/>
            <w:tcBorders>
              <w:top w:val="single" w:sz="4" w:space="0" w:color="auto"/>
              <w:left w:val="nil"/>
              <w:bottom w:val="single" w:sz="4" w:space="0" w:color="auto"/>
              <w:right w:val="single" w:sz="4" w:space="0" w:color="000000"/>
            </w:tcBorders>
            <w:shd w:val="clear" w:color="000000" w:fill="E5E0EC"/>
            <w:noWrap/>
            <w:hideMark/>
          </w:tcPr>
          <w:p w14:paraId="234FC824" w14:textId="1C2D8EAC"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0.978</w:t>
            </w:r>
          </w:p>
        </w:tc>
        <w:tc>
          <w:tcPr>
            <w:tcW w:w="2448" w:type="dxa"/>
            <w:tcBorders>
              <w:top w:val="nil"/>
              <w:left w:val="nil"/>
              <w:bottom w:val="single" w:sz="4" w:space="0" w:color="auto"/>
              <w:right w:val="single" w:sz="8" w:space="0" w:color="auto"/>
            </w:tcBorders>
            <w:shd w:val="clear" w:color="000000" w:fill="E5E0EC"/>
            <w:noWrap/>
            <w:hideMark/>
          </w:tcPr>
          <w:p w14:paraId="46BDD349" w14:textId="64822218"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977.83</w:t>
            </w:r>
          </w:p>
        </w:tc>
      </w:tr>
      <w:tr w:rsidR="009A078E" w:rsidRPr="00C6141B" w14:paraId="0EDC8134" w14:textId="77777777" w:rsidTr="00E8027C">
        <w:trPr>
          <w:trHeight w:val="245"/>
        </w:trPr>
        <w:tc>
          <w:tcPr>
            <w:tcW w:w="969" w:type="dxa"/>
            <w:tcBorders>
              <w:top w:val="nil"/>
              <w:left w:val="single" w:sz="8" w:space="0" w:color="auto"/>
              <w:bottom w:val="single" w:sz="4" w:space="0" w:color="auto"/>
              <w:right w:val="single" w:sz="4" w:space="0" w:color="auto"/>
            </w:tcBorders>
            <w:shd w:val="clear" w:color="000000" w:fill="E5E0EC"/>
            <w:noWrap/>
            <w:hideMark/>
          </w:tcPr>
          <w:p w14:paraId="18AEFB09" w14:textId="77777777"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4</w:t>
            </w:r>
          </w:p>
        </w:tc>
        <w:tc>
          <w:tcPr>
            <w:tcW w:w="1865" w:type="dxa"/>
            <w:tcBorders>
              <w:top w:val="nil"/>
              <w:left w:val="nil"/>
              <w:bottom w:val="single" w:sz="4" w:space="0" w:color="auto"/>
              <w:right w:val="single" w:sz="4" w:space="0" w:color="auto"/>
            </w:tcBorders>
            <w:shd w:val="clear" w:color="000000" w:fill="E5E0EC"/>
            <w:noWrap/>
            <w:hideMark/>
          </w:tcPr>
          <w:p w14:paraId="0BE14125" w14:textId="6F62DE03" w:rsidR="009A078E" w:rsidRPr="00C6141B" w:rsidRDefault="009A078E" w:rsidP="00E8027C">
            <w:pPr>
              <w:spacing w:after="0" w:line="240" w:lineRule="auto"/>
              <w:jc w:val="center"/>
              <w:rPr>
                <w:rFonts w:eastAsia="Times New Roman" w:cs="Times New Roman"/>
                <w:szCs w:val="24"/>
                <w:lang w:bidi="hi-IN"/>
              </w:rPr>
            </w:pPr>
          </w:p>
        </w:tc>
        <w:tc>
          <w:tcPr>
            <w:tcW w:w="2057" w:type="dxa"/>
            <w:tcBorders>
              <w:top w:val="nil"/>
              <w:left w:val="nil"/>
              <w:bottom w:val="single" w:sz="4" w:space="0" w:color="auto"/>
              <w:right w:val="single" w:sz="4" w:space="0" w:color="auto"/>
            </w:tcBorders>
            <w:shd w:val="clear" w:color="000000" w:fill="E5E0EC"/>
            <w:noWrap/>
            <w:hideMark/>
          </w:tcPr>
          <w:p w14:paraId="5B8CD6BF" w14:textId="3EEC1D7D"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(470.00)</w:t>
            </w:r>
          </w:p>
        </w:tc>
        <w:tc>
          <w:tcPr>
            <w:tcW w:w="2045" w:type="dxa"/>
            <w:tcBorders>
              <w:top w:val="single" w:sz="4" w:space="0" w:color="auto"/>
              <w:left w:val="nil"/>
              <w:bottom w:val="single" w:sz="4" w:space="0" w:color="auto"/>
              <w:right w:val="single" w:sz="4" w:space="0" w:color="000000"/>
            </w:tcBorders>
            <w:shd w:val="clear" w:color="000000" w:fill="E5E0EC"/>
            <w:noWrap/>
            <w:hideMark/>
          </w:tcPr>
          <w:p w14:paraId="451740F7" w14:textId="013FD183"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0.971</w:t>
            </w:r>
          </w:p>
        </w:tc>
        <w:tc>
          <w:tcPr>
            <w:tcW w:w="2448" w:type="dxa"/>
            <w:tcBorders>
              <w:top w:val="nil"/>
              <w:left w:val="nil"/>
              <w:bottom w:val="single" w:sz="4" w:space="0" w:color="auto"/>
              <w:right w:val="single" w:sz="8" w:space="0" w:color="auto"/>
            </w:tcBorders>
            <w:shd w:val="clear" w:color="000000" w:fill="E5E0EC"/>
            <w:noWrap/>
            <w:hideMark/>
          </w:tcPr>
          <w:p w14:paraId="28242CEE" w14:textId="08554751"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(456.16)</w:t>
            </w:r>
          </w:p>
        </w:tc>
      </w:tr>
      <w:tr w:rsidR="009A078E" w:rsidRPr="00C6141B" w14:paraId="33D86B2B" w14:textId="77777777" w:rsidTr="00E8027C">
        <w:trPr>
          <w:trHeight w:val="422"/>
        </w:trPr>
        <w:tc>
          <w:tcPr>
            <w:tcW w:w="969" w:type="dxa"/>
            <w:tcBorders>
              <w:top w:val="nil"/>
              <w:left w:val="single" w:sz="8" w:space="0" w:color="auto"/>
              <w:bottom w:val="single" w:sz="8" w:space="0" w:color="auto"/>
              <w:right w:val="single" w:sz="4" w:space="0" w:color="auto"/>
            </w:tcBorders>
            <w:shd w:val="clear" w:color="000000" w:fill="E5E0EC"/>
            <w:noWrap/>
            <w:hideMark/>
          </w:tcPr>
          <w:p w14:paraId="3C555A18" w14:textId="4A9DA5CB" w:rsidR="009A078E" w:rsidRPr="00C6141B" w:rsidRDefault="009A078E" w:rsidP="00E8027C">
            <w:pPr>
              <w:spacing w:after="0" w:line="240" w:lineRule="auto"/>
              <w:jc w:val="center"/>
              <w:rPr>
                <w:rFonts w:eastAsia="Times New Roman" w:cs="Times New Roman"/>
                <w:szCs w:val="24"/>
                <w:lang w:bidi="hi-IN"/>
              </w:rPr>
            </w:pPr>
          </w:p>
        </w:tc>
        <w:tc>
          <w:tcPr>
            <w:tcW w:w="1865" w:type="dxa"/>
            <w:tcBorders>
              <w:top w:val="nil"/>
              <w:left w:val="nil"/>
              <w:bottom w:val="single" w:sz="8" w:space="0" w:color="auto"/>
              <w:right w:val="single" w:sz="4" w:space="0" w:color="auto"/>
            </w:tcBorders>
            <w:shd w:val="clear" w:color="000000" w:fill="E5E0EC"/>
            <w:noWrap/>
            <w:hideMark/>
          </w:tcPr>
          <w:p w14:paraId="316E1905" w14:textId="1CEE2C61" w:rsidR="009A078E" w:rsidRPr="00C6141B" w:rsidRDefault="009A078E" w:rsidP="00E8027C">
            <w:pPr>
              <w:spacing w:after="0" w:line="240" w:lineRule="auto"/>
              <w:jc w:val="center"/>
              <w:rPr>
                <w:rFonts w:eastAsia="Times New Roman" w:cs="Times New Roman"/>
                <w:szCs w:val="24"/>
                <w:lang w:bidi="hi-IN"/>
              </w:rPr>
            </w:pPr>
          </w:p>
        </w:tc>
        <w:tc>
          <w:tcPr>
            <w:tcW w:w="4102" w:type="dxa"/>
            <w:gridSpan w:val="2"/>
            <w:tcBorders>
              <w:top w:val="single" w:sz="4" w:space="0" w:color="auto"/>
              <w:left w:val="nil"/>
              <w:bottom w:val="single" w:sz="8" w:space="0" w:color="auto"/>
              <w:right w:val="single" w:sz="4" w:space="0" w:color="auto"/>
            </w:tcBorders>
            <w:shd w:val="clear" w:color="000000" w:fill="E5E0EC"/>
            <w:noWrap/>
            <w:hideMark/>
          </w:tcPr>
          <w:p w14:paraId="67C2A789" w14:textId="621B0303" w:rsidR="009A078E" w:rsidRPr="00C6141B" w:rsidRDefault="009A078E" w:rsidP="00E8027C">
            <w:pPr>
              <w:spacing w:after="0" w:line="240" w:lineRule="auto"/>
              <w:jc w:val="center"/>
              <w:rPr>
                <w:rFonts w:eastAsia="Times New Roman" w:cs="Times New Roman"/>
                <w:b/>
                <w:bCs/>
                <w:szCs w:val="24"/>
                <w:lang w:bidi="hi-IN"/>
              </w:rPr>
            </w:pPr>
            <w:r w:rsidRPr="00C6141B">
              <w:rPr>
                <w:rFonts w:eastAsia="Times New Roman" w:cs="Times New Roman"/>
                <w:b/>
                <w:bCs/>
                <w:szCs w:val="24"/>
                <w:lang w:bidi="hi-IN"/>
              </w:rPr>
              <w:t>NPV</w:t>
            </w:r>
          </w:p>
        </w:tc>
        <w:tc>
          <w:tcPr>
            <w:tcW w:w="2448" w:type="dxa"/>
            <w:tcBorders>
              <w:top w:val="nil"/>
              <w:left w:val="nil"/>
              <w:bottom w:val="single" w:sz="8" w:space="0" w:color="auto"/>
              <w:right w:val="single" w:sz="8" w:space="0" w:color="auto"/>
            </w:tcBorders>
            <w:shd w:val="clear" w:color="000000" w:fill="E5E0EC"/>
            <w:noWrap/>
            <w:hideMark/>
          </w:tcPr>
          <w:p w14:paraId="31A220FE" w14:textId="1E436CED" w:rsidR="009A078E" w:rsidRPr="00C6141B" w:rsidRDefault="009A078E" w:rsidP="00E8027C">
            <w:pPr>
              <w:spacing w:after="0" w:line="240" w:lineRule="auto"/>
              <w:jc w:val="center"/>
              <w:rPr>
                <w:rFonts w:eastAsia="Times New Roman" w:cs="Times New Roman"/>
                <w:b/>
                <w:bCs/>
                <w:szCs w:val="24"/>
                <w:lang w:bidi="hi-IN"/>
              </w:rPr>
            </w:pPr>
            <w:r w:rsidRPr="00C6141B">
              <w:rPr>
                <w:rFonts w:eastAsia="Times New Roman" w:cs="Times New Roman"/>
                <w:b/>
                <w:bCs/>
                <w:szCs w:val="24"/>
                <w:lang w:bidi="hi-IN"/>
              </w:rPr>
              <w:t>1,995.67</w:t>
            </w:r>
          </w:p>
        </w:tc>
      </w:tr>
    </w:tbl>
    <w:p w14:paraId="1094219F" w14:textId="77777777" w:rsidR="009A078E" w:rsidRPr="00C6141B" w:rsidRDefault="009A078E" w:rsidP="009A078E">
      <w:pPr>
        <w:rPr>
          <w:rFonts w:cs="Times New Roman"/>
          <w:szCs w:val="24"/>
        </w:rPr>
      </w:pPr>
    </w:p>
    <w:p w14:paraId="1DDA91CD" w14:textId="1D970CAA" w:rsidR="009A078E" w:rsidRPr="00C6141B" w:rsidRDefault="009A078E" w:rsidP="009A078E">
      <w:pPr>
        <w:rPr>
          <w:rFonts w:eastAsia="Times New Roman" w:cs="Times New Roman"/>
          <w:szCs w:val="24"/>
          <w:lang w:bidi="hi-IN"/>
        </w:rPr>
      </w:pPr>
      <w:r w:rsidRPr="00C6141B">
        <w:rPr>
          <w:rFonts w:cs="Times New Roman"/>
          <w:szCs w:val="24"/>
        </w:rPr>
        <w:t>From the computation above, it can be seen that NPV is higher for project B at £</w:t>
      </w:r>
      <w:r w:rsidRPr="00C6141B">
        <w:rPr>
          <w:rFonts w:eastAsia="Times New Roman" w:cs="Times New Roman"/>
          <w:szCs w:val="24"/>
          <w:lang w:bidi="hi-IN"/>
        </w:rPr>
        <w:t>1,995.67</w:t>
      </w:r>
      <w:r w:rsidR="0051383E" w:rsidRPr="00C6141B">
        <w:rPr>
          <w:rFonts w:eastAsia="Times New Roman" w:cs="Times New Roman"/>
          <w:szCs w:val="24"/>
          <w:lang w:bidi="hi-IN"/>
        </w:rPr>
        <w:t xml:space="preserve"> million</w:t>
      </w:r>
      <w:r w:rsidRPr="00C6141B">
        <w:rPr>
          <w:rFonts w:eastAsia="Times New Roman" w:cs="Times New Roman"/>
          <w:szCs w:val="24"/>
          <w:lang w:bidi="hi-IN"/>
        </w:rPr>
        <w:t xml:space="preserve"> as compared to project A and thus, project B should be considered for investment opportunity for its feasibility to generate more cash for the company.</w:t>
      </w:r>
    </w:p>
    <w:p w14:paraId="6518326C" w14:textId="77777777" w:rsidR="009A078E" w:rsidRPr="00C6141B" w:rsidRDefault="009A078E" w:rsidP="009A078E">
      <w:pPr>
        <w:pStyle w:val="Heading3"/>
        <w:rPr>
          <w:rFonts w:eastAsia="Times New Roman" w:cs="Times New Roman"/>
          <w:lang w:bidi="hi-IN"/>
        </w:rPr>
      </w:pPr>
      <w:bookmarkStart w:id="23" w:name="_Toc175148049"/>
      <w:r w:rsidRPr="00C6141B">
        <w:rPr>
          <w:rFonts w:eastAsia="Times New Roman" w:cs="Times New Roman"/>
          <w:lang w:bidi="hi-IN"/>
        </w:rPr>
        <w:t>3.1.2 Payback Period (PBP)</w:t>
      </w:r>
      <w:bookmarkEnd w:id="23"/>
    </w:p>
    <w:p w14:paraId="6C5347FA" w14:textId="02C05535" w:rsidR="009A078E" w:rsidRPr="00C6141B" w:rsidRDefault="009A078E" w:rsidP="009A078E">
      <w:pPr>
        <w:rPr>
          <w:rFonts w:eastAsia="Times New Roman" w:cs="Times New Roman"/>
          <w:szCs w:val="24"/>
          <w:lang w:bidi="hi-IN"/>
        </w:rPr>
      </w:pPr>
      <w:r w:rsidRPr="00C6141B">
        <w:rPr>
          <w:rFonts w:eastAsia="Times New Roman" w:cs="Times New Roman"/>
          <w:szCs w:val="24"/>
          <w:lang w:bidi="hi-IN"/>
        </w:rPr>
        <w:t>PBP is another determinant to measure the time period a project takes to cover its investment</w:t>
      </w:r>
      <w:r w:rsidR="00E904E1" w:rsidRPr="00C6141B">
        <w:rPr>
          <w:rFonts w:eastAsia="Times New Roman" w:cs="Times New Roman"/>
          <w:szCs w:val="24"/>
          <w:lang w:bidi="hi-IN"/>
        </w:rPr>
        <w:t xml:space="preserve"> </w:t>
      </w:r>
      <w:r w:rsidR="00C11FFD" w:rsidRPr="00C6141B">
        <w:rPr>
          <w:rFonts w:eastAsia="Times New Roman" w:cs="Times New Roman"/>
          <w:szCs w:val="24"/>
          <w:lang w:bidi="hi-IN"/>
        </w:rPr>
        <w:t>(</w:t>
      </w:r>
      <w:r w:rsidR="00C11FFD" w:rsidRPr="00C6141B">
        <w:rPr>
          <w:rFonts w:cs="Times New Roman"/>
          <w:szCs w:val="24"/>
        </w:rPr>
        <w:t>Michelon et al, 2020)</w:t>
      </w:r>
      <w:r w:rsidRPr="00C6141B">
        <w:rPr>
          <w:rFonts w:eastAsia="Times New Roman" w:cs="Times New Roman"/>
          <w:szCs w:val="24"/>
          <w:lang w:bidi="hi-IN"/>
        </w:rPr>
        <w:t>.</w:t>
      </w:r>
    </w:p>
    <w:p w14:paraId="51FD2D7E" w14:textId="77777777" w:rsidR="009A078E" w:rsidRPr="00C6141B" w:rsidRDefault="009A078E" w:rsidP="009A078E">
      <w:pPr>
        <w:ind w:left="2160" w:hanging="2160"/>
        <w:rPr>
          <w:rFonts w:eastAsia="Times New Roman" w:cs="Times New Roman"/>
          <w:szCs w:val="24"/>
          <w:lang w:bidi="hi-IN"/>
        </w:rPr>
      </w:pPr>
      <w:r w:rsidRPr="00C6141B">
        <w:rPr>
          <w:rFonts w:eastAsia="Times New Roman" w:cs="Times New Roman"/>
          <w:szCs w:val="24"/>
          <w:lang w:bidi="hi-IN"/>
        </w:rPr>
        <w:t>Formula of PBP</w:t>
      </w:r>
      <w:r w:rsidRPr="00C6141B">
        <w:rPr>
          <w:rFonts w:eastAsia="Times New Roman" w:cs="Times New Roman"/>
          <w:szCs w:val="24"/>
          <w:lang w:bidi="hi-IN"/>
        </w:rPr>
        <w:tab/>
        <w:t>=</w:t>
      </w:r>
      <w:r w:rsidRPr="00C6141B">
        <w:rPr>
          <w:rFonts w:eastAsia="Times New Roman" w:cs="Times New Roman"/>
          <w:szCs w:val="24"/>
          <w:lang w:bidi="hi-IN"/>
        </w:rPr>
        <w:tab/>
        <w:t>Year before the positive cumulative cash flow + (cumulative cash</w:t>
      </w:r>
      <w:r w:rsidRPr="00C6141B">
        <w:rPr>
          <w:rFonts w:eastAsia="Times New Roman" w:cs="Times New Roman"/>
          <w:szCs w:val="24"/>
          <w:lang w:bidi="hi-IN"/>
        </w:rPr>
        <w:tab/>
        <w:t>flow before the payback year/ cash inflow of the payback year)</w:t>
      </w:r>
    </w:p>
    <w:tbl>
      <w:tblPr>
        <w:tblW w:w="9371" w:type="dxa"/>
        <w:tblInd w:w="94" w:type="dxa"/>
        <w:tblLook w:val="04A0" w:firstRow="1" w:lastRow="0" w:firstColumn="1" w:lastColumn="0" w:noHBand="0" w:noVBand="1"/>
      </w:tblPr>
      <w:tblGrid>
        <w:gridCol w:w="723"/>
        <w:gridCol w:w="1216"/>
        <w:gridCol w:w="1118"/>
        <w:gridCol w:w="1884"/>
        <w:gridCol w:w="1216"/>
        <w:gridCol w:w="1330"/>
        <w:gridCol w:w="1884"/>
      </w:tblGrid>
      <w:tr w:rsidR="009A078E" w:rsidRPr="00C6141B" w14:paraId="088B5B6B" w14:textId="77777777" w:rsidTr="00E8027C">
        <w:trPr>
          <w:trHeight w:val="322"/>
        </w:trPr>
        <w:tc>
          <w:tcPr>
            <w:tcW w:w="9371" w:type="dxa"/>
            <w:gridSpan w:val="7"/>
            <w:tcBorders>
              <w:top w:val="single" w:sz="4" w:space="0" w:color="auto"/>
              <w:left w:val="single" w:sz="4" w:space="0" w:color="auto"/>
              <w:bottom w:val="single" w:sz="4" w:space="0" w:color="auto"/>
              <w:right w:val="single" w:sz="4" w:space="0" w:color="auto"/>
            </w:tcBorders>
            <w:shd w:val="clear" w:color="auto" w:fill="auto"/>
            <w:noWrap/>
            <w:hideMark/>
          </w:tcPr>
          <w:p w14:paraId="78C7155C" w14:textId="1E728367" w:rsidR="009A078E" w:rsidRPr="00C6141B" w:rsidRDefault="009A078E" w:rsidP="00E8027C">
            <w:pPr>
              <w:spacing w:after="0" w:line="240" w:lineRule="auto"/>
              <w:jc w:val="center"/>
              <w:rPr>
                <w:rFonts w:eastAsia="Times New Roman" w:cs="Times New Roman"/>
                <w:b/>
                <w:bCs/>
                <w:szCs w:val="24"/>
                <w:lang w:bidi="hi-IN"/>
              </w:rPr>
            </w:pPr>
            <w:r w:rsidRPr="00C6141B">
              <w:rPr>
                <w:rFonts w:eastAsia="Times New Roman" w:cs="Times New Roman"/>
                <w:b/>
                <w:bCs/>
                <w:szCs w:val="24"/>
                <w:lang w:bidi="hi-IN"/>
              </w:rPr>
              <w:lastRenderedPageBreak/>
              <w:t>Payback Period computation</w:t>
            </w:r>
          </w:p>
        </w:tc>
      </w:tr>
      <w:tr w:rsidR="00E8027C" w:rsidRPr="00C6141B" w14:paraId="1481F36B" w14:textId="77777777" w:rsidTr="00E8027C">
        <w:trPr>
          <w:trHeight w:val="322"/>
        </w:trPr>
        <w:tc>
          <w:tcPr>
            <w:tcW w:w="4941" w:type="dxa"/>
            <w:gridSpan w:val="4"/>
            <w:tcBorders>
              <w:top w:val="nil"/>
              <w:left w:val="single" w:sz="4" w:space="0" w:color="auto"/>
              <w:bottom w:val="single" w:sz="4" w:space="0" w:color="auto"/>
              <w:right w:val="single" w:sz="4" w:space="0" w:color="auto"/>
            </w:tcBorders>
            <w:shd w:val="clear" w:color="auto" w:fill="70AD47" w:themeFill="accent6"/>
            <w:noWrap/>
            <w:hideMark/>
          </w:tcPr>
          <w:p w14:paraId="348D6CB2" w14:textId="17274DFB" w:rsidR="00E8027C" w:rsidRPr="00C6141B" w:rsidRDefault="00E8027C" w:rsidP="00E8027C">
            <w:pPr>
              <w:spacing w:after="0" w:line="240" w:lineRule="auto"/>
              <w:jc w:val="center"/>
              <w:rPr>
                <w:rFonts w:eastAsia="Times New Roman" w:cs="Times New Roman"/>
                <w:b/>
                <w:bCs/>
                <w:szCs w:val="24"/>
                <w:lang w:bidi="hi-IN"/>
              </w:rPr>
            </w:pPr>
            <w:r w:rsidRPr="00C6141B">
              <w:rPr>
                <w:rFonts w:eastAsia="Times New Roman" w:cs="Times New Roman"/>
                <w:b/>
                <w:bCs/>
                <w:szCs w:val="24"/>
                <w:lang w:bidi="hi-IN"/>
              </w:rPr>
              <w:t>Project A</w:t>
            </w:r>
          </w:p>
        </w:tc>
        <w:tc>
          <w:tcPr>
            <w:tcW w:w="4430" w:type="dxa"/>
            <w:gridSpan w:val="3"/>
            <w:tcBorders>
              <w:top w:val="single" w:sz="4" w:space="0" w:color="auto"/>
              <w:left w:val="nil"/>
              <w:bottom w:val="single" w:sz="4" w:space="0" w:color="auto"/>
              <w:right w:val="single" w:sz="4" w:space="0" w:color="auto"/>
            </w:tcBorders>
            <w:shd w:val="clear" w:color="auto" w:fill="ED7D31" w:themeFill="accent2"/>
            <w:noWrap/>
            <w:hideMark/>
          </w:tcPr>
          <w:p w14:paraId="308FB791" w14:textId="1B1E11C1" w:rsidR="00E8027C" w:rsidRPr="00C6141B" w:rsidRDefault="00E8027C" w:rsidP="00E8027C">
            <w:pPr>
              <w:spacing w:after="0" w:line="240" w:lineRule="auto"/>
              <w:jc w:val="center"/>
              <w:rPr>
                <w:rFonts w:eastAsia="Times New Roman" w:cs="Times New Roman"/>
                <w:b/>
                <w:bCs/>
                <w:szCs w:val="24"/>
                <w:lang w:bidi="hi-IN"/>
              </w:rPr>
            </w:pPr>
            <w:r w:rsidRPr="00C6141B">
              <w:rPr>
                <w:rFonts w:eastAsia="Times New Roman" w:cs="Times New Roman"/>
                <w:b/>
                <w:bCs/>
                <w:szCs w:val="24"/>
                <w:lang w:bidi="hi-IN"/>
              </w:rPr>
              <w:t>Project B</w:t>
            </w:r>
          </w:p>
        </w:tc>
      </w:tr>
      <w:tr w:rsidR="009A078E" w:rsidRPr="00C6141B" w14:paraId="1589C1DA" w14:textId="77777777" w:rsidTr="00E8027C">
        <w:trPr>
          <w:trHeight w:val="322"/>
        </w:trPr>
        <w:tc>
          <w:tcPr>
            <w:tcW w:w="723" w:type="dxa"/>
            <w:tcBorders>
              <w:top w:val="nil"/>
              <w:left w:val="single" w:sz="4" w:space="0" w:color="auto"/>
              <w:bottom w:val="single" w:sz="4" w:space="0" w:color="auto"/>
              <w:right w:val="single" w:sz="4" w:space="0" w:color="auto"/>
            </w:tcBorders>
            <w:shd w:val="clear" w:color="000000" w:fill="E5E0EC"/>
            <w:noWrap/>
            <w:hideMark/>
          </w:tcPr>
          <w:p w14:paraId="58641D1F" w14:textId="57939A05" w:rsidR="009A078E" w:rsidRPr="00C6141B" w:rsidRDefault="009A078E" w:rsidP="00E8027C">
            <w:pPr>
              <w:spacing w:after="0" w:line="240" w:lineRule="auto"/>
              <w:jc w:val="center"/>
              <w:rPr>
                <w:rFonts w:eastAsia="Times New Roman" w:cs="Times New Roman"/>
                <w:b/>
                <w:bCs/>
                <w:szCs w:val="24"/>
                <w:lang w:bidi="hi-IN"/>
              </w:rPr>
            </w:pPr>
            <w:r w:rsidRPr="00C6141B">
              <w:rPr>
                <w:rFonts w:eastAsia="Times New Roman" w:cs="Times New Roman"/>
                <w:b/>
                <w:bCs/>
                <w:szCs w:val="24"/>
                <w:lang w:bidi="hi-IN"/>
              </w:rPr>
              <w:t>Year</w:t>
            </w:r>
          </w:p>
        </w:tc>
        <w:tc>
          <w:tcPr>
            <w:tcW w:w="1216" w:type="dxa"/>
            <w:tcBorders>
              <w:top w:val="nil"/>
              <w:left w:val="nil"/>
              <w:bottom w:val="single" w:sz="4" w:space="0" w:color="auto"/>
              <w:right w:val="single" w:sz="4" w:space="0" w:color="auto"/>
            </w:tcBorders>
            <w:shd w:val="clear" w:color="000000" w:fill="E5E0EC"/>
            <w:noWrap/>
            <w:hideMark/>
          </w:tcPr>
          <w:p w14:paraId="13BE1285" w14:textId="178A64E0" w:rsidR="009A078E" w:rsidRPr="00C6141B" w:rsidRDefault="009A078E" w:rsidP="00E8027C">
            <w:pPr>
              <w:spacing w:after="0" w:line="240" w:lineRule="auto"/>
              <w:jc w:val="center"/>
              <w:rPr>
                <w:rFonts w:eastAsia="Times New Roman" w:cs="Times New Roman"/>
                <w:b/>
                <w:bCs/>
                <w:szCs w:val="24"/>
                <w:lang w:bidi="hi-IN"/>
              </w:rPr>
            </w:pPr>
            <w:r w:rsidRPr="00C6141B">
              <w:rPr>
                <w:rFonts w:eastAsia="Times New Roman" w:cs="Times New Roman"/>
                <w:b/>
                <w:bCs/>
                <w:szCs w:val="24"/>
                <w:lang w:bidi="hi-IN"/>
              </w:rPr>
              <w:t>initial cost</w:t>
            </w:r>
          </w:p>
        </w:tc>
        <w:tc>
          <w:tcPr>
            <w:tcW w:w="1118" w:type="dxa"/>
            <w:tcBorders>
              <w:top w:val="nil"/>
              <w:left w:val="nil"/>
              <w:bottom w:val="single" w:sz="4" w:space="0" w:color="auto"/>
              <w:right w:val="single" w:sz="4" w:space="0" w:color="auto"/>
            </w:tcBorders>
            <w:shd w:val="clear" w:color="000000" w:fill="E5E0EC"/>
            <w:noWrap/>
            <w:hideMark/>
          </w:tcPr>
          <w:p w14:paraId="7DD92D23" w14:textId="1EA75CD1" w:rsidR="009A078E" w:rsidRPr="00C6141B" w:rsidRDefault="009A078E" w:rsidP="00E8027C">
            <w:pPr>
              <w:spacing w:after="0" w:line="240" w:lineRule="auto"/>
              <w:jc w:val="center"/>
              <w:rPr>
                <w:rFonts w:eastAsia="Times New Roman" w:cs="Times New Roman"/>
                <w:b/>
                <w:bCs/>
                <w:szCs w:val="24"/>
                <w:lang w:bidi="hi-IN"/>
              </w:rPr>
            </w:pPr>
            <w:r w:rsidRPr="00C6141B">
              <w:rPr>
                <w:rFonts w:eastAsia="Times New Roman" w:cs="Times New Roman"/>
                <w:b/>
                <w:bCs/>
                <w:szCs w:val="24"/>
                <w:lang w:bidi="hi-IN"/>
              </w:rPr>
              <w:t>Inflow</w:t>
            </w:r>
          </w:p>
        </w:tc>
        <w:tc>
          <w:tcPr>
            <w:tcW w:w="1884" w:type="dxa"/>
            <w:tcBorders>
              <w:top w:val="nil"/>
              <w:left w:val="nil"/>
              <w:bottom w:val="single" w:sz="4" w:space="0" w:color="auto"/>
              <w:right w:val="single" w:sz="4" w:space="0" w:color="auto"/>
            </w:tcBorders>
            <w:shd w:val="clear" w:color="000000" w:fill="E5E0EC"/>
            <w:noWrap/>
            <w:hideMark/>
          </w:tcPr>
          <w:p w14:paraId="0FA59A18" w14:textId="4736CD93"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Cumulative cash flow</w:t>
            </w:r>
          </w:p>
        </w:tc>
        <w:tc>
          <w:tcPr>
            <w:tcW w:w="1216" w:type="dxa"/>
            <w:tcBorders>
              <w:top w:val="nil"/>
              <w:left w:val="nil"/>
              <w:bottom w:val="single" w:sz="4" w:space="0" w:color="auto"/>
              <w:right w:val="single" w:sz="4" w:space="0" w:color="auto"/>
            </w:tcBorders>
            <w:shd w:val="clear" w:color="000000" w:fill="E5E0EC"/>
            <w:noWrap/>
            <w:hideMark/>
          </w:tcPr>
          <w:p w14:paraId="5F15404A" w14:textId="73FE2B6C" w:rsidR="009A078E" w:rsidRPr="00C6141B" w:rsidRDefault="009A078E" w:rsidP="00E8027C">
            <w:pPr>
              <w:spacing w:after="0" w:line="240" w:lineRule="auto"/>
              <w:jc w:val="center"/>
              <w:rPr>
                <w:rFonts w:eastAsia="Times New Roman" w:cs="Times New Roman"/>
                <w:b/>
                <w:bCs/>
                <w:szCs w:val="24"/>
                <w:lang w:bidi="hi-IN"/>
              </w:rPr>
            </w:pPr>
            <w:r w:rsidRPr="00C6141B">
              <w:rPr>
                <w:rFonts w:eastAsia="Times New Roman" w:cs="Times New Roman"/>
                <w:b/>
                <w:bCs/>
                <w:szCs w:val="24"/>
                <w:lang w:bidi="hi-IN"/>
              </w:rPr>
              <w:t>initial cost</w:t>
            </w:r>
          </w:p>
        </w:tc>
        <w:tc>
          <w:tcPr>
            <w:tcW w:w="1330" w:type="dxa"/>
            <w:tcBorders>
              <w:top w:val="nil"/>
              <w:left w:val="nil"/>
              <w:bottom w:val="single" w:sz="4" w:space="0" w:color="auto"/>
              <w:right w:val="single" w:sz="4" w:space="0" w:color="auto"/>
            </w:tcBorders>
            <w:shd w:val="clear" w:color="000000" w:fill="E5E0EC"/>
            <w:noWrap/>
            <w:hideMark/>
          </w:tcPr>
          <w:p w14:paraId="4D505237" w14:textId="12C7A110" w:rsidR="009A078E" w:rsidRPr="00C6141B" w:rsidRDefault="009A078E" w:rsidP="00E8027C">
            <w:pPr>
              <w:spacing w:after="0" w:line="240" w:lineRule="auto"/>
              <w:jc w:val="center"/>
              <w:rPr>
                <w:rFonts w:eastAsia="Times New Roman" w:cs="Times New Roman"/>
                <w:b/>
                <w:bCs/>
                <w:szCs w:val="24"/>
                <w:lang w:bidi="hi-IN"/>
              </w:rPr>
            </w:pPr>
            <w:r w:rsidRPr="00C6141B">
              <w:rPr>
                <w:rFonts w:eastAsia="Times New Roman" w:cs="Times New Roman"/>
                <w:b/>
                <w:bCs/>
                <w:szCs w:val="24"/>
                <w:lang w:bidi="hi-IN"/>
              </w:rPr>
              <w:t>Inflow</w:t>
            </w:r>
          </w:p>
        </w:tc>
        <w:tc>
          <w:tcPr>
            <w:tcW w:w="1884" w:type="dxa"/>
            <w:tcBorders>
              <w:top w:val="nil"/>
              <w:left w:val="nil"/>
              <w:bottom w:val="single" w:sz="4" w:space="0" w:color="auto"/>
              <w:right w:val="single" w:sz="4" w:space="0" w:color="auto"/>
            </w:tcBorders>
            <w:shd w:val="clear" w:color="000000" w:fill="E5E0EC"/>
            <w:noWrap/>
            <w:hideMark/>
          </w:tcPr>
          <w:p w14:paraId="1D6EE113" w14:textId="0F7AABDF"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Cumulative</w:t>
            </w:r>
          </w:p>
          <w:p w14:paraId="41BD4841" w14:textId="7020414E"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cashflow</w:t>
            </w:r>
          </w:p>
        </w:tc>
      </w:tr>
      <w:tr w:rsidR="009A078E" w:rsidRPr="00C6141B" w14:paraId="36B399D7" w14:textId="77777777" w:rsidTr="00E8027C">
        <w:trPr>
          <w:trHeight w:val="322"/>
        </w:trPr>
        <w:tc>
          <w:tcPr>
            <w:tcW w:w="723" w:type="dxa"/>
            <w:tcBorders>
              <w:top w:val="nil"/>
              <w:left w:val="single" w:sz="4" w:space="0" w:color="auto"/>
              <w:bottom w:val="single" w:sz="4" w:space="0" w:color="auto"/>
              <w:right w:val="single" w:sz="4" w:space="0" w:color="auto"/>
            </w:tcBorders>
            <w:shd w:val="clear" w:color="000000" w:fill="E5E0EC"/>
            <w:noWrap/>
            <w:hideMark/>
          </w:tcPr>
          <w:p w14:paraId="60DE92AC" w14:textId="77777777"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0</w:t>
            </w:r>
          </w:p>
        </w:tc>
        <w:tc>
          <w:tcPr>
            <w:tcW w:w="1216" w:type="dxa"/>
            <w:tcBorders>
              <w:top w:val="nil"/>
              <w:left w:val="nil"/>
              <w:bottom w:val="single" w:sz="4" w:space="0" w:color="auto"/>
              <w:right w:val="single" w:sz="4" w:space="0" w:color="auto"/>
            </w:tcBorders>
            <w:shd w:val="clear" w:color="000000" w:fill="E5E0EC"/>
            <w:noWrap/>
            <w:hideMark/>
          </w:tcPr>
          <w:p w14:paraId="55ADBF74" w14:textId="20764F7D"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(5,000.00)</w:t>
            </w:r>
          </w:p>
        </w:tc>
        <w:tc>
          <w:tcPr>
            <w:tcW w:w="1118" w:type="dxa"/>
            <w:tcBorders>
              <w:top w:val="nil"/>
              <w:left w:val="nil"/>
              <w:bottom w:val="single" w:sz="4" w:space="0" w:color="auto"/>
              <w:right w:val="single" w:sz="4" w:space="0" w:color="auto"/>
            </w:tcBorders>
            <w:shd w:val="clear" w:color="000000" w:fill="E5E0EC"/>
            <w:noWrap/>
            <w:hideMark/>
          </w:tcPr>
          <w:p w14:paraId="05969F5C" w14:textId="6915F140"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w:t>
            </w:r>
          </w:p>
        </w:tc>
        <w:tc>
          <w:tcPr>
            <w:tcW w:w="1884" w:type="dxa"/>
            <w:tcBorders>
              <w:top w:val="nil"/>
              <w:left w:val="nil"/>
              <w:bottom w:val="single" w:sz="4" w:space="0" w:color="auto"/>
              <w:right w:val="single" w:sz="4" w:space="0" w:color="auto"/>
            </w:tcBorders>
            <w:shd w:val="clear" w:color="000000" w:fill="E5E0EC"/>
            <w:noWrap/>
            <w:hideMark/>
          </w:tcPr>
          <w:p w14:paraId="7E6C3435" w14:textId="09D51E76"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(5,000.00)</w:t>
            </w:r>
          </w:p>
        </w:tc>
        <w:tc>
          <w:tcPr>
            <w:tcW w:w="1216" w:type="dxa"/>
            <w:tcBorders>
              <w:top w:val="nil"/>
              <w:left w:val="nil"/>
              <w:bottom w:val="single" w:sz="4" w:space="0" w:color="auto"/>
              <w:right w:val="single" w:sz="4" w:space="0" w:color="auto"/>
            </w:tcBorders>
            <w:shd w:val="clear" w:color="000000" w:fill="E5E0EC"/>
            <w:noWrap/>
            <w:hideMark/>
          </w:tcPr>
          <w:p w14:paraId="181BC067" w14:textId="4FFE5228"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(1,000.00)</w:t>
            </w:r>
          </w:p>
        </w:tc>
        <w:tc>
          <w:tcPr>
            <w:tcW w:w="1330" w:type="dxa"/>
            <w:tcBorders>
              <w:top w:val="nil"/>
              <w:left w:val="nil"/>
              <w:bottom w:val="single" w:sz="4" w:space="0" w:color="auto"/>
              <w:right w:val="single" w:sz="4" w:space="0" w:color="auto"/>
            </w:tcBorders>
            <w:shd w:val="clear" w:color="000000" w:fill="E5E0EC"/>
            <w:noWrap/>
            <w:hideMark/>
          </w:tcPr>
          <w:p w14:paraId="7BB0FFAA" w14:textId="7F9481A4"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w:t>
            </w:r>
          </w:p>
        </w:tc>
        <w:tc>
          <w:tcPr>
            <w:tcW w:w="1884" w:type="dxa"/>
            <w:tcBorders>
              <w:top w:val="nil"/>
              <w:left w:val="nil"/>
              <w:bottom w:val="single" w:sz="4" w:space="0" w:color="auto"/>
              <w:right w:val="single" w:sz="4" w:space="0" w:color="auto"/>
            </w:tcBorders>
            <w:shd w:val="clear" w:color="000000" w:fill="E5E0EC"/>
            <w:noWrap/>
            <w:hideMark/>
          </w:tcPr>
          <w:p w14:paraId="504D0B34" w14:textId="7F3E6FE1"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(1,000.00)</w:t>
            </w:r>
          </w:p>
        </w:tc>
      </w:tr>
      <w:tr w:rsidR="009A078E" w:rsidRPr="00C6141B" w14:paraId="6BB98003" w14:textId="77777777" w:rsidTr="00E8027C">
        <w:trPr>
          <w:trHeight w:val="322"/>
        </w:trPr>
        <w:tc>
          <w:tcPr>
            <w:tcW w:w="723" w:type="dxa"/>
            <w:tcBorders>
              <w:top w:val="nil"/>
              <w:left w:val="single" w:sz="4" w:space="0" w:color="auto"/>
              <w:bottom w:val="single" w:sz="4" w:space="0" w:color="auto"/>
              <w:right w:val="single" w:sz="4" w:space="0" w:color="auto"/>
            </w:tcBorders>
            <w:shd w:val="clear" w:color="000000" w:fill="E5E0EC"/>
            <w:noWrap/>
            <w:hideMark/>
          </w:tcPr>
          <w:p w14:paraId="23219FAE" w14:textId="77777777"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1</w:t>
            </w:r>
          </w:p>
        </w:tc>
        <w:tc>
          <w:tcPr>
            <w:tcW w:w="1216" w:type="dxa"/>
            <w:tcBorders>
              <w:top w:val="nil"/>
              <w:left w:val="nil"/>
              <w:bottom w:val="single" w:sz="4" w:space="0" w:color="auto"/>
              <w:right w:val="single" w:sz="4" w:space="0" w:color="auto"/>
            </w:tcBorders>
            <w:shd w:val="clear" w:color="000000" w:fill="E5E0EC"/>
            <w:noWrap/>
            <w:hideMark/>
          </w:tcPr>
          <w:p w14:paraId="5BF79021" w14:textId="1956FBF5" w:rsidR="009A078E" w:rsidRPr="00C6141B" w:rsidRDefault="009A078E" w:rsidP="00E8027C">
            <w:pPr>
              <w:spacing w:after="0" w:line="240" w:lineRule="auto"/>
              <w:jc w:val="center"/>
              <w:rPr>
                <w:rFonts w:eastAsia="Times New Roman" w:cs="Times New Roman"/>
                <w:szCs w:val="24"/>
                <w:lang w:bidi="hi-IN"/>
              </w:rPr>
            </w:pPr>
          </w:p>
        </w:tc>
        <w:tc>
          <w:tcPr>
            <w:tcW w:w="1118" w:type="dxa"/>
            <w:tcBorders>
              <w:top w:val="nil"/>
              <w:left w:val="nil"/>
              <w:bottom w:val="single" w:sz="4" w:space="0" w:color="auto"/>
              <w:right w:val="single" w:sz="4" w:space="0" w:color="auto"/>
            </w:tcBorders>
            <w:shd w:val="clear" w:color="000000" w:fill="E5E0EC"/>
            <w:noWrap/>
            <w:hideMark/>
          </w:tcPr>
          <w:p w14:paraId="43612B7D" w14:textId="360F36D6"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2,500.00</w:t>
            </w:r>
          </w:p>
        </w:tc>
        <w:tc>
          <w:tcPr>
            <w:tcW w:w="1884" w:type="dxa"/>
            <w:tcBorders>
              <w:top w:val="nil"/>
              <w:left w:val="nil"/>
              <w:bottom w:val="single" w:sz="4" w:space="0" w:color="auto"/>
              <w:right w:val="single" w:sz="4" w:space="0" w:color="auto"/>
            </w:tcBorders>
            <w:shd w:val="clear" w:color="000000" w:fill="E5E0EC"/>
            <w:noWrap/>
            <w:hideMark/>
          </w:tcPr>
          <w:p w14:paraId="01CE2AAA" w14:textId="00B77BA6"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(2,500.00)</w:t>
            </w:r>
          </w:p>
        </w:tc>
        <w:tc>
          <w:tcPr>
            <w:tcW w:w="1216" w:type="dxa"/>
            <w:tcBorders>
              <w:top w:val="nil"/>
              <w:left w:val="nil"/>
              <w:bottom w:val="single" w:sz="4" w:space="0" w:color="auto"/>
              <w:right w:val="single" w:sz="4" w:space="0" w:color="auto"/>
            </w:tcBorders>
            <w:shd w:val="clear" w:color="000000" w:fill="E5E0EC"/>
            <w:noWrap/>
            <w:hideMark/>
          </w:tcPr>
          <w:p w14:paraId="5D475D79" w14:textId="1A0F42DC" w:rsidR="009A078E" w:rsidRPr="00C6141B" w:rsidRDefault="009A078E" w:rsidP="00E8027C">
            <w:pPr>
              <w:spacing w:after="0" w:line="240" w:lineRule="auto"/>
              <w:jc w:val="center"/>
              <w:rPr>
                <w:rFonts w:eastAsia="Times New Roman" w:cs="Times New Roman"/>
                <w:szCs w:val="24"/>
                <w:lang w:bidi="hi-IN"/>
              </w:rPr>
            </w:pPr>
          </w:p>
        </w:tc>
        <w:tc>
          <w:tcPr>
            <w:tcW w:w="1330" w:type="dxa"/>
            <w:tcBorders>
              <w:top w:val="nil"/>
              <w:left w:val="nil"/>
              <w:bottom w:val="single" w:sz="4" w:space="0" w:color="auto"/>
              <w:right w:val="single" w:sz="4" w:space="0" w:color="auto"/>
            </w:tcBorders>
            <w:shd w:val="clear" w:color="000000" w:fill="E5E0EC"/>
            <w:noWrap/>
            <w:hideMark/>
          </w:tcPr>
          <w:p w14:paraId="15D9E120" w14:textId="399C194C"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1,500.00</w:t>
            </w:r>
          </w:p>
        </w:tc>
        <w:tc>
          <w:tcPr>
            <w:tcW w:w="1884" w:type="dxa"/>
            <w:tcBorders>
              <w:top w:val="nil"/>
              <w:left w:val="nil"/>
              <w:bottom w:val="single" w:sz="4" w:space="0" w:color="auto"/>
              <w:right w:val="single" w:sz="4" w:space="0" w:color="auto"/>
            </w:tcBorders>
            <w:shd w:val="clear" w:color="000000" w:fill="E5E0EC"/>
            <w:noWrap/>
            <w:hideMark/>
          </w:tcPr>
          <w:p w14:paraId="629E3DE6" w14:textId="2D8031A2" w:rsidR="009A078E" w:rsidRPr="00C6141B" w:rsidRDefault="009A078E" w:rsidP="00E8027C">
            <w:pPr>
              <w:spacing w:after="0" w:line="240" w:lineRule="auto"/>
              <w:jc w:val="center"/>
              <w:rPr>
                <w:rFonts w:eastAsia="Times New Roman" w:cs="Times New Roman"/>
                <w:b/>
                <w:bCs/>
                <w:szCs w:val="24"/>
                <w:lang w:bidi="hi-IN"/>
              </w:rPr>
            </w:pPr>
            <w:r w:rsidRPr="00C6141B">
              <w:rPr>
                <w:rFonts w:eastAsia="Times New Roman" w:cs="Times New Roman"/>
                <w:b/>
                <w:bCs/>
                <w:szCs w:val="24"/>
                <w:lang w:bidi="hi-IN"/>
              </w:rPr>
              <w:t>500.00</w:t>
            </w:r>
          </w:p>
        </w:tc>
      </w:tr>
      <w:tr w:rsidR="009A078E" w:rsidRPr="00C6141B" w14:paraId="16AB5924" w14:textId="77777777" w:rsidTr="00E8027C">
        <w:trPr>
          <w:trHeight w:val="322"/>
        </w:trPr>
        <w:tc>
          <w:tcPr>
            <w:tcW w:w="723" w:type="dxa"/>
            <w:tcBorders>
              <w:top w:val="nil"/>
              <w:left w:val="single" w:sz="4" w:space="0" w:color="auto"/>
              <w:bottom w:val="single" w:sz="4" w:space="0" w:color="auto"/>
              <w:right w:val="single" w:sz="4" w:space="0" w:color="auto"/>
            </w:tcBorders>
            <w:shd w:val="clear" w:color="000000" w:fill="E5E0EC"/>
            <w:noWrap/>
            <w:hideMark/>
          </w:tcPr>
          <w:p w14:paraId="4670DCAA" w14:textId="77777777"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2</w:t>
            </w:r>
          </w:p>
        </w:tc>
        <w:tc>
          <w:tcPr>
            <w:tcW w:w="1216" w:type="dxa"/>
            <w:tcBorders>
              <w:top w:val="nil"/>
              <w:left w:val="nil"/>
              <w:bottom w:val="single" w:sz="4" w:space="0" w:color="auto"/>
              <w:right w:val="single" w:sz="4" w:space="0" w:color="auto"/>
            </w:tcBorders>
            <w:shd w:val="clear" w:color="000000" w:fill="E5E0EC"/>
            <w:noWrap/>
            <w:hideMark/>
          </w:tcPr>
          <w:p w14:paraId="72CE3D0C" w14:textId="29FCCD40" w:rsidR="009A078E" w:rsidRPr="00C6141B" w:rsidRDefault="009A078E" w:rsidP="00E8027C">
            <w:pPr>
              <w:spacing w:after="0" w:line="240" w:lineRule="auto"/>
              <w:jc w:val="center"/>
              <w:rPr>
                <w:rFonts w:eastAsia="Times New Roman" w:cs="Times New Roman"/>
                <w:szCs w:val="24"/>
                <w:lang w:bidi="hi-IN"/>
              </w:rPr>
            </w:pPr>
          </w:p>
        </w:tc>
        <w:tc>
          <w:tcPr>
            <w:tcW w:w="1118" w:type="dxa"/>
            <w:tcBorders>
              <w:top w:val="nil"/>
              <w:left w:val="nil"/>
              <w:bottom w:val="single" w:sz="4" w:space="0" w:color="auto"/>
              <w:right w:val="single" w:sz="4" w:space="0" w:color="auto"/>
            </w:tcBorders>
            <w:shd w:val="clear" w:color="000000" w:fill="E5E0EC"/>
            <w:noWrap/>
            <w:hideMark/>
          </w:tcPr>
          <w:p w14:paraId="6D08E6A6" w14:textId="4FDCBF30"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2,000.00</w:t>
            </w:r>
          </w:p>
        </w:tc>
        <w:tc>
          <w:tcPr>
            <w:tcW w:w="1884" w:type="dxa"/>
            <w:tcBorders>
              <w:top w:val="nil"/>
              <w:left w:val="nil"/>
              <w:bottom w:val="single" w:sz="4" w:space="0" w:color="auto"/>
              <w:right w:val="single" w:sz="4" w:space="0" w:color="auto"/>
            </w:tcBorders>
            <w:shd w:val="clear" w:color="000000" w:fill="E5E0EC"/>
            <w:noWrap/>
            <w:hideMark/>
          </w:tcPr>
          <w:p w14:paraId="098560B9" w14:textId="629F8042"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(500.00)</w:t>
            </w:r>
          </w:p>
        </w:tc>
        <w:tc>
          <w:tcPr>
            <w:tcW w:w="1216" w:type="dxa"/>
            <w:tcBorders>
              <w:top w:val="nil"/>
              <w:left w:val="nil"/>
              <w:bottom w:val="single" w:sz="4" w:space="0" w:color="auto"/>
              <w:right w:val="single" w:sz="4" w:space="0" w:color="auto"/>
            </w:tcBorders>
            <w:shd w:val="clear" w:color="000000" w:fill="E5E0EC"/>
            <w:noWrap/>
            <w:hideMark/>
          </w:tcPr>
          <w:p w14:paraId="5CDC5AC5" w14:textId="1C084C6E" w:rsidR="009A078E" w:rsidRPr="00C6141B" w:rsidRDefault="009A078E" w:rsidP="00E8027C">
            <w:pPr>
              <w:spacing w:after="0" w:line="240" w:lineRule="auto"/>
              <w:jc w:val="center"/>
              <w:rPr>
                <w:rFonts w:eastAsia="Times New Roman" w:cs="Times New Roman"/>
                <w:szCs w:val="24"/>
                <w:lang w:bidi="hi-IN"/>
              </w:rPr>
            </w:pPr>
          </w:p>
        </w:tc>
        <w:tc>
          <w:tcPr>
            <w:tcW w:w="1330" w:type="dxa"/>
            <w:tcBorders>
              <w:top w:val="nil"/>
              <w:left w:val="nil"/>
              <w:bottom w:val="single" w:sz="4" w:space="0" w:color="auto"/>
              <w:right w:val="single" w:sz="4" w:space="0" w:color="auto"/>
            </w:tcBorders>
            <w:shd w:val="clear" w:color="000000" w:fill="E5E0EC"/>
            <w:noWrap/>
            <w:hideMark/>
          </w:tcPr>
          <w:p w14:paraId="0C930EF0" w14:textId="21820BA7"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1,000.00</w:t>
            </w:r>
          </w:p>
        </w:tc>
        <w:tc>
          <w:tcPr>
            <w:tcW w:w="1884" w:type="dxa"/>
            <w:tcBorders>
              <w:top w:val="nil"/>
              <w:left w:val="nil"/>
              <w:bottom w:val="single" w:sz="4" w:space="0" w:color="auto"/>
              <w:right w:val="single" w:sz="4" w:space="0" w:color="auto"/>
            </w:tcBorders>
            <w:shd w:val="clear" w:color="000000" w:fill="E5E0EC"/>
            <w:noWrap/>
            <w:hideMark/>
          </w:tcPr>
          <w:p w14:paraId="00B0B8BA" w14:textId="1505D039" w:rsidR="009A078E" w:rsidRPr="00C6141B" w:rsidRDefault="009A078E" w:rsidP="00E8027C">
            <w:pPr>
              <w:spacing w:after="0" w:line="240" w:lineRule="auto"/>
              <w:jc w:val="center"/>
              <w:rPr>
                <w:rFonts w:eastAsia="Times New Roman" w:cs="Times New Roman"/>
                <w:szCs w:val="24"/>
                <w:lang w:bidi="hi-IN"/>
              </w:rPr>
            </w:pPr>
          </w:p>
        </w:tc>
      </w:tr>
      <w:tr w:rsidR="009A078E" w:rsidRPr="00C6141B" w14:paraId="6AACD37D" w14:textId="77777777" w:rsidTr="00E8027C">
        <w:trPr>
          <w:trHeight w:val="322"/>
        </w:trPr>
        <w:tc>
          <w:tcPr>
            <w:tcW w:w="723" w:type="dxa"/>
            <w:tcBorders>
              <w:top w:val="nil"/>
              <w:left w:val="single" w:sz="4" w:space="0" w:color="auto"/>
              <w:bottom w:val="single" w:sz="4" w:space="0" w:color="auto"/>
              <w:right w:val="single" w:sz="4" w:space="0" w:color="auto"/>
            </w:tcBorders>
            <w:shd w:val="clear" w:color="000000" w:fill="E5E0EC"/>
            <w:noWrap/>
            <w:hideMark/>
          </w:tcPr>
          <w:p w14:paraId="46877BF1" w14:textId="77777777"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3</w:t>
            </w:r>
          </w:p>
        </w:tc>
        <w:tc>
          <w:tcPr>
            <w:tcW w:w="1216" w:type="dxa"/>
            <w:tcBorders>
              <w:top w:val="nil"/>
              <w:left w:val="nil"/>
              <w:bottom w:val="single" w:sz="4" w:space="0" w:color="auto"/>
              <w:right w:val="single" w:sz="4" w:space="0" w:color="auto"/>
            </w:tcBorders>
            <w:shd w:val="clear" w:color="000000" w:fill="E5E0EC"/>
            <w:noWrap/>
            <w:hideMark/>
          </w:tcPr>
          <w:p w14:paraId="56AAA4ED" w14:textId="1B11EA49" w:rsidR="009A078E" w:rsidRPr="00C6141B" w:rsidRDefault="009A078E" w:rsidP="00E8027C">
            <w:pPr>
              <w:spacing w:after="0" w:line="240" w:lineRule="auto"/>
              <w:jc w:val="center"/>
              <w:rPr>
                <w:rFonts w:eastAsia="Times New Roman" w:cs="Times New Roman"/>
                <w:szCs w:val="24"/>
                <w:lang w:bidi="hi-IN"/>
              </w:rPr>
            </w:pPr>
          </w:p>
        </w:tc>
        <w:tc>
          <w:tcPr>
            <w:tcW w:w="1118" w:type="dxa"/>
            <w:tcBorders>
              <w:top w:val="nil"/>
              <w:left w:val="nil"/>
              <w:bottom w:val="single" w:sz="4" w:space="0" w:color="auto"/>
              <w:right w:val="single" w:sz="4" w:space="0" w:color="auto"/>
            </w:tcBorders>
            <w:shd w:val="clear" w:color="000000" w:fill="E5E0EC"/>
            <w:noWrap/>
            <w:hideMark/>
          </w:tcPr>
          <w:p w14:paraId="6B860E7B" w14:textId="053E3FC7"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1,000.00</w:t>
            </w:r>
          </w:p>
        </w:tc>
        <w:tc>
          <w:tcPr>
            <w:tcW w:w="1884" w:type="dxa"/>
            <w:tcBorders>
              <w:top w:val="nil"/>
              <w:left w:val="nil"/>
              <w:bottom w:val="single" w:sz="4" w:space="0" w:color="auto"/>
              <w:right w:val="single" w:sz="4" w:space="0" w:color="auto"/>
            </w:tcBorders>
            <w:shd w:val="clear" w:color="000000" w:fill="E5E0EC"/>
            <w:noWrap/>
            <w:hideMark/>
          </w:tcPr>
          <w:p w14:paraId="10E68497" w14:textId="5ECE0771" w:rsidR="009A078E" w:rsidRPr="00C6141B" w:rsidRDefault="009A078E" w:rsidP="00E8027C">
            <w:pPr>
              <w:spacing w:after="0" w:line="240" w:lineRule="auto"/>
              <w:jc w:val="center"/>
              <w:rPr>
                <w:rFonts w:eastAsia="Times New Roman" w:cs="Times New Roman"/>
                <w:b/>
                <w:bCs/>
                <w:szCs w:val="24"/>
                <w:lang w:bidi="hi-IN"/>
              </w:rPr>
            </w:pPr>
            <w:r w:rsidRPr="00C6141B">
              <w:rPr>
                <w:rFonts w:eastAsia="Times New Roman" w:cs="Times New Roman"/>
                <w:b/>
                <w:bCs/>
                <w:szCs w:val="24"/>
                <w:lang w:bidi="hi-IN"/>
              </w:rPr>
              <w:t>500.00</w:t>
            </w:r>
          </w:p>
        </w:tc>
        <w:tc>
          <w:tcPr>
            <w:tcW w:w="1216" w:type="dxa"/>
            <w:tcBorders>
              <w:top w:val="nil"/>
              <w:left w:val="nil"/>
              <w:bottom w:val="single" w:sz="4" w:space="0" w:color="auto"/>
              <w:right w:val="single" w:sz="4" w:space="0" w:color="auto"/>
            </w:tcBorders>
            <w:shd w:val="clear" w:color="000000" w:fill="E5E0EC"/>
            <w:noWrap/>
            <w:hideMark/>
          </w:tcPr>
          <w:p w14:paraId="76794ABA" w14:textId="21005C6F" w:rsidR="009A078E" w:rsidRPr="00C6141B" w:rsidRDefault="009A078E" w:rsidP="00E8027C">
            <w:pPr>
              <w:spacing w:after="0" w:line="240" w:lineRule="auto"/>
              <w:jc w:val="center"/>
              <w:rPr>
                <w:rFonts w:eastAsia="Times New Roman" w:cs="Times New Roman"/>
                <w:szCs w:val="24"/>
                <w:lang w:bidi="hi-IN"/>
              </w:rPr>
            </w:pPr>
          </w:p>
        </w:tc>
        <w:tc>
          <w:tcPr>
            <w:tcW w:w="1330" w:type="dxa"/>
            <w:tcBorders>
              <w:top w:val="nil"/>
              <w:left w:val="nil"/>
              <w:bottom w:val="single" w:sz="4" w:space="0" w:color="auto"/>
              <w:right w:val="single" w:sz="4" w:space="0" w:color="auto"/>
            </w:tcBorders>
            <w:shd w:val="clear" w:color="000000" w:fill="E5E0EC"/>
            <w:noWrap/>
            <w:hideMark/>
          </w:tcPr>
          <w:p w14:paraId="2634B26A" w14:textId="237CE66D"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1,000.00</w:t>
            </w:r>
          </w:p>
        </w:tc>
        <w:tc>
          <w:tcPr>
            <w:tcW w:w="1884" w:type="dxa"/>
            <w:tcBorders>
              <w:top w:val="nil"/>
              <w:left w:val="nil"/>
              <w:bottom w:val="single" w:sz="4" w:space="0" w:color="auto"/>
              <w:right w:val="single" w:sz="4" w:space="0" w:color="auto"/>
            </w:tcBorders>
            <w:shd w:val="clear" w:color="000000" w:fill="E5E0EC"/>
            <w:noWrap/>
            <w:hideMark/>
          </w:tcPr>
          <w:p w14:paraId="4EAD5543" w14:textId="09A0B62C" w:rsidR="009A078E" w:rsidRPr="00C6141B" w:rsidRDefault="009A078E" w:rsidP="00E8027C">
            <w:pPr>
              <w:spacing w:after="0" w:line="240" w:lineRule="auto"/>
              <w:jc w:val="center"/>
              <w:rPr>
                <w:rFonts w:eastAsia="Times New Roman" w:cs="Times New Roman"/>
                <w:szCs w:val="24"/>
                <w:lang w:bidi="hi-IN"/>
              </w:rPr>
            </w:pPr>
          </w:p>
        </w:tc>
      </w:tr>
      <w:tr w:rsidR="009A078E" w:rsidRPr="00C6141B" w14:paraId="0A415006" w14:textId="77777777" w:rsidTr="00E8027C">
        <w:trPr>
          <w:trHeight w:val="322"/>
        </w:trPr>
        <w:tc>
          <w:tcPr>
            <w:tcW w:w="723" w:type="dxa"/>
            <w:tcBorders>
              <w:top w:val="nil"/>
              <w:left w:val="single" w:sz="4" w:space="0" w:color="auto"/>
              <w:bottom w:val="single" w:sz="4" w:space="0" w:color="auto"/>
              <w:right w:val="single" w:sz="4" w:space="0" w:color="auto"/>
            </w:tcBorders>
            <w:shd w:val="clear" w:color="000000" w:fill="E5E0EC"/>
            <w:noWrap/>
            <w:hideMark/>
          </w:tcPr>
          <w:p w14:paraId="033A4EB0" w14:textId="77777777"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4</w:t>
            </w:r>
          </w:p>
        </w:tc>
        <w:tc>
          <w:tcPr>
            <w:tcW w:w="1216" w:type="dxa"/>
            <w:tcBorders>
              <w:top w:val="nil"/>
              <w:left w:val="nil"/>
              <w:bottom w:val="single" w:sz="4" w:space="0" w:color="auto"/>
              <w:right w:val="single" w:sz="4" w:space="0" w:color="auto"/>
            </w:tcBorders>
            <w:shd w:val="clear" w:color="000000" w:fill="E5E0EC"/>
            <w:noWrap/>
            <w:hideMark/>
          </w:tcPr>
          <w:p w14:paraId="6EE9551B" w14:textId="75796FE7" w:rsidR="009A078E" w:rsidRPr="00C6141B" w:rsidRDefault="009A078E" w:rsidP="00E8027C">
            <w:pPr>
              <w:spacing w:after="0" w:line="240" w:lineRule="auto"/>
              <w:jc w:val="center"/>
              <w:rPr>
                <w:rFonts w:eastAsia="Times New Roman" w:cs="Times New Roman"/>
                <w:szCs w:val="24"/>
                <w:lang w:bidi="hi-IN"/>
              </w:rPr>
            </w:pPr>
          </w:p>
        </w:tc>
        <w:tc>
          <w:tcPr>
            <w:tcW w:w="1118" w:type="dxa"/>
            <w:tcBorders>
              <w:top w:val="nil"/>
              <w:left w:val="nil"/>
              <w:bottom w:val="single" w:sz="4" w:space="0" w:color="auto"/>
              <w:right w:val="single" w:sz="4" w:space="0" w:color="auto"/>
            </w:tcBorders>
            <w:shd w:val="clear" w:color="000000" w:fill="E5E0EC"/>
            <w:noWrap/>
            <w:hideMark/>
          </w:tcPr>
          <w:p w14:paraId="0872DC3C" w14:textId="4EC6DA6B"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(442.00)</w:t>
            </w:r>
          </w:p>
        </w:tc>
        <w:tc>
          <w:tcPr>
            <w:tcW w:w="1884" w:type="dxa"/>
            <w:tcBorders>
              <w:top w:val="nil"/>
              <w:left w:val="nil"/>
              <w:bottom w:val="single" w:sz="4" w:space="0" w:color="auto"/>
              <w:right w:val="single" w:sz="4" w:space="0" w:color="auto"/>
            </w:tcBorders>
            <w:shd w:val="clear" w:color="000000" w:fill="E5E0EC"/>
            <w:noWrap/>
            <w:hideMark/>
          </w:tcPr>
          <w:p w14:paraId="397791BC" w14:textId="3DB60B1F" w:rsidR="009A078E" w:rsidRPr="00C6141B" w:rsidRDefault="009A078E" w:rsidP="00E8027C">
            <w:pPr>
              <w:spacing w:after="0" w:line="240" w:lineRule="auto"/>
              <w:jc w:val="center"/>
              <w:rPr>
                <w:rFonts w:eastAsia="Times New Roman" w:cs="Times New Roman"/>
                <w:szCs w:val="24"/>
                <w:lang w:bidi="hi-IN"/>
              </w:rPr>
            </w:pPr>
          </w:p>
        </w:tc>
        <w:tc>
          <w:tcPr>
            <w:tcW w:w="1216" w:type="dxa"/>
            <w:tcBorders>
              <w:top w:val="nil"/>
              <w:left w:val="nil"/>
              <w:bottom w:val="single" w:sz="4" w:space="0" w:color="auto"/>
              <w:right w:val="single" w:sz="4" w:space="0" w:color="auto"/>
            </w:tcBorders>
            <w:shd w:val="clear" w:color="000000" w:fill="E5E0EC"/>
            <w:noWrap/>
            <w:hideMark/>
          </w:tcPr>
          <w:p w14:paraId="3B1EAC05" w14:textId="0BD56C59" w:rsidR="009A078E" w:rsidRPr="00C6141B" w:rsidRDefault="009A078E" w:rsidP="00E8027C">
            <w:pPr>
              <w:spacing w:after="0" w:line="240" w:lineRule="auto"/>
              <w:jc w:val="center"/>
              <w:rPr>
                <w:rFonts w:eastAsia="Times New Roman" w:cs="Times New Roman"/>
                <w:szCs w:val="24"/>
                <w:lang w:bidi="hi-IN"/>
              </w:rPr>
            </w:pPr>
          </w:p>
        </w:tc>
        <w:tc>
          <w:tcPr>
            <w:tcW w:w="1330" w:type="dxa"/>
            <w:tcBorders>
              <w:top w:val="nil"/>
              <w:left w:val="nil"/>
              <w:bottom w:val="single" w:sz="4" w:space="0" w:color="auto"/>
              <w:right w:val="single" w:sz="4" w:space="0" w:color="auto"/>
            </w:tcBorders>
            <w:shd w:val="clear" w:color="000000" w:fill="E5E0EC"/>
            <w:noWrap/>
            <w:hideMark/>
          </w:tcPr>
          <w:p w14:paraId="22BA03AD" w14:textId="15AA3BC5"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(470.00)</w:t>
            </w:r>
          </w:p>
        </w:tc>
        <w:tc>
          <w:tcPr>
            <w:tcW w:w="1884" w:type="dxa"/>
            <w:tcBorders>
              <w:top w:val="nil"/>
              <w:left w:val="nil"/>
              <w:bottom w:val="single" w:sz="4" w:space="0" w:color="auto"/>
              <w:right w:val="single" w:sz="4" w:space="0" w:color="auto"/>
            </w:tcBorders>
            <w:shd w:val="clear" w:color="000000" w:fill="E5E0EC"/>
            <w:noWrap/>
            <w:hideMark/>
          </w:tcPr>
          <w:p w14:paraId="552BBEBE" w14:textId="3EC3B933" w:rsidR="009A078E" w:rsidRPr="00C6141B" w:rsidRDefault="009A078E" w:rsidP="00E8027C">
            <w:pPr>
              <w:spacing w:after="0" w:line="240" w:lineRule="auto"/>
              <w:jc w:val="center"/>
              <w:rPr>
                <w:rFonts w:eastAsia="Times New Roman" w:cs="Times New Roman"/>
                <w:szCs w:val="24"/>
                <w:lang w:bidi="hi-IN"/>
              </w:rPr>
            </w:pPr>
          </w:p>
        </w:tc>
      </w:tr>
      <w:tr w:rsidR="009A078E" w:rsidRPr="00C6141B" w14:paraId="4C0EFD01" w14:textId="77777777" w:rsidTr="00E8027C">
        <w:trPr>
          <w:trHeight w:val="322"/>
        </w:trPr>
        <w:tc>
          <w:tcPr>
            <w:tcW w:w="723" w:type="dxa"/>
            <w:tcBorders>
              <w:top w:val="nil"/>
              <w:left w:val="single" w:sz="4" w:space="0" w:color="auto"/>
              <w:bottom w:val="single" w:sz="4" w:space="0" w:color="auto"/>
              <w:right w:val="single" w:sz="4" w:space="0" w:color="auto"/>
            </w:tcBorders>
            <w:shd w:val="clear" w:color="auto" w:fill="auto"/>
            <w:noWrap/>
            <w:hideMark/>
          </w:tcPr>
          <w:p w14:paraId="06A7B739" w14:textId="75A4C20D" w:rsidR="009A078E" w:rsidRPr="00C6141B" w:rsidRDefault="009A078E" w:rsidP="00E8027C">
            <w:pPr>
              <w:spacing w:after="0" w:line="240" w:lineRule="auto"/>
              <w:jc w:val="center"/>
              <w:rPr>
                <w:rFonts w:eastAsia="Times New Roman" w:cs="Times New Roman"/>
                <w:b/>
                <w:bCs/>
                <w:szCs w:val="24"/>
                <w:lang w:bidi="hi-IN"/>
              </w:rPr>
            </w:pPr>
          </w:p>
        </w:tc>
        <w:tc>
          <w:tcPr>
            <w:tcW w:w="1216" w:type="dxa"/>
            <w:tcBorders>
              <w:top w:val="nil"/>
              <w:left w:val="nil"/>
              <w:bottom w:val="single" w:sz="4" w:space="0" w:color="auto"/>
              <w:right w:val="single" w:sz="4" w:space="0" w:color="auto"/>
            </w:tcBorders>
            <w:shd w:val="clear" w:color="auto" w:fill="auto"/>
            <w:noWrap/>
            <w:hideMark/>
          </w:tcPr>
          <w:p w14:paraId="6B2CAC4B" w14:textId="4CB55579" w:rsidR="009A078E" w:rsidRPr="00C6141B" w:rsidRDefault="009A078E" w:rsidP="00E8027C">
            <w:pPr>
              <w:spacing w:after="0" w:line="240" w:lineRule="auto"/>
              <w:jc w:val="center"/>
              <w:rPr>
                <w:rFonts w:eastAsia="Times New Roman" w:cs="Times New Roman"/>
                <w:b/>
                <w:bCs/>
                <w:szCs w:val="24"/>
                <w:lang w:bidi="hi-IN"/>
              </w:rPr>
            </w:pPr>
          </w:p>
        </w:tc>
        <w:tc>
          <w:tcPr>
            <w:tcW w:w="1118" w:type="dxa"/>
            <w:tcBorders>
              <w:top w:val="nil"/>
              <w:left w:val="nil"/>
              <w:bottom w:val="single" w:sz="4" w:space="0" w:color="auto"/>
              <w:right w:val="single" w:sz="4" w:space="0" w:color="auto"/>
            </w:tcBorders>
            <w:shd w:val="clear" w:color="auto" w:fill="auto"/>
            <w:noWrap/>
            <w:hideMark/>
          </w:tcPr>
          <w:p w14:paraId="2BDAA7FE" w14:textId="137353EC" w:rsidR="009A078E" w:rsidRPr="00C6141B" w:rsidRDefault="009A078E" w:rsidP="00E8027C">
            <w:pPr>
              <w:spacing w:after="0" w:line="240" w:lineRule="auto"/>
              <w:jc w:val="center"/>
              <w:rPr>
                <w:rFonts w:eastAsia="Times New Roman" w:cs="Times New Roman"/>
                <w:b/>
                <w:bCs/>
                <w:szCs w:val="24"/>
                <w:lang w:bidi="hi-IN"/>
              </w:rPr>
            </w:pPr>
            <w:r w:rsidRPr="00C6141B">
              <w:rPr>
                <w:rFonts w:eastAsia="Times New Roman" w:cs="Times New Roman"/>
                <w:b/>
                <w:bCs/>
                <w:szCs w:val="24"/>
                <w:lang w:bidi="hi-IN"/>
              </w:rPr>
              <w:t>PBP</w:t>
            </w:r>
          </w:p>
          <w:p w14:paraId="7E6B80BA" w14:textId="77777777" w:rsidR="009A078E" w:rsidRPr="00C6141B" w:rsidRDefault="009A078E" w:rsidP="00E8027C">
            <w:pPr>
              <w:spacing w:after="0" w:line="240" w:lineRule="auto"/>
              <w:jc w:val="center"/>
              <w:rPr>
                <w:rFonts w:eastAsia="Times New Roman" w:cs="Times New Roman"/>
                <w:b/>
                <w:bCs/>
                <w:szCs w:val="24"/>
                <w:lang w:bidi="hi-IN"/>
              </w:rPr>
            </w:pPr>
            <w:r w:rsidRPr="00C6141B">
              <w:rPr>
                <w:rFonts w:eastAsia="Times New Roman" w:cs="Times New Roman"/>
                <w:b/>
                <w:bCs/>
                <w:szCs w:val="24"/>
                <w:lang w:bidi="hi-IN"/>
              </w:rPr>
              <w:t>(years)</w:t>
            </w:r>
          </w:p>
        </w:tc>
        <w:tc>
          <w:tcPr>
            <w:tcW w:w="1884" w:type="dxa"/>
            <w:tcBorders>
              <w:top w:val="nil"/>
              <w:left w:val="nil"/>
              <w:bottom w:val="single" w:sz="4" w:space="0" w:color="auto"/>
              <w:right w:val="single" w:sz="4" w:space="0" w:color="auto"/>
            </w:tcBorders>
            <w:shd w:val="clear" w:color="auto" w:fill="auto"/>
            <w:noWrap/>
            <w:hideMark/>
          </w:tcPr>
          <w:p w14:paraId="7D366E61" w14:textId="7756E518" w:rsidR="009A078E" w:rsidRPr="00C6141B" w:rsidRDefault="009A078E" w:rsidP="00E8027C">
            <w:pPr>
              <w:spacing w:after="0" w:line="240" w:lineRule="auto"/>
              <w:jc w:val="center"/>
              <w:rPr>
                <w:rFonts w:eastAsia="Times New Roman" w:cs="Times New Roman"/>
                <w:b/>
                <w:bCs/>
                <w:szCs w:val="24"/>
                <w:lang w:bidi="hi-IN"/>
              </w:rPr>
            </w:pPr>
            <w:r w:rsidRPr="00C6141B">
              <w:rPr>
                <w:rFonts w:eastAsia="Times New Roman" w:cs="Times New Roman"/>
                <w:b/>
                <w:bCs/>
                <w:szCs w:val="24"/>
                <w:lang w:bidi="hi-IN"/>
              </w:rPr>
              <w:t>2.50</w:t>
            </w:r>
          </w:p>
        </w:tc>
        <w:tc>
          <w:tcPr>
            <w:tcW w:w="1216" w:type="dxa"/>
            <w:tcBorders>
              <w:top w:val="nil"/>
              <w:left w:val="nil"/>
              <w:bottom w:val="single" w:sz="4" w:space="0" w:color="auto"/>
              <w:right w:val="single" w:sz="4" w:space="0" w:color="auto"/>
            </w:tcBorders>
            <w:shd w:val="clear" w:color="auto" w:fill="auto"/>
            <w:noWrap/>
            <w:hideMark/>
          </w:tcPr>
          <w:p w14:paraId="2C358789" w14:textId="5B9FB96F" w:rsidR="009A078E" w:rsidRPr="00C6141B" w:rsidRDefault="009A078E" w:rsidP="00E8027C">
            <w:pPr>
              <w:spacing w:after="0" w:line="240" w:lineRule="auto"/>
              <w:jc w:val="center"/>
              <w:rPr>
                <w:rFonts w:eastAsia="Times New Roman" w:cs="Times New Roman"/>
                <w:b/>
                <w:bCs/>
                <w:szCs w:val="24"/>
                <w:lang w:bidi="hi-IN"/>
              </w:rPr>
            </w:pPr>
          </w:p>
        </w:tc>
        <w:tc>
          <w:tcPr>
            <w:tcW w:w="1330" w:type="dxa"/>
            <w:tcBorders>
              <w:top w:val="nil"/>
              <w:left w:val="nil"/>
              <w:bottom w:val="single" w:sz="4" w:space="0" w:color="auto"/>
              <w:right w:val="single" w:sz="4" w:space="0" w:color="auto"/>
            </w:tcBorders>
            <w:shd w:val="clear" w:color="auto" w:fill="auto"/>
            <w:noWrap/>
            <w:hideMark/>
          </w:tcPr>
          <w:p w14:paraId="1C9D55D5" w14:textId="3CF13319" w:rsidR="009A078E" w:rsidRPr="00C6141B" w:rsidRDefault="009A078E" w:rsidP="00E8027C">
            <w:pPr>
              <w:spacing w:after="0" w:line="240" w:lineRule="auto"/>
              <w:jc w:val="center"/>
              <w:rPr>
                <w:rFonts w:eastAsia="Times New Roman" w:cs="Times New Roman"/>
                <w:b/>
                <w:bCs/>
                <w:szCs w:val="24"/>
                <w:lang w:bidi="hi-IN"/>
              </w:rPr>
            </w:pPr>
            <w:r w:rsidRPr="00C6141B">
              <w:rPr>
                <w:rFonts w:eastAsia="Times New Roman" w:cs="Times New Roman"/>
                <w:b/>
                <w:bCs/>
                <w:szCs w:val="24"/>
                <w:lang w:bidi="hi-IN"/>
              </w:rPr>
              <w:t>PBP</w:t>
            </w:r>
          </w:p>
          <w:p w14:paraId="5AF295A8" w14:textId="77777777" w:rsidR="009A078E" w:rsidRPr="00C6141B" w:rsidRDefault="009A078E" w:rsidP="00E8027C">
            <w:pPr>
              <w:spacing w:after="0" w:line="240" w:lineRule="auto"/>
              <w:jc w:val="center"/>
              <w:rPr>
                <w:rFonts w:eastAsia="Times New Roman" w:cs="Times New Roman"/>
                <w:b/>
                <w:bCs/>
                <w:szCs w:val="24"/>
                <w:lang w:bidi="hi-IN"/>
              </w:rPr>
            </w:pPr>
            <w:r w:rsidRPr="00C6141B">
              <w:rPr>
                <w:rFonts w:eastAsia="Times New Roman" w:cs="Times New Roman"/>
                <w:b/>
                <w:bCs/>
                <w:szCs w:val="24"/>
                <w:lang w:bidi="hi-IN"/>
              </w:rPr>
              <w:t>(years)</w:t>
            </w:r>
          </w:p>
        </w:tc>
        <w:tc>
          <w:tcPr>
            <w:tcW w:w="1884" w:type="dxa"/>
            <w:tcBorders>
              <w:top w:val="nil"/>
              <w:left w:val="nil"/>
              <w:bottom w:val="single" w:sz="4" w:space="0" w:color="auto"/>
              <w:right w:val="single" w:sz="4" w:space="0" w:color="auto"/>
            </w:tcBorders>
            <w:shd w:val="clear" w:color="auto" w:fill="auto"/>
            <w:noWrap/>
            <w:hideMark/>
          </w:tcPr>
          <w:p w14:paraId="27644099" w14:textId="5C995764" w:rsidR="009A078E" w:rsidRPr="00C6141B" w:rsidRDefault="009A078E" w:rsidP="00E8027C">
            <w:pPr>
              <w:spacing w:after="0" w:line="240" w:lineRule="auto"/>
              <w:jc w:val="center"/>
              <w:rPr>
                <w:rFonts w:eastAsia="Times New Roman" w:cs="Times New Roman"/>
                <w:b/>
                <w:bCs/>
                <w:szCs w:val="24"/>
                <w:lang w:bidi="hi-IN"/>
              </w:rPr>
            </w:pPr>
            <w:r w:rsidRPr="00C6141B">
              <w:rPr>
                <w:rFonts w:eastAsia="Times New Roman" w:cs="Times New Roman"/>
                <w:b/>
                <w:bCs/>
                <w:szCs w:val="24"/>
                <w:lang w:bidi="hi-IN"/>
              </w:rPr>
              <w:t>0.67</w:t>
            </w:r>
          </w:p>
        </w:tc>
      </w:tr>
    </w:tbl>
    <w:p w14:paraId="760CFDE1" w14:textId="77777777" w:rsidR="009A078E" w:rsidRPr="00C6141B" w:rsidRDefault="009A078E" w:rsidP="009A078E">
      <w:pPr>
        <w:rPr>
          <w:rFonts w:cs="Times New Roman"/>
          <w:szCs w:val="24"/>
        </w:rPr>
      </w:pPr>
    </w:p>
    <w:p w14:paraId="6B749DDE" w14:textId="5A088848" w:rsidR="009A078E" w:rsidRPr="00C6141B" w:rsidRDefault="009A078E" w:rsidP="009A078E">
      <w:pPr>
        <w:rPr>
          <w:rFonts w:cs="Times New Roman"/>
          <w:szCs w:val="24"/>
        </w:rPr>
      </w:pPr>
      <w:r w:rsidRPr="00C6141B">
        <w:rPr>
          <w:rFonts w:cs="Times New Roman"/>
          <w:szCs w:val="24"/>
        </w:rPr>
        <w:t xml:space="preserve">From the computation of PBP of both projects it </w:t>
      </w:r>
      <w:r w:rsidR="0051383E" w:rsidRPr="00C6141B">
        <w:rPr>
          <w:rFonts w:cs="Times New Roman"/>
          <w:szCs w:val="24"/>
        </w:rPr>
        <w:t>is</w:t>
      </w:r>
      <w:r w:rsidRPr="00C6141B">
        <w:rPr>
          <w:rFonts w:cs="Times New Roman"/>
          <w:szCs w:val="24"/>
        </w:rPr>
        <w:t xml:space="preserve"> seen that project B </w:t>
      </w:r>
      <w:r w:rsidR="0051383E" w:rsidRPr="00C6141B">
        <w:rPr>
          <w:rFonts w:cs="Times New Roman"/>
          <w:szCs w:val="24"/>
        </w:rPr>
        <w:t>should be accepted as company can recover its invested income within a year as the PBP of project B is 0.67 year whereas the project A has higher PBP as compared to project B.</w:t>
      </w:r>
    </w:p>
    <w:p w14:paraId="73D934AC" w14:textId="77777777" w:rsidR="009A078E" w:rsidRPr="00C6141B" w:rsidRDefault="009A078E" w:rsidP="009A078E">
      <w:pPr>
        <w:pStyle w:val="Heading3"/>
        <w:rPr>
          <w:rFonts w:cs="Times New Roman"/>
        </w:rPr>
      </w:pPr>
      <w:bookmarkStart w:id="24" w:name="_Toc175148050"/>
      <w:r w:rsidRPr="00C6141B">
        <w:rPr>
          <w:rFonts w:cs="Times New Roman"/>
        </w:rPr>
        <w:t>3.1.3 Accounting Rate of Return (ARR)</w:t>
      </w:r>
      <w:bookmarkEnd w:id="24"/>
    </w:p>
    <w:p w14:paraId="6EC6A165" w14:textId="11CD4AC1" w:rsidR="009A078E" w:rsidRPr="00C6141B" w:rsidRDefault="009A078E" w:rsidP="009A078E">
      <w:pPr>
        <w:rPr>
          <w:rFonts w:cs="Times New Roman"/>
          <w:szCs w:val="24"/>
        </w:rPr>
      </w:pPr>
      <w:r w:rsidRPr="00C6141B">
        <w:rPr>
          <w:rFonts w:cs="Times New Roman"/>
          <w:szCs w:val="24"/>
        </w:rPr>
        <w:t>ARR is another important investment appraisal method that compares average net income with the investment amount to understand what percentage of investment a project is generating as income</w:t>
      </w:r>
      <w:r w:rsidR="00C11FFD" w:rsidRPr="00C6141B">
        <w:rPr>
          <w:rFonts w:cs="Times New Roman"/>
          <w:szCs w:val="24"/>
        </w:rPr>
        <w:t xml:space="preserve"> (Keršytė, 2011)</w:t>
      </w:r>
      <w:r w:rsidRPr="00C6141B">
        <w:rPr>
          <w:rFonts w:cs="Times New Roman"/>
          <w:szCs w:val="24"/>
        </w:rPr>
        <w:t>.</w:t>
      </w:r>
    </w:p>
    <w:p w14:paraId="552A83B8" w14:textId="77777777" w:rsidR="009A078E" w:rsidRPr="00C6141B" w:rsidRDefault="009A078E" w:rsidP="009A078E">
      <w:pPr>
        <w:rPr>
          <w:rFonts w:cs="Times New Roman"/>
          <w:szCs w:val="24"/>
        </w:rPr>
      </w:pPr>
      <w:r w:rsidRPr="00C6141B">
        <w:rPr>
          <w:rFonts w:cs="Times New Roman"/>
          <w:szCs w:val="24"/>
        </w:rPr>
        <w:t>ARR formula</w:t>
      </w:r>
      <w:r w:rsidRPr="00C6141B">
        <w:rPr>
          <w:rFonts w:cs="Times New Roman"/>
          <w:szCs w:val="24"/>
        </w:rPr>
        <w:tab/>
        <w:t>=</w:t>
      </w:r>
      <w:r w:rsidRPr="00C6141B">
        <w:rPr>
          <w:rFonts w:cs="Times New Roman"/>
          <w:szCs w:val="24"/>
        </w:rPr>
        <w:tab/>
        <w:t>(Net income/ useful life) / Investment cost</w:t>
      </w:r>
    </w:p>
    <w:p w14:paraId="5B0C1690" w14:textId="77777777" w:rsidR="009A078E" w:rsidRPr="00C6141B" w:rsidRDefault="009A078E" w:rsidP="009A078E">
      <w:pPr>
        <w:rPr>
          <w:rFonts w:cs="Times New Roman"/>
          <w:szCs w:val="24"/>
        </w:rPr>
      </w:pPr>
      <w:r w:rsidRPr="00C6141B">
        <w:rPr>
          <w:rFonts w:cs="Times New Roman"/>
          <w:szCs w:val="24"/>
        </w:rPr>
        <w:t>It is assumed that the project A has net income £500m whereas project B has net income £1000m.</w:t>
      </w:r>
    </w:p>
    <w:p w14:paraId="79CA81A7" w14:textId="77777777" w:rsidR="009A078E" w:rsidRPr="00C6141B" w:rsidRDefault="009A078E" w:rsidP="009A078E">
      <w:pPr>
        <w:rPr>
          <w:rFonts w:cs="Times New Roman"/>
          <w:szCs w:val="24"/>
        </w:rPr>
      </w:pPr>
      <w:r w:rsidRPr="00C6141B">
        <w:rPr>
          <w:rFonts w:cs="Times New Roman"/>
          <w:szCs w:val="24"/>
        </w:rPr>
        <w:t xml:space="preserve">Now average net income </w:t>
      </w:r>
    </w:p>
    <w:p w14:paraId="68DCE0B9" w14:textId="77777777" w:rsidR="009A078E" w:rsidRPr="00C6141B" w:rsidRDefault="009A078E" w:rsidP="009A078E">
      <w:pPr>
        <w:rPr>
          <w:rFonts w:cs="Times New Roman"/>
          <w:szCs w:val="24"/>
        </w:rPr>
      </w:pPr>
      <w:r w:rsidRPr="00C6141B">
        <w:rPr>
          <w:rFonts w:cs="Times New Roman"/>
          <w:szCs w:val="24"/>
        </w:rPr>
        <w:t>Project A</w:t>
      </w:r>
      <w:r w:rsidRPr="00C6141B">
        <w:rPr>
          <w:rFonts w:cs="Times New Roman"/>
          <w:szCs w:val="24"/>
        </w:rPr>
        <w:tab/>
        <w:t>=</w:t>
      </w:r>
      <w:r w:rsidRPr="00C6141B">
        <w:rPr>
          <w:rFonts w:cs="Times New Roman"/>
          <w:szCs w:val="24"/>
        </w:rPr>
        <w:tab/>
        <w:t>500/4</w:t>
      </w:r>
      <w:r w:rsidRPr="00C6141B">
        <w:rPr>
          <w:rFonts w:cs="Times New Roman"/>
          <w:szCs w:val="24"/>
        </w:rPr>
        <w:tab/>
        <w:t>=</w:t>
      </w:r>
      <w:r w:rsidRPr="00C6141B">
        <w:rPr>
          <w:rFonts w:cs="Times New Roman"/>
          <w:szCs w:val="24"/>
        </w:rPr>
        <w:tab/>
        <w:t>125m</w:t>
      </w:r>
    </w:p>
    <w:p w14:paraId="7CA5F930" w14:textId="77777777" w:rsidR="009A078E" w:rsidRPr="00C6141B" w:rsidRDefault="009A078E" w:rsidP="009A078E">
      <w:pPr>
        <w:rPr>
          <w:rFonts w:cs="Times New Roman"/>
          <w:szCs w:val="24"/>
        </w:rPr>
      </w:pPr>
      <w:r w:rsidRPr="00C6141B">
        <w:rPr>
          <w:rFonts w:cs="Times New Roman"/>
          <w:szCs w:val="24"/>
        </w:rPr>
        <w:t>Project B</w:t>
      </w:r>
      <w:r w:rsidRPr="00C6141B">
        <w:rPr>
          <w:rFonts w:cs="Times New Roman"/>
          <w:szCs w:val="24"/>
        </w:rPr>
        <w:tab/>
        <w:t>=</w:t>
      </w:r>
      <w:r w:rsidRPr="00C6141B">
        <w:rPr>
          <w:rFonts w:cs="Times New Roman"/>
          <w:szCs w:val="24"/>
        </w:rPr>
        <w:tab/>
        <w:t>1000/4</w:t>
      </w:r>
      <w:r w:rsidRPr="00C6141B">
        <w:rPr>
          <w:rFonts w:cs="Times New Roman"/>
          <w:szCs w:val="24"/>
        </w:rPr>
        <w:tab/>
        <w:t>=</w:t>
      </w:r>
      <w:r w:rsidRPr="00C6141B">
        <w:rPr>
          <w:rFonts w:cs="Times New Roman"/>
          <w:szCs w:val="24"/>
        </w:rPr>
        <w:tab/>
        <w:t>250m</w:t>
      </w:r>
    </w:p>
    <w:p w14:paraId="06559A6E" w14:textId="77777777" w:rsidR="009A078E" w:rsidRPr="00C6141B" w:rsidRDefault="009A078E" w:rsidP="009A078E">
      <w:pPr>
        <w:rPr>
          <w:rFonts w:cs="Times New Roman"/>
          <w:szCs w:val="24"/>
        </w:rPr>
      </w:pPr>
      <w:r w:rsidRPr="00C6141B">
        <w:rPr>
          <w:rFonts w:cs="Times New Roman"/>
          <w:szCs w:val="24"/>
        </w:rPr>
        <w:t>ARR project A</w:t>
      </w:r>
      <w:r w:rsidRPr="00C6141B">
        <w:rPr>
          <w:rFonts w:cs="Times New Roman"/>
          <w:szCs w:val="24"/>
        </w:rPr>
        <w:tab/>
        <w:t>=</w:t>
      </w:r>
      <w:r w:rsidRPr="00C6141B">
        <w:rPr>
          <w:rFonts w:cs="Times New Roman"/>
          <w:szCs w:val="24"/>
        </w:rPr>
        <w:tab/>
        <w:t>125/5000</w:t>
      </w:r>
      <w:r w:rsidRPr="00C6141B">
        <w:rPr>
          <w:rFonts w:cs="Times New Roman"/>
          <w:szCs w:val="24"/>
        </w:rPr>
        <w:tab/>
        <w:t>=</w:t>
      </w:r>
      <w:r w:rsidRPr="00C6141B">
        <w:rPr>
          <w:rFonts w:cs="Times New Roman"/>
          <w:szCs w:val="24"/>
        </w:rPr>
        <w:tab/>
        <w:t>2.5%</w:t>
      </w:r>
    </w:p>
    <w:p w14:paraId="1D122855" w14:textId="77777777" w:rsidR="009A078E" w:rsidRPr="00C6141B" w:rsidRDefault="009A078E" w:rsidP="009A078E">
      <w:pPr>
        <w:rPr>
          <w:rFonts w:cs="Times New Roman"/>
          <w:szCs w:val="24"/>
        </w:rPr>
      </w:pPr>
      <w:r w:rsidRPr="00C6141B">
        <w:rPr>
          <w:rFonts w:cs="Times New Roman"/>
          <w:szCs w:val="24"/>
        </w:rPr>
        <w:t>ARR project B</w:t>
      </w:r>
      <w:r w:rsidRPr="00C6141B">
        <w:rPr>
          <w:rFonts w:cs="Times New Roman"/>
          <w:szCs w:val="24"/>
        </w:rPr>
        <w:tab/>
      </w:r>
      <w:r w:rsidRPr="00C6141B">
        <w:rPr>
          <w:rFonts w:cs="Times New Roman"/>
          <w:szCs w:val="24"/>
        </w:rPr>
        <w:tab/>
        <w:t>=</w:t>
      </w:r>
      <w:r w:rsidRPr="00C6141B">
        <w:rPr>
          <w:rFonts w:cs="Times New Roman"/>
          <w:szCs w:val="24"/>
        </w:rPr>
        <w:tab/>
        <w:t>250/1000</w:t>
      </w:r>
      <w:r w:rsidRPr="00C6141B">
        <w:rPr>
          <w:rFonts w:cs="Times New Roman"/>
          <w:szCs w:val="24"/>
        </w:rPr>
        <w:tab/>
        <w:t>=</w:t>
      </w:r>
      <w:r w:rsidRPr="00C6141B">
        <w:rPr>
          <w:rFonts w:cs="Times New Roman"/>
          <w:szCs w:val="24"/>
        </w:rPr>
        <w:tab/>
        <w:t>25%</w:t>
      </w:r>
    </w:p>
    <w:p w14:paraId="4F9E8BC0" w14:textId="440FB062" w:rsidR="009A078E" w:rsidRPr="00C6141B" w:rsidRDefault="009A078E" w:rsidP="009A078E">
      <w:pPr>
        <w:rPr>
          <w:rFonts w:cs="Times New Roman"/>
          <w:szCs w:val="24"/>
        </w:rPr>
      </w:pPr>
      <w:r w:rsidRPr="00C6141B">
        <w:rPr>
          <w:rFonts w:cs="Times New Roman"/>
          <w:szCs w:val="24"/>
        </w:rPr>
        <w:t xml:space="preserve">Thus, it can be seen that project B has higher ARR </w:t>
      </w:r>
      <w:r w:rsidR="0051383E" w:rsidRPr="00C6141B">
        <w:rPr>
          <w:rFonts w:cs="Times New Roman"/>
          <w:szCs w:val="24"/>
        </w:rPr>
        <w:t>(25%) as compared to the project A which has 2.5% ARR. As it is seen that project B is</w:t>
      </w:r>
      <w:r w:rsidRPr="00C6141B">
        <w:rPr>
          <w:rFonts w:cs="Times New Roman"/>
          <w:szCs w:val="24"/>
        </w:rPr>
        <w:t xml:space="preserve"> suitable for the company’s investment choice. </w:t>
      </w:r>
    </w:p>
    <w:p w14:paraId="10643572" w14:textId="59A06EA7" w:rsidR="009A078E" w:rsidRPr="00C6141B" w:rsidRDefault="009A078E" w:rsidP="009A078E">
      <w:pPr>
        <w:rPr>
          <w:rFonts w:cs="Times New Roman"/>
          <w:szCs w:val="24"/>
        </w:rPr>
      </w:pPr>
      <w:r w:rsidRPr="00C6141B">
        <w:rPr>
          <w:rFonts w:cs="Times New Roman"/>
          <w:szCs w:val="24"/>
        </w:rPr>
        <w:t xml:space="preserve">On the basis of all three methods project B has greater potentials </w:t>
      </w:r>
      <w:r w:rsidR="00E8027C" w:rsidRPr="00C6141B">
        <w:rPr>
          <w:rFonts w:cs="Times New Roman"/>
          <w:szCs w:val="24"/>
        </w:rPr>
        <w:t>to generate income in less time so,</w:t>
      </w:r>
      <w:r w:rsidRPr="00C6141B">
        <w:rPr>
          <w:rFonts w:cs="Times New Roman"/>
          <w:szCs w:val="24"/>
        </w:rPr>
        <w:t xml:space="preserve"> project B should be </w:t>
      </w:r>
      <w:r w:rsidR="00E904E1" w:rsidRPr="00C6141B">
        <w:rPr>
          <w:rFonts w:cs="Times New Roman"/>
          <w:szCs w:val="24"/>
        </w:rPr>
        <w:t>accepted</w:t>
      </w:r>
      <w:r w:rsidRPr="00C6141B">
        <w:rPr>
          <w:rFonts w:cs="Times New Roman"/>
          <w:szCs w:val="24"/>
        </w:rPr>
        <w:t xml:space="preserve">. </w:t>
      </w:r>
      <w:r w:rsidRPr="00C6141B">
        <w:rPr>
          <w:rFonts w:cs="Times New Roman"/>
          <w:szCs w:val="24"/>
        </w:rPr>
        <w:tab/>
      </w:r>
    </w:p>
    <w:p w14:paraId="6F631115" w14:textId="77777777" w:rsidR="009A078E" w:rsidRPr="00C6141B" w:rsidRDefault="009A078E" w:rsidP="009A078E">
      <w:pPr>
        <w:pStyle w:val="Heading2"/>
        <w:rPr>
          <w:rFonts w:cs="Times New Roman"/>
        </w:rPr>
      </w:pPr>
      <w:bookmarkStart w:id="25" w:name="_Toc175148051"/>
      <w:r w:rsidRPr="00C6141B">
        <w:rPr>
          <w:rFonts w:cs="Times New Roman"/>
        </w:rPr>
        <w:lastRenderedPageBreak/>
        <w:t>3.2 Computation of NPV and PBP when investment increase and inflow decrease</w:t>
      </w:r>
      <w:bookmarkEnd w:id="25"/>
      <w:r w:rsidRPr="00C6141B">
        <w:rPr>
          <w:rFonts w:cs="Times New Roman"/>
        </w:rPr>
        <w:t xml:space="preserve"> </w:t>
      </w:r>
    </w:p>
    <w:p w14:paraId="18685A8C" w14:textId="05D83325" w:rsidR="009A078E" w:rsidRPr="00C6141B" w:rsidRDefault="009A078E" w:rsidP="009A078E">
      <w:pPr>
        <w:rPr>
          <w:rFonts w:cs="Times New Roman"/>
          <w:szCs w:val="24"/>
        </w:rPr>
      </w:pPr>
      <w:r w:rsidRPr="00C6141B">
        <w:rPr>
          <w:rFonts w:cs="Times New Roman"/>
          <w:szCs w:val="24"/>
        </w:rPr>
        <w:t>In this scenario, the company is seeking to increase investments by 10% in both projects individually. This decision to increase investment can be driven by growth potential and market trend for developing solutions to meet sustainable development objectives and ensure sustainability</w:t>
      </w:r>
      <w:r w:rsidR="00E8027C" w:rsidRPr="00C6141B">
        <w:rPr>
          <w:rFonts w:cs="Times New Roman"/>
          <w:szCs w:val="24"/>
        </w:rPr>
        <w:t xml:space="preserve"> </w:t>
      </w:r>
      <w:r w:rsidR="0051383E" w:rsidRPr="00C6141B">
        <w:rPr>
          <w:rFonts w:cs="Times New Roman"/>
          <w:szCs w:val="24"/>
        </w:rPr>
        <w:t>(Michelon et al, 2020)</w:t>
      </w:r>
      <w:r w:rsidRPr="00C6141B">
        <w:rPr>
          <w:rFonts w:cs="Times New Roman"/>
          <w:szCs w:val="24"/>
        </w:rPr>
        <w:t xml:space="preserve">. Now, it has been assumed that Glencore has decided to increase investments into both projects by 10% however cash inflow will decline by 10%.  This change will have significant impact on NPV and PBP of both projects and thus it becomes important to reevaluate NPV and PBP. </w:t>
      </w:r>
    </w:p>
    <w:p w14:paraId="76666042" w14:textId="77777777" w:rsidR="009A078E" w:rsidRPr="00C6141B" w:rsidRDefault="009A078E" w:rsidP="009A078E">
      <w:pPr>
        <w:rPr>
          <w:rFonts w:cs="Times New Roman"/>
          <w:b/>
          <w:bCs/>
          <w:szCs w:val="24"/>
        </w:rPr>
      </w:pPr>
      <w:r w:rsidRPr="00C6141B">
        <w:rPr>
          <w:rFonts w:cs="Times New Roman"/>
          <w:b/>
          <w:bCs/>
          <w:szCs w:val="24"/>
        </w:rPr>
        <w:t>NPV when investment rise by 10% and cash flow declines by 10%</w:t>
      </w:r>
    </w:p>
    <w:p w14:paraId="5087B50B" w14:textId="77777777" w:rsidR="009A078E" w:rsidRPr="00C6141B" w:rsidRDefault="009A078E" w:rsidP="009A078E">
      <w:pPr>
        <w:rPr>
          <w:rFonts w:cs="Times New Roman"/>
          <w:b/>
          <w:bCs/>
          <w:szCs w:val="24"/>
        </w:rPr>
      </w:pPr>
      <w:r w:rsidRPr="00C6141B">
        <w:rPr>
          <w:rFonts w:cs="Times New Roman"/>
          <w:b/>
          <w:bCs/>
          <w:szCs w:val="24"/>
        </w:rPr>
        <w:t>Project A</w:t>
      </w:r>
    </w:p>
    <w:tbl>
      <w:tblPr>
        <w:tblW w:w="8941" w:type="dxa"/>
        <w:tblInd w:w="94" w:type="dxa"/>
        <w:tblLook w:val="04A0" w:firstRow="1" w:lastRow="0" w:firstColumn="1" w:lastColumn="0" w:noHBand="0" w:noVBand="1"/>
      </w:tblPr>
      <w:tblGrid>
        <w:gridCol w:w="723"/>
        <w:gridCol w:w="1307"/>
        <w:gridCol w:w="1445"/>
        <w:gridCol w:w="3791"/>
        <w:gridCol w:w="1718"/>
      </w:tblGrid>
      <w:tr w:rsidR="009A078E" w:rsidRPr="00C6141B" w14:paraId="0D08DCF3" w14:textId="77777777" w:rsidTr="00E8027C">
        <w:trPr>
          <w:trHeight w:val="317"/>
        </w:trPr>
        <w:tc>
          <w:tcPr>
            <w:tcW w:w="8941" w:type="dxa"/>
            <w:gridSpan w:val="5"/>
            <w:tcBorders>
              <w:top w:val="single" w:sz="8" w:space="0" w:color="auto"/>
              <w:left w:val="single" w:sz="8" w:space="0" w:color="auto"/>
              <w:bottom w:val="single" w:sz="8" w:space="0" w:color="auto"/>
              <w:right w:val="single" w:sz="8" w:space="0" w:color="000000"/>
            </w:tcBorders>
            <w:shd w:val="clear" w:color="000000" w:fill="CCC0DA"/>
            <w:noWrap/>
            <w:hideMark/>
          </w:tcPr>
          <w:p w14:paraId="01394496" w14:textId="1ACD8085" w:rsidR="009A078E" w:rsidRPr="00C6141B" w:rsidRDefault="009A078E" w:rsidP="00E8027C">
            <w:pPr>
              <w:spacing w:after="0" w:line="240" w:lineRule="auto"/>
              <w:jc w:val="center"/>
              <w:rPr>
                <w:rFonts w:eastAsia="Times New Roman" w:cs="Times New Roman"/>
                <w:b/>
                <w:bCs/>
                <w:szCs w:val="24"/>
                <w:lang w:bidi="hi-IN"/>
              </w:rPr>
            </w:pPr>
            <w:r w:rsidRPr="00C6141B">
              <w:rPr>
                <w:rFonts w:eastAsia="Times New Roman" w:cs="Times New Roman"/>
                <w:b/>
                <w:bCs/>
                <w:szCs w:val="24"/>
                <w:lang w:bidi="hi-IN"/>
              </w:rPr>
              <w:t>NPV computation for project A</w:t>
            </w:r>
          </w:p>
        </w:tc>
      </w:tr>
      <w:tr w:rsidR="009A078E" w:rsidRPr="00C6141B" w14:paraId="7225724B" w14:textId="77777777" w:rsidTr="00E8027C">
        <w:trPr>
          <w:trHeight w:val="303"/>
        </w:trPr>
        <w:tc>
          <w:tcPr>
            <w:tcW w:w="678" w:type="dxa"/>
            <w:tcBorders>
              <w:top w:val="nil"/>
              <w:left w:val="single" w:sz="8" w:space="0" w:color="auto"/>
              <w:bottom w:val="single" w:sz="4" w:space="0" w:color="auto"/>
              <w:right w:val="single" w:sz="4" w:space="0" w:color="auto"/>
            </w:tcBorders>
            <w:shd w:val="clear" w:color="000000" w:fill="E5E0EC"/>
            <w:noWrap/>
            <w:hideMark/>
          </w:tcPr>
          <w:p w14:paraId="2811216F" w14:textId="145D1109" w:rsidR="009A078E" w:rsidRPr="00C6141B" w:rsidRDefault="009A078E" w:rsidP="00E8027C">
            <w:pPr>
              <w:spacing w:after="0" w:line="240" w:lineRule="auto"/>
              <w:jc w:val="center"/>
              <w:rPr>
                <w:rFonts w:eastAsia="Times New Roman" w:cs="Times New Roman"/>
                <w:b/>
                <w:bCs/>
                <w:szCs w:val="24"/>
                <w:lang w:bidi="hi-IN"/>
              </w:rPr>
            </w:pPr>
            <w:r w:rsidRPr="00C6141B">
              <w:rPr>
                <w:rFonts w:eastAsia="Times New Roman" w:cs="Times New Roman"/>
                <w:b/>
                <w:bCs/>
                <w:szCs w:val="24"/>
                <w:lang w:bidi="hi-IN"/>
              </w:rPr>
              <w:t>Year</w:t>
            </w:r>
          </w:p>
        </w:tc>
        <w:tc>
          <w:tcPr>
            <w:tcW w:w="1307" w:type="dxa"/>
            <w:tcBorders>
              <w:top w:val="nil"/>
              <w:left w:val="nil"/>
              <w:bottom w:val="single" w:sz="4" w:space="0" w:color="auto"/>
              <w:right w:val="single" w:sz="4" w:space="0" w:color="auto"/>
            </w:tcBorders>
            <w:shd w:val="clear" w:color="000000" w:fill="E5E0EC"/>
            <w:noWrap/>
            <w:hideMark/>
          </w:tcPr>
          <w:p w14:paraId="343C656C" w14:textId="6A31BD73" w:rsidR="009A078E" w:rsidRPr="00C6141B" w:rsidRDefault="009A078E" w:rsidP="00E8027C">
            <w:pPr>
              <w:spacing w:after="0" w:line="240" w:lineRule="auto"/>
              <w:jc w:val="center"/>
              <w:rPr>
                <w:rFonts w:eastAsia="Times New Roman" w:cs="Times New Roman"/>
                <w:b/>
                <w:bCs/>
                <w:szCs w:val="24"/>
                <w:lang w:bidi="hi-IN"/>
              </w:rPr>
            </w:pPr>
            <w:r w:rsidRPr="00C6141B">
              <w:rPr>
                <w:rFonts w:eastAsia="Times New Roman" w:cs="Times New Roman"/>
                <w:b/>
                <w:bCs/>
                <w:szCs w:val="24"/>
                <w:lang w:bidi="hi-IN"/>
              </w:rPr>
              <w:t>initial cost</w:t>
            </w:r>
          </w:p>
        </w:tc>
        <w:tc>
          <w:tcPr>
            <w:tcW w:w="1445" w:type="dxa"/>
            <w:tcBorders>
              <w:top w:val="nil"/>
              <w:left w:val="nil"/>
              <w:bottom w:val="single" w:sz="4" w:space="0" w:color="auto"/>
              <w:right w:val="single" w:sz="4" w:space="0" w:color="auto"/>
            </w:tcBorders>
            <w:shd w:val="clear" w:color="000000" w:fill="E5E0EC"/>
            <w:noWrap/>
            <w:hideMark/>
          </w:tcPr>
          <w:p w14:paraId="0C0BA403" w14:textId="0A41F401" w:rsidR="009A078E" w:rsidRPr="00C6141B" w:rsidRDefault="009A078E" w:rsidP="00E8027C">
            <w:pPr>
              <w:spacing w:after="0" w:line="240" w:lineRule="auto"/>
              <w:jc w:val="center"/>
              <w:rPr>
                <w:rFonts w:eastAsia="Times New Roman" w:cs="Times New Roman"/>
                <w:b/>
                <w:bCs/>
                <w:szCs w:val="24"/>
                <w:lang w:bidi="hi-IN"/>
              </w:rPr>
            </w:pPr>
            <w:r w:rsidRPr="00C6141B">
              <w:rPr>
                <w:rFonts w:eastAsia="Times New Roman" w:cs="Times New Roman"/>
                <w:b/>
                <w:bCs/>
                <w:szCs w:val="24"/>
                <w:lang w:bidi="hi-IN"/>
              </w:rPr>
              <w:t>Inflow</w:t>
            </w:r>
          </w:p>
        </w:tc>
        <w:tc>
          <w:tcPr>
            <w:tcW w:w="3791" w:type="dxa"/>
            <w:tcBorders>
              <w:top w:val="single" w:sz="8" w:space="0" w:color="auto"/>
              <w:left w:val="nil"/>
              <w:bottom w:val="single" w:sz="4" w:space="0" w:color="auto"/>
              <w:right w:val="single" w:sz="4" w:space="0" w:color="000000"/>
            </w:tcBorders>
            <w:shd w:val="clear" w:color="000000" w:fill="E5E0EC"/>
            <w:noWrap/>
            <w:hideMark/>
          </w:tcPr>
          <w:p w14:paraId="359FB2A9" w14:textId="20E0BF74" w:rsidR="009A078E" w:rsidRPr="00C6141B" w:rsidRDefault="009A078E" w:rsidP="00E8027C">
            <w:pPr>
              <w:spacing w:after="0" w:line="240" w:lineRule="auto"/>
              <w:jc w:val="center"/>
              <w:rPr>
                <w:rFonts w:eastAsia="Times New Roman" w:cs="Times New Roman"/>
                <w:b/>
                <w:bCs/>
                <w:szCs w:val="24"/>
                <w:lang w:bidi="hi-IN"/>
              </w:rPr>
            </w:pPr>
            <w:r w:rsidRPr="00C6141B">
              <w:rPr>
                <w:rFonts w:eastAsia="Times New Roman" w:cs="Times New Roman"/>
                <w:b/>
                <w:bCs/>
                <w:szCs w:val="24"/>
                <w:lang w:bidi="hi-IN"/>
              </w:rPr>
              <w:t>PV factor @0.75%</w:t>
            </w:r>
          </w:p>
        </w:tc>
        <w:tc>
          <w:tcPr>
            <w:tcW w:w="1718" w:type="dxa"/>
            <w:tcBorders>
              <w:top w:val="nil"/>
              <w:left w:val="nil"/>
              <w:bottom w:val="single" w:sz="4" w:space="0" w:color="auto"/>
              <w:right w:val="single" w:sz="8" w:space="0" w:color="auto"/>
            </w:tcBorders>
            <w:shd w:val="clear" w:color="000000" w:fill="E5E0EC"/>
            <w:noWrap/>
            <w:hideMark/>
          </w:tcPr>
          <w:p w14:paraId="4A95DBFE" w14:textId="2D9FF4EE" w:rsidR="009A078E" w:rsidRPr="00C6141B" w:rsidRDefault="009A078E" w:rsidP="00E8027C">
            <w:pPr>
              <w:spacing w:after="0" w:line="240" w:lineRule="auto"/>
              <w:jc w:val="center"/>
              <w:rPr>
                <w:rFonts w:eastAsia="Times New Roman" w:cs="Times New Roman"/>
                <w:b/>
                <w:bCs/>
                <w:szCs w:val="24"/>
                <w:lang w:bidi="hi-IN"/>
              </w:rPr>
            </w:pPr>
            <w:r w:rsidRPr="00C6141B">
              <w:rPr>
                <w:rFonts w:eastAsia="Times New Roman" w:cs="Times New Roman"/>
                <w:b/>
                <w:bCs/>
                <w:szCs w:val="24"/>
                <w:lang w:bidi="hi-IN"/>
              </w:rPr>
              <w:t>Present value</w:t>
            </w:r>
          </w:p>
        </w:tc>
      </w:tr>
      <w:tr w:rsidR="009A078E" w:rsidRPr="00C6141B" w14:paraId="1234F565" w14:textId="77777777" w:rsidTr="00E8027C">
        <w:trPr>
          <w:trHeight w:val="303"/>
        </w:trPr>
        <w:tc>
          <w:tcPr>
            <w:tcW w:w="678" w:type="dxa"/>
            <w:tcBorders>
              <w:top w:val="nil"/>
              <w:left w:val="single" w:sz="8" w:space="0" w:color="auto"/>
              <w:bottom w:val="single" w:sz="4" w:space="0" w:color="auto"/>
              <w:right w:val="single" w:sz="4" w:space="0" w:color="auto"/>
            </w:tcBorders>
            <w:shd w:val="clear" w:color="000000" w:fill="E5E0EC"/>
            <w:noWrap/>
            <w:hideMark/>
          </w:tcPr>
          <w:p w14:paraId="219E8AFA" w14:textId="77777777"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0</w:t>
            </w:r>
          </w:p>
        </w:tc>
        <w:tc>
          <w:tcPr>
            <w:tcW w:w="1307" w:type="dxa"/>
            <w:tcBorders>
              <w:top w:val="nil"/>
              <w:left w:val="nil"/>
              <w:bottom w:val="single" w:sz="4" w:space="0" w:color="auto"/>
              <w:right w:val="single" w:sz="4" w:space="0" w:color="auto"/>
            </w:tcBorders>
            <w:shd w:val="clear" w:color="000000" w:fill="E5E0EC"/>
            <w:noWrap/>
            <w:hideMark/>
          </w:tcPr>
          <w:p w14:paraId="5A4669AB" w14:textId="6C841A10"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(5,500.00)</w:t>
            </w:r>
          </w:p>
        </w:tc>
        <w:tc>
          <w:tcPr>
            <w:tcW w:w="1445" w:type="dxa"/>
            <w:tcBorders>
              <w:top w:val="nil"/>
              <w:left w:val="nil"/>
              <w:bottom w:val="single" w:sz="4" w:space="0" w:color="auto"/>
              <w:right w:val="single" w:sz="4" w:space="0" w:color="auto"/>
            </w:tcBorders>
            <w:shd w:val="clear" w:color="000000" w:fill="E5E0EC"/>
            <w:noWrap/>
            <w:hideMark/>
          </w:tcPr>
          <w:p w14:paraId="5A509E96" w14:textId="5589731B"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w:t>
            </w:r>
          </w:p>
        </w:tc>
        <w:tc>
          <w:tcPr>
            <w:tcW w:w="3791" w:type="dxa"/>
            <w:tcBorders>
              <w:top w:val="single" w:sz="4" w:space="0" w:color="auto"/>
              <w:left w:val="nil"/>
              <w:bottom w:val="single" w:sz="4" w:space="0" w:color="auto"/>
              <w:right w:val="single" w:sz="4" w:space="0" w:color="000000"/>
            </w:tcBorders>
            <w:shd w:val="clear" w:color="000000" w:fill="E5E0EC"/>
            <w:noWrap/>
            <w:hideMark/>
          </w:tcPr>
          <w:p w14:paraId="61E0B5AF" w14:textId="61305873"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1.000</w:t>
            </w:r>
          </w:p>
        </w:tc>
        <w:tc>
          <w:tcPr>
            <w:tcW w:w="1718" w:type="dxa"/>
            <w:tcBorders>
              <w:top w:val="nil"/>
              <w:left w:val="nil"/>
              <w:bottom w:val="single" w:sz="4" w:space="0" w:color="auto"/>
              <w:right w:val="single" w:sz="8" w:space="0" w:color="auto"/>
            </w:tcBorders>
            <w:shd w:val="clear" w:color="000000" w:fill="E5E0EC"/>
            <w:noWrap/>
            <w:hideMark/>
          </w:tcPr>
          <w:p w14:paraId="04A6E893" w14:textId="16BE2812"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(5,500.00)</w:t>
            </w:r>
          </w:p>
        </w:tc>
      </w:tr>
      <w:tr w:rsidR="009A078E" w:rsidRPr="00C6141B" w14:paraId="45A5046A" w14:textId="77777777" w:rsidTr="00E8027C">
        <w:trPr>
          <w:trHeight w:val="303"/>
        </w:trPr>
        <w:tc>
          <w:tcPr>
            <w:tcW w:w="678" w:type="dxa"/>
            <w:tcBorders>
              <w:top w:val="nil"/>
              <w:left w:val="single" w:sz="8" w:space="0" w:color="auto"/>
              <w:bottom w:val="single" w:sz="4" w:space="0" w:color="auto"/>
              <w:right w:val="single" w:sz="4" w:space="0" w:color="auto"/>
            </w:tcBorders>
            <w:shd w:val="clear" w:color="000000" w:fill="E5E0EC"/>
            <w:noWrap/>
            <w:hideMark/>
          </w:tcPr>
          <w:p w14:paraId="14B6DAB1" w14:textId="77777777"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1</w:t>
            </w:r>
          </w:p>
        </w:tc>
        <w:tc>
          <w:tcPr>
            <w:tcW w:w="1307" w:type="dxa"/>
            <w:tcBorders>
              <w:top w:val="nil"/>
              <w:left w:val="nil"/>
              <w:bottom w:val="single" w:sz="4" w:space="0" w:color="auto"/>
              <w:right w:val="single" w:sz="4" w:space="0" w:color="auto"/>
            </w:tcBorders>
            <w:shd w:val="clear" w:color="000000" w:fill="E5E0EC"/>
            <w:noWrap/>
            <w:hideMark/>
          </w:tcPr>
          <w:p w14:paraId="45F07837" w14:textId="1813EA6C" w:rsidR="009A078E" w:rsidRPr="00C6141B" w:rsidRDefault="009A078E" w:rsidP="00E8027C">
            <w:pPr>
              <w:spacing w:after="0" w:line="240" w:lineRule="auto"/>
              <w:jc w:val="center"/>
              <w:rPr>
                <w:rFonts w:eastAsia="Times New Roman" w:cs="Times New Roman"/>
                <w:szCs w:val="24"/>
                <w:lang w:bidi="hi-IN"/>
              </w:rPr>
            </w:pPr>
          </w:p>
        </w:tc>
        <w:tc>
          <w:tcPr>
            <w:tcW w:w="1445" w:type="dxa"/>
            <w:tcBorders>
              <w:top w:val="nil"/>
              <w:left w:val="nil"/>
              <w:bottom w:val="single" w:sz="4" w:space="0" w:color="auto"/>
              <w:right w:val="single" w:sz="4" w:space="0" w:color="auto"/>
            </w:tcBorders>
            <w:shd w:val="clear" w:color="000000" w:fill="E5E0EC"/>
            <w:noWrap/>
            <w:hideMark/>
          </w:tcPr>
          <w:p w14:paraId="3540AD7F" w14:textId="6FFB8743"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2,250.00</w:t>
            </w:r>
          </w:p>
        </w:tc>
        <w:tc>
          <w:tcPr>
            <w:tcW w:w="3791" w:type="dxa"/>
            <w:tcBorders>
              <w:top w:val="single" w:sz="4" w:space="0" w:color="auto"/>
              <w:left w:val="nil"/>
              <w:bottom w:val="single" w:sz="4" w:space="0" w:color="auto"/>
              <w:right w:val="single" w:sz="4" w:space="0" w:color="000000"/>
            </w:tcBorders>
            <w:shd w:val="clear" w:color="000000" w:fill="E5E0EC"/>
            <w:noWrap/>
            <w:hideMark/>
          </w:tcPr>
          <w:p w14:paraId="0D4CC0F9" w14:textId="31B4DA41"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0.993</w:t>
            </w:r>
          </w:p>
        </w:tc>
        <w:tc>
          <w:tcPr>
            <w:tcW w:w="1718" w:type="dxa"/>
            <w:tcBorders>
              <w:top w:val="nil"/>
              <w:left w:val="nil"/>
              <w:bottom w:val="single" w:sz="4" w:space="0" w:color="auto"/>
              <w:right w:val="single" w:sz="8" w:space="0" w:color="auto"/>
            </w:tcBorders>
            <w:shd w:val="clear" w:color="000000" w:fill="E5E0EC"/>
            <w:noWrap/>
            <w:hideMark/>
          </w:tcPr>
          <w:p w14:paraId="5493D025" w14:textId="7B587F38"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2,233.25</w:t>
            </w:r>
          </w:p>
        </w:tc>
      </w:tr>
      <w:tr w:rsidR="009A078E" w:rsidRPr="00C6141B" w14:paraId="6D011B7A" w14:textId="77777777" w:rsidTr="00E8027C">
        <w:trPr>
          <w:trHeight w:val="303"/>
        </w:trPr>
        <w:tc>
          <w:tcPr>
            <w:tcW w:w="678" w:type="dxa"/>
            <w:tcBorders>
              <w:top w:val="nil"/>
              <w:left w:val="single" w:sz="8" w:space="0" w:color="auto"/>
              <w:bottom w:val="single" w:sz="4" w:space="0" w:color="auto"/>
              <w:right w:val="single" w:sz="4" w:space="0" w:color="auto"/>
            </w:tcBorders>
            <w:shd w:val="clear" w:color="000000" w:fill="E5E0EC"/>
            <w:noWrap/>
            <w:hideMark/>
          </w:tcPr>
          <w:p w14:paraId="66A742B4" w14:textId="77777777"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2</w:t>
            </w:r>
          </w:p>
        </w:tc>
        <w:tc>
          <w:tcPr>
            <w:tcW w:w="1307" w:type="dxa"/>
            <w:tcBorders>
              <w:top w:val="nil"/>
              <w:left w:val="nil"/>
              <w:bottom w:val="single" w:sz="4" w:space="0" w:color="auto"/>
              <w:right w:val="single" w:sz="4" w:space="0" w:color="auto"/>
            </w:tcBorders>
            <w:shd w:val="clear" w:color="000000" w:fill="E5E0EC"/>
            <w:noWrap/>
            <w:hideMark/>
          </w:tcPr>
          <w:p w14:paraId="39B6D852" w14:textId="0D15836E" w:rsidR="009A078E" w:rsidRPr="00C6141B" w:rsidRDefault="009A078E" w:rsidP="00E8027C">
            <w:pPr>
              <w:spacing w:after="0" w:line="240" w:lineRule="auto"/>
              <w:jc w:val="center"/>
              <w:rPr>
                <w:rFonts w:eastAsia="Times New Roman" w:cs="Times New Roman"/>
                <w:szCs w:val="24"/>
                <w:lang w:bidi="hi-IN"/>
              </w:rPr>
            </w:pPr>
          </w:p>
        </w:tc>
        <w:tc>
          <w:tcPr>
            <w:tcW w:w="1445" w:type="dxa"/>
            <w:tcBorders>
              <w:top w:val="nil"/>
              <w:left w:val="nil"/>
              <w:bottom w:val="single" w:sz="4" w:space="0" w:color="auto"/>
              <w:right w:val="single" w:sz="4" w:space="0" w:color="auto"/>
            </w:tcBorders>
            <w:shd w:val="clear" w:color="000000" w:fill="E5E0EC"/>
            <w:noWrap/>
            <w:hideMark/>
          </w:tcPr>
          <w:p w14:paraId="36958EF7" w14:textId="3096EDFA"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1,800.00</w:t>
            </w:r>
          </w:p>
        </w:tc>
        <w:tc>
          <w:tcPr>
            <w:tcW w:w="3791" w:type="dxa"/>
            <w:tcBorders>
              <w:top w:val="single" w:sz="4" w:space="0" w:color="auto"/>
              <w:left w:val="nil"/>
              <w:bottom w:val="single" w:sz="4" w:space="0" w:color="auto"/>
              <w:right w:val="single" w:sz="4" w:space="0" w:color="000000"/>
            </w:tcBorders>
            <w:shd w:val="clear" w:color="000000" w:fill="E5E0EC"/>
            <w:noWrap/>
            <w:hideMark/>
          </w:tcPr>
          <w:p w14:paraId="229A7705" w14:textId="5B338527"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0.985</w:t>
            </w:r>
          </w:p>
        </w:tc>
        <w:tc>
          <w:tcPr>
            <w:tcW w:w="1718" w:type="dxa"/>
            <w:tcBorders>
              <w:top w:val="nil"/>
              <w:left w:val="nil"/>
              <w:bottom w:val="single" w:sz="4" w:space="0" w:color="auto"/>
              <w:right w:val="single" w:sz="8" w:space="0" w:color="auto"/>
            </w:tcBorders>
            <w:shd w:val="clear" w:color="000000" w:fill="E5E0EC"/>
            <w:noWrap/>
            <w:hideMark/>
          </w:tcPr>
          <w:p w14:paraId="1AD4B3C4" w14:textId="165E3B9C"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1,773.30</w:t>
            </w:r>
          </w:p>
        </w:tc>
      </w:tr>
      <w:tr w:rsidR="009A078E" w:rsidRPr="00C6141B" w14:paraId="4C687C8E" w14:textId="77777777" w:rsidTr="00E8027C">
        <w:trPr>
          <w:trHeight w:val="303"/>
        </w:trPr>
        <w:tc>
          <w:tcPr>
            <w:tcW w:w="678" w:type="dxa"/>
            <w:tcBorders>
              <w:top w:val="nil"/>
              <w:left w:val="single" w:sz="8" w:space="0" w:color="auto"/>
              <w:bottom w:val="single" w:sz="4" w:space="0" w:color="auto"/>
              <w:right w:val="single" w:sz="4" w:space="0" w:color="auto"/>
            </w:tcBorders>
            <w:shd w:val="clear" w:color="000000" w:fill="E5E0EC"/>
            <w:noWrap/>
            <w:hideMark/>
          </w:tcPr>
          <w:p w14:paraId="5E87F6C7" w14:textId="77777777"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3</w:t>
            </w:r>
          </w:p>
        </w:tc>
        <w:tc>
          <w:tcPr>
            <w:tcW w:w="1307" w:type="dxa"/>
            <w:tcBorders>
              <w:top w:val="nil"/>
              <w:left w:val="nil"/>
              <w:bottom w:val="single" w:sz="4" w:space="0" w:color="auto"/>
              <w:right w:val="single" w:sz="4" w:space="0" w:color="auto"/>
            </w:tcBorders>
            <w:shd w:val="clear" w:color="000000" w:fill="E5E0EC"/>
            <w:noWrap/>
            <w:hideMark/>
          </w:tcPr>
          <w:p w14:paraId="21131A05" w14:textId="382188B1" w:rsidR="009A078E" w:rsidRPr="00C6141B" w:rsidRDefault="009A078E" w:rsidP="00E8027C">
            <w:pPr>
              <w:spacing w:after="0" w:line="240" w:lineRule="auto"/>
              <w:jc w:val="center"/>
              <w:rPr>
                <w:rFonts w:eastAsia="Times New Roman" w:cs="Times New Roman"/>
                <w:szCs w:val="24"/>
                <w:lang w:bidi="hi-IN"/>
              </w:rPr>
            </w:pPr>
          </w:p>
        </w:tc>
        <w:tc>
          <w:tcPr>
            <w:tcW w:w="1445" w:type="dxa"/>
            <w:tcBorders>
              <w:top w:val="nil"/>
              <w:left w:val="nil"/>
              <w:bottom w:val="single" w:sz="4" w:space="0" w:color="auto"/>
              <w:right w:val="single" w:sz="4" w:space="0" w:color="auto"/>
            </w:tcBorders>
            <w:shd w:val="clear" w:color="000000" w:fill="E5E0EC"/>
            <w:noWrap/>
            <w:hideMark/>
          </w:tcPr>
          <w:p w14:paraId="74D9F09A" w14:textId="1DAC2F9F"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900.00</w:t>
            </w:r>
          </w:p>
        </w:tc>
        <w:tc>
          <w:tcPr>
            <w:tcW w:w="3791" w:type="dxa"/>
            <w:tcBorders>
              <w:top w:val="single" w:sz="4" w:space="0" w:color="auto"/>
              <w:left w:val="nil"/>
              <w:bottom w:val="single" w:sz="4" w:space="0" w:color="auto"/>
              <w:right w:val="single" w:sz="4" w:space="0" w:color="000000"/>
            </w:tcBorders>
            <w:shd w:val="clear" w:color="000000" w:fill="E5E0EC"/>
            <w:noWrap/>
            <w:hideMark/>
          </w:tcPr>
          <w:p w14:paraId="67F04C63" w14:textId="61B5CBE5"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0.978</w:t>
            </w:r>
          </w:p>
        </w:tc>
        <w:tc>
          <w:tcPr>
            <w:tcW w:w="1718" w:type="dxa"/>
            <w:tcBorders>
              <w:top w:val="nil"/>
              <w:left w:val="nil"/>
              <w:bottom w:val="single" w:sz="4" w:space="0" w:color="auto"/>
              <w:right w:val="single" w:sz="8" w:space="0" w:color="auto"/>
            </w:tcBorders>
            <w:shd w:val="clear" w:color="000000" w:fill="E5E0EC"/>
            <w:noWrap/>
            <w:hideMark/>
          </w:tcPr>
          <w:p w14:paraId="08AF6954" w14:textId="63B75254"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880.05</w:t>
            </w:r>
          </w:p>
        </w:tc>
      </w:tr>
      <w:tr w:rsidR="009A078E" w:rsidRPr="00C6141B" w14:paraId="13D61B03" w14:textId="77777777" w:rsidTr="00E8027C">
        <w:trPr>
          <w:trHeight w:val="303"/>
        </w:trPr>
        <w:tc>
          <w:tcPr>
            <w:tcW w:w="678" w:type="dxa"/>
            <w:tcBorders>
              <w:top w:val="nil"/>
              <w:left w:val="single" w:sz="8" w:space="0" w:color="auto"/>
              <w:bottom w:val="single" w:sz="4" w:space="0" w:color="auto"/>
              <w:right w:val="single" w:sz="4" w:space="0" w:color="auto"/>
            </w:tcBorders>
            <w:shd w:val="clear" w:color="000000" w:fill="E5E0EC"/>
            <w:noWrap/>
            <w:hideMark/>
          </w:tcPr>
          <w:p w14:paraId="5F7F2089" w14:textId="77777777"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4</w:t>
            </w:r>
          </w:p>
        </w:tc>
        <w:tc>
          <w:tcPr>
            <w:tcW w:w="1307" w:type="dxa"/>
            <w:tcBorders>
              <w:top w:val="nil"/>
              <w:left w:val="nil"/>
              <w:bottom w:val="single" w:sz="4" w:space="0" w:color="auto"/>
              <w:right w:val="single" w:sz="4" w:space="0" w:color="auto"/>
            </w:tcBorders>
            <w:shd w:val="clear" w:color="000000" w:fill="E5E0EC"/>
            <w:noWrap/>
            <w:hideMark/>
          </w:tcPr>
          <w:p w14:paraId="2B101684" w14:textId="0ADE50FD" w:rsidR="009A078E" w:rsidRPr="00C6141B" w:rsidRDefault="009A078E" w:rsidP="00E8027C">
            <w:pPr>
              <w:spacing w:after="0" w:line="240" w:lineRule="auto"/>
              <w:jc w:val="center"/>
              <w:rPr>
                <w:rFonts w:eastAsia="Times New Roman" w:cs="Times New Roman"/>
                <w:szCs w:val="24"/>
                <w:lang w:bidi="hi-IN"/>
              </w:rPr>
            </w:pPr>
          </w:p>
        </w:tc>
        <w:tc>
          <w:tcPr>
            <w:tcW w:w="1445" w:type="dxa"/>
            <w:tcBorders>
              <w:top w:val="nil"/>
              <w:left w:val="nil"/>
              <w:bottom w:val="single" w:sz="4" w:space="0" w:color="auto"/>
              <w:right w:val="single" w:sz="4" w:space="0" w:color="auto"/>
            </w:tcBorders>
            <w:shd w:val="clear" w:color="000000" w:fill="E5E0EC"/>
            <w:noWrap/>
            <w:hideMark/>
          </w:tcPr>
          <w:p w14:paraId="233C8B44" w14:textId="0DD59FAD"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(397.80)</w:t>
            </w:r>
          </w:p>
        </w:tc>
        <w:tc>
          <w:tcPr>
            <w:tcW w:w="3791" w:type="dxa"/>
            <w:tcBorders>
              <w:top w:val="single" w:sz="4" w:space="0" w:color="auto"/>
              <w:left w:val="nil"/>
              <w:bottom w:val="single" w:sz="4" w:space="0" w:color="auto"/>
              <w:right w:val="single" w:sz="4" w:space="0" w:color="000000"/>
            </w:tcBorders>
            <w:shd w:val="clear" w:color="000000" w:fill="E5E0EC"/>
            <w:noWrap/>
            <w:hideMark/>
          </w:tcPr>
          <w:p w14:paraId="64B763DA" w14:textId="6B23149C"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0.971</w:t>
            </w:r>
          </w:p>
        </w:tc>
        <w:tc>
          <w:tcPr>
            <w:tcW w:w="1718" w:type="dxa"/>
            <w:tcBorders>
              <w:top w:val="nil"/>
              <w:left w:val="nil"/>
              <w:bottom w:val="single" w:sz="4" w:space="0" w:color="auto"/>
              <w:right w:val="single" w:sz="8" w:space="0" w:color="auto"/>
            </w:tcBorders>
            <w:shd w:val="clear" w:color="000000" w:fill="E5E0EC"/>
            <w:noWrap/>
            <w:hideMark/>
          </w:tcPr>
          <w:p w14:paraId="6A7E8C37" w14:textId="3BDAA16E" w:rsidR="009A078E" w:rsidRPr="00C6141B" w:rsidRDefault="009A078E" w:rsidP="00E8027C">
            <w:pPr>
              <w:spacing w:after="0" w:line="240" w:lineRule="auto"/>
              <w:jc w:val="center"/>
              <w:rPr>
                <w:rFonts w:eastAsia="Times New Roman" w:cs="Times New Roman"/>
                <w:szCs w:val="24"/>
                <w:lang w:bidi="hi-IN"/>
              </w:rPr>
            </w:pPr>
            <w:r w:rsidRPr="00C6141B">
              <w:rPr>
                <w:rFonts w:eastAsia="Times New Roman" w:cs="Times New Roman"/>
                <w:szCs w:val="24"/>
                <w:lang w:bidi="hi-IN"/>
              </w:rPr>
              <w:t>(386.09)</w:t>
            </w:r>
          </w:p>
        </w:tc>
      </w:tr>
      <w:tr w:rsidR="009A078E" w:rsidRPr="00C6141B" w14:paraId="4D2396A3" w14:textId="77777777" w:rsidTr="00E8027C">
        <w:trPr>
          <w:trHeight w:val="317"/>
        </w:trPr>
        <w:tc>
          <w:tcPr>
            <w:tcW w:w="678" w:type="dxa"/>
            <w:tcBorders>
              <w:top w:val="nil"/>
              <w:left w:val="single" w:sz="8" w:space="0" w:color="auto"/>
              <w:bottom w:val="single" w:sz="8" w:space="0" w:color="auto"/>
              <w:right w:val="single" w:sz="4" w:space="0" w:color="auto"/>
            </w:tcBorders>
            <w:shd w:val="clear" w:color="000000" w:fill="E5E0EC"/>
            <w:noWrap/>
            <w:hideMark/>
          </w:tcPr>
          <w:p w14:paraId="17D6ED54" w14:textId="4D6FBD12" w:rsidR="009A078E" w:rsidRPr="00C6141B" w:rsidRDefault="009A078E" w:rsidP="00E8027C">
            <w:pPr>
              <w:spacing w:after="0" w:line="240" w:lineRule="auto"/>
              <w:jc w:val="center"/>
              <w:rPr>
                <w:rFonts w:eastAsia="Times New Roman" w:cs="Times New Roman"/>
                <w:szCs w:val="24"/>
                <w:lang w:bidi="hi-IN"/>
              </w:rPr>
            </w:pPr>
          </w:p>
        </w:tc>
        <w:tc>
          <w:tcPr>
            <w:tcW w:w="1307" w:type="dxa"/>
            <w:tcBorders>
              <w:top w:val="nil"/>
              <w:left w:val="nil"/>
              <w:bottom w:val="single" w:sz="8" w:space="0" w:color="auto"/>
              <w:right w:val="single" w:sz="4" w:space="0" w:color="auto"/>
            </w:tcBorders>
            <w:shd w:val="clear" w:color="000000" w:fill="E5E0EC"/>
            <w:noWrap/>
            <w:hideMark/>
          </w:tcPr>
          <w:p w14:paraId="2B5B5B93" w14:textId="52B539A6" w:rsidR="009A078E" w:rsidRPr="00C6141B" w:rsidRDefault="009A078E" w:rsidP="00E8027C">
            <w:pPr>
              <w:spacing w:after="0" w:line="240" w:lineRule="auto"/>
              <w:jc w:val="center"/>
              <w:rPr>
                <w:rFonts w:eastAsia="Times New Roman" w:cs="Times New Roman"/>
                <w:szCs w:val="24"/>
                <w:lang w:bidi="hi-IN"/>
              </w:rPr>
            </w:pPr>
          </w:p>
        </w:tc>
        <w:tc>
          <w:tcPr>
            <w:tcW w:w="5236" w:type="dxa"/>
            <w:gridSpan w:val="2"/>
            <w:tcBorders>
              <w:top w:val="single" w:sz="4" w:space="0" w:color="auto"/>
              <w:left w:val="nil"/>
              <w:bottom w:val="single" w:sz="8" w:space="0" w:color="auto"/>
              <w:right w:val="single" w:sz="4" w:space="0" w:color="auto"/>
            </w:tcBorders>
            <w:shd w:val="clear" w:color="000000" w:fill="E5E0EC"/>
            <w:noWrap/>
            <w:hideMark/>
          </w:tcPr>
          <w:p w14:paraId="6AD4E8BF" w14:textId="5490A6CD" w:rsidR="009A078E" w:rsidRPr="00C6141B" w:rsidRDefault="009A078E" w:rsidP="00E8027C">
            <w:pPr>
              <w:spacing w:after="0" w:line="240" w:lineRule="auto"/>
              <w:jc w:val="center"/>
              <w:rPr>
                <w:rFonts w:eastAsia="Times New Roman" w:cs="Times New Roman"/>
                <w:b/>
                <w:bCs/>
                <w:szCs w:val="24"/>
                <w:lang w:bidi="hi-IN"/>
              </w:rPr>
            </w:pPr>
            <w:r w:rsidRPr="00C6141B">
              <w:rPr>
                <w:rFonts w:eastAsia="Times New Roman" w:cs="Times New Roman"/>
                <w:b/>
                <w:bCs/>
                <w:szCs w:val="24"/>
                <w:lang w:bidi="hi-IN"/>
              </w:rPr>
              <w:t>NPV</w:t>
            </w:r>
          </w:p>
        </w:tc>
        <w:tc>
          <w:tcPr>
            <w:tcW w:w="1718" w:type="dxa"/>
            <w:tcBorders>
              <w:top w:val="nil"/>
              <w:left w:val="nil"/>
              <w:bottom w:val="single" w:sz="8" w:space="0" w:color="auto"/>
              <w:right w:val="single" w:sz="8" w:space="0" w:color="auto"/>
            </w:tcBorders>
            <w:shd w:val="clear" w:color="000000" w:fill="E5E0EC"/>
            <w:noWrap/>
            <w:hideMark/>
          </w:tcPr>
          <w:p w14:paraId="04F1D922" w14:textId="4C5BEA0D" w:rsidR="009A078E" w:rsidRPr="00C6141B" w:rsidRDefault="009A078E" w:rsidP="00E8027C">
            <w:pPr>
              <w:spacing w:after="0" w:line="240" w:lineRule="auto"/>
              <w:jc w:val="center"/>
              <w:rPr>
                <w:rFonts w:eastAsia="Times New Roman" w:cs="Times New Roman"/>
                <w:b/>
                <w:bCs/>
                <w:szCs w:val="24"/>
                <w:lang w:bidi="hi-IN"/>
              </w:rPr>
            </w:pPr>
            <w:r w:rsidRPr="00C6141B">
              <w:rPr>
                <w:rFonts w:eastAsia="Times New Roman" w:cs="Times New Roman"/>
                <w:b/>
                <w:bCs/>
                <w:szCs w:val="24"/>
                <w:lang w:bidi="hi-IN"/>
              </w:rPr>
              <w:t>(999.49)</w:t>
            </w:r>
          </w:p>
        </w:tc>
      </w:tr>
    </w:tbl>
    <w:p w14:paraId="15989D0C" w14:textId="77777777" w:rsidR="00E8027C" w:rsidRPr="00C6141B" w:rsidRDefault="00E8027C" w:rsidP="009A078E">
      <w:pPr>
        <w:rPr>
          <w:rFonts w:cs="Times New Roman"/>
          <w:szCs w:val="24"/>
        </w:rPr>
      </w:pPr>
    </w:p>
    <w:p w14:paraId="414E1632" w14:textId="15A5D2E7" w:rsidR="009A078E" w:rsidRPr="00C6141B" w:rsidRDefault="00E8027C" w:rsidP="009A078E">
      <w:pPr>
        <w:rPr>
          <w:rFonts w:cs="Times New Roman"/>
          <w:szCs w:val="24"/>
        </w:rPr>
      </w:pPr>
      <w:r w:rsidRPr="00C6141B">
        <w:rPr>
          <w:rFonts w:cs="Times New Roman"/>
          <w:szCs w:val="24"/>
        </w:rPr>
        <w:t xml:space="preserve">It </w:t>
      </w:r>
      <w:r w:rsidR="0051383E" w:rsidRPr="00C6141B">
        <w:rPr>
          <w:rFonts w:cs="Times New Roman"/>
          <w:szCs w:val="24"/>
        </w:rPr>
        <w:t>is</w:t>
      </w:r>
      <w:r w:rsidR="009A078E" w:rsidRPr="00C6141B">
        <w:rPr>
          <w:rFonts w:cs="Times New Roman"/>
          <w:szCs w:val="24"/>
        </w:rPr>
        <w:t xml:space="preserve"> seen that increase in investment cost and decrease in cash inflow will make </w:t>
      </w:r>
      <w:r w:rsidR="0051383E" w:rsidRPr="00C6141B">
        <w:rPr>
          <w:rFonts w:cs="Times New Roman"/>
          <w:szCs w:val="24"/>
        </w:rPr>
        <w:t xml:space="preserve">project A’s </w:t>
      </w:r>
      <w:r w:rsidR="009A078E" w:rsidRPr="00C6141B">
        <w:rPr>
          <w:rFonts w:cs="Times New Roman"/>
          <w:szCs w:val="24"/>
        </w:rPr>
        <w:t xml:space="preserve">NPV negative </w:t>
      </w:r>
      <w:r w:rsidR="0051383E" w:rsidRPr="00C6141B">
        <w:rPr>
          <w:rFonts w:cs="Times New Roman"/>
          <w:szCs w:val="24"/>
        </w:rPr>
        <w:t>which</w:t>
      </w:r>
      <w:r w:rsidR="009A078E" w:rsidRPr="00C6141B">
        <w:rPr>
          <w:rFonts w:cs="Times New Roman"/>
          <w:szCs w:val="24"/>
        </w:rPr>
        <w:t xml:space="preserve"> present</w:t>
      </w:r>
      <w:r w:rsidR="0051383E" w:rsidRPr="00C6141B">
        <w:rPr>
          <w:rFonts w:cs="Times New Roman"/>
          <w:szCs w:val="24"/>
        </w:rPr>
        <w:t>s</w:t>
      </w:r>
      <w:r w:rsidR="009A078E" w:rsidRPr="00C6141B">
        <w:rPr>
          <w:rFonts w:cs="Times New Roman"/>
          <w:szCs w:val="24"/>
        </w:rPr>
        <w:t xml:space="preserve"> value of all future cash inflow will be less than the initial investment. It is a </w:t>
      </w:r>
      <w:r w:rsidR="0051383E" w:rsidRPr="00C6141B">
        <w:rPr>
          <w:rFonts w:cs="Times New Roman"/>
          <w:szCs w:val="24"/>
        </w:rPr>
        <w:t>loss-making</w:t>
      </w:r>
      <w:r w:rsidR="009A078E" w:rsidRPr="00C6141B">
        <w:rPr>
          <w:rFonts w:cs="Times New Roman"/>
          <w:szCs w:val="24"/>
        </w:rPr>
        <w:t xml:space="preserve"> scenario having no potential to generate cash from the project. </w:t>
      </w:r>
    </w:p>
    <w:p w14:paraId="6BB6642A" w14:textId="77777777" w:rsidR="009A078E" w:rsidRPr="00C6141B" w:rsidRDefault="009A078E" w:rsidP="009A078E">
      <w:pPr>
        <w:rPr>
          <w:rFonts w:cs="Times New Roman"/>
          <w:b/>
          <w:bCs/>
          <w:szCs w:val="24"/>
        </w:rPr>
      </w:pPr>
      <w:r w:rsidRPr="00C6141B">
        <w:rPr>
          <w:rFonts w:cs="Times New Roman"/>
          <w:b/>
          <w:bCs/>
          <w:szCs w:val="24"/>
        </w:rPr>
        <w:t xml:space="preserve">Project B </w:t>
      </w:r>
    </w:p>
    <w:tbl>
      <w:tblPr>
        <w:tblW w:w="9270" w:type="dxa"/>
        <w:tblInd w:w="94" w:type="dxa"/>
        <w:tblLook w:val="04A0" w:firstRow="1" w:lastRow="0" w:firstColumn="1" w:lastColumn="0" w:noHBand="0" w:noVBand="1"/>
      </w:tblPr>
      <w:tblGrid>
        <w:gridCol w:w="723"/>
        <w:gridCol w:w="1355"/>
        <w:gridCol w:w="1498"/>
        <w:gridCol w:w="3931"/>
        <w:gridCol w:w="1781"/>
      </w:tblGrid>
      <w:tr w:rsidR="009A078E" w:rsidRPr="00C6141B" w14:paraId="1F37FE12" w14:textId="77777777" w:rsidTr="00E8027C">
        <w:trPr>
          <w:trHeight w:val="349"/>
        </w:trPr>
        <w:tc>
          <w:tcPr>
            <w:tcW w:w="9270" w:type="dxa"/>
            <w:gridSpan w:val="5"/>
            <w:tcBorders>
              <w:top w:val="single" w:sz="8" w:space="0" w:color="auto"/>
              <w:left w:val="single" w:sz="8" w:space="0" w:color="auto"/>
              <w:bottom w:val="single" w:sz="8" w:space="0" w:color="auto"/>
              <w:right w:val="single" w:sz="8" w:space="0" w:color="000000"/>
            </w:tcBorders>
            <w:shd w:val="clear" w:color="000000" w:fill="CCC0DA"/>
            <w:noWrap/>
            <w:hideMark/>
          </w:tcPr>
          <w:p w14:paraId="4F2D7D98" w14:textId="77777777" w:rsidR="009A078E" w:rsidRPr="00C6141B" w:rsidRDefault="009A078E" w:rsidP="005857F6">
            <w:pPr>
              <w:spacing w:after="0" w:line="240" w:lineRule="auto"/>
              <w:jc w:val="center"/>
              <w:rPr>
                <w:rFonts w:eastAsia="Times New Roman" w:cs="Times New Roman"/>
                <w:b/>
                <w:bCs/>
                <w:szCs w:val="24"/>
                <w:lang w:bidi="hi-IN"/>
              </w:rPr>
            </w:pPr>
            <w:r w:rsidRPr="00C6141B">
              <w:rPr>
                <w:rFonts w:eastAsia="Times New Roman" w:cs="Times New Roman"/>
                <w:b/>
                <w:bCs/>
                <w:szCs w:val="24"/>
                <w:lang w:bidi="hi-IN"/>
              </w:rPr>
              <w:t xml:space="preserve">NPV computation for project B </w:t>
            </w:r>
          </w:p>
        </w:tc>
      </w:tr>
      <w:tr w:rsidR="009A078E" w:rsidRPr="00C6141B" w14:paraId="014B1B00" w14:textId="77777777" w:rsidTr="00E8027C">
        <w:trPr>
          <w:trHeight w:val="333"/>
        </w:trPr>
        <w:tc>
          <w:tcPr>
            <w:tcW w:w="703" w:type="dxa"/>
            <w:tcBorders>
              <w:top w:val="nil"/>
              <w:left w:val="single" w:sz="8" w:space="0" w:color="auto"/>
              <w:bottom w:val="single" w:sz="4" w:space="0" w:color="auto"/>
              <w:right w:val="single" w:sz="4" w:space="0" w:color="auto"/>
            </w:tcBorders>
            <w:shd w:val="clear" w:color="000000" w:fill="E5E0EC"/>
            <w:noWrap/>
            <w:hideMark/>
          </w:tcPr>
          <w:p w14:paraId="421AC7D0" w14:textId="55A6C9F5" w:rsidR="009A078E" w:rsidRPr="00C6141B" w:rsidRDefault="009A078E" w:rsidP="00E8027C">
            <w:pPr>
              <w:spacing w:after="0" w:line="240" w:lineRule="auto"/>
              <w:jc w:val="center"/>
              <w:rPr>
                <w:rFonts w:eastAsia="Times New Roman" w:cs="Times New Roman"/>
                <w:b/>
                <w:bCs/>
                <w:szCs w:val="24"/>
                <w:lang w:bidi="hi-IN"/>
              </w:rPr>
            </w:pPr>
            <w:r w:rsidRPr="00C6141B">
              <w:rPr>
                <w:rFonts w:eastAsia="Times New Roman" w:cs="Times New Roman"/>
                <w:b/>
                <w:bCs/>
                <w:szCs w:val="24"/>
                <w:lang w:bidi="hi-IN"/>
              </w:rPr>
              <w:t>Year</w:t>
            </w:r>
          </w:p>
        </w:tc>
        <w:tc>
          <w:tcPr>
            <w:tcW w:w="1355" w:type="dxa"/>
            <w:tcBorders>
              <w:top w:val="nil"/>
              <w:left w:val="nil"/>
              <w:bottom w:val="single" w:sz="4" w:space="0" w:color="auto"/>
              <w:right w:val="single" w:sz="4" w:space="0" w:color="auto"/>
            </w:tcBorders>
            <w:shd w:val="clear" w:color="000000" w:fill="E5E0EC"/>
            <w:noWrap/>
            <w:hideMark/>
          </w:tcPr>
          <w:p w14:paraId="18705726" w14:textId="3400AD73" w:rsidR="009A078E" w:rsidRPr="00C6141B" w:rsidRDefault="009A078E" w:rsidP="00E8027C">
            <w:pPr>
              <w:spacing w:after="0" w:line="240" w:lineRule="auto"/>
              <w:jc w:val="center"/>
              <w:rPr>
                <w:rFonts w:eastAsia="Times New Roman" w:cs="Times New Roman"/>
                <w:b/>
                <w:bCs/>
                <w:szCs w:val="24"/>
                <w:lang w:bidi="hi-IN"/>
              </w:rPr>
            </w:pPr>
            <w:r w:rsidRPr="00C6141B">
              <w:rPr>
                <w:rFonts w:eastAsia="Times New Roman" w:cs="Times New Roman"/>
                <w:b/>
                <w:bCs/>
                <w:szCs w:val="24"/>
                <w:lang w:bidi="hi-IN"/>
              </w:rPr>
              <w:t>initial cost</w:t>
            </w:r>
          </w:p>
        </w:tc>
        <w:tc>
          <w:tcPr>
            <w:tcW w:w="1498" w:type="dxa"/>
            <w:tcBorders>
              <w:top w:val="nil"/>
              <w:left w:val="nil"/>
              <w:bottom w:val="single" w:sz="4" w:space="0" w:color="auto"/>
              <w:right w:val="single" w:sz="4" w:space="0" w:color="auto"/>
            </w:tcBorders>
            <w:shd w:val="clear" w:color="000000" w:fill="E5E0EC"/>
            <w:noWrap/>
            <w:hideMark/>
          </w:tcPr>
          <w:p w14:paraId="28CC0574" w14:textId="4FAB2086" w:rsidR="009A078E" w:rsidRPr="00C6141B" w:rsidRDefault="009A078E" w:rsidP="00E8027C">
            <w:pPr>
              <w:spacing w:after="0" w:line="240" w:lineRule="auto"/>
              <w:jc w:val="center"/>
              <w:rPr>
                <w:rFonts w:eastAsia="Times New Roman" w:cs="Times New Roman"/>
                <w:b/>
                <w:bCs/>
                <w:szCs w:val="24"/>
                <w:lang w:bidi="hi-IN"/>
              </w:rPr>
            </w:pPr>
            <w:r w:rsidRPr="00C6141B">
              <w:rPr>
                <w:rFonts w:eastAsia="Times New Roman" w:cs="Times New Roman"/>
                <w:b/>
                <w:bCs/>
                <w:szCs w:val="24"/>
                <w:lang w:bidi="hi-IN"/>
              </w:rPr>
              <w:t>Inflow</w:t>
            </w:r>
          </w:p>
        </w:tc>
        <w:tc>
          <w:tcPr>
            <w:tcW w:w="3931" w:type="dxa"/>
            <w:tcBorders>
              <w:top w:val="single" w:sz="8" w:space="0" w:color="auto"/>
              <w:left w:val="nil"/>
              <w:bottom w:val="single" w:sz="4" w:space="0" w:color="auto"/>
              <w:right w:val="single" w:sz="4" w:space="0" w:color="000000"/>
            </w:tcBorders>
            <w:shd w:val="clear" w:color="000000" w:fill="E5E0EC"/>
            <w:noWrap/>
            <w:hideMark/>
          </w:tcPr>
          <w:p w14:paraId="35F9F2E8" w14:textId="1DE0108F" w:rsidR="009A078E" w:rsidRPr="00C6141B" w:rsidRDefault="009A078E" w:rsidP="00E8027C">
            <w:pPr>
              <w:spacing w:after="0" w:line="240" w:lineRule="auto"/>
              <w:jc w:val="center"/>
              <w:rPr>
                <w:rFonts w:eastAsia="Times New Roman" w:cs="Times New Roman"/>
                <w:b/>
                <w:bCs/>
                <w:szCs w:val="24"/>
                <w:lang w:bidi="hi-IN"/>
              </w:rPr>
            </w:pPr>
            <w:r w:rsidRPr="00C6141B">
              <w:rPr>
                <w:rFonts w:eastAsia="Times New Roman" w:cs="Times New Roman"/>
                <w:b/>
                <w:bCs/>
                <w:szCs w:val="24"/>
                <w:lang w:bidi="hi-IN"/>
              </w:rPr>
              <w:t>PV factor @0.75%</w:t>
            </w:r>
          </w:p>
        </w:tc>
        <w:tc>
          <w:tcPr>
            <w:tcW w:w="1781" w:type="dxa"/>
            <w:tcBorders>
              <w:top w:val="nil"/>
              <w:left w:val="nil"/>
              <w:bottom w:val="single" w:sz="4" w:space="0" w:color="auto"/>
              <w:right w:val="single" w:sz="8" w:space="0" w:color="auto"/>
            </w:tcBorders>
            <w:shd w:val="clear" w:color="000000" w:fill="E5E0EC"/>
            <w:noWrap/>
            <w:hideMark/>
          </w:tcPr>
          <w:p w14:paraId="50E877DC" w14:textId="5AE314B6" w:rsidR="009A078E" w:rsidRPr="00C6141B" w:rsidRDefault="009A078E" w:rsidP="00E8027C">
            <w:pPr>
              <w:spacing w:after="0" w:line="240" w:lineRule="auto"/>
              <w:jc w:val="center"/>
              <w:rPr>
                <w:rFonts w:eastAsia="Times New Roman" w:cs="Times New Roman"/>
                <w:b/>
                <w:bCs/>
                <w:szCs w:val="24"/>
                <w:lang w:bidi="hi-IN"/>
              </w:rPr>
            </w:pPr>
            <w:r w:rsidRPr="00C6141B">
              <w:rPr>
                <w:rFonts w:eastAsia="Times New Roman" w:cs="Times New Roman"/>
                <w:b/>
                <w:bCs/>
                <w:szCs w:val="24"/>
                <w:lang w:bidi="hi-IN"/>
              </w:rPr>
              <w:t>Present value</w:t>
            </w:r>
          </w:p>
        </w:tc>
      </w:tr>
      <w:tr w:rsidR="009A078E" w:rsidRPr="00C6141B" w14:paraId="0C1DAD8E" w14:textId="77777777" w:rsidTr="00E8027C">
        <w:trPr>
          <w:trHeight w:val="333"/>
        </w:trPr>
        <w:tc>
          <w:tcPr>
            <w:tcW w:w="703" w:type="dxa"/>
            <w:tcBorders>
              <w:top w:val="nil"/>
              <w:left w:val="single" w:sz="8" w:space="0" w:color="auto"/>
              <w:bottom w:val="single" w:sz="4" w:space="0" w:color="auto"/>
              <w:right w:val="single" w:sz="4" w:space="0" w:color="auto"/>
            </w:tcBorders>
            <w:shd w:val="clear" w:color="000000" w:fill="E5E0EC"/>
            <w:noWrap/>
            <w:hideMark/>
          </w:tcPr>
          <w:p w14:paraId="39578DF1" w14:textId="77777777" w:rsidR="009A078E" w:rsidRPr="00C6141B" w:rsidRDefault="009A078E" w:rsidP="005857F6">
            <w:pPr>
              <w:spacing w:after="0" w:line="240" w:lineRule="auto"/>
              <w:jc w:val="center"/>
              <w:rPr>
                <w:rFonts w:eastAsia="Times New Roman" w:cs="Times New Roman"/>
                <w:szCs w:val="24"/>
                <w:lang w:bidi="hi-IN"/>
              </w:rPr>
            </w:pPr>
            <w:r w:rsidRPr="00C6141B">
              <w:rPr>
                <w:rFonts w:eastAsia="Times New Roman" w:cs="Times New Roman"/>
                <w:szCs w:val="24"/>
                <w:lang w:bidi="hi-IN"/>
              </w:rPr>
              <w:t>0</w:t>
            </w:r>
          </w:p>
        </w:tc>
        <w:tc>
          <w:tcPr>
            <w:tcW w:w="1355" w:type="dxa"/>
            <w:tcBorders>
              <w:top w:val="nil"/>
              <w:left w:val="nil"/>
              <w:bottom w:val="single" w:sz="4" w:space="0" w:color="auto"/>
              <w:right w:val="single" w:sz="4" w:space="0" w:color="auto"/>
            </w:tcBorders>
            <w:shd w:val="clear" w:color="000000" w:fill="E5E0EC"/>
            <w:noWrap/>
            <w:hideMark/>
          </w:tcPr>
          <w:p w14:paraId="6EED2034" w14:textId="77777777" w:rsidR="009A078E" w:rsidRPr="00C6141B" w:rsidRDefault="009A078E" w:rsidP="005857F6">
            <w:pPr>
              <w:spacing w:after="0" w:line="240" w:lineRule="auto"/>
              <w:rPr>
                <w:rFonts w:eastAsia="Times New Roman" w:cs="Times New Roman"/>
                <w:szCs w:val="24"/>
                <w:lang w:bidi="hi-IN"/>
              </w:rPr>
            </w:pPr>
            <w:r w:rsidRPr="00C6141B">
              <w:rPr>
                <w:rFonts w:eastAsia="Times New Roman" w:cs="Times New Roman"/>
                <w:szCs w:val="24"/>
                <w:lang w:bidi="hi-IN"/>
              </w:rPr>
              <w:t xml:space="preserve">  (1,100.00)</w:t>
            </w:r>
          </w:p>
        </w:tc>
        <w:tc>
          <w:tcPr>
            <w:tcW w:w="1498" w:type="dxa"/>
            <w:tcBorders>
              <w:top w:val="nil"/>
              <w:left w:val="nil"/>
              <w:bottom w:val="single" w:sz="4" w:space="0" w:color="auto"/>
              <w:right w:val="single" w:sz="4" w:space="0" w:color="auto"/>
            </w:tcBorders>
            <w:shd w:val="clear" w:color="000000" w:fill="E5E0EC"/>
            <w:noWrap/>
            <w:hideMark/>
          </w:tcPr>
          <w:p w14:paraId="19F96567" w14:textId="77777777" w:rsidR="009A078E" w:rsidRPr="00C6141B" w:rsidRDefault="009A078E" w:rsidP="005857F6">
            <w:pPr>
              <w:spacing w:after="0" w:line="240" w:lineRule="auto"/>
              <w:rPr>
                <w:rFonts w:eastAsia="Times New Roman" w:cs="Times New Roman"/>
                <w:szCs w:val="24"/>
                <w:lang w:bidi="hi-IN"/>
              </w:rPr>
            </w:pPr>
            <w:r w:rsidRPr="00C6141B">
              <w:rPr>
                <w:rFonts w:eastAsia="Times New Roman" w:cs="Times New Roman"/>
                <w:szCs w:val="24"/>
                <w:lang w:bidi="hi-IN"/>
              </w:rPr>
              <w:t xml:space="preserve">                -   </w:t>
            </w:r>
          </w:p>
        </w:tc>
        <w:tc>
          <w:tcPr>
            <w:tcW w:w="3931" w:type="dxa"/>
            <w:tcBorders>
              <w:top w:val="single" w:sz="4" w:space="0" w:color="auto"/>
              <w:left w:val="nil"/>
              <w:bottom w:val="single" w:sz="4" w:space="0" w:color="auto"/>
              <w:right w:val="single" w:sz="4" w:space="0" w:color="000000"/>
            </w:tcBorders>
            <w:shd w:val="clear" w:color="000000" w:fill="E5E0EC"/>
            <w:noWrap/>
            <w:vAlign w:val="bottom"/>
            <w:hideMark/>
          </w:tcPr>
          <w:p w14:paraId="0FB3D34C" w14:textId="77777777" w:rsidR="009A078E" w:rsidRPr="00C6141B" w:rsidRDefault="009A078E" w:rsidP="005857F6">
            <w:pPr>
              <w:spacing w:after="0" w:line="240" w:lineRule="auto"/>
              <w:jc w:val="center"/>
              <w:rPr>
                <w:rFonts w:eastAsia="Times New Roman" w:cs="Times New Roman"/>
                <w:szCs w:val="24"/>
                <w:lang w:bidi="hi-IN"/>
              </w:rPr>
            </w:pPr>
            <w:r w:rsidRPr="00C6141B">
              <w:rPr>
                <w:rFonts w:eastAsia="Times New Roman" w:cs="Times New Roman"/>
                <w:szCs w:val="24"/>
                <w:lang w:bidi="hi-IN"/>
              </w:rPr>
              <w:t xml:space="preserve">                                              1.000 </w:t>
            </w:r>
          </w:p>
        </w:tc>
        <w:tc>
          <w:tcPr>
            <w:tcW w:w="1781" w:type="dxa"/>
            <w:tcBorders>
              <w:top w:val="nil"/>
              <w:left w:val="nil"/>
              <w:bottom w:val="single" w:sz="4" w:space="0" w:color="auto"/>
              <w:right w:val="single" w:sz="8" w:space="0" w:color="auto"/>
            </w:tcBorders>
            <w:shd w:val="clear" w:color="000000" w:fill="E5E0EC"/>
            <w:noWrap/>
            <w:hideMark/>
          </w:tcPr>
          <w:p w14:paraId="00BDCAE7" w14:textId="77777777" w:rsidR="009A078E" w:rsidRPr="00C6141B" w:rsidRDefault="009A078E" w:rsidP="005857F6">
            <w:pPr>
              <w:spacing w:after="0" w:line="240" w:lineRule="auto"/>
              <w:rPr>
                <w:rFonts w:eastAsia="Times New Roman" w:cs="Times New Roman"/>
                <w:szCs w:val="24"/>
                <w:lang w:bidi="hi-IN"/>
              </w:rPr>
            </w:pPr>
            <w:r w:rsidRPr="00C6141B">
              <w:rPr>
                <w:rFonts w:eastAsia="Times New Roman" w:cs="Times New Roman"/>
                <w:szCs w:val="24"/>
                <w:lang w:bidi="hi-IN"/>
              </w:rPr>
              <w:t xml:space="preserve">        (1,100.00)</w:t>
            </w:r>
          </w:p>
        </w:tc>
      </w:tr>
      <w:tr w:rsidR="009A078E" w:rsidRPr="00C6141B" w14:paraId="43463016" w14:textId="77777777" w:rsidTr="00E8027C">
        <w:trPr>
          <w:trHeight w:val="333"/>
        </w:trPr>
        <w:tc>
          <w:tcPr>
            <w:tcW w:w="703" w:type="dxa"/>
            <w:tcBorders>
              <w:top w:val="nil"/>
              <w:left w:val="single" w:sz="8" w:space="0" w:color="auto"/>
              <w:bottom w:val="single" w:sz="4" w:space="0" w:color="auto"/>
              <w:right w:val="single" w:sz="4" w:space="0" w:color="auto"/>
            </w:tcBorders>
            <w:shd w:val="clear" w:color="000000" w:fill="E5E0EC"/>
            <w:noWrap/>
            <w:hideMark/>
          </w:tcPr>
          <w:p w14:paraId="6997C573" w14:textId="77777777" w:rsidR="009A078E" w:rsidRPr="00C6141B" w:rsidRDefault="009A078E" w:rsidP="005857F6">
            <w:pPr>
              <w:spacing w:after="0" w:line="240" w:lineRule="auto"/>
              <w:jc w:val="center"/>
              <w:rPr>
                <w:rFonts w:eastAsia="Times New Roman" w:cs="Times New Roman"/>
                <w:szCs w:val="24"/>
                <w:lang w:bidi="hi-IN"/>
              </w:rPr>
            </w:pPr>
            <w:r w:rsidRPr="00C6141B">
              <w:rPr>
                <w:rFonts w:eastAsia="Times New Roman" w:cs="Times New Roman"/>
                <w:szCs w:val="24"/>
                <w:lang w:bidi="hi-IN"/>
              </w:rPr>
              <w:t>1</w:t>
            </w:r>
          </w:p>
        </w:tc>
        <w:tc>
          <w:tcPr>
            <w:tcW w:w="1355" w:type="dxa"/>
            <w:tcBorders>
              <w:top w:val="nil"/>
              <w:left w:val="nil"/>
              <w:bottom w:val="single" w:sz="4" w:space="0" w:color="auto"/>
              <w:right w:val="single" w:sz="4" w:space="0" w:color="auto"/>
            </w:tcBorders>
            <w:shd w:val="clear" w:color="000000" w:fill="E5E0EC"/>
            <w:noWrap/>
            <w:hideMark/>
          </w:tcPr>
          <w:p w14:paraId="7E7EC033" w14:textId="77777777" w:rsidR="009A078E" w:rsidRPr="00C6141B" w:rsidRDefault="009A078E" w:rsidP="005857F6">
            <w:pPr>
              <w:spacing w:after="0" w:line="240" w:lineRule="auto"/>
              <w:rPr>
                <w:rFonts w:eastAsia="Times New Roman" w:cs="Times New Roman"/>
                <w:szCs w:val="24"/>
                <w:lang w:bidi="hi-IN"/>
              </w:rPr>
            </w:pPr>
            <w:r w:rsidRPr="00C6141B">
              <w:rPr>
                <w:rFonts w:eastAsia="Times New Roman" w:cs="Times New Roman"/>
                <w:szCs w:val="24"/>
                <w:lang w:bidi="hi-IN"/>
              </w:rPr>
              <w:t> </w:t>
            </w:r>
          </w:p>
        </w:tc>
        <w:tc>
          <w:tcPr>
            <w:tcW w:w="1498" w:type="dxa"/>
            <w:tcBorders>
              <w:top w:val="nil"/>
              <w:left w:val="nil"/>
              <w:bottom w:val="single" w:sz="4" w:space="0" w:color="auto"/>
              <w:right w:val="single" w:sz="4" w:space="0" w:color="auto"/>
            </w:tcBorders>
            <w:shd w:val="clear" w:color="000000" w:fill="E5E0EC"/>
            <w:noWrap/>
            <w:hideMark/>
          </w:tcPr>
          <w:p w14:paraId="5FA070F1" w14:textId="77777777" w:rsidR="009A078E" w:rsidRPr="00C6141B" w:rsidRDefault="009A078E" w:rsidP="005857F6">
            <w:pPr>
              <w:spacing w:after="0" w:line="240" w:lineRule="auto"/>
              <w:rPr>
                <w:rFonts w:eastAsia="Times New Roman" w:cs="Times New Roman"/>
                <w:szCs w:val="24"/>
                <w:lang w:bidi="hi-IN"/>
              </w:rPr>
            </w:pPr>
            <w:r w:rsidRPr="00C6141B">
              <w:rPr>
                <w:rFonts w:eastAsia="Times New Roman" w:cs="Times New Roman"/>
                <w:szCs w:val="24"/>
                <w:lang w:bidi="hi-IN"/>
              </w:rPr>
              <w:t xml:space="preserve">      1,350.00 </w:t>
            </w:r>
          </w:p>
        </w:tc>
        <w:tc>
          <w:tcPr>
            <w:tcW w:w="3931" w:type="dxa"/>
            <w:tcBorders>
              <w:top w:val="single" w:sz="4" w:space="0" w:color="auto"/>
              <w:left w:val="nil"/>
              <w:bottom w:val="single" w:sz="4" w:space="0" w:color="auto"/>
              <w:right w:val="single" w:sz="4" w:space="0" w:color="000000"/>
            </w:tcBorders>
            <w:shd w:val="clear" w:color="000000" w:fill="E5E0EC"/>
            <w:noWrap/>
            <w:vAlign w:val="bottom"/>
            <w:hideMark/>
          </w:tcPr>
          <w:p w14:paraId="2919B6AD" w14:textId="77777777" w:rsidR="009A078E" w:rsidRPr="00C6141B" w:rsidRDefault="009A078E" w:rsidP="005857F6">
            <w:pPr>
              <w:spacing w:after="0" w:line="240" w:lineRule="auto"/>
              <w:jc w:val="center"/>
              <w:rPr>
                <w:rFonts w:eastAsia="Times New Roman" w:cs="Times New Roman"/>
                <w:szCs w:val="24"/>
                <w:lang w:bidi="hi-IN"/>
              </w:rPr>
            </w:pPr>
            <w:r w:rsidRPr="00C6141B">
              <w:rPr>
                <w:rFonts w:eastAsia="Times New Roman" w:cs="Times New Roman"/>
                <w:szCs w:val="24"/>
                <w:lang w:bidi="hi-IN"/>
              </w:rPr>
              <w:t xml:space="preserve">                                              0.993 </w:t>
            </w:r>
          </w:p>
        </w:tc>
        <w:tc>
          <w:tcPr>
            <w:tcW w:w="1781" w:type="dxa"/>
            <w:tcBorders>
              <w:top w:val="nil"/>
              <w:left w:val="nil"/>
              <w:bottom w:val="single" w:sz="4" w:space="0" w:color="auto"/>
              <w:right w:val="single" w:sz="8" w:space="0" w:color="auto"/>
            </w:tcBorders>
            <w:shd w:val="clear" w:color="000000" w:fill="E5E0EC"/>
            <w:noWrap/>
            <w:hideMark/>
          </w:tcPr>
          <w:p w14:paraId="5A81DE9E" w14:textId="77777777" w:rsidR="009A078E" w:rsidRPr="00C6141B" w:rsidRDefault="009A078E" w:rsidP="005857F6">
            <w:pPr>
              <w:spacing w:after="0" w:line="240" w:lineRule="auto"/>
              <w:rPr>
                <w:rFonts w:eastAsia="Times New Roman" w:cs="Times New Roman"/>
                <w:szCs w:val="24"/>
                <w:lang w:bidi="hi-IN"/>
              </w:rPr>
            </w:pPr>
            <w:r w:rsidRPr="00C6141B">
              <w:rPr>
                <w:rFonts w:eastAsia="Times New Roman" w:cs="Times New Roman"/>
                <w:szCs w:val="24"/>
                <w:lang w:bidi="hi-IN"/>
              </w:rPr>
              <w:t xml:space="preserve">         1,339.95 </w:t>
            </w:r>
          </w:p>
        </w:tc>
      </w:tr>
      <w:tr w:rsidR="009A078E" w:rsidRPr="00C6141B" w14:paraId="2780D947" w14:textId="77777777" w:rsidTr="00E8027C">
        <w:trPr>
          <w:trHeight w:val="333"/>
        </w:trPr>
        <w:tc>
          <w:tcPr>
            <w:tcW w:w="703" w:type="dxa"/>
            <w:tcBorders>
              <w:top w:val="nil"/>
              <w:left w:val="single" w:sz="8" w:space="0" w:color="auto"/>
              <w:bottom w:val="single" w:sz="4" w:space="0" w:color="auto"/>
              <w:right w:val="single" w:sz="4" w:space="0" w:color="auto"/>
            </w:tcBorders>
            <w:shd w:val="clear" w:color="000000" w:fill="E5E0EC"/>
            <w:noWrap/>
            <w:hideMark/>
          </w:tcPr>
          <w:p w14:paraId="76AF89EA" w14:textId="77777777" w:rsidR="009A078E" w:rsidRPr="00C6141B" w:rsidRDefault="009A078E" w:rsidP="005857F6">
            <w:pPr>
              <w:spacing w:after="0" w:line="240" w:lineRule="auto"/>
              <w:jc w:val="center"/>
              <w:rPr>
                <w:rFonts w:eastAsia="Times New Roman" w:cs="Times New Roman"/>
                <w:szCs w:val="24"/>
                <w:lang w:bidi="hi-IN"/>
              </w:rPr>
            </w:pPr>
            <w:r w:rsidRPr="00C6141B">
              <w:rPr>
                <w:rFonts w:eastAsia="Times New Roman" w:cs="Times New Roman"/>
                <w:szCs w:val="24"/>
                <w:lang w:bidi="hi-IN"/>
              </w:rPr>
              <w:t>2</w:t>
            </w:r>
          </w:p>
        </w:tc>
        <w:tc>
          <w:tcPr>
            <w:tcW w:w="1355" w:type="dxa"/>
            <w:tcBorders>
              <w:top w:val="nil"/>
              <w:left w:val="nil"/>
              <w:bottom w:val="single" w:sz="4" w:space="0" w:color="auto"/>
              <w:right w:val="single" w:sz="4" w:space="0" w:color="auto"/>
            </w:tcBorders>
            <w:shd w:val="clear" w:color="000000" w:fill="E5E0EC"/>
            <w:noWrap/>
            <w:hideMark/>
          </w:tcPr>
          <w:p w14:paraId="474AD29D" w14:textId="77777777" w:rsidR="009A078E" w:rsidRPr="00C6141B" w:rsidRDefault="009A078E" w:rsidP="005857F6">
            <w:pPr>
              <w:spacing w:after="0" w:line="240" w:lineRule="auto"/>
              <w:rPr>
                <w:rFonts w:eastAsia="Times New Roman" w:cs="Times New Roman"/>
                <w:szCs w:val="24"/>
                <w:lang w:bidi="hi-IN"/>
              </w:rPr>
            </w:pPr>
            <w:r w:rsidRPr="00C6141B">
              <w:rPr>
                <w:rFonts w:eastAsia="Times New Roman" w:cs="Times New Roman"/>
                <w:szCs w:val="24"/>
                <w:lang w:bidi="hi-IN"/>
              </w:rPr>
              <w:t> </w:t>
            </w:r>
          </w:p>
        </w:tc>
        <w:tc>
          <w:tcPr>
            <w:tcW w:w="1498" w:type="dxa"/>
            <w:tcBorders>
              <w:top w:val="nil"/>
              <w:left w:val="nil"/>
              <w:bottom w:val="single" w:sz="4" w:space="0" w:color="auto"/>
              <w:right w:val="single" w:sz="4" w:space="0" w:color="auto"/>
            </w:tcBorders>
            <w:shd w:val="clear" w:color="000000" w:fill="E5E0EC"/>
            <w:noWrap/>
            <w:hideMark/>
          </w:tcPr>
          <w:p w14:paraId="1C7EAD93" w14:textId="77777777" w:rsidR="009A078E" w:rsidRPr="00C6141B" w:rsidRDefault="009A078E" w:rsidP="005857F6">
            <w:pPr>
              <w:spacing w:after="0" w:line="240" w:lineRule="auto"/>
              <w:rPr>
                <w:rFonts w:eastAsia="Times New Roman" w:cs="Times New Roman"/>
                <w:szCs w:val="24"/>
                <w:lang w:bidi="hi-IN"/>
              </w:rPr>
            </w:pPr>
            <w:r w:rsidRPr="00C6141B">
              <w:rPr>
                <w:rFonts w:eastAsia="Times New Roman" w:cs="Times New Roman"/>
                <w:szCs w:val="24"/>
                <w:lang w:bidi="hi-IN"/>
              </w:rPr>
              <w:t xml:space="preserve">         900.00 </w:t>
            </w:r>
          </w:p>
        </w:tc>
        <w:tc>
          <w:tcPr>
            <w:tcW w:w="3931" w:type="dxa"/>
            <w:tcBorders>
              <w:top w:val="single" w:sz="4" w:space="0" w:color="auto"/>
              <w:left w:val="nil"/>
              <w:bottom w:val="single" w:sz="4" w:space="0" w:color="auto"/>
              <w:right w:val="single" w:sz="4" w:space="0" w:color="000000"/>
            </w:tcBorders>
            <w:shd w:val="clear" w:color="000000" w:fill="E5E0EC"/>
            <w:noWrap/>
            <w:vAlign w:val="bottom"/>
            <w:hideMark/>
          </w:tcPr>
          <w:p w14:paraId="42D5A064" w14:textId="77777777" w:rsidR="009A078E" w:rsidRPr="00C6141B" w:rsidRDefault="009A078E" w:rsidP="005857F6">
            <w:pPr>
              <w:spacing w:after="0" w:line="240" w:lineRule="auto"/>
              <w:jc w:val="center"/>
              <w:rPr>
                <w:rFonts w:eastAsia="Times New Roman" w:cs="Times New Roman"/>
                <w:szCs w:val="24"/>
                <w:lang w:bidi="hi-IN"/>
              </w:rPr>
            </w:pPr>
            <w:r w:rsidRPr="00C6141B">
              <w:rPr>
                <w:rFonts w:eastAsia="Times New Roman" w:cs="Times New Roman"/>
                <w:szCs w:val="24"/>
                <w:lang w:bidi="hi-IN"/>
              </w:rPr>
              <w:t xml:space="preserve">                                              0.985 </w:t>
            </w:r>
          </w:p>
        </w:tc>
        <w:tc>
          <w:tcPr>
            <w:tcW w:w="1781" w:type="dxa"/>
            <w:tcBorders>
              <w:top w:val="nil"/>
              <w:left w:val="nil"/>
              <w:bottom w:val="single" w:sz="4" w:space="0" w:color="auto"/>
              <w:right w:val="single" w:sz="8" w:space="0" w:color="auto"/>
            </w:tcBorders>
            <w:shd w:val="clear" w:color="000000" w:fill="E5E0EC"/>
            <w:noWrap/>
            <w:hideMark/>
          </w:tcPr>
          <w:p w14:paraId="1876FAD1" w14:textId="77777777" w:rsidR="009A078E" w:rsidRPr="00C6141B" w:rsidRDefault="009A078E" w:rsidP="005857F6">
            <w:pPr>
              <w:spacing w:after="0" w:line="240" w:lineRule="auto"/>
              <w:rPr>
                <w:rFonts w:eastAsia="Times New Roman" w:cs="Times New Roman"/>
                <w:szCs w:val="24"/>
                <w:lang w:bidi="hi-IN"/>
              </w:rPr>
            </w:pPr>
            <w:r w:rsidRPr="00C6141B">
              <w:rPr>
                <w:rFonts w:eastAsia="Times New Roman" w:cs="Times New Roman"/>
                <w:szCs w:val="24"/>
                <w:lang w:bidi="hi-IN"/>
              </w:rPr>
              <w:t xml:space="preserve">            886.65 </w:t>
            </w:r>
          </w:p>
        </w:tc>
      </w:tr>
      <w:tr w:rsidR="009A078E" w:rsidRPr="00C6141B" w14:paraId="263ECEEE" w14:textId="77777777" w:rsidTr="00E8027C">
        <w:trPr>
          <w:trHeight w:val="333"/>
        </w:trPr>
        <w:tc>
          <w:tcPr>
            <w:tcW w:w="703" w:type="dxa"/>
            <w:tcBorders>
              <w:top w:val="nil"/>
              <w:left w:val="single" w:sz="8" w:space="0" w:color="auto"/>
              <w:bottom w:val="single" w:sz="4" w:space="0" w:color="auto"/>
              <w:right w:val="single" w:sz="4" w:space="0" w:color="auto"/>
            </w:tcBorders>
            <w:shd w:val="clear" w:color="000000" w:fill="E5E0EC"/>
            <w:noWrap/>
            <w:hideMark/>
          </w:tcPr>
          <w:p w14:paraId="151C38DC" w14:textId="77777777" w:rsidR="009A078E" w:rsidRPr="00C6141B" w:rsidRDefault="009A078E" w:rsidP="005857F6">
            <w:pPr>
              <w:spacing w:after="0" w:line="240" w:lineRule="auto"/>
              <w:jc w:val="center"/>
              <w:rPr>
                <w:rFonts w:eastAsia="Times New Roman" w:cs="Times New Roman"/>
                <w:szCs w:val="24"/>
                <w:lang w:bidi="hi-IN"/>
              </w:rPr>
            </w:pPr>
            <w:r w:rsidRPr="00C6141B">
              <w:rPr>
                <w:rFonts w:eastAsia="Times New Roman" w:cs="Times New Roman"/>
                <w:szCs w:val="24"/>
                <w:lang w:bidi="hi-IN"/>
              </w:rPr>
              <w:t>3</w:t>
            </w:r>
          </w:p>
        </w:tc>
        <w:tc>
          <w:tcPr>
            <w:tcW w:w="1355" w:type="dxa"/>
            <w:tcBorders>
              <w:top w:val="nil"/>
              <w:left w:val="nil"/>
              <w:bottom w:val="single" w:sz="4" w:space="0" w:color="auto"/>
              <w:right w:val="single" w:sz="4" w:space="0" w:color="auto"/>
            </w:tcBorders>
            <w:shd w:val="clear" w:color="000000" w:fill="E5E0EC"/>
            <w:noWrap/>
            <w:hideMark/>
          </w:tcPr>
          <w:p w14:paraId="76BE0F02" w14:textId="77777777" w:rsidR="009A078E" w:rsidRPr="00C6141B" w:rsidRDefault="009A078E" w:rsidP="005857F6">
            <w:pPr>
              <w:spacing w:after="0" w:line="240" w:lineRule="auto"/>
              <w:rPr>
                <w:rFonts w:eastAsia="Times New Roman" w:cs="Times New Roman"/>
                <w:szCs w:val="24"/>
                <w:lang w:bidi="hi-IN"/>
              </w:rPr>
            </w:pPr>
            <w:r w:rsidRPr="00C6141B">
              <w:rPr>
                <w:rFonts w:eastAsia="Times New Roman" w:cs="Times New Roman"/>
                <w:szCs w:val="24"/>
                <w:lang w:bidi="hi-IN"/>
              </w:rPr>
              <w:t> </w:t>
            </w:r>
          </w:p>
        </w:tc>
        <w:tc>
          <w:tcPr>
            <w:tcW w:w="1498" w:type="dxa"/>
            <w:tcBorders>
              <w:top w:val="nil"/>
              <w:left w:val="nil"/>
              <w:bottom w:val="single" w:sz="4" w:space="0" w:color="auto"/>
              <w:right w:val="single" w:sz="4" w:space="0" w:color="auto"/>
            </w:tcBorders>
            <w:shd w:val="clear" w:color="000000" w:fill="E5E0EC"/>
            <w:noWrap/>
            <w:hideMark/>
          </w:tcPr>
          <w:p w14:paraId="7452BDAE" w14:textId="77777777" w:rsidR="009A078E" w:rsidRPr="00C6141B" w:rsidRDefault="009A078E" w:rsidP="005857F6">
            <w:pPr>
              <w:spacing w:after="0" w:line="240" w:lineRule="auto"/>
              <w:rPr>
                <w:rFonts w:eastAsia="Times New Roman" w:cs="Times New Roman"/>
                <w:szCs w:val="24"/>
                <w:lang w:bidi="hi-IN"/>
              </w:rPr>
            </w:pPr>
            <w:r w:rsidRPr="00C6141B">
              <w:rPr>
                <w:rFonts w:eastAsia="Times New Roman" w:cs="Times New Roman"/>
                <w:szCs w:val="24"/>
                <w:lang w:bidi="hi-IN"/>
              </w:rPr>
              <w:t xml:space="preserve">         900.00 </w:t>
            </w:r>
          </w:p>
        </w:tc>
        <w:tc>
          <w:tcPr>
            <w:tcW w:w="3931" w:type="dxa"/>
            <w:tcBorders>
              <w:top w:val="single" w:sz="4" w:space="0" w:color="auto"/>
              <w:left w:val="nil"/>
              <w:bottom w:val="single" w:sz="4" w:space="0" w:color="auto"/>
              <w:right w:val="single" w:sz="4" w:space="0" w:color="000000"/>
            </w:tcBorders>
            <w:shd w:val="clear" w:color="000000" w:fill="E5E0EC"/>
            <w:noWrap/>
            <w:vAlign w:val="bottom"/>
            <w:hideMark/>
          </w:tcPr>
          <w:p w14:paraId="2543A317" w14:textId="77777777" w:rsidR="009A078E" w:rsidRPr="00C6141B" w:rsidRDefault="009A078E" w:rsidP="005857F6">
            <w:pPr>
              <w:spacing w:after="0" w:line="240" w:lineRule="auto"/>
              <w:jc w:val="center"/>
              <w:rPr>
                <w:rFonts w:eastAsia="Times New Roman" w:cs="Times New Roman"/>
                <w:szCs w:val="24"/>
                <w:lang w:bidi="hi-IN"/>
              </w:rPr>
            </w:pPr>
            <w:r w:rsidRPr="00C6141B">
              <w:rPr>
                <w:rFonts w:eastAsia="Times New Roman" w:cs="Times New Roman"/>
                <w:szCs w:val="24"/>
                <w:lang w:bidi="hi-IN"/>
              </w:rPr>
              <w:t xml:space="preserve">                                              0.978 </w:t>
            </w:r>
          </w:p>
        </w:tc>
        <w:tc>
          <w:tcPr>
            <w:tcW w:w="1781" w:type="dxa"/>
            <w:tcBorders>
              <w:top w:val="nil"/>
              <w:left w:val="nil"/>
              <w:bottom w:val="single" w:sz="4" w:space="0" w:color="auto"/>
              <w:right w:val="single" w:sz="8" w:space="0" w:color="auto"/>
            </w:tcBorders>
            <w:shd w:val="clear" w:color="000000" w:fill="E5E0EC"/>
            <w:noWrap/>
            <w:hideMark/>
          </w:tcPr>
          <w:p w14:paraId="2ED46BF8" w14:textId="77777777" w:rsidR="009A078E" w:rsidRPr="00C6141B" w:rsidRDefault="009A078E" w:rsidP="005857F6">
            <w:pPr>
              <w:spacing w:after="0" w:line="240" w:lineRule="auto"/>
              <w:rPr>
                <w:rFonts w:eastAsia="Times New Roman" w:cs="Times New Roman"/>
                <w:szCs w:val="24"/>
                <w:lang w:bidi="hi-IN"/>
              </w:rPr>
            </w:pPr>
            <w:r w:rsidRPr="00C6141B">
              <w:rPr>
                <w:rFonts w:eastAsia="Times New Roman" w:cs="Times New Roman"/>
                <w:szCs w:val="24"/>
                <w:lang w:bidi="hi-IN"/>
              </w:rPr>
              <w:t xml:space="preserve">            880.05 </w:t>
            </w:r>
          </w:p>
        </w:tc>
      </w:tr>
      <w:tr w:rsidR="009A078E" w:rsidRPr="00C6141B" w14:paraId="7BDFF86B" w14:textId="77777777" w:rsidTr="00E8027C">
        <w:trPr>
          <w:trHeight w:val="333"/>
        </w:trPr>
        <w:tc>
          <w:tcPr>
            <w:tcW w:w="703" w:type="dxa"/>
            <w:tcBorders>
              <w:top w:val="nil"/>
              <w:left w:val="single" w:sz="8" w:space="0" w:color="auto"/>
              <w:bottom w:val="single" w:sz="4" w:space="0" w:color="auto"/>
              <w:right w:val="single" w:sz="4" w:space="0" w:color="auto"/>
            </w:tcBorders>
            <w:shd w:val="clear" w:color="000000" w:fill="E5E0EC"/>
            <w:noWrap/>
            <w:hideMark/>
          </w:tcPr>
          <w:p w14:paraId="52953F06" w14:textId="77777777" w:rsidR="009A078E" w:rsidRPr="00C6141B" w:rsidRDefault="009A078E" w:rsidP="005857F6">
            <w:pPr>
              <w:spacing w:after="0" w:line="240" w:lineRule="auto"/>
              <w:jc w:val="center"/>
              <w:rPr>
                <w:rFonts w:eastAsia="Times New Roman" w:cs="Times New Roman"/>
                <w:szCs w:val="24"/>
                <w:lang w:bidi="hi-IN"/>
              </w:rPr>
            </w:pPr>
            <w:r w:rsidRPr="00C6141B">
              <w:rPr>
                <w:rFonts w:eastAsia="Times New Roman" w:cs="Times New Roman"/>
                <w:szCs w:val="24"/>
                <w:lang w:bidi="hi-IN"/>
              </w:rPr>
              <w:t>4</w:t>
            </w:r>
          </w:p>
        </w:tc>
        <w:tc>
          <w:tcPr>
            <w:tcW w:w="1355" w:type="dxa"/>
            <w:tcBorders>
              <w:top w:val="nil"/>
              <w:left w:val="nil"/>
              <w:bottom w:val="single" w:sz="4" w:space="0" w:color="auto"/>
              <w:right w:val="single" w:sz="4" w:space="0" w:color="auto"/>
            </w:tcBorders>
            <w:shd w:val="clear" w:color="000000" w:fill="E5E0EC"/>
            <w:noWrap/>
            <w:hideMark/>
          </w:tcPr>
          <w:p w14:paraId="429FBCB8" w14:textId="77777777" w:rsidR="009A078E" w:rsidRPr="00C6141B" w:rsidRDefault="009A078E" w:rsidP="005857F6">
            <w:pPr>
              <w:spacing w:after="0" w:line="240" w:lineRule="auto"/>
              <w:rPr>
                <w:rFonts w:eastAsia="Times New Roman" w:cs="Times New Roman"/>
                <w:szCs w:val="24"/>
                <w:lang w:bidi="hi-IN"/>
              </w:rPr>
            </w:pPr>
            <w:r w:rsidRPr="00C6141B">
              <w:rPr>
                <w:rFonts w:eastAsia="Times New Roman" w:cs="Times New Roman"/>
                <w:szCs w:val="24"/>
                <w:lang w:bidi="hi-IN"/>
              </w:rPr>
              <w:t> </w:t>
            </w:r>
          </w:p>
        </w:tc>
        <w:tc>
          <w:tcPr>
            <w:tcW w:w="1498" w:type="dxa"/>
            <w:tcBorders>
              <w:top w:val="nil"/>
              <w:left w:val="nil"/>
              <w:bottom w:val="single" w:sz="4" w:space="0" w:color="auto"/>
              <w:right w:val="single" w:sz="4" w:space="0" w:color="auto"/>
            </w:tcBorders>
            <w:shd w:val="clear" w:color="000000" w:fill="E5E0EC"/>
            <w:noWrap/>
            <w:hideMark/>
          </w:tcPr>
          <w:p w14:paraId="0517BC22" w14:textId="77777777" w:rsidR="009A078E" w:rsidRPr="00C6141B" w:rsidRDefault="009A078E" w:rsidP="005857F6">
            <w:pPr>
              <w:spacing w:after="0" w:line="240" w:lineRule="auto"/>
              <w:rPr>
                <w:rFonts w:eastAsia="Times New Roman" w:cs="Times New Roman"/>
                <w:szCs w:val="24"/>
                <w:lang w:bidi="hi-IN"/>
              </w:rPr>
            </w:pPr>
            <w:r w:rsidRPr="00C6141B">
              <w:rPr>
                <w:rFonts w:eastAsia="Times New Roman" w:cs="Times New Roman"/>
                <w:szCs w:val="24"/>
                <w:lang w:bidi="hi-IN"/>
              </w:rPr>
              <w:t xml:space="preserve">       (423.00)</w:t>
            </w:r>
          </w:p>
        </w:tc>
        <w:tc>
          <w:tcPr>
            <w:tcW w:w="3931" w:type="dxa"/>
            <w:tcBorders>
              <w:top w:val="single" w:sz="4" w:space="0" w:color="auto"/>
              <w:left w:val="nil"/>
              <w:bottom w:val="single" w:sz="4" w:space="0" w:color="auto"/>
              <w:right w:val="single" w:sz="4" w:space="0" w:color="000000"/>
            </w:tcBorders>
            <w:shd w:val="clear" w:color="000000" w:fill="E5E0EC"/>
            <w:noWrap/>
            <w:vAlign w:val="bottom"/>
            <w:hideMark/>
          </w:tcPr>
          <w:p w14:paraId="7A991D4B" w14:textId="77777777" w:rsidR="009A078E" w:rsidRPr="00C6141B" w:rsidRDefault="009A078E" w:rsidP="005857F6">
            <w:pPr>
              <w:spacing w:after="0" w:line="240" w:lineRule="auto"/>
              <w:jc w:val="center"/>
              <w:rPr>
                <w:rFonts w:eastAsia="Times New Roman" w:cs="Times New Roman"/>
                <w:szCs w:val="24"/>
                <w:lang w:bidi="hi-IN"/>
              </w:rPr>
            </w:pPr>
            <w:r w:rsidRPr="00C6141B">
              <w:rPr>
                <w:rFonts w:eastAsia="Times New Roman" w:cs="Times New Roman"/>
                <w:szCs w:val="24"/>
                <w:lang w:bidi="hi-IN"/>
              </w:rPr>
              <w:t xml:space="preserve">                                              0.971 </w:t>
            </w:r>
          </w:p>
        </w:tc>
        <w:tc>
          <w:tcPr>
            <w:tcW w:w="1781" w:type="dxa"/>
            <w:tcBorders>
              <w:top w:val="nil"/>
              <w:left w:val="nil"/>
              <w:bottom w:val="single" w:sz="4" w:space="0" w:color="auto"/>
              <w:right w:val="single" w:sz="8" w:space="0" w:color="auto"/>
            </w:tcBorders>
            <w:shd w:val="clear" w:color="000000" w:fill="E5E0EC"/>
            <w:noWrap/>
            <w:hideMark/>
          </w:tcPr>
          <w:p w14:paraId="5F05C83F" w14:textId="77777777" w:rsidR="009A078E" w:rsidRPr="00C6141B" w:rsidRDefault="009A078E" w:rsidP="005857F6">
            <w:pPr>
              <w:spacing w:after="0" w:line="240" w:lineRule="auto"/>
              <w:rPr>
                <w:rFonts w:eastAsia="Times New Roman" w:cs="Times New Roman"/>
                <w:szCs w:val="24"/>
                <w:lang w:bidi="hi-IN"/>
              </w:rPr>
            </w:pPr>
            <w:r w:rsidRPr="00C6141B">
              <w:rPr>
                <w:rFonts w:eastAsia="Times New Roman" w:cs="Times New Roman"/>
                <w:szCs w:val="24"/>
                <w:lang w:bidi="hi-IN"/>
              </w:rPr>
              <w:t xml:space="preserve">           (410.54)</w:t>
            </w:r>
          </w:p>
        </w:tc>
      </w:tr>
      <w:tr w:rsidR="009A078E" w:rsidRPr="00C6141B" w14:paraId="3B50C092" w14:textId="77777777" w:rsidTr="00E8027C">
        <w:trPr>
          <w:trHeight w:val="349"/>
        </w:trPr>
        <w:tc>
          <w:tcPr>
            <w:tcW w:w="703" w:type="dxa"/>
            <w:tcBorders>
              <w:top w:val="nil"/>
              <w:left w:val="single" w:sz="8" w:space="0" w:color="auto"/>
              <w:bottom w:val="single" w:sz="8" w:space="0" w:color="auto"/>
              <w:right w:val="single" w:sz="4" w:space="0" w:color="auto"/>
            </w:tcBorders>
            <w:shd w:val="clear" w:color="000000" w:fill="E5E0EC"/>
            <w:noWrap/>
            <w:hideMark/>
          </w:tcPr>
          <w:p w14:paraId="5A4A116A" w14:textId="77777777" w:rsidR="009A078E" w:rsidRPr="00C6141B" w:rsidRDefault="009A078E" w:rsidP="005857F6">
            <w:pPr>
              <w:spacing w:after="0" w:line="240" w:lineRule="auto"/>
              <w:rPr>
                <w:rFonts w:eastAsia="Times New Roman" w:cs="Times New Roman"/>
                <w:szCs w:val="24"/>
                <w:lang w:bidi="hi-IN"/>
              </w:rPr>
            </w:pPr>
            <w:r w:rsidRPr="00C6141B">
              <w:rPr>
                <w:rFonts w:eastAsia="Times New Roman" w:cs="Times New Roman"/>
                <w:szCs w:val="24"/>
                <w:lang w:bidi="hi-IN"/>
              </w:rPr>
              <w:t> </w:t>
            </w:r>
          </w:p>
        </w:tc>
        <w:tc>
          <w:tcPr>
            <w:tcW w:w="1355" w:type="dxa"/>
            <w:tcBorders>
              <w:top w:val="nil"/>
              <w:left w:val="nil"/>
              <w:bottom w:val="single" w:sz="8" w:space="0" w:color="auto"/>
              <w:right w:val="single" w:sz="4" w:space="0" w:color="auto"/>
            </w:tcBorders>
            <w:shd w:val="clear" w:color="000000" w:fill="E5E0EC"/>
            <w:noWrap/>
            <w:hideMark/>
          </w:tcPr>
          <w:p w14:paraId="668AE2C0" w14:textId="77777777" w:rsidR="009A078E" w:rsidRPr="00C6141B" w:rsidRDefault="009A078E" w:rsidP="005857F6">
            <w:pPr>
              <w:spacing w:after="0" w:line="240" w:lineRule="auto"/>
              <w:rPr>
                <w:rFonts w:eastAsia="Times New Roman" w:cs="Times New Roman"/>
                <w:szCs w:val="24"/>
                <w:lang w:bidi="hi-IN"/>
              </w:rPr>
            </w:pPr>
            <w:r w:rsidRPr="00C6141B">
              <w:rPr>
                <w:rFonts w:eastAsia="Times New Roman" w:cs="Times New Roman"/>
                <w:szCs w:val="24"/>
                <w:lang w:bidi="hi-IN"/>
              </w:rPr>
              <w:t> </w:t>
            </w:r>
          </w:p>
        </w:tc>
        <w:tc>
          <w:tcPr>
            <w:tcW w:w="5429" w:type="dxa"/>
            <w:gridSpan w:val="2"/>
            <w:tcBorders>
              <w:top w:val="single" w:sz="4" w:space="0" w:color="auto"/>
              <w:left w:val="nil"/>
              <w:bottom w:val="single" w:sz="8" w:space="0" w:color="auto"/>
              <w:right w:val="single" w:sz="4" w:space="0" w:color="auto"/>
            </w:tcBorders>
            <w:shd w:val="clear" w:color="000000" w:fill="E5E0EC"/>
            <w:noWrap/>
            <w:hideMark/>
          </w:tcPr>
          <w:p w14:paraId="7929D862" w14:textId="77777777" w:rsidR="009A078E" w:rsidRPr="00C6141B" w:rsidRDefault="009A078E" w:rsidP="005857F6">
            <w:pPr>
              <w:spacing w:after="0" w:line="240" w:lineRule="auto"/>
              <w:rPr>
                <w:rFonts w:eastAsia="Times New Roman" w:cs="Times New Roman"/>
                <w:b/>
                <w:bCs/>
                <w:szCs w:val="24"/>
                <w:lang w:bidi="hi-IN"/>
              </w:rPr>
            </w:pPr>
            <w:r w:rsidRPr="00C6141B">
              <w:rPr>
                <w:rFonts w:eastAsia="Times New Roman" w:cs="Times New Roman"/>
                <w:b/>
                <w:bCs/>
                <w:szCs w:val="24"/>
                <w:lang w:bidi="hi-IN"/>
              </w:rPr>
              <w:t xml:space="preserve"> NPV </w:t>
            </w:r>
          </w:p>
        </w:tc>
        <w:tc>
          <w:tcPr>
            <w:tcW w:w="1781" w:type="dxa"/>
            <w:tcBorders>
              <w:top w:val="nil"/>
              <w:left w:val="nil"/>
              <w:bottom w:val="single" w:sz="8" w:space="0" w:color="auto"/>
              <w:right w:val="single" w:sz="8" w:space="0" w:color="auto"/>
            </w:tcBorders>
            <w:shd w:val="clear" w:color="000000" w:fill="E5E0EC"/>
            <w:noWrap/>
            <w:hideMark/>
          </w:tcPr>
          <w:p w14:paraId="555F1260" w14:textId="77777777" w:rsidR="009A078E" w:rsidRPr="00C6141B" w:rsidRDefault="009A078E" w:rsidP="005857F6">
            <w:pPr>
              <w:spacing w:after="0" w:line="240" w:lineRule="auto"/>
              <w:rPr>
                <w:rFonts w:eastAsia="Times New Roman" w:cs="Times New Roman"/>
                <w:b/>
                <w:bCs/>
                <w:szCs w:val="24"/>
                <w:lang w:bidi="hi-IN"/>
              </w:rPr>
            </w:pPr>
            <w:r w:rsidRPr="00C6141B">
              <w:rPr>
                <w:rFonts w:eastAsia="Times New Roman" w:cs="Times New Roman"/>
                <w:b/>
                <w:bCs/>
                <w:szCs w:val="24"/>
                <w:lang w:bidi="hi-IN"/>
              </w:rPr>
              <w:t xml:space="preserve">         1,596.11 </w:t>
            </w:r>
          </w:p>
        </w:tc>
      </w:tr>
    </w:tbl>
    <w:p w14:paraId="23F876C2" w14:textId="77777777" w:rsidR="009A078E" w:rsidRPr="00C6141B" w:rsidRDefault="009A078E" w:rsidP="009A078E">
      <w:pPr>
        <w:rPr>
          <w:rFonts w:cs="Times New Roman"/>
          <w:szCs w:val="24"/>
        </w:rPr>
      </w:pPr>
    </w:p>
    <w:p w14:paraId="0DF0C287" w14:textId="0DC8CCCB" w:rsidR="009A078E" w:rsidRPr="00C6141B" w:rsidRDefault="009A078E" w:rsidP="009A078E">
      <w:pPr>
        <w:rPr>
          <w:rFonts w:cs="Times New Roman"/>
          <w:szCs w:val="24"/>
        </w:rPr>
      </w:pPr>
      <w:r w:rsidRPr="00C6141B">
        <w:rPr>
          <w:rFonts w:cs="Times New Roman"/>
          <w:szCs w:val="24"/>
        </w:rPr>
        <w:lastRenderedPageBreak/>
        <w:t xml:space="preserve">Considering the same scenario of 10% increase in investment and 10% decrease in cash inflows, it can be seen that NPV of project B decreases from its previous level as computed in point 1 of this part. NPV for the project B still positive </w:t>
      </w:r>
      <w:r w:rsidR="0051383E" w:rsidRPr="00C6141B">
        <w:rPr>
          <w:rFonts w:cs="Times New Roman"/>
          <w:szCs w:val="24"/>
        </w:rPr>
        <w:t>(</w:t>
      </w:r>
      <w:r w:rsidRPr="00C6141B">
        <w:rPr>
          <w:rFonts w:cs="Times New Roman"/>
          <w:szCs w:val="24"/>
        </w:rPr>
        <w:t>£1,596.11</w:t>
      </w:r>
      <w:r w:rsidR="0051383E" w:rsidRPr="00C6141B">
        <w:rPr>
          <w:rFonts w:cs="Times New Roman"/>
          <w:szCs w:val="24"/>
        </w:rPr>
        <w:t xml:space="preserve"> </w:t>
      </w:r>
      <w:r w:rsidRPr="00C6141B">
        <w:rPr>
          <w:rFonts w:cs="Times New Roman"/>
          <w:szCs w:val="24"/>
        </w:rPr>
        <w:t>m</w:t>
      </w:r>
      <w:r w:rsidR="0051383E" w:rsidRPr="00C6141B">
        <w:rPr>
          <w:rFonts w:cs="Times New Roman"/>
          <w:szCs w:val="24"/>
        </w:rPr>
        <w:t>illion)</w:t>
      </w:r>
      <w:r w:rsidRPr="00C6141B">
        <w:rPr>
          <w:rFonts w:cs="Times New Roman"/>
          <w:szCs w:val="24"/>
        </w:rPr>
        <w:t>. Despite decrease in cash inflows and increase in investment, NPV for Project B is positive that makes it a potential project to be considered for investment.</w:t>
      </w:r>
    </w:p>
    <w:p w14:paraId="6863648C" w14:textId="77777777" w:rsidR="009A078E" w:rsidRPr="00C6141B" w:rsidRDefault="009A078E" w:rsidP="009A078E">
      <w:pPr>
        <w:rPr>
          <w:rFonts w:cs="Times New Roman"/>
          <w:b/>
          <w:bCs/>
          <w:szCs w:val="24"/>
        </w:rPr>
      </w:pPr>
      <w:r w:rsidRPr="00C6141B">
        <w:rPr>
          <w:rFonts w:cs="Times New Roman"/>
          <w:b/>
          <w:bCs/>
          <w:szCs w:val="24"/>
        </w:rPr>
        <w:t>PBP when investment rise by 10% and cash flow declines by 10%</w:t>
      </w:r>
    </w:p>
    <w:p w14:paraId="48152ED8" w14:textId="77777777" w:rsidR="009A078E" w:rsidRPr="00C6141B" w:rsidRDefault="009A078E" w:rsidP="009A078E">
      <w:pPr>
        <w:rPr>
          <w:rFonts w:cs="Times New Roman"/>
          <w:b/>
          <w:bCs/>
          <w:szCs w:val="24"/>
          <w:u w:val="single"/>
        </w:rPr>
      </w:pPr>
      <w:r w:rsidRPr="00C6141B">
        <w:rPr>
          <w:rFonts w:cs="Times New Roman"/>
          <w:b/>
          <w:bCs/>
          <w:szCs w:val="24"/>
          <w:u w:val="single"/>
        </w:rPr>
        <w:t>Project A</w:t>
      </w:r>
    </w:p>
    <w:tbl>
      <w:tblPr>
        <w:tblW w:w="7240" w:type="dxa"/>
        <w:jc w:val="center"/>
        <w:tblLook w:val="04A0" w:firstRow="1" w:lastRow="0" w:firstColumn="1" w:lastColumn="0" w:noHBand="0" w:noVBand="1"/>
      </w:tblPr>
      <w:tblGrid>
        <w:gridCol w:w="837"/>
        <w:gridCol w:w="1615"/>
        <w:gridCol w:w="1784"/>
        <w:gridCol w:w="3004"/>
      </w:tblGrid>
      <w:tr w:rsidR="009A078E" w:rsidRPr="00C6141B" w14:paraId="3C989374" w14:textId="77777777" w:rsidTr="005857F6">
        <w:trPr>
          <w:trHeight w:val="315"/>
          <w:jc w:val="center"/>
        </w:trPr>
        <w:tc>
          <w:tcPr>
            <w:tcW w:w="7240" w:type="dxa"/>
            <w:gridSpan w:val="4"/>
            <w:tcBorders>
              <w:top w:val="single" w:sz="4" w:space="0" w:color="auto"/>
              <w:left w:val="single" w:sz="4" w:space="0" w:color="auto"/>
              <w:bottom w:val="single" w:sz="4" w:space="0" w:color="auto"/>
              <w:right w:val="nil"/>
            </w:tcBorders>
            <w:shd w:val="clear" w:color="auto" w:fill="auto"/>
            <w:noWrap/>
            <w:hideMark/>
          </w:tcPr>
          <w:p w14:paraId="6FB2E218" w14:textId="77777777" w:rsidR="009A078E" w:rsidRPr="00C6141B" w:rsidRDefault="009A078E" w:rsidP="005857F6">
            <w:pPr>
              <w:spacing w:after="0" w:line="240" w:lineRule="auto"/>
              <w:jc w:val="center"/>
              <w:rPr>
                <w:rFonts w:eastAsia="Times New Roman" w:cs="Times New Roman"/>
                <w:b/>
                <w:bCs/>
                <w:szCs w:val="24"/>
                <w:lang w:bidi="hi-IN"/>
              </w:rPr>
            </w:pPr>
            <w:r w:rsidRPr="00C6141B">
              <w:rPr>
                <w:rFonts w:eastAsia="Times New Roman" w:cs="Times New Roman"/>
                <w:b/>
                <w:bCs/>
                <w:szCs w:val="24"/>
                <w:lang w:bidi="hi-IN"/>
              </w:rPr>
              <w:t xml:space="preserve">Payback Period computation  </w:t>
            </w:r>
          </w:p>
        </w:tc>
      </w:tr>
      <w:tr w:rsidR="00E8027C" w:rsidRPr="00C6141B" w14:paraId="5E87EEF0" w14:textId="77777777" w:rsidTr="00E8027C">
        <w:trPr>
          <w:trHeight w:val="296"/>
          <w:jc w:val="center"/>
        </w:trPr>
        <w:tc>
          <w:tcPr>
            <w:tcW w:w="7240" w:type="dxa"/>
            <w:gridSpan w:val="4"/>
            <w:tcBorders>
              <w:top w:val="nil"/>
              <w:left w:val="single" w:sz="4" w:space="0" w:color="auto"/>
              <w:bottom w:val="single" w:sz="4" w:space="0" w:color="auto"/>
              <w:right w:val="single" w:sz="4" w:space="0" w:color="auto"/>
            </w:tcBorders>
            <w:shd w:val="clear" w:color="auto" w:fill="A8D08D" w:themeFill="accent6" w:themeFillTint="99"/>
            <w:noWrap/>
            <w:hideMark/>
          </w:tcPr>
          <w:p w14:paraId="546269F6" w14:textId="1875377F" w:rsidR="00E8027C" w:rsidRPr="00C6141B" w:rsidRDefault="00E8027C" w:rsidP="00E8027C">
            <w:pPr>
              <w:spacing w:after="0" w:line="240" w:lineRule="auto"/>
              <w:jc w:val="center"/>
              <w:rPr>
                <w:rFonts w:eastAsia="Times New Roman" w:cs="Times New Roman"/>
                <w:b/>
                <w:bCs/>
                <w:szCs w:val="24"/>
                <w:lang w:bidi="hi-IN"/>
              </w:rPr>
            </w:pPr>
            <w:r w:rsidRPr="00C6141B">
              <w:rPr>
                <w:rFonts w:eastAsia="Times New Roman" w:cs="Times New Roman"/>
                <w:b/>
                <w:bCs/>
                <w:szCs w:val="24"/>
                <w:lang w:bidi="hi-IN"/>
              </w:rPr>
              <w:t>Project A</w:t>
            </w:r>
          </w:p>
        </w:tc>
      </w:tr>
      <w:tr w:rsidR="009A078E" w:rsidRPr="00C6141B" w14:paraId="7BBD14AE" w14:textId="77777777" w:rsidTr="005857F6">
        <w:trPr>
          <w:trHeight w:val="315"/>
          <w:jc w:val="center"/>
        </w:trPr>
        <w:tc>
          <w:tcPr>
            <w:tcW w:w="837" w:type="dxa"/>
            <w:tcBorders>
              <w:top w:val="nil"/>
              <w:left w:val="single" w:sz="4" w:space="0" w:color="auto"/>
              <w:bottom w:val="single" w:sz="4" w:space="0" w:color="auto"/>
              <w:right w:val="single" w:sz="4" w:space="0" w:color="auto"/>
            </w:tcBorders>
            <w:shd w:val="clear" w:color="000000" w:fill="E5E0EC"/>
            <w:noWrap/>
            <w:hideMark/>
          </w:tcPr>
          <w:p w14:paraId="1FE64E99" w14:textId="77777777" w:rsidR="009A078E" w:rsidRPr="00C6141B" w:rsidRDefault="009A078E" w:rsidP="005857F6">
            <w:pPr>
              <w:spacing w:after="0" w:line="240" w:lineRule="auto"/>
              <w:rPr>
                <w:rFonts w:eastAsia="Times New Roman" w:cs="Times New Roman"/>
                <w:b/>
                <w:bCs/>
                <w:szCs w:val="24"/>
                <w:lang w:bidi="hi-IN"/>
              </w:rPr>
            </w:pPr>
            <w:r w:rsidRPr="00C6141B">
              <w:rPr>
                <w:rFonts w:eastAsia="Times New Roman" w:cs="Times New Roman"/>
                <w:b/>
                <w:bCs/>
                <w:szCs w:val="24"/>
                <w:lang w:bidi="hi-IN"/>
              </w:rPr>
              <w:t xml:space="preserve"> Year </w:t>
            </w:r>
          </w:p>
        </w:tc>
        <w:tc>
          <w:tcPr>
            <w:tcW w:w="1615" w:type="dxa"/>
            <w:tcBorders>
              <w:top w:val="nil"/>
              <w:left w:val="nil"/>
              <w:bottom w:val="single" w:sz="4" w:space="0" w:color="auto"/>
              <w:right w:val="single" w:sz="4" w:space="0" w:color="auto"/>
            </w:tcBorders>
            <w:shd w:val="clear" w:color="000000" w:fill="E5E0EC"/>
            <w:noWrap/>
            <w:hideMark/>
          </w:tcPr>
          <w:p w14:paraId="6161FC27" w14:textId="77777777" w:rsidR="009A078E" w:rsidRPr="00C6141B" w:rsidRDefault="009A078E" w:rsidP="005857F6">
            <w:pPr>
              <w:spacing w:after="0" w:line="240" w:lineRule="auto"/>
              <w:rPr>
                <w:rFonts w:eastAsia="Times New Roman" w:cs="Times New Roman"/>
                <w:b/>
                <w:bCs/>
                <w:szCs w:val="24"/>
                <w:lang w:bidi="hi-IN"/>
              </w:rPr>
            </w:pPr>
            <w:r w:rsidRPr="00C6141B">
              <w:rPr>
                <w:rFonts w:eastAsia="Times New Roman" w:cs="Times New Roman"/>
                <w:b/>
                <w:bCs/>
                <w:szCs w:val="24"/>
                <w:lang w:bidi="hi-IN"/>
              </w:rPr>
              <w:t xml:space="preserve"> initial cost </w:t>
            </w:r>
          </w:p>
        </w:tc>
        <w:tc>
          <w:tcPr>
            <w:tcW w:w="1784" w:type="dxa"/>
            <w:tcBorders>
              <w:top w:val="nil"/>
              <w:left w:val="nil"/>
              <w:bottom w:val="single" w:sz="4" w:space="0" w:color="auto"/>
              <w:right w:val="single" w:sz="4" w:space="0" w:color="auto"/>
            </w:tcBorders>
            <w:shd w:val="clear" w:color="000000" w:fill="E5E0EC"/>
            <w:noWrap/>
            <w:hideMark/>
          </w:tcPr>
          <w:p w14:paraId="07134355" w14:textId="77777777" w:rsidR="009A078E" w:rsidRPr="00C6141B" w:rsidRDefault="009A078E" w:rsidP="005857F6">
            <w:pPr>
              <w:spacing w:after="0" w:line="240" w:lineRule="auto"/>
              <w:rPr>
                <w:rFonts w:eastAsia="Times New Roman" w:cs="Times New Roman"/>
                <w:b/>
                <w:bCs/>
                <w:szCs w:val="24"/>
                <w:lang w:bidi="hi-IN"/>
              </w:rPr>
            </w:pPr>
            <w:r w:rsidRPr="00C6141B">
              <w:rPr>
                <w:rFonts w:eastAsia="Times New Roman" w:cs="Times New Roman"/>
                <w:b/>
                <w:bCs/>
                <w:szCs w:val="24"/>
                <w:lang w:bidi="hi-IN"/>
              </w:rPr>
              <w:t xml:space="preserve"> Inflow </w:t>
            </w:r>
          </w:p>
        </w:tc>
        <w:tc>
          <w:tcPr>
            <w:tcW w:w="3004" w:type="dxa"/>
            <w:tcBorders>
              <w:top w:val="nil"/>
              <w:left w:val="nil"/>
              <w:bottom w:val="single" w:sz="4" w:space="0" w:color="auto"/>
              <w:right w:val="single" w:sz="4" w:space="0" w:color="auto"/>
            </w:tcBorders>
            <w:shd w:val="clear" w:color="000000" w:fill="E5E0EC"/>
            <w:noWrap/>
            <w:hideMark/>
          </w:tcPr>
          <w:p w14:paraId="090ABB38" w14:textId="77777777" w:rsidR="009A078E" w:rsidRPr="00C6141B" w:rsidRDefault="009A078E" w:rsidP="005857F6">
            <w:pPr>
              <w:spacing w:after="0" w:line="240" w:lineRule="auto"/>
              <w:rPr>
                <w:rFonts w:eastAsia="Times New Roman" w:cs="Times New Roman"/>
                <w:szCs w:val="24"/>
                <w:lang w:bidi="hi-IN"/>
              </w:rPr>
            </w:pPr>
            <w:r w:rsidRPr="00C6141B">
              <w:rPr>
                <w:rFonts w:eastAsia="Times New Roman" w:cs="Times New Roman"/>
                <w:szCs w:val="24"/>
                <w:lang w:bidi="hi-IN"/>
              </w:rPr>
              <w:t xml:space="preserve"> Cumulative cash flow </w:t>
            </w:r>
          </w:p>
        </w:tc>
      </w:tr>
      <w:tr w:rsidR="009A078E" w:rsidRPr="00C6141B" w14:paraId="0651E70F" w14:textId="77777777" w:rsidTr="005857F6">
        <w:trPr>
          <w:trHeight w:val="315"/>
          <w:jc w:val="center"/>
        </w:trPr>
        <w:tc>
          <w:tcPr>
            <w:tcW w:w="837" w:type="dxa"/>
            <w:tcBorders>
              <w:top w:val="nil"/>
              <w:left w:val="single" w:sz="4" w:space="0" w:color="auto"/>
              <w:bottom w:val="single" w:sz="4" w:space="0" w:color="auto"/>
              <w:right w:val="single" w:sz="4" w:space="0" w:color="auto"/>
            </w:tcBorders>
            <w:shd w:val="clear" w:color="000000" w:fill="E5E0EC"/>
            <w:noWrap/>
            <w:hideMark/>
          </w:tcPr>
          <w:p w14:paraId="1FCF400A" w14:textId="77777777" w:rsidR="009A078E" w:rsidRPr="00C6141B" w:rsidRDefault="009A078E" w:rsidP="005857F6">
            <w:pPr>
              <w:spacing w:after="0" w:line="240" w:lineRule="auto"/>
              <w:jc w:val="center"/>
              <w:rPr>
                <w:rFonts w:eastAsia="Times New Roman" w:cs="Times New Roman"/>
                <w:szCs w:val="24"/>
                <w:lang w:bidi="hi-IN"/>
              </w:rPr>
            </w:pPr>
            <w:r w:rsidRPr="00C6141B">
              <w:rPr>
                <w:rFonts w:eastAsia="Times New Roman" w:cs="Times New Roman"/>
                <w:szCs w:val="24"/>
                <w:lang w:bidi="hi-IN"/>
              </w:rPr>
              <w:t>0</w:t>
            </w:r>
          </w:p>
        </w:tc>
        <w:tc>
          <w:tcPr>
            <w:tcW w:w="1615" w:type="dxa"/>
            <w:tcBorders>
              <w:top w:val="nil"/>
              <w:left w:val="nil"/>
              <w:bottom w:val="single" w:sz="4" w:space="0" w:color="auto"/>
              <w:right w:val="single" w:sz="4" w:space="0" w:color="auto"/>
            </w:tcBorders>
            <w:shd w:val="clear" w:color="000000" w:fill="E5E0EC"/>
            <w:noWrap/>
            <w:hideMark/>
          </w:tcPr>
          <w:p w14:paraId="6CD8779A" w14:textId="77777777" w:rsidR="009A078E" w:rsidRPr="00C6141B" w:rsidRDefault="009A078E" w:rsidP="005857F6">
            <w:pPr>
              <w:spacing w:after="0" w:line="240" w:lineRule="auto"/>
              <w:rPr>
                <w:rFonts w:eastAsia="Times New Roman" w:cs="Times New Roman"/>
                <w:szCs w:val="24"/>
                <w:lang w:bidi="hi-IN"/>
              </w:rPr>
            </w:pPr>
            <w:r w:rsidRPr="00C6141B">
              <w:rPr>
                <w:rFonts w:eastAsia="Times New Roman" w:cs="Times New Roman"/>
                <w:szCs w:val="24"/>
                <w:lang w:bidi="hi-IN"/>
              </w:rPr>
              <w:t xml:space="preserve">  (5,500.00)</w:t>
            </w:r>
          </w:p>
        </w:tc>
        <w:tc>
          <w:tcPr>
            <w:tcW w:w="1784" w:type="dxa"/>
            <w:tcBorders>
              <w:top w:val="nil"/>
              <w:left w:val="nil"/>
              <w:bottom w:val="single" w:sz="4" w:space="0" w:color="auto"/>
              <w:right w:val="single" w:sz="4" w:space="0" w:color="auto"/>
            </w:tcBorders>
            <w:shd w:val="clear" w:color="000000" w:fill="E5E0EC"/>
            <w:noWrap/>
            <w:hideMark/>
          </w:tcPr>
          <w:p w14:paraId="47714316" w14:textId="77777777" w:rsidR="009A078E" w:rsidRPr="00C6141B" w:rsidRDefault="009A078E" w:rsidP="005857F6">
            <w:pPr>
              <w:spacing w:after="0" w:line="240" w:lineRule="auto"/>
              <w:rPr>
                <w:rFonts w:eastAsia="Times New Roman" w:cs="Times New Roman"/>
                <w:szCs w:val="24"/>
                <w:lang w:bidi="hi-IN"/>
              </w:rPr>
            </w:pPr>
            <w:r w:rsidRPr="00C6141B">
              <w:rPr>
                <w:rFonts w:eastAsia="Times New Roman" w:cs="Times New Roman"/>
                <w:szCs w:val="24"/>
                <w:lang w:bidi="hi-IN"/>
              </w:rPr>
              <w:t xml:space="preserve">                -   </w:t>
            </w:r>
          </w:p>
        </w:tc>
        <w:tc>
          <w:tcPr>
            <w:tcW w:w="3004" w:type="dxa"/>
            <w:tcBorders>
              <w:top w:val="nil"/>
              <w:left w:val="nil"/>
              <w:bottom w:val="single" w:sz="4" w:space="0" w:color="auto"/>
              <w:right w:val="single" w:sz="4" w:space="0" w:color="auto"/>
            </w:tcBorders>
            <w:shd w:val="clear" w:color="000000" w:fill="E5E0EC"/>
            <w:noWrap/>
            <w:hideMark/>
          </w:tcPr>
          <w:p w14:paraId="5F276B72" w14:textId="77777777" w:rsidR="009A078E" w:rsidRPr="00C6141B" w:rsidRDefault="009A078E" w:rsidP="005857F6">
            <w:pPr>
              <w:spacing w:after="0" w:line="240" w:lineRule="auto"/>
              <w:rPr>
                <w:rFonts w:eastAsia="Times New Roman" w:cs="Times New Roman"/>
                <w:szCs w:val="24"/>
                <w:lang w:bidi="hi-IN"/>
              </w:rPr>
            </w:pPr>
            <w:r w:rsidRPr="00C6141B">
              <w:rPr>
                <w:rFonts w:eastAsia="Times New Roman" w:cs="Times New Roman"/>
                <w:szCs w:val="24"/>
                <w:lang w:bidi="hi-IN"/>
              </w:rPr>
              <w:t xml:space="preserve">                  (5,500.00)</w:t>
            </w:r>
          </w:p>
        </w:tc>
      </w:tr>
      <w:tr w:rsidR="009A078E" w:rsidRPr="00C6141B" w14:paraId="17F90516" w14:textId="77777777" w:rsidTr="005857F6">
        <w:trPr>
          <w:trHeight w:val="315"/>
          <w:jc w:val="center"/>
        </w:trPr>
        <w:tc>
          <w:tcPr>
            <w:tcW w:w="837" w:type="dxa"/>
            <w:tcBorders>
              <w:top w:val="nil"/>
              <w:left w:val="single" w:sz="4" w:space="0" w:color="auto"/>
              <w:bottom w:val="single" w:sz="4" w:space="0" w:color="auto"/>
              <w:right w:val="single" w:sz="4" w:space="0" w:color="auto"/>
            </w:tcBorders>
            <w:shd w:val="clear" w:color="000000" w:fill="E5E0EC"/>
            <w:noWrap/>
            <w:hideMark/>
          </w:tcPr>
          <w:p w14:paraId="0F19DA7B" w14:textId="77777777" w:rsidR="009A078E" w:rsidRPr="00C6141B" w:rsidRDefault="009A078E" w:rsidP="005857F6">
            <w:pPr>
              <w:spacing w:after="0" w:line="240" w:lineRule="auto"/>
              <w:jc w:val="center"/>
              <w:rPr>
                <w:rFonts w:eastAsia="Times New Roman" w:cs="Times New Roman"/>
                <w:szCs w:val="24"/>
                <w:lang w:bidi="hi-IN"/>
              </w:rPr>
            </w:pPr>
            <w:r w:rsidRPr="00C6141B">
              <w:rPr>
                <w:rFonts w:eastAsia="Times New Roman" w:cs="Times New Roman"/>
                <w:szCs w:val="24"/>
                <w:lang w:bidi="hi-IN"/>
              </w:rPr>
              <w:t>1</w:t>
            </w:r>
          </w:p>
        </w:tc>
        <w:tc>
          <w:tcPr>
            <w:tcW w:w="1615" w:type="dxa"/>
            <w:tcBorders>
              <w:top w:val="nil"/>
              <w:left w:val="nil"/>
              <w:bottom w:val="single" w:sz="4" w:space="0" w:color="auto"/>
              <w:right w:val="single" w:sz="4" w:space="0" w:color="auto"/>
            </w:tcBorders>
            <w:shd w:val="clear" w:color="000000" w:fill="E5E0EC"/>
            <w:noWrap/>
            <w:hideMark/>
          </w:tcPr>
          <w:p w14:paraId="6DDF64B7" w14:textId="77777777" w:rsidR="009A078E" w:rsidRPr="00C6141B" w:rsidRDefault="009A078E" w:rsidP="005857F6">
            <w:pPr>
              <w:spacing w:after="0" w:line="240" w:lineRule="auto"/>
              <w:rPr>
                <w:rFonts w:eastAsia="Times New Roman" w:cs="Times New Roman"/>
                <w:szCs w:val="24"/>
                <w:lang w:bidi="hi-IN"/>
              </w:rPr>
            </w:pPr>
            <w:r w:rsidRPr="00C6141B">
              <w:rPr>
                <w:rFonts w:eastAsia="Times New Roman" w:cs="Times New Roman"/>
                <w:szCs w:val="24"/>
                <w:lang w:bidi="hi-IN"/>
              </w:rPr>
              <w:t> </w:t>
            </w:r>
          </w:p>
        </w:tc>
        <w:tc>
          <w:tcPr>
            <w:tcW w:w="1784" w:type="dxa"/>
            <w:tcBorders>
              <w:top w:val="nil"/>
              <w:left w:val="nil"/>
              <w:bottom w:val="single" w:sz="4" w:space="0" w:color="auto"/>
              <w:right w:val="single" w:sz="4" w:space="0" w:color="auto"/>
            </w:tcBorders>
            <w:shd w:val="clear" w:color="000000" w:fill="E5E0EC"/>
            <w:noWrap/>
            <w:hideMark/>
          </w:tcPr>
          <w:p w14:paraId="2E27BDFD" w14:textId="77777777" w:rsidR="009A078E" w:rsidRPr="00C6141B" w:rsidRDefault="009A078E" w:rsidP="005857F6">
            <w:pPr>
              <w:spacing w:after="0" w:line="240" w:lineRule="auto"/>
              <w:rPr>
                <w:rFonts w:eastAsia="Times New Roman" w:cs="Times New Roman"/>
                <w:szCs w:val="24"/>
                <w:lang w:bidi="hi-IN"/>
              </w:rPr>
            </w:pPr>
            <w:r w:rsidRPr="00C6141B">
              <w:rPr>
                <w:rFonts w:eastAsia="Times New Roman" w:cs="Times New Roman"/>
                <w:szCs w:val="24"/>
                <w:lang w:bidi="hi-IN"/>
              </w:rPr>
              <w:t xml:space="preserve">      2,250.00 </w:t>
            </w:r>
          </w:p>
        </w:tc>
        <w:tc>
          <w:tcPr>
            <w:tcW w:w="3004" w:type="dxa"/>
            <w:tcBorders>
              <w:top w:val="nil"/>
              <w:left w:val="nil"/>
              <w:bottom w:val="single" w:sz="4" w:space="0" w:color="auto"/>
              <w:right w:val="single" w:sz="4" w:space="0" w:color="auto"/>
            </w:tcBorders>
            <w:shd w:val="clear" w:color="000000" w:fill="E5E0EC"/>
            <w:noWrap/>
            <w:hideMark/>
          </w:tcPr>
          <w:p w14:paraId="45B04FFA" w14:textId="77777777" w:rsidR="009A078E" w:rsidRPr="00C6141B" w:rsidRDefault="009A078E" w:rsidP="005857F6">
            <w:pPr>
              <w:spacing w:after="0" w:line="240" w:lineRule="auto"/>
              <w:rPr>
                <w:rFonts w:eastAsia="Times New Roman" w:cs="Times New Roman"/>
                <w:szCs w:val="24"/>
                <w:lang w:bidi="hi-IN"/>
              </w:rPr>
            </w:pPr>
            <w:r w:rsidRPr="00C6141B">
              <w:rPr>
                <w:rFonts w:eastAsia="Times New Roman" w:cs="Times New Roman"/>
                <w:szCs w:val="24"/>
                <w:lang w:bidi="hi-IN"/>
              </w:rPr>
              <w:t xml:space="preserve">                  (3,250.00)</w:t>
            </w:r>
          </w:p>
        </w:tc>
      </w:tr>
      <w:tr w:rsidR="009A078E" w:rsidRPr="00C6141B" w14:paraId="33096BAF" w14:textId="77777777" w:rsidTr="005857F6">
        <w:trPr>
          <w:trHeight w:val="315"/>
          <w:jc w:val="center"/>
        </w:trPr>
        <w:tc>
          <w:tcPr>
            <w:tcW w:w="837" w:type="dxa"/>
            <w:tcBorders>
              <w:top w:val="nil"/>
              <w:left w:val="single" w:sz="4" w:space="0" w:color="auto"/>
              <w:bottom w:val="single" w:sz="4" w:space="0" w:color="auto"/>
              <w:right w:val="single" w:sz="4" w:space="0" w:color="auto"/>
            </w:tcBorders>
            <w:shd w:val="clear" w:color="000000" w:fill="E5E0EC"/>
            <w:noWrap/>
            <w:hideMark/>
          </w:tcPr>
          <w:p w14:paraId="4744D99C" w14:textId="77777777" w:rsidR="009A078E" w:rsidRPr="00C6141B" w:rsidRDefault="009A078E" w:rsidP="005857F6">
            <w:pPr>
              <w:spacing w:after="0" w:line="240" w:lineRule="auto"/>
              <w:jc w:val="center"/>
              <w:rPr>
                <w:rFonts w:eastAsia="Times New Roman" w:cs="Times New Roman"/>
                <w:szCs w:val="24"/>
                <w:lang w:bidi="hi-IN"/>
              </w:rPr>
            </w:pPr>
            <w:r w:rsidRPr="00C6141B">
              <w:rPr>
                <w:rFonts w:eastAsia="Times New Roman" w:cs="Times New Roman"/>
                <w:szCs w:val="24"/>
                <w:lang w:bidi="hi-IN"/>
              </w:rPr>
              <w:t>2</w:t>
            </w:r>
          </w:p>
        </w:tc>
        <w:tc>
          <w:tcPr>
            <w:tcW w:w="1615" w:type="dxa"/>
            <w:tcBorders>
              <w:top w:val="nil"/>
              <w:left w:val="nil"/>
              <w:bottom w:val="single" w:sz="4" w:space="0" w:color="auto"/>
              <w:right w:val="single" w:sz="4" w:space="0" w:color="auto"/>
            </w:tcBorders>
            <w:shd w:val="clear" w:color="000000" w:fill="E5E0EC"/>
            <w:noWrap/>
            <w:hideMark/>
          </w:tcPr>
          <w:p w14:paraId="375D0D7D" w14:textId="77777777" w:rsidR="009A078E" w:rsidRPr="00C6141B" w:rsidRDefault="009A078E" w:rsidP="005857F6">
            <w:pPr>
              <w:spacing w:after="0" w:line="240" w:lineRule="auto"/>
              <w:rPr>
                <w:rFonts w:eastAsia="Times New Roman" w:cs="Times New Roman"/>
                <w:szCs w:val="24"/>
                <w:lang w:bidi="hi-IN"/>
              </w:rPr>
            </w:pPr>
            <w:r w:rsidRPr="00C6141B">
              <w:rPr>
                <w:rFonts w:eastAsia="Times New Roman" w:cs="Times New Roman"/>
                <w:szCs w:val="24"/>
                <w:lang w:bidi="hi-IN"/>
              </w:rPr>
              <w:t> </w:t>
            </w:r>
          </w:p>
        </w:tc>
        <w:tc>
          <w:tcPr>
            <w:tcW w:w="1784" w:type="dxa"/>
            <w:tcBorders>
              <w:top w:val="nil"/>
              <w:left w:val="nil"/>
              <w:bottom w:val="single" w:sz="4" w:space="0" w:color="auto"/>
              <w:right w:val="single" w:sz="4" w:space="0" w:color="auto"/>
            </w:tcBorders>
            <w:shd w:val="clear" w:color="000000" w:fill="E5E0EC"/>
            <w:noWrap/>
            <w:hideMark/>
          </w:tcPr>
          <w:p w14:paraId="07DB49C2" w14:textId="77777777" w:rsidR="009A078E" w:rsidRPr="00C6141B" w:rsidRDefault="009A078E" w:rsidP="005857F6">
            <w:pPr>
              <w:spacing w:after="0" w:line="240" w:lineRule="auto"/>
              <w:rPr>
                <w:rFonts w:eastAsia="Times New Roman" w:cs="Times New Roman"/>
                <w:szCs w:val="24"/>
                <w:lang w:bidi="hi-IN"/>
              </w:rPr>
            </w:pPr>
            <w:r w:rsidRPr="00C6141B">
              <w:rPr>
                <w:rFonts w:eastAsia="Times New Roman" w:cs="Times New Roman"/>
                <w:szCs w:val="24"/>
                <w:lang w:bidi="hi-IN"/>
              </w:rPr>
              <w:t xml:space="preserve">      1,800.00 </w:t>
            </w:r>
          </w:p>
        </w:tc>
        <w:tc>
          <w:tcPr>
            <w:tcW w:w="3004" w:type="dxa"/>
            <w:tcBorders>
              <w:top w:val="nil"/>
              <w:left w:val="nil"/>
              <w:bottom w:val="single" w:sz="4" w:space="0" w:color="auto"/>
              <w:right w:val="single" w:sz="4" w:space="0" w:color="auto"/>
            </w:tcBorders>
            <w:shd w:val="clear" w:color="000000" w:fill="E5E0EC"/>
            <w:noWrap/>
            <w:hideMark/>
          </w:tcPr>
          <w:p w14:paraId="02A946AF" w14:textId="77777777" w:rsidR="009A078E" w:rsidRPr="00C6141B" w:rsidRDefault="009A078E" w:rsidP="005857F6">
            <w:pPr>
              <w:spacing w:after="0" w:line="240" w:lineRule="auto"/>
              <w:rPr>
                <w:rFonts w:eastAsia="Times New Roman" w:cs="Times New Roman"/>
                <w:szCs w:val="24"/>
                <w:lang w:bidi="hi-IN"/>
              </w:rPr>
            </w:pPr>
            <w:r w:rsidRPr="00C6141B">
              <w:rPr>
                <w:rFonts w:eastAsia="Times New Roman" w:cs="Times New Roman"/>
                <w:szCs w:val="24"/>
                <w:lang w:bidi="hi-IN"/>
              </w:rPr>
              <w:t xml:space="preserve">                  (1,450.00)</w:t>
            </w:r>
          </w:p>
        </w:tc>
      </w:tr>
      <w:tr w:rsidR="009A078E" w:rsidRPr="00C6141B" w14:paraId="68EAFF84" w14:textId="77777777" w:rsidTr="005857F6">
        <w:trPr>
          <w:trHeight w:val="315"/>
          <w:jc w:val="center"/>
        </w:trPr>
        <w:tc>
          <w:tcPr>
            <w:tcW w:w="837" w:type="dxa"/>
            <w:tcBorders>
              <w:top w:val="nil"/>
              <w:left w:val="single" w:sz="4" w:space="0" w:color="auto"/>
              <w:bottom w:val="single" w:sz="4" w:space="0" w:color="auto"/>
              <w:right w:val="single" w:sz="4" w:space="0" w:color="auto"/>
            </w:tcBorders>
            <w:shd w:val="clear" w:color="000000" w:fill="E5E0EC"/>
            <w:noWrap/>
            <w:hideMark/>
          </w:tcPr>
          <w:p w14:paraId="0B74F6B1" w14:textId="77777777" w:rsidR="009A078E" w:rsidRPr="00C6141B" w:rsidRDefault="009A078E" w:rsidP="005857F6">
            <w:pPr>
              <w:spacing w:after="0" w:line="240" w:lineRule="auto"/>
              <w:jc w:val="center"/>
              <w:rPr>
                <w:rFonts w:eastAsia="Times New Roman" w:cs="Times New Roman"/>
                <w:szCs w:val="24"/>
                <w:lang w:bidi="hi-IN"/>
              </w:rPr>
            </w:pPr>
            <w:r w:rsidRPr="00C6141B">
              <w:rPr>
                <w:rFonts w:eastAsia="Times New Roman" w:cs="Times New Roman"/>
                <w:szCs w:val="24"/>
                <w:lang w:bidi="hi-IN"/>
              </w:rPr>
              <w:t>3</w:t>
            </w:r>
          </w:p>
        </w:tc>
        <w:tc>
          <w:tcPr>
            <w:tcW w:w="1615" w:type="dxa"/>
            <w:tcBorders>
              <w:top w:val="nil"/>
              <w:left w:val="nil"/>
              <w:bottom w:val="single" w:sz="4" w:space="0" w:color="auto"/>
              <w:right w:val="single" w:sz="4" w:space="0" w:color="auto"/>
            </w:tcBorders>
            <w:shd w:val="clear" w:color="000000" w:fill="E5E0EC"/>
            <w:noWrap/>
            <w:hideMark/>
          </w:tcPr>
          <w:p w14:paraId="21288DD0" w14:textId="77777777" w:rsidR="009A078E" w:rsidRPr="00C6141B" w:rsidRDefault="009A078E" w:rsidP="005857F6">
            <w:pPr>
              <w:spacing w:after="0" w:line="240" w:lineRule="auto"/>
              <w:rPr>
                <w:rFonts w:eastAsia="Times New Roman" w:cs="Times New Roman"/>
                <w:szCs w:val="24"/>
                <w:lang w:bidi="hi-IN"/>
              </w:rPr>
            </w:pPr>
            <w:r w:rsidRPr="00C6141B">
              <w:rPr>
                <w:rFonts w:eastAsia="Times New Roman" w:cs="Times New Roman"/>
                <w:szCs w:val="24"/>
                <w:lang w:bidi="hi-IN"/>
              </w:rPr>
              <w:t> </w:t>
            </w:r>
          </w:p>
        </w:tc>
        <w:tc>
          <w:tcPr>
            <w:tcW w:w="1784" w:type="dxa"/>
            <w:tcBorders>
              <w:top w:val="nil"/>
              <w:left w:val="nil"/>
              <w:bottom w:val="single" w:sz="4" w:space="0" w:color="auto"/>
              <w:right w:val="single" w:sz="4" w:space="0" w:color="auto"/>
            </w:tcBorders>
            <w:shd w:val="clear" w:color="000000" w:fill="E5E0EC"/>
            <w:noWrap/>
            <w:hideMark/>
          </w:tcPr>
          <w:p w14:paraId="2BD5302B" w14:textId="77777777" w:rsidR="009A078E" w:rsidRPr="00C6141B" w:rsidRDefault="009A078E" w:rsidP="005857F6">
            <w:pPr>
              <w:spacing w:after="0" w:line="240" w:lineRule="auto"/>
              <w:rPr>
                <w:rFonts w:eastAsia="Times New Roman" w:cs="Times New Roman"/>
                <w:szCs w:val="24"/>
                <w:lang w:bidi="hi-IN"/>
              </w:rPr>
            </w:pPr>
            <w:r w:rsidRPr="00C6141B">
              <w:rPr>
                <w:rFonts w:eastAsia="Times New Roman" w:cs="Times New Roman"/>
                <w:szCs w:val="24"/>
                <w:lang w:bidi="hi-IN"/>
              </w:rPr>
              <w:t xml:space="preserve">         900.00 </w:t>
            </w:r>
          </w:p>
        </w:tc>
        <w:tc>
          <w:tcPr>
            <w:tcW w:w="3004" w:type="dxa"/>
            <w:tcBorders>
              <w:top w:val="nil"/>
              <w:left w:val="nil"/>
              <w:bottom w:val="single" w:sz="4" w:space="0" w:color="auto"/>
              <w:right w:val="single" w:sz="4" w:space="0" w:color="auto"/>
            </w:tcBorders>
            <w:shd w:val="clear" w:color="000000" w:fill="E5E0EC"/>
            <w:noWrap/>
            <w:hideMark/>
          </w:tcPr>
          <w:p w14:paraId="2CA59FAA" w14:textId="77777777" w:rsidR="009A078E" w:rsidRPr="00C6141B" w:rsidRDefault="009A078E" w:rsidP="005857F6">
            <w:pPr>
              <w:spacing w:after="0" w:line="240" w:lineRule="auto"/>
              <w:rPr>
                <w:rFonts w:eastAsia="Times New Roman" w:cs="Times New Roman"/>
                <w:szCs w:val="24"/>
                <w:lang w:bidi="hi-IN"/>
              </w:rPr>
            </w:pPr>
            <w:r w:rsidRPr="00C6141B">
              <w:rPr>
                <w:rFonts w:eastAsia="Times New Roman" w:cs="Times New Roman"/>
                <w:szCs w:val="24"/>
                <w:lang w:bidi="hi-IN"/>
              </w:rPr>
              <w:t xml:space="preserve">                     (550.00)</w:t>
            </w:r>
          </w:p>
        </w:tc>
      </w:tr>
      <w:tr w:rsidR="009A078E" w:rsidRPr="00C6141B" w14:paraId="3D8DBD77" w14:textId="77777777" w:rsidTr="005857F6">
        <w:trPr>
          <w:trHeight w:val="315"/>
          <w:jc w:val="center"/>
        </w:trPr>
        <w:tc>
          <w:tcPr>
            <w:tcW w:w="837" w:type="dxa"/>
            <w:tcBorders>
              <w:top w:val="nil"/>
              <w:left w:val="single" w:sz="4" w:space="0" w:color="auto"/>
              <w:bottom w:val="single" w:sz="4" w:space="0" w:color="auto"/>
              <w:right w:val="single" w:sz="4" w:space="0" w:color="auto"/>
            </w:tcBorders>
            <w:shd w:val="clear" w:color="000000" w:fill="E5E0EC"/>
            <w:noWrap/>
            <w:hideMark/>
          </w:tcPr>
          <w:p w14:paraId="1A596517" w14:textId="77777777" w:rsidR="009A078E" w:rsidRPr="00C6141B" w:rsidRDefault="009A078E" w:rsidP="005857F6">
            <w:pPr>
              <w:spacing w:after="0" w:line="240" w:lineRule="auto"/>
              <w:jc w:val="center"/>
              <w:rPr>
                <w:rFonts w:eastAsia="Times New Roman" w:cs="Times New Roman"/>
                <w:szCs w:val="24"/>
                <w:lang w:bidi="hi-IN"/>
              </w:rPr>
            </w:pPr>
            <w:r w:rsidRPr="00C6141B">
              <w:rPr>
                <w:rFonts w:eastAsia="Times New Roman" w:cs="Times New Roman"/>
                <w:szCs w:val="24"/>
                <w:lang w:bidi="hi-IN"/>
              </w:rPr>
              <w:t>4</w:t>
            </w:r>
          </w:p>
        </w:tc>
        <w:tc>
          <w:tcPr>
            <w:tcW w:w="1615" w:type="dxa"/>
            <w:tcBorders>
              <w:top w:val="nil"/>
              <w:left w:val="nil"/>
              <w:bottom w:val="single" w:sz="4" w:space="0" w:color="auto"/>
              <w:right w:val="single" w:sz="4" w:space="0" w:color="auto"/>
            </w:tcBorders>
            <w:shd w:val="clear" w:color="000000" w:fill="E5E0EC"/>
            <w:noWrap/>
            <w:hideMark/>
          </w:tcPr>
          <w:p w14:paraId="7287D9AD" w14:textId="77777777" w:rsidR="009A078E" w:rsidRPr="00C6141B" w:rsidRDefault="009A078E" w:rsidP="005857F6">
            <w:pPr>
              <w:spacing w:after="0" w:line="240" w:lineRule="auto"/>
              <w:rPr>
                <w:rFonts w:eastAsia="Times New Roman" w:cs="Times New Roman"/>
                <w:szCs w:val="24"/>
                <w:lang w:bidi="hi-IN"/>
              </w:rPr>
            </w:pPr>
            <w:r w:rsidRPr="00C6141B">
              <w:rPr>
                <w:rFonts w:eastAsia="Times New Roman" w:cs="Times New Roman"/>
                <w:szCs w:val="24"/>
                <w:lang w:bidi="hi-IN"/>
              </w:rPr>
              <w:t> </w:t>
            </w:r>
          </w:p>
        </w:tc>
        <w:tc>
          <w:tcPr>
            <w:tcW w:w="1784" w:type="dxa"/>
            <w:tcBorders>
              <w:top w:val="nil"/>
              <w:left w:val="nil"/>
              <w:bottom w:val="single" w:sz="4" w:space="0" w:color="auto"/>
              <w:right w:val="single" w:sz="4" w:space="0" w:color="auto"/>
            </w:tcBorders>
            <w:shd w:val="clear" w:color="000000" w:fill="E5E0EC"/>
            <w:noWrap/>
            <w:hideMark/>
          </w:tcPr>
          <w:p w14:paraId="60B6B622" w14:textId="77777777" w:rsidR="009A078E" w:rsidRPr="00C6141B" w:rsidRDefault="009A078E" w:rsidP="005857F6">
            <w:pPr>
              <w:spacing w:after="0" w:line="240" w:lineRule="auto"/>
              <w:rPr>
                <w:rFonts w:eastAsia="Times New Roman" w:cs="Times New Roman"/>
                <w:szCs w:val="24"/>
                <w:lang w:bidi="hi-IN"/>
              </w:rPr>
            </w:pPr>
            <w:r w:rsidRPr="00C6141B">
              <w:rPr>
                <w:rFonts w:eastAsia="Times New Roman" w:cs="Times New Roman"/>
                <w:szCs w:val="24"/>
                <w:lang w:bidi="hi-IN"/>
              </w:rPr>
              <w:t xml:space="preserve">       (397.80)</w:t>
            </w:r>
          </w:p>
        </w:tc>
        <w:tc>
          <w:tcPr>
            <w:tcW w:w="3004" w:type="dxa"/>
            <w:tcBorders>
              <w:top w:val="nil"/>
              <w:left w:val="nil"/>
              <w:bottom w:val="single" w:sz="4" w:space="0" w:color="auto"/>
              <w:right w:val="single" w:sz="4" w:space="0" w:color="auto"/>
            </w:tcBorders>
            <w:shd w:val="clear" w:color="000000" w:fill="E5E0EC"/>
            <w:noWrap/>
            <w:hideMark/>
          </w:tcPr>
          <w:p w14:paraId="5C7632F5" w14:textId="77777777" w:rsidR="009A078E" w:rsidRPr="00C6141B" w:rsidRDefault="009A078E" w:rsidP="005857F6">
            <w:pPr>
              <w:spacing w:after="0" w:line="240" w:lineRule="auto"/>
              <w:rPr>
                <w:rFonts w:eastAsia="Times New Roman" w:cs="Times New Roman"/>
                <w:szCs w:val="24"/>
                <w:lang w:bidi="hi-IN"/>
              </w:rPr>
            </w:pPr>
            <w:r w:rsidRPr="00C6141B">
              <w:rPr>
                <w:rFonts w:eastAsia="Times New Roman" w:cs="Times New Roman"/>
                <w:szCs w:val="24"/>
                <w:lang w:bidi="hi-IN"/>
              </w:rPr>
              <w:t xml:space="preserve">                     (947.80)</w:t>
            </w:r>
          </w:p>
        </w:tc>
      </w:tr>
      <w:tr w:rsidR="009A078E" w:rsidRPr="00C6141B" w14:paraId="2D5140A8" w14:textId="77777777" w:rsidTr="005857F6">
        <w:trPr>
          <w:trHeight w:val="315"/>
          <w:jc w:val="center"/>
        </w:trPr>
        <w:tc>
          <w:tcPr>
            <w:tcW w:w="837" w:type="dxa"/>
            <w:tcBorders>
              <w:top w:val="nil"/>
              <w:left w:val="single" w:sz="4" w:space="0" w:color="auto"/>
              <w:bottom w:val="single" w:sz="4" w:space="0" w:color="auto"/>
              <w:right w:val="single" w:sz="4" w:space="0" w:color="auto"/>
            </w:tcBorders>
            <w:shd w:val="clear" w:color="auto" w:fill="auto"/>
            <w:noWrap/>
            <w:hideMark/>
          </w:tcPr>
          <w:p w14:paraId="01AA5D9E" w14:textId="77777777" w:rsidR="009A078E" w:rsidRPr="00C6141B" w:rsidRDefault="009A078E" w:rsidP="005857F6">
            <w:pPr>
              <w:spacing w:after="0" w:line="240" w:lineRule="auto"/>
              <w:rPr>
                <w:rFonts w:eastAsia="Times New Roman" w:cs="Times New Roman"/>
                <w:szCs w:val="24"/>
                <w:lang w:bidi="hi-IN"/>
              </w:rPr>
            </w:pPr>
            <w:r w:rsidRPr="00C6141B">
              <w:rPr>
                <w:rFonts w:eastAsia="Times New Roman" w:cs="Times New Roman"/>
                <w:szCs w:val="24"/>
                <w:lang w:bidi="hi-IN"/>
              </w:rPr>
              <w:t> </w:t>
            </w:r>
          </w:p>
        </w:tc>
        <w:tc>
          <w:tcPr>
            <w:tcW w:w="1615" w:type="dxa"/>
            <w:tcBorders>
              <w:top w:val="nil"/>
              <w:left w:val="nil"/>
              <w:bottom w:val="single" w:sz="4" w:space="0" w:color="auto"/>
              <w:right w:val="single" w:sz="4" w:space="0" w:color="auto"/>
            </w:tcBorders>
            <w:shd w:val="clear" w:color="auto" w:fill="auto"/>
            <w:noWrap/>
            <w:hideMark/>
          </w:tcPr>
          <w:p w14:paraId="7FD632A3" w14:textId="77777777" w:rsidR="009A078E" w:rsidRPr="00C6141B" w:rsidRDefault="009A078E" w:rsidP="005857F6">
            <w:pPr>
              <w:spacing w:after="0" w:line="240" w:lineRule="auto"/>
              <w:rPr>
                <w:rFonts w:eastAsia="Times New Roman" w:cs="Times New Roman"/>
                <w:szCs w:val="24"/>
                <w:lang w:bidi="hi-IN"/>
              </w:rPr>
            </w:pPr>
            <w:r w:rsidRPr="00C6141B">
              <w:rPr>
                <w:rFonts w:eastAsia="Times New Roman" w:cs="Times New Roman"/>
                <w:szCs w:val="24"/>
                <w:lang w:bidi="hi-IN"/>
              </w:rPr>
              <w:t> </w:t>
            </w:r>
          </w:p>
        </w:tc>
        <w:tc>
          <w:tcPr>
            <w:tcW w:w="1784" w:type="dxa"/>
            <w:tcBorders>
              <w:top w:val="nil"/>
              <w:left w:val="nil"/>
              <w:bottom w:val="single" w:sz="4" w:space="0" w:color="auto"/>
              <w:right w:val="single" w:sz="4" w:space="0" w:color="auto"/>
            </w:tcBorders>
            <w:shd w:val="clear" w:color="auto" w:fill="auto"/>
            <w:noWrap/>
            <w:hideMark/>
          </w:tcPr>
          <w:p w14:paraId="576198EA" w14:textId="77777777" w:rsidR="009A078E" w:rsidRPr="00C6141B" w:rsidRDefault="009A078E" w:rsidP="005857F6">
            <w:pPr>
              <w:spacing w:after="0" w:line="240" w:lineRule="auto"/>
              <w:rPr>
                <w:rFonts w:eastAsia="Times New Roman" w:cs="Times New Roman"/>
                <w:szCs w:val="24"/>
                <w:lang w:bidi="hi-IN"/>
              </w:rPr>
            </w:pPr>
            <w:r w:rsidRPr="00C6141B">
              <w:rPr>
                <w:rFonts w:eastAsia="Times New Roman" w:cs="Times New Roman"/>
                <w:szCs w:val="24"/>
                <w:lang w:bidi="hi-IN"/>
              </w:rPr>
              <w:t xml:space="preserve"> PBP </w:t>
            </w:r>
          </w:p>
        </w:tc>
        <w:tc>
          <w:tcPr>
            <w:tcW w:w="3004" w:type="dxa"/>
            <w:tcBorders>
              <w:top w:val="nil"/>
              <w:left w:val="nil"/>
              <w:bottom w:val="single" w:sz="4" w:space="0" w:color="auto"/>
              <w:right w:val="single" w:sz="4" w:space="0" w:color="auto"/>
            </w:tcBorders>
            <w:shd w:val="clear" w:color="auto" w:fill="auto"/>
            <w:noWrap/>
            <w:hideMark/>
          </w:tcPr>
          <w:p w14:paraId="56343E92" w14:textId="77777777" w:rsidR="009A078E" w:rsidRPr="00C6141B" w:rsidRDefault="009A078E" w:rsidP="005857F6">
            <w:pPr>
              <w:spacing w:after="0" w:line="240" w:lineRule="auto"/>
              <w:rPr>
                <w:rFonts w:eastAsia="Times New Roman" w:cs="Times New Roman"/>
                <w:szCs w:val="24"/>
                <w:lang w:bidi="hi-IN"/>
              </w:rPr>
            </w:pPr>
            <w:r w:rsidRPr="00C6141B">
              <w:rPr>
                <w:rFonts w:eastAsia="Times New Roman" w:cs="Times New Roman"/>
                <w:szCs w:val="24"/>
                <w:lang w:bidi="hi-IN"/>
              </w:rPr>
              <w:t xml:space="preserve">                              -   </w:t>
            </w:r>
          </w:p>
        </w:tc>
      </w:tr>
    </w:tbl>
    <w:p w14:paraId="212A29CD" w14:textId="77777777" w:rsidR="009A078E" w:rsidRPr="00C6141B" w:rsidRDefault="009A078E" w:rsidP="009A078E">
      <w:pPr>
        <w:rPr>
          <w:rFonts w:cs="Times New Roman"/>
          <w:szCs w:val="24"/>
        </w:rPr>
      </w:pPr>
      <w:r w:rsidRPr="00C6141B">
        <w:rPr>
          <w:rFonts w:cs="Times New Roman"/>
          <w:szCs w:val="24"/>
        </w:rPr>
        <w:t xml:space="preserve"> </w:t>
      </w:r>
    </w:p>
    <w:p w14:paraId="69925CDC" w14:textId="71E0B7A3" w:rsidR="009A078E" w:rsidRPr="00C6141B" w:rsidRDefault="009A078E" w:rsidP="009A078E">
      <w:pPr>
        <w:rPr>
          <w:rFonts w:cs="Times New Roman"/>
          <w:szCs w:val="24"/>
        </w:rPr>
      </w:pPr>
      <w:r w:rsidRPr="00C6141B">
        <w:rPr>
          <w:rFonts w:cs="Times New Roman"/>
          <w:szCs w:val="24"/>
        </w:rPr>
        <w:t>Increased initial cost of investment by 10% becomes 5,500 m</w:t>
      </w:r>
      <w:r w:rsidR="0051383E" w:rsidRPr="00C6141B">
        <w:rPr>
          <w:rFonts w:cs="Times New Roman"/>
          <w:szCs w:val="24"/>
        </w:rPr>
        <w:t>illion</w:t>
      </w:r>
      <w:r w:rsidRPr="00C6141B">
        <w:rPr>
          <w:rFonts w:cs="Times New Roman"/>
          <w:szCs w:val="24"/>
        </w:rPr>
        <w:t xml:space="preserve"> however decrease in each year’s cash flow by 10% may not make the project A recover its investment amount in the 4 years of life of the project.</w:t>
      </w:r>
    </w:p>
    <w:p w14:paraId="2F015763" w14:textId="77777777" w:rsidR="009A078E" w:rsidRPr="00C6141B" w:rsidRDefault="009A078E" w:rsidP="009A078E">
      <w:pPr>
        <w:rPr>
          <w:rFonts w:cs="Times New Roman"/>
          <w:b/>
          <w:bCs/>
          <w:szCs w:val="24"/>
          <w:u w:val="single"/>
        </w:rPr>
      </w:pPr>
      <w:r w:rsidRPr="00C6141B">
        <w:rPr>
          <w:rFonts w:cs="Times New Roman"/>
          <w:b/>
          <w:bCs/>
          <w:szCs w:val="24"/>
          <w:u w:val="single"/>
        </w:rPr>
        <w:t>Project B</w:t>
      </w:r>
    </w:p>
    <w:tbl>
      <w:tblPr>
        <w:tblW w:w="7240" w:type="dxa"/>
        <w:jc w:val="center"/>
        <w:tblLook w:val="04A0" w:firstRow="1" w:lastRow="0" w:firstColumn="1" w:lastColumn="0" w:noHBand="0" w:noVBand="1"/>
      </w:tblPr>
      <w:tblGrid>
        <w:gridCol w:w="837"/>
        <w:gridCol w:w="1615"/>
        <w:gridCol w:w="1784"/>
        <w:gridCol w:w="3004"/>
      </w:tblGrid>
      <w:tr w:rsidR="009A078E" w:rsidRPr="00C6141B" w14:paraId="5DF57896" w14:textId="77777777" w:rsidTr="005857F6">
        <w:trPr>
          <w:trHeight w:val="315"/>
          <w:jc w:val="center"/>
        </w:trPr>
        <w:tc>
          <w:tcPr>
            <w:tcW w:w="7240" w:type="dxa"/>
            <w:gridSpan w:val="4"/>
            <w:tcBorders>
              <w:top w:val="single" w:sz="4" w:space="0" w:color="auto"/>
              <w:left w:val="single" w:sz="4" w:space="0" w:color="auto"/>
              <w:bottom w:val="single" w:sz="4" w:space="0" w:color="auto"/>
              <w:right w:val="nil"/>
            </w:tcBorders>
            <w:shd w:val="clear" w:color="auto" w:fill="auto"/>
            <w:noWrap/>
            <w:hideMark/>
          </w:tcPr>
          <w:p w14:paraId="61824748" w14:textId="77777777" w:rsidR="009A078E" w:rsidRPr="00C6141B" w:rsidRDefault="009A078E" w:rsidP="005857F6">
            <w:pPr>
              <w:spacing w:after="0" w:line="240" w:lineRule="auto"/>
              <w:jc w:val="center"/>
              <w:rPr>
                <w:rFonts w:eastAsia="Times New Roman" w:cs="Times New Roman"/>
                <w:b/>
                <w:bCs/>
                <w:szCs w:val="24"/>
                <w:lang w:bidi="hi-IN"/>
              </w:rPr>
            </w:pPr>
            <w:r w:rsidRPr="00C6141B">
              <w:rPr>
                <w:rFonts w:eastAsia="Times New Roman" w:cs="Times New Roman"/>
                <w:b/>
                <w:bCs/>
                <w:szCs w:val="24"/>
                <w:lang w:bidi="hi-IN"/>
              </w:rPr>
              <w:t xml:space="preserve">Payback Period computation  </w:t>
            </w:r>
          </w:p>
        </w:tc>
      </w:tr>
      <w:tr w:rsidR="009A078E" w:rsidRPr="00C6141B" w14:paraId="0104B88A" w14:textId="77777777" w:rsidTr="005857F6">
        <w:trPr>
          <w:trHeight w:val="315"/>
          <w:jc w:val="center"/>
        </w:trPr>
        <w:tc>
          <w:tcPr>
            <w:tcW w:w="837" w:type="dxa"/>
            <w:tcBorders>
              <w:top w:val="nil"/>
              <w:left w:val="single" w:sz="4" w:space="0" w:color="auto"/>
              <w:bottom w:val="single" w:sz="4" w:space="0" w:color="auto"/>
              <w:right w:val="single" w:sz="4" w:space="0" w:color="auto"/>
            </w:tcBorders>
            <w:shd w:val="clear" w:color="auto" w:fill="auto"/>
            <w:noWrap/>
            <w:hideMark/>
          </w:tcPr>
          <w:p w14:paraId="2D1FEDC2" w14:textId="77777777" w:rsidR="009A078E" w:rsidRPr="00C6141B" w:rsidRDefault="009A078E" w:rsidP="005857F6">
            <w:pPr>
              <w:spacing w:after="0" w:line="240" w:lineRule="auto"/>
              <w:rPr>
                <w:rFonts w:eastAsia="Times New Roman" w:cs="Times New Roman"/>
                <w:szCs w:val="24"/>
                <w:lang w:bidi="hi-IN"/>
              </w:rPr>
            </w:pPr>
            <w:r w:rsidRPr="00C6141B">
              <w:rPr>
                <w:rFonts w:eastAsia="Times New Roman" w:cs="Times New Roman"/>
                <w:szCs w:val="24"/>
                <w:lang w:bidi="hi-IN"/>
              </w:rPr>
              <w:t> </w:t>
            </w:r>
          </w:p>
        </w:tc>
        <w:tc>
          <w:tcPr>
            <w:tcW w:w="6403" w:type="dxa"/>
            <w:gridSpan w:val="3"/>
            <w:tcBorders>
              <w:top w:val="single" w:sz="4" w:space="0" w:color="auto"/>
              <w:left w:val="nil"/>
              <w:bottom w:val="single" w:sz="4" w:space="0" w:color="auto"/>
              <w:right w:val="single" w:sz="4" w:space="0" w:color="auto"/>
            </w:tcBorders>
            <w:shd w:val="clear" w:color="000000" w:fill="FFFF00"/>
            <w:noWrap/>
            <w:hideMark/>
          </w:tcPr>
          <w:p w14:paraId="3CF0E818" w14:textId="77777777" w:rsidR="009A078E" w:rsidRPr="00C6141B" w:rsidRDefault="009A078E" w:rsidP="005857F6">
            <w:pPr>
              <w:spacing w:after="0" w:line="240" w:lineRule="auto"/>
              <w:jc w:val="center"/>
              <w:rPr>
                <w:rFonts w:eastAsia="Times New Roman" w:cs="Times New Roman"/>
                <w:b/>
                <w:bCs/>
                <w:szCs w:val="24"/>
                <w:lang w:bidi="hi-IN"/>
              </w:rPr>
            </w:pPr>
            <w:r w:rsidRPr="00C6141B">
              <w:rPr>
                <w:rFonts w:eastAsia="Times New Roman" w:cs="Times New Roman"/>
                <w:b/>
                <w:bCs/>
                <w:szCs w:val="24"/>
                <w:lang w:bidi="hi-IN"/>
              </w:rPr>
              <w:t xml:space="preserve"> Project B  </w:t>
            </w:r>
          </w:p>
        </w:tc>
      </w:tr>
      <w:tr w:rsidR="009A078E" w:rsidRPr="00C6141B" w14:paraId="60636EF0" w14:textId="77777777" w:rsidTr="005857F6">
        <w:trPr>
          <w:trHeight w:val="315"/>
          <w:jc w:val="center"/>
        </w:trPr>
        <w:tc>
          <w:tcPr>
            <w:tcW w:w="837" w:type="dxa"/>
            <w:tcBorders>
              <w:top w:val="nil"/>
              <w:left w:val="single" w:sz="4" w:space="0" w:color="auto"/>
              <w:bottom w:val="single" w:sz="4" w:space="0" w:color="auto"/>
              <w:right w:val="single" w:sz="4" w:space="0" w:color="auto"/>
            </w:tcBorders>
            <w:shd w:val="clear" w:color="000000" w:fill="E5E0EC"/>
            <w:noWrap/>
            <w:hideMark/>
          </w:tcPr>
          <w:p w14:paraId="2D28351D" w14:textId="77777777" w:rsidR="009A078E" w:rsidRPr="00C6141B" w:rsidRDefault="009A078E" w:rsidP="005857F6">
            <w:pPr>
              <w:spacing w:after="0" w:line="240" w:lineRule="auto"/>
              <w:rPr>
                <w:rFonts w:eastAsia="Times New Roman" w:cs="Times New Roman"/>
                <w:b/>
                <w:bCs/>
                <w:szCs w:val="24"/>
                <w:lang w:bidi="hi-IN"/>
              </w:rPr>
            </w:pPr>
            <w:r w:rsidRPr="00C6141B">
              <w:rPr>
                <w:rFonts w:eastAsia="Times New Roman" w:cs="Times New Roman"/>
                <w:b/>
                <w:bCs/>
                <w:szCs w:val="24"/>
                <w:lang w:bidi="hi-IN"/>
              </w:rPr>
              <w:t xml:space="preserve"> Year </w:t>
            </w:r>
          </w:p>
        </w:tc>
        <w:tc>
          <w:tcPr>
            <w:tcW w:w="1615" w:type="dxa"/>
            <w:tcBorders>
              <w:top w:val="nil"/>
              <w:left w:val="nil"/>
              <w:bottom w:val="single" w:sz="4" w:space="0" w:color="auto"/>
              <w:right w:val="single" w:sz="4" w:space="0" w:color="auto"/>
            </w:tcBorders>
            <w:shd w:val="clear" w:color="000000" w:fill="E5E0EC"/>
            <w:noWrap/>
            <w:hideMark/>
          </w:tcPr>
          <w:p w14:paraId="7A8A6F1A" w14:textId="77777777" w:rsidR="009A078E" w:rsidRPr="00C6141B" w:rsidRDefault="009A078E" w:rsidP="005857F6">
            <w:pPr>
              <w:spacing w:after="0" w:line="240" w:lineRule="auto"/>
              <w:rPr>
                <w:rFonts w:eastAsia="Times New Roman" w:cs="Times New Roman"/>
                <w:b/>
                <w:bCs/>
                <w:szCs w:val="24"/>
                <w:lang w:bidi="hi-IN"/>
              </w:rPr>
            </w:pPr>
            <w:r w:rsidRPr="00C6141B">
              <w:rPr>
                <w:rFonts w:eastAsia="Times New Roman" w:cs="Times New Roman"/>
                <w:b/>
                <w:bCs/>
                <w:szCs w:val="24"/>
                <w:lang w:bidi="hi-IN"/>
              </w:rPr>
              <w:t xml:space="preserve"> initial cost </w:t>
            </w:r>
          </w:p>
        </w:tc>
        <w:tc>
          <w:tcPr>
            <w:tcW w:w="1784" w:type="dxa"/>
            <w:tcBorders>
              <w:top w:val="nil"/>
              <w:left w:val="nil"/>
              <w:bottom w:val="single" w:sz="4" w:space="0" w:color="auto"/>
              <w:right w:val="single" w:sz="4" w:space="0" w:color="auto"/>
            </w:tcBorders>
            <w:shd w:val="clear" w:color="000000" w:fill="E5E0EC"/>
            <w:noWrap/>
            <w:hideMark/>
          </w:tcPr>
          <w:p w14:paraId="2BD52E6C" w14:textId="77777777" w:rsidR="009A078E" w:rsidRPr="00C6141B" w:rsidRDefault="009A078E" w:rsidP="005857F6">
            <w:pPr>
              <w:spacing w:after="0" w:line="240" w:lineRule="auto"/>
              <w:rPr>
                <w:rFonts w:eastAsia="Times New Roman" w:cs="Times New Roman"/>
                <w:b/>
                <w:bCs/>
                <w:szCs w:val="24"/>
                <w:lang w:bidi="hi-IN"/>
              </w:rPr>
            </w:pPr>
            <w:r w:rsidRPr="00C6141B">
              <w:rPr>
                <w:rFonts w:eastAsia="Times New Roman" w:cs="Times New Roman"/>
                <w:b/>
                <w:bCs/>
                <w:szCs w:val="24"/>
                <w:lang w:bidi="hi-IN"/>
              </w:rPr>
              <w:t xml:space="preserve"> Inflow </w:t>
            </w:r>
          </w:p>
        </w:tc>
        <w:tc>
          <w:tcPr>
            <w:tcW w:w="3004" w:type="dxa"/>
            <w:tcBorders>
              <w:top w:val="nil"/>
              <w:left w:val="nil"/>
              <w:bottom w:val="single" w:sz="4" w:space="0" w:color="auto"/>
              <w:right w:val="single" w:sz="4" w:space="0" w:color="auto"/>
            </w:tcBorders>
            <w:shd w:val="clear" w:color="000000" w:fill="E5E0EC"/>
            <w:noWrap/>
            <w:hideMark/>
          </w:tcPr>
          <w:p w14:paraId="2C62ABBE" w14:textId="77777777" w:rsidR="009A078E" w:rsidRPr="00C6141B" w:rsidRDefault="009A078E" w:rsidP="005857F6">
            <w:pPr>
              <w:spacing w:after="0" w:line="240" w:lineRule="auto"/>
              <w:rPr>
                <w:rFonts w:eastAsia="Times New Roman" w:cs="Times New Roman"/>
                <w:szCs w:val="24"/>
                <w:lang w:bidi="hi-IN"/>
              </w:rPr>
            </w:pPr>
            <w:r w:rsidRPr="00C6141B">
              <w:rPr>
                <w:rFonts w:eastAsia="Times New Roman" w:cs="Times New Roman"/>
                <w:szCs w:val="24"/>
                <w:lang w:bidi="hi-IN"/>
              </w:rPr>
              <w:t xml:space="preserve"> Cumulative cash flow </w:t>
            </w:r>
          </w:p>
        </w:tc>
      </w:tr>
      <w:tr w:rsidR="009A078E" w:rsidRPr="00C6141B" w14:paraId="1AAC7941" w14:textId="77777777" w:rsidTr="005857F6">
        <w:trPr>
          <w:trHeight w:val="315"/>
          <w:jc w:val="center"/>
        </w:trPr>
        <w:tc>
          <w:tcPr>
            <w:tcW w:w="837" w:type="dxa"/>
            <w:tcBorders>
              <w:top w:val="nil"/>
              <w:left w:val="single" w:sz="4" w:space="0" w:color="auto"/>
              <w:bottom w:val="single" w:sz="4" w:space="0" w:color="auto"/>
              <w:right w:val="single" w:sz="4" w:space="0" w:color="auto"/>
            </w:tcBorders>
            <w:shd w:val="clear" w:color="000000" w:fill="E5E0EC"/>
            <w:noWrap/>
            <w:hideMark/>
          </w:tcPr>
          <w:p w14:paraId="61A3E200" w14:textId="77777777" w:rsidR="009A078E" w:rsidRPr="00C6141B" w:rsidRDefault="009A078E" w:rsidP="005857F6">
            <w:pPr>
              <w:spacing w:after="0" w:line="240" w:lineRule="auto"/>
              <w:jc w:val="center"/>
              <w:rPr>
                <w:rFonts w:eastAsia="Times New Roman" w:cs="Times New Roman"/>
                <w:szCs w:val="24"/>
                <w:lang w:bidi="hi-IN"/>
              </w:rPr>
            </w:pPr>
            <w:r w:rsidRPr="00C6141B">
              <w:rPr>
                <w:rFonts w:eastAsia="Times New Roman" w:cs="Times New Roman"/>
                <w:szCs w:val="24"/>
                <w:lang w:bidi="hi-IN"/>
              </w:rPr>
              <w:t>0</w:t>
            </w:r>
          </w:p>
        </w:tc>
        <w:tc>
          <w:tcPr>
            <w:tcW w:w="1615" w:type="dxa"/>
            <w:tcBorders>
              <w:top w:val="nil"/>
              <w:left w:val="nil"/>
              <w:bottom w:val="single" w:sz="4" w:space="0" w:color="auto"/>
              <w:right w:val="single" w:sz="4" w:space="0" w:color="auto"/>
            </w:tcBorders>
            <w:shd w:val="clear" w:color="000000" w:fill="E5E0EC"/>
            <w:noWrap/>
            <w:hideMark/>
          </w:tcPr>
          <w:p w14:paraId="6721FAA8" w14:textId="77777777" w:rsidR="009A078E" w:rsidRPr="00C6141B" w:rsidRDefault="009A078E" w:rsidP="005857F6">
            <w:pPr>
              <w:spacing w:after="0" w:line="240" w:lineRule="auto"/>
              <w:rPr>
                <w:rFonts w:eastAsia="Times New Roman" w:cs="Times New Roman"/>
                <w:szCs w:val="24"/>
                <w:lang w:bidi="hi-IN"/>
              </w:rPr>
            </w:pPr>
            <w:r w:rsidRPr="00C6141B">
              <w:rPr>
                <w:rFonts w:eastAsia="Times New Roman" w:cs="Times New Roman"/>
                <w:szCs w:val="24"/>
                <w:lang w:bidi="hi-IN"/>
              </w:rPr>
              <w:t xml:space="preserve">  (1,100.00)</w:t>
            </w:r>
          </w:p>
        </w:tc>
        <w:tc>
          <w:tcPr>
            <w:tcW w:w="1784" w:type="dxa"/>
            <w:tcBorders>
              <w:top w:val="nil"/>
              <w:left w:val="nil"/>
              <w:bottom w:val="single" w:sz="4" w:space="0" w:color="auto"/>
              <w:right w:val="single" w:sz="4" w:space="0" w:color="auto"/>
            </w:tcBorders>
            <w:shd w:val="clear" w:color="000000" w:fill="E5E0EC"/>
            <w:noWrap/>
            <w:hideMark/>
          </w:tcPr>
          <w:p w14:paraId="1D99E503" w14:textId="77777777" w:rsidR="009A078E" w:rsidRPr="00C6141B" w:rsidRDefault="009A078E" w:rsidP="005857F6">
            <w:pPr>
              <w:spacing w:after="0" w:line="240" w:lineRule="auto"/>
              <w:rPr>
                <w:rFonts w:eastAsia="Times New Roman" w:cs="Times New Roman"/>
                <w:szCs w:val="24"/>
                <w:lang w:bidi="hi-IN"/>
              </w:rPr>
            </w:pPr>
            <w:r w:rsidRPr="00C6141B">
              <w:rPr>
                <w:rFonts w:eastAsia="Times New Roman" w:cs="Times New Roman"/>
                <w:szCs w:val="24"/>
                <w:lang w:bidi="hi-IN"/>
              </w:rPr>
              <w:t xml:space="preserve">                -   </w:t>
            </w:r>
          </w:p>
        </w:tc>
        <w:tc>
          <w:tcPr>
            <w:tcW w:w="3004" w:type="dxa"/>
            <w:tcBorders>
              <w:top w:val="nil"/>
              <w:left w:val="nil"/>
              <w:bottom w:val="single" w:sz="4" w:space="0" w:color="auto"/>
              <w:right w:val="single" w:sz="4" w:space="0" w:color="auto"/>
            </w:tcBorders>
            <w:shd w:val="clear" w:color="000000" w:fill="E5E0EC"/>
            <w:noWrap/>
            <w:hideMark/>
          </w:tcPr>
          <w:p w14:paraId="33F35FBC" w14:textId="77777777" w:rsidR="009A078E" w:rsidRPr="00C6141B" w:rsidRDefault="009A078E" w:rsidP="005857F6">
            <w:pPr>
              <w:spacing w:after="0" w:line="240" w:lineRule="auto"/>
              <w:rPr>
                <w:rFonts w:eastAsia="Times New Roman" w:cs="Times New Roman"/>
                <w:szCs w:val="24"/>
                <w:lang w:bidi="hi-IN"/>
              </w:rPr>
            </w:pPr>
            <w:r w:rsidRPr="00C6141B">
              <w:rPr>
                <w:rFonts w:eastAsia="Times New Roman" w:cs="Times New Roman"/>
                <w:szCs w:val="24"/>
                <w:lang w:bidi="hi-IN"/>
              </w:rPr>
              <w:t xml:space="preserve">                  (1,100.00)</w:t>
            </w:r>
          </w:p>
        </w:tc>
      </w:tr>
      <w:tr w:rsidR="009A078E" w:rsidRPr="00C6141B" w14:paraId="67E7363D" w14:textId="77777777" w:rsidTr="005857F6">
        <w:trPr>
          <w:trHeight w:val="315"/>
          <w:jc w:val="center"/>
        </w:trPr>
        <w:tc>
          <w:tcPr>
            <w:tcW w:w="837" w:type="dxa"/>
            <w:tcBorders>
              <w:top w:val="nil"/>
              <w:left w:val="single" w:sz="4" w:space="0" w:color="auto"/>
              <w:bottom w:val="single" w:sz="4" w:space="0" w:color="auto"/>
              <w:right w:val="single" w:sz="4" w:space="0" w:color="auto"/>
            </w:tcBorders>
            <w:shd w:val="clear" w:color="000000" w:fill="E5E0EC"/>
            <w:noWrap/>
            <w:hideMark/>
          </w:tcPr>
          <w:p w14:paraId="65B470CD" w14:textId="77777777" w:rsidR="009A078E" w:rsidRPr="00C6141B" w:rsidRDefault="009A078E" w:rsidP="005857F6">
            <w:pPr>
              <w:spacing w:after="0" w:line="240" w:lineRule="auto"/>
              <w:jc w:val="center"/>
              <w:rPr>
                <w:rFonts w:eastAsia="Times New Roman" w:cs="Times New Roman"/>
                <w:szCs w:val="24"/>
                <w:lang w:bidi="hi-IN"/>
              </w:rPr>
            </w:pPr>
            <w:r w:rsidRPr="00C6141B">
              <w:rPr>
                <w:rFonts w:eastAsia="Times New Roman" w:cs="Times New Roman"/>
                <w:szCs w:val="24"/>
                <w:lang w:bidi="hi-IN"/>
              </w:rPr>
              <w:t>1</w:t>
            </w:r>
          </w:p>
        </w:tc>
        <w:tc>
          <w:tcPr>
            <w:tcW w:w="1615" w:type="dxa"/>
            <w:tcBorders>
              <w:top w:val="nil"/>
              <w:left w:val="nil"/>
              <w:bottom w:val="single" w:sz="4" w:space="0" w:color="auto"/>
              <w:right w:val="single" w:sz="4" w:space="0" w:color="auto"/>
            </w:tcBorders>
            <w:shd w:val="clear" w:color="000000" w:fill="E5E0EC"/>
            <w:noWrap/>
            <w:hideMark/>
          </w:tcPr>
          <w:p w14:paraId="56585F88" w14:textId="77777777" w:rsidR="009A078E" w:rsidRPr="00C6141B" w:rsidRDefault="009A078E" w:rsidP="005857F6">
            <w:pPr>
              <w:spacing w:after="0" w:line="240" w:lineRule="auto"/>
              <w:rPr>
                <w:rFonts w:eastAsia="Times New Roman" w:cs="Times New Roman"/>
                <w:szCs w:val="24"/>
                <w:lang w:bidi="hi-IN"/>
              </w:rPr>
            </w:pPr>
            <w:r w:rsidRPr="00C6141B">
              <w:rPr>
                <w:rFonts w:eastAsia="Times New Roman" w:cs="Times New Roman"/>
                <w:szCs w:val="24"/>
                <w:lang w:bidi="hi-IN"/>
              </w:rPr>
              <w:t> </w:t>
            </w:r>
          </w:p>
        </w:tc>
        <w:tc>
          <w:tcPr>
            <w:tcW w:w="1784" w:type="dxa"/>
            <w:tcBorders>
              <w:top w:val="nil"/>
              <w:left w:val="nil"/>
              <w:bottom w:val="single" w:sz="4" w:space="0" w:color="auto"/>
              <w:right w:val="single" w:sz="4" w:space="0" w:color="auto"/>
            </w:tcBorders>
            <w:shd w:val="clear" w:color="000000" w:fill="E5E0EC"/>
            <w:noWrap/>
            <w:hideMark/>
          </w:tcPr>
          <w:p w14:paraId="1755D64D" w14:textId="77777777" w:rsidR="009A078E" w:rsidRPr="00C6141B" w:rsidRDefault="009A078E" w:rsidP="005857F6">
            <w:pPr>
              <w:spacing w:after="0" w:line="240" w:lineRule="auto"/>
              <w:rPr>
                <w:rFonts w:eastAsia="Times New Roman" w:cs="Times New Roman"/>
                <w:szCs w:val="24"/>
                <w:lang w:bidi="hi-IN"/>
              </w:rPr>
            </w:pPr>
            <w:r w:rsidRPr="00C6141B">
              <w:rPr>
                <w:rFonts w:eastAsia="Times New Roman" w:cs="Times New Roman"/>
                <w:szCs w:val="24"/>
                <w:lang w:bidi="hi-IN"/>
              </w:rPr>
              <w:t xml:space="preserve">      1,350.00 </w:t>
            </w:r>
          </w:p>
        </w:tc>
        <w:tc>
          <w:tcPr>
            <w:tcW w:w="3004" w:type="dxa"/>
            <w:tcBorders>
              <w:top w:val="nil"/>
              <w:left w:val="nil"/>
              <w:bottom w:val="single" w:sz="4" w:space="0" w:color="auto"/>
              <w:right w:val="single" w:sz="4" w:space="0" w:color="auto"/>
            </w:tcBorders>
            <w:shd w:val="clear" w:color="000000" w:fill="E5E0EC"/>
            <w:noWrap/>
            <w:hideMark/>
          </w:tcPr>
          <w:p w14:paraId="530AFF0B" w14:textId="77777777" w:rsidR="009A078E" w:rsidRPr="00C6141B" w:rsidRDefault="009A078E" w:rsidP="005857F6">
            <w:pPr>
              <w:spacing w:after="0" w:line="240" w:lineRule="auto"/>
              <w:rPr>
                <w:rFonts w:eastAsia="Times New Roman" w:cs="Times New Roman"/>
                <w:b/>
                <w:bCs/>
                <w:szCs w:val="24"/>
                <w:lang w:bidi="hi-IN"/>
              </w:rPr>
            </w:pPr>
            <w:r w:rsidRPr="00C6141B">
              <w:rPr>
                <w:rFonts w:eastAsia="Times New Roman" w:cs="Times New Roman"/>
                <w:b/>
                <w:bCs/>
                <w:szCs w:val="24"/>
                <w:lang w:bidi="hi-IN"/>
              </w:rPr>
              <w:t xml:space="preserve">                      250.00 </w:t>
            </w:r>
          </w:p>
        </w:tc>
      </w:tr>
      <w:tr w:rsidR="009A078E" w:rsidRPr="00C6141B" w14:paraId="0ED60DE5" w14:textId="77777777" w:rsidTr="005857F6">
        <w:trPr>
          <w:trHeight w:val="315"/>
          <w:jc w:val="center"/>
        </w:trPr>
        <w:tc>
          <w:tcPr>
            <w:tcW w:w="837" w:type="dxa"/>
            <w:tcBorders>
              <w:top w:val="nil"/>
              <w:left w:val="single" w:sz="4" w:space="0" w:color="auto"/>
              <w:bottom w:val="single" w:sz="4" w:space="0" w:color="auto"/>
              <w:right w:val="single" w:sz="4" w:space="0" w:color="auto"/>
            </w:tcBorders>
            <w:shd w:val="clear" w:color="000000" w:fill="E5E0EC"/>
            <w:noWrap/>
            <w:hideMark/>
          </w:tcPr>
          <w:p w14:paraId="2C18BBEC" w14:textId="77777777" w:rsidR="009A078E" w:rsidRPr="00C6141B" w:rsidRDefault="009A078E" w:rsidP="005857F6">
            <w:pPr>
              <w:spacing w:after="0" w:line="240" w:lineRule="auto"/>
              <w:jc w:val="center"/>
              <w:rPr>
                <w:rFonts w:eastAsia="Times New Roman" w:cs="Times New Roman"/>
                <w:szCs w:val="24"/>
                <w:lang w:bidi="hi-IN"/>
              </w:rPr>
            </w:pPr>
            <w:r w:rsidRPr="00C6141B">
              <w:rPr>
                <w:rFonts w:eastAsia="Times New Roman" w:cs="Times New Roman"/>
                <w:szCs w:val="24"/>
                <w:lang w:bidi="hi-IN"/>
              </w:rPr>
              <w:t>2</w:t>
            </w:r>
          </w:p>
        </w:tc>
        <w:tc>
          <w:tcPr>
            <w:tcW w:w="1615" w:type="dxa"/>
            <w:tcBorders>
              <w:top w:val="nil"/>
              <w:left w:val="nil"/>
              <w:bottom w:val="single" w:sz="4" w:space="0" w:color="auto"/>
              <w:right w:val="single" w:sz="4" w:space="0" w:color="auto"/>
            </w:tcBorders>
            <w:shd w:val="clear" w:color="000000" w:fill="E5E0EC"/>
            <w:noWrap/>
            <w:hideMark/>
          </w:tcPr>
          <w:p w14:paraId="4BEE0694" w14:textId="77777777" w:rsidR="009A078E" w:rsidRPr="00C6141B" w:rsidRDefault="009A078E" w:rsidP="005857F6">
            <w:pPr>
              <w:spacing w:after="0" w:line="240" w:lineRule="auto"/>
              <w:rPr>
                <w:rFonts w:eastAsia="Times New Roman" w:cs="Times New Roman"/>
                <w:szCs w:val="24"/>
                <w:lang w:bidi="hi-IN"/>
              </w:rPr>
            </w:pPr>
            <w:r w:rsidRPr="00C6141B">
              <w:rPr>
                <w:rFonts w:eastAsia="Times New Roman" w:cs="Times New Roman"/>
                <w:szCs w:val="24"/>
                <w:lang w:bidi="hi-IN"/>
              </w:rPr>
              <w:t> </w:t>
            </w:r>
          </w:p>
        </w:tc>
        <w:tc>
          <w:tcPr>
            <w:tcW w:w="1784" w:type="dxa"/>
            <w:tcBorders>
              <w:top w:val="nil"/>
              <w:left w:val="nil"/>
              <w:bottom w:val="single" w:sz="4" w:space="0" w:color="auto"/>
              <w:right w:val="single" w:sz="4" w:space="0" w:color="auto"/>
            </w:tcBorders>
            <w:shd w:val="clear" w:color="000000" w:fill="E5E0EC"/>
            <w:noWrap/>
            <w:hideMark/>
          </w:tcPr>
          <w:p w14:paraId="057F3E4D" w14:textId="77777777" w:rsidR="009A078E" w:rsidRPr="00C6141B" w:rsidRDefault="009A078E" w:rsidP="005857F6">
            <w:pPr>
              <w:spacing w:after="0" w:line="240" w:lineRule="auto"/>
              <w:rPr>
                <w:rFonts w:eastAsia="Times New Roman" w:cs="Times New Roman"/>
                <w:szCs w:val="24"/>
                <w:lang w:bidi="hi-IN"/>
              </w:rPr>
            </w:pPr>
            <w:r w:rsidRPr="00C6141B">
              <w:rPr>
                <w:rFonts w:eastAsia="Times New Roman" w:cs="Times New Roman"/>
                <w:szCs w:val="24"/>
                <w:lang w:bidi="hi-IN"/>
              </w:rPr>
              <w:t xml:space="preserve">         900.00 </w:t>
            </w:r>
          </w:p>
        </w:tc>
        <w:tc>
          <w:tcPr>
            <w:tcW w:w="3004" w:type="dxa"/>
            <w:tcBorders>
              <w:top w:val="nil"/>
              <w:left w:val="nil"/>
              <w:bottom w:val="single" w:sz="4" w:space="0" w:color="auto"/>
              <w:right w:val="single" w:sz="4" w:space="0" w:color="auto"/>
            </w:tcBorders>
            <w:shd w:val="clear" w:color="000000" w:fill="E5E0EC"/>
            <w:noWrap/>
            <w:hideMark/>
          </w:tcPr>
          <w:p w14:paraId="7D85BDFA" w14:textId="77777777" w:rsidR="009A078E" w:rsidRPr="00C6141B" w:rsidRDefault="009A078E" w:rsidP="005857F6">
            <w:pPr>
              <w:spacing w:after="0" w:line="240" w:lineRule="auto"/>
              <w:rPr>
                <w:rFonts w:eastAsia="Times New Roman" w:cs="Times New Roman"/>
                <w:szCs w:val="24"/>
                <w:lang w:bidi="hi-IN"/>
              </w:rPr>
            </w:pPr>
            <w:r w:rsidRPr="00C6141B">
              <w:rPr>
                <w:rFonts w:eastAsia="Times New Roman" w:cs="Times New Roman"/>
                <w:szCs w:val="24"/>
                <w:lang w:bidi="hi-IN"/>
              </w:rPr>
              <w:t> </w:t>
            </w:r>
          </w:p>
        </w:tc>
      </w:tr>
      <w:tr w:rsidR="009A078E" w:rsidRPr="00C6141B" w14:paraId="39259A92" w14:textId="77777777" w:rsidTr="005857F6">
        <w:trPr>
          <w:trHeight w:val="315"/>
          <w:jc w:val="center"/>
        </w:trPr>
        <w:tc>
          <w:tcPr>
            <w:tcW w:w="837" w:type="dxa"/>
            <w:tcBorders>
              <w:top w:val="nil"/>
              <w:left w:val="single" w:sz="4" w:space="0" w:color="auto"/>
              <w:bottom w:val="single" w:sz="4" w:space="0" w:color="auto"/>
              <w:right w:val="single" w:sz="4" w:space="0" w:color="auto"/>
            </w:tcBorders>
            <w:shd w:val="clear" w:color="000000" w:fill="E5E0EC"/>
            <w:noWrap/>
            <w:hideMark/>
          </w:tcPr>
          <w:p w14:paraId="44DFB739" w14:textId="77777777" w:rsidR="009A078E" w:rsidRPr="00C6141B" w:rsidRDefault="009A078E" w:rsidP="005857F6">
            <w:pPr>
              <w:spacing w:after="0" w:line="240" w:lineRule="auto"/>
              <w:jc w:val="center"/>
              <w:rPr>
                <w:rFonts w:eastAsia="Times New Roman" w:cs="Times New Roman"/>
                <w:szCs w:val="24"/>
                <w:lang w:bidi="hi-IN"/>
              </w:rPr>
            </w:pPr>
            <w:r w:rsidRPr="00C6141B">
              <w:rPr>
                <w:rFonts w:eastAsia="Times New Roman" w:cs="Times New Roman"/>
                <w:szCs w:val="24"/>
                <w:lang w:bidi="hi-IN"/>
              </w:rPr>
              <w:t>3</w:t>
            </w:r>
          </w:p>
        </w:tc>
        <w:tc>
          <w:tcPr>
            <w:tcW w:w="1615" w:type="dxa"/>
            <w:tcBorders>
              <w:top w:val="nil"/>
              <w:left w:val="nil"/>
              <w:bottom w:val="single" w:sz="4" w:space="0" w:color="auto"/>
              <w:right w:val="single" w:sz="4" w:space="0" w:color="auto"/>
            </w:tcBorders>
            <w:shd w:val="clear" w:color="000000" w:fill="E5E0EC"/>
            <w:noWrap/>
            <w:hideMark/>
          </w:tcPr>
          <w:p w14:paraId="5584E5EA" w14:textId="77777777" w:rsidR="009A078E" w:rsidRPr="00C6141B" w:rsidRDefault="009A078E" w:rsidP="005857F6">
            <w:pPr>
              <w:spacing w:after="0" w:line="240" w:lineRule="auto"/>
              <w:rPr>
                <w:rFonts w:eastAsia="Times New Roman" w:cs="Times New Roman"/>
                <w:szCs w:val="24"/>
                <w:lang w:bidi="hi-IN"/>
              </w:rPr>
            </w:pPr>
            <w:r w:rsidRPr="00C6141B">
              <w:rPr>
                <w:rFonts w:eastAsia="Times New Roman" w:cs="Times New Roman"/>
                <w:szCs w:val="24"/>
                <w:lang w:bidi="hi-IN"/>
              </w:rPr>
              <w:t> </w:t>
            </w:r>
          </w:p>
        </w:tc>
        <w:tc>
          <w:tcPr>
            <w:tcW w:w="1784" w:type="dxa"/>
            <w:tcBorders>
              <w:top w:val="nil"/>
              <w:left w:val="nil"/>
              <w:bottom w:val="single" w:sz="4" w:space="0" w:color="auto"/>
              <w:right w:val="single" w:sz="4" w:space="0" w:color="auto"/>
            </w:tcBorders>
            <w:shd w:val="clear" w:color="000000" w:fill="E5E0EC"/>
            <w:noWrap/>
            <w:hideMark/>
          </w:tcPr>
          <w:p w14:paraId="66752489" w14:textId="77777777" w:rsidR="009A078E" w:rsidRPr="00C6141B" w:rsidRDefault="009A078E" w:rsidP="005857F6">
            <w:pPr>
              <w:spacing w:after="0" w:line="240" w:lineRule="auto"/>
              <w:rPr>
                <w:rFonts w:eastAsia="Times New Roman" w:cs="Times New Roman"/>
                <w:szCs w:val="24"/>
                <w:lang w:bidi="hi-IN"/>
              </w:rPr>
            </w:pPr>
            <w:r w:rsidRPr="00C6141B">
              <w:rPr>
                <w:rFonts w:eastAsia="Times New Roman" w:cs="Times New Roman"/>
                <w:szCs w:val="24"/>
                <w:lang w:bidi="hi-IN"/>
              </w:rPr>
              <w:t xml:space="preserve">         900.00 </w:t>
            </w:r>
          </w:p>
        </w:tc>
        <w:tc>
          <w:tcPr>
            <w:tcW w:w="3004" w:type="dxa"/>
            <w:tcBorders>
              <w:top w:val="nil"/>
              <w:left w:val="nil"/>
              <w:bottom w:val="single" w:sz="4" w:space="0" w:color="auto"/>
              <w:right w:val="single" w:sz="4" w:space="0" w:color="auto"/>
            </w:tcBorders>
            <w:shd w:val="clear" w:color="000000" w:fill="E5E0EC"/>
            <w:noWrap/>
            <w:hideMark/>
          </w:tcPr>
          <w:p w14:paraId="37079681" w14:textId="77777777" w:rsidR="009A078E" w:rsidRPr="00C6141B" w:rsidRDefault="009A078E" w:rsidP="005857F6">
            <w:pPr>
              <w:spacing w:after="0" w:line="240" w:lineRule="auto"/>
              <w:rPr>
                <w:rFonts w:eastAsia="Times New Roman" w:cs="Times New Roman"/>
                <w:szCs w:val="24"/>
                <w:lang w:bidi="hi-IN"/>
              </w:rPr>
            </w:pPr>
            <w:r w:rsidRPr="00C6141B">
              <w:rPr>
                <w:rFonts w:eastAsia="Times New Roman" w:cs="Times New Roman"/>
                <w:szCs w:val="24"/>
                <w:lang w:bidi="hi-IN"/>
              </w:rPr>
              <w:t> </w:t>
            </w:r>
          </w:p>
        </w:tc>
      </w:tr>
      <w:tr w:rsidR="009A078E" w:rsidRPr="00C6141B" w14:paraId="0404322E" w14:textId="77777777" w:rsidTr="005857F6">
        <w:trPr>
          <w:trHeight w:val="315"/>
          <w:jc w:val="center"/>
        </w:trPr>
        <w:tc>
          <w:tcPr>
            <w:tcW w:w="837" w:type="dxa"/>
            <w:tcBorders>
              <w:top w:val="nil"/>
              <w:left w:val="single" w:sz="4" w:space="0" w:color="auto"/>
              <w:bottom w:val="single" w:sz="4" w:space="0" w:color="auto"/>
              <w:right w:val="single" w:sz="4" w:space="0" w:color="auto"/>
            </w:tcBorders>
            <w:shd w:val="clear" w:color="000000" w:fill="E5E0EC"/>
            <w:noWrap/>
            <w:hideMark/>
          </w:tcPr>
          <w:p w14:paraId="72A7A65B" w14:textId="77777777" w:rsidR="009A078E" w:rsidRPr="00C6141B" w:rsidRDefault="009A078E" w:rsidP="005857F6">
            <w:pPr>
              <w:spacing w:after="0" w:line="240" w:lineRule="auto"/>
              <w:jc w:val="center"/>
              <w:rPr>
                <w:rFonts w:eastAsia="Times New Roman" w:cs="Times New Roman"/>
                <w:szCs w:val="24"/>
                <w:lang w:bidi="hi-IN"/>
              </w:rPr>
            </w:pPr>
            <w:r w:rsidRPr="00C6141B">
              <w:rPr>
                <w:rFonts w:eastAsia="Times New Roman" w:cs="Times New Roman"/>
                <w:szCs w:val="24"/>
                <w:lang w:bidi="hi-IN"/>
              </w:rPr>
              <w:t>4</w:t>
            </w:r>
          </w:p>
        </w:tc>
        <w:tc>
          <w:tcPr>
            <w:tcW w:w="1615" w:type="dxa"/>
            <w:tcBorders>
              <w:top w:val="nil"/>
              <w:left w:val="nil"/>
              <w:bottom w:val="single" w:sz="4" w:space="0" w:color="auto"/>
              <w:right w:val="single" w:sz="4" w:space="0" w:color="auto"/>
            </w:tcBorders>
            <w:shd w:val="clear" w:color="000000" w:fill="E5E0EC"/>
            <w:noWrap/>
            <w:hideMark/>
          </w:tcPr>
          <w:p w14:paraId="24A5F0AA" w14:textId="77777777" w:rsidR="009A078E" w:rsidRPr="00C6141B" w:rsidRDefault="009A078E" w:rsidP="005857F6">
            <w:pPr>
              <w:spacing w:after="0" w:line="240" w:lineRule="auto"/>
              <w:rPr>
                <w:rFonts w:eastAsia="Times New Roman" w:cs="Times New Roman"/>
                <w:szCs w:val="24"/>
                <w:lang w:bidi="hi-IN"/>
              </w:rPr>
            </w:pPr>
            <w:r w:rsidRPr="00C6141B">
              <w:rPr>
                <w:rFonts w:eastAsia="Times New Roman" w:cs="Times New Roman"/>
                <w:szCs w:val="24"/>
                <w:lang w:bidi="hi-IN"/>
              </w:rPr>
              <w:t> </w:t>
            </w:r>
          </w:p>
        </w:tc>
        <w:tc>
          <w:tcPr>
            <w:tcW w:w="1784" w:type="dxa"/>
            <w:tcBorders>
              <w:top w:val="nil"/>
              <w:left w:val="nil"/>
              <w:bottom w:val="single" w:sz="4" w:space="0" w:color="auto"/>
              <w:right w:val="single" w:sz="4" w:space="0" w:color="auto"/>
            </w:tcBorders>
            <w:shd w:val="clear" w:color="000000" w:fill="E5E0EC"/>
            <w:noWrap/>
            <w:hideMark/>
          </w:tcPr>
          <w:p w14:paraId="0D0E6A20" w14:textId="77777777" w:rsidR="009A078E" w:rsidRPr="00C6141B" w:rsidRDefault="009A078E" w:rsidP="005857F6">
            <w:pPr>
              <w:spacing w:after="0" w:line="240" w:lineRule="auto"/>
              <w:rPr>
                <w:rFonts w:eastAsia="Times New Roman" w:cs="Times New Roman"/>
                <w:szCs w:val="24"/>
                <w:lang w:bidi="hi-IN"/>
              </w:rPr>
            </w:pPr>
            <w:r w:rsidRPr="00C6141B">
              <w:rPr>
                <w:rFonts w:eastAsia="Times New Roman" w:cs="Times New Roman"/>
                <w:szCs w:val="24"/>
                <w:lang w:bidi="hi-IN"/>
              </w:rPr>
              <w:t xml:space="preserve">       (423.00)</w:t>
            </w:r>
          </w:p>
        </w:tc>
        <w:tc>
          <w:tcPr>
            <w:tcW w:w="3004" w:type="dxa"/>
            <w:tcBorders>
              <w:top w:val="nil"/>
              <w:left w:val="nil"/>
              <w:bottom w:val="single" w:sz="4" w:space="0" w:color="auto"/>
              <w:right w:val="single" w:sz="4" w:space="0" w:color="auto"/>
            </w:tcBorders>
            <w:shd w:val="clear" w:color="000000" w:fill="E5E0EC"/>
            <w:noWrap/>
            <w:hideMark/>
          </w:tcPr>
          <w:p w14:paraId="7D0A0239" w14:textId="77777777" w:rsidR="009A078E" w:rsidRPr="00C6141B" w:rsidRDefault="009A078E" w:rsidP="005857F6">
            <w:pPr>
              <w:spacing w:after="0" w:line="240" w:lineRule="auto"/>
              <w:rPr>
                <w:rFonts w:eastAsia="Times New Roman" w:cs="Times New Roman"/>
                <w:szCs w:val="24"/>
                <w:lang w:bidi="hi-IN"/>
              </w:rPr>
            </w:pPr>
            <w:r w:rsidRPr="00C6141B">
              <w:rPr>
                <w:rFonts w:eastAsia="Times New Roman" w:cs="Times New Roman"/>
                <w:szCs w:val="24"/>
                <w:lang w:bidi="hi-IN"/>
              </w:rPr>
              <w:t> </w:t>
            </w:r>
          </w:p>
        </w:tc>
      </w:tr>
      <w:tr w:rsidR="009A078E" w:rsidRPr="00C6141B" w14:paraId="0A0C5D79" w14:textId="77777777" w:rsidTr="005857F6">
        <w:trPr>
          <w:trHeight w:val="315"/>
          <w:jc w:val="center"/>
        </w:trPr>
        <w:tc>
          <w:tcPr>
            <w:tcW w:w="837" w:type="dxa"/>
            <w:tcBorders>
              <w:top w:val="nil"/>
              <w:left w:val="single" w:sz="4" w:space="0" w:color="auto"/>
              <w:bottom w:val="single" w:sz="4" w:space="0" w:color="auto"/>
              <w:right w:val="single" w:sz="4" w:space="0" w:color="auto"/>
            </w:tcBorders>
            <w:shd w:val="clear" w:color="auto" w:fill="auto"/>
            <w:noWrap/>
            <w:hideMark/>
          </w:tcPr>
          <w:p w14:paraId="3005D0B9" w14:textId="77777777" w:rsidR="009A078E" w:rsidRPr="00C6141B" w:rsidRDefault="009A078E" w:rsidP="005857F6">
            <w:pPr>
              <w:spacing w:after="0" w:line="240" w:lineRule="auto"/>
              <w:rPr>
                <w:rFonts w:eastAsia="Times New Roman" w:cs="Times New Roman"/>
                <w:szCs w:val="24"/>
                <w:lang w:bidi="hi-IN"/>
              </w:rPr>
            </w:pPr>
            <w:r w:rsidRPr="00C6141B">
              <w:rPr>
                <w:rFonts w:eastAsia="Times New Roman" w:cs="Times New Roman"/>
                <w:szCs w:val="24"/>
                <w:lang w:bidi="hi-IN"/>
              </w:rPr>
              <w:t> </w:t>
            </w:r>
          </w:p>
        </w:tc>
        <w:tc>
          <w:tcPr>
            <w:tcW w:w="1615" w:type="dxa"/>
            <w:tcBorders>
              <w:top w:val="nil"/>
              <w:left w:val="nil"/>
              <w:bottom w:val="single" w:sz="4" w:space="0" w:color="auto"/>
              <w:right w:val="single" w:sz="4" w:space="0" w:color="auto"/>
            </w:tcBorders>
            <w:shd w:val="clear" w:color="auto" w:fill="auto"/>
            <w:noWrap/>
            <w:hideMark/>
          </w:tcPr>
          <w:p w14:paraId="6A252405" w14:textId="77777777" w:rsidR="009A078E" w:rsidRPr="00C6141B" w:rsidRDefault="009A078E" w:rsidP="005857F6">
            <w:pPr>
              <w:spacing w:after="0" w:line="240" w:lineRule="auto"/>
              <w:rPr>
                <w:rFonts w:eastAsia="Times New Roman" w:cs="Times New Roman"/>
                <w:szCs w:val="24"/>
                <w:lang w:bidi="hi-IN"/>
              </w:rPr>
            </w:pPr>
            <w:r w:rsidRPr="00C6141B">
              <w:rPr>
                <w:rFonts w:eastAsia="Times New Roman" w:cs="Times New Roman"/>
                <w:szCs w:val="24"/>
                <w:lang w:bidi="hi-IN"/>
              </w:rPr>
              <w:t> </w:t>
            </w:r>
          </w:p>
        </w:tc>
        <w:tc>
          <w:tcPr>
            <w:tcW w:w="1784" w:type="dxa"/>
            <w:tcBorders>
              <w:top w:val="nil"/>
              <w:left w:val="nil"/>
              <w:bottom w:val="single" w:sz="4" w:space="0" w:color="auto"/>
              <w:right w:val="single" w:sz="4" w:space="0" w:color="auto"/>
            </w:tcBorders>
            <w:shd w:val="clear" w:color="auto" w:fill="auto"/>
            <w:noWrap/>
            <w:hideMark/>
          </w:tcPr>
          <w:p w14:paraId="2DE3B35A" w14:textId="77777777" w:rsidR="009A078E" w:rsidRPr="00C6141B" w:rsidRDefault="009A078E" w:rsidP="005857F6">
            <w:pPr>
              <w:spacing w:after="0" w:line="240" w:lineRule="auto"/>
              <w:rPr>
                <w:rFonts w:eastAsia="Times New Roman" w:cs="Times New Roman"/>
                <w:szCs w:val="24"/>
                <w:lang w:bidi="hi-IN"/>
              </w:rPr>
            </w:pPr>
            <w:r w:rsidRPr="00C6141B">
              <w:rPr>
                <w:rFonts w:eastAsia="Times New Roman" w:cs="Times New Roman"/>
                <w:szCs w:val="24"/>
                <w:lang w:bidi="hi-IN"/>
              </w:rPr>
              <w:t xml:space="preserve"> PBP </w:t>
            </w:r>
          </w:p>
        </w:tc>
        <w:tc>
          <w:tcPr>
            <w:tcW w:w="3004" w:type="dxa"/>
            <w:tcBorders>
              <w:top w:val="nil"/>
              <w:left w:val="nil"/>
              <w:bottom w:val="single" w:sz="4" w:space="0" w:color="auto"/>
              <w:right w:val="single" w:sz="4" w:space="0" w:color="auto"/>
            </w:tcBorders>
            <w:shd w:val="clear" w:color="auto" w:fill="auto"/>
            <w:noWrap/>
            <w:hideMark/>
          </w:tcPr>
          <w:p w14:paraId="13644DE1" w14:textId="77777777" w:rsidR="009A078E" w:rsidRPr="00C6141B" w:rsidRDefault="009A078E" w:rsidP="005857F6">
            <w:pPr>
              <w:spacing w:after="0" w:line="240" w:lineRule="auto"/>
              <w:rPr>
                <w:rFonts w:eastAsia="Times New Roman" w:cs="Times New Roman"/>
                <w:szCs w:val="24"/>
                <w:lang w:bidi="hi-IN"/>
              </w:rPr>
            </w:pPr>
            <w:r w:rsidRPr="00C6141B">
              <w:rPr>
                <w:rFonts w:eastAsia="Times New Roman" w:cs="Times New Roman"/>
                <w:szCs w:val="24"/>
                <w:lang w:bidi="hi-IN"/>
              </w:rPr>
              <w:t xml:space="preserve">                         (0.81)</w:t>
            </w:r>
          </w:p>
        </w:tc>
      </w:tr>
    </w:tbl>
    <w:p w14:paraId="176AAF4B" w14:textId="77777777" w:rsidR="009A078E" w:rsidRPr="00C6141B" w:rsidRDefault="009A078E" w:rsidP="009A078E">
      <w:pPr>
        <w:rPr>
          <w:rFonts w:cs="Times New Roman"/>
          <w:szCs w:val="24"/>
        </w:rPr>
      </w:pPr>
    </w:p>
    <w:p w14:paraId="72D39CE5" w14:textId="4413C705" w:rsidR="009A078E" w:rsidRPr="00C6141B" w:rsidRDefault="009A078E" w:rsidP="009A078E">
      <w:pPr>
        <w:rPr>
          <w:rFonts w:cs="Times New Roman"/>
          <w:szCs w:val="24"/>
        </w:rPr>
      </w:pPr>
      <w:r w:rsidRPr="00C6141B">
        <w:rPr>
          <w:rFonts w:cs="Times New Roman"/>
          <w:szCs w:val="24"/>
        </w:rPr>
        <w:t>As computed in table above, it is evident despite increase in initial investment and decrease in cash inflows by 10%, project B is generating higher inflows in the first year than the investment. As a result, PBP for this project becomes 0.81 years</w:t>
      </w:r>
      <w:r w:rsidR="003B56F9" w:rsidRPr="00C6141B">
        <w:rPr>
          <w:rFonts w:cs="Times New Roman"/>
          <w:szCs w:val="24"/>
        </w:rPr>
        <w:t xml:space="preserve"> which shows its ability to </w:t>
      </w:r>
      <w:r w:rsidR="003B56F9" w:rsidRPr="00C6141B">
        <w:rPr>
          <w:rFonts w:cs="Times New Roman"/>
          <w:szCs w:val="24"/>
        </w:rPr>
        <w:lastRenderedPageBreak/>
        <w:t>make profit which makes it suitable for the company as the company can recover its fund within 0.81 year</w:t>
      </w:r>
      <w:r w:rsidRPr="00C6141B">
        <w:rPr>
          <w:rFonts w:cs="Times New Roman"/>
          <w:szCs w:val="24"/>
        </w:rPr>
        <w:t xml:space="preserve">. </w:t>
      </w:r>
    </w:p>
    <w:p w14:paraId="3B36F66D" w14:textId="77777777" w:rsidR="009A078E" w:rsidRPr="00C6141B" w:rsidRDefault="009A078E" w:rsidP="009A078E">
      <w:pPr>
        <w:rPr>
          <w:rFonts w:cs="Times New Roman"/>
          <w:b/>
          <w:bCs/>
          <w:szCs w:val="24"/>
        </w:rPr>
      </w:pPr>
      <w:r w:rsidRPr="00C6141B">
        <w:rPr>
          <w:rFonts w:cs="Times New Roman"/>
          <w:b/>
          <w:bCs/>
          <w:szCs w:val="24"/>
        </w:rPr>
        <w:t xml:space="preserve">Final investment decision </w:t>
      </w:r>
    </w:p>
    <w:p w14:paraId="4698898A" w14:textId="77777777" w:rsidR="009A078E" w:rsidRPr="00C6141B" w:rsidRDefault="009A078E" w:rsidP="009A078E">
      <w:pPr>
        <w:rPr>
          <w:rFonts w:cs="Times New Roman"/>
          <w:szCs w:val="24"/>
        </w:rPr>
      </w:pPr>
      <w:r w:rsidRPr="00C6141B">
        <w:rPr>
          <w:rFonts w:cs="Times New Roman"/>
          <w:szCs w:val="24"/>
        </w:rPr>
        <w:t xml:space="preserve">Comparing both NPV and PBP for project A and B considering the case of 10% increase in investment and 10% decrease in cash inflows, it can be seen that project B is better option with positive NPN and PBP of under 1 year. </w:t>
      </w:r>
    </w:p>
    <w:p w14:paraId="64E15A15" w14:textId="77777777" w:rsidR="009A078E" w:rsidRPr="00C6141B" w:rsidRDefault="00523CD6" w:rsidP="00523CD6">
      <w:pPr>
        <w:pStyle w:val="Heading2"/>
        <w:rPr>
          <w:rFonts w:cs="Times New Roman"/>
        </w:rPr>
      </w:pPr>
      <w:bookmarkStart w:id="26" w:name="_Toc175148052"/>
      <w:r w:rsidRPr="00C6141B">
        <w:rPr>
          <w:rFonts w:cs="Times New Roman"/>
        </w:rPr>
        <w:t xml:space="preserve">3.3. </w:t>
      </w:r>
      <w:r w:rsidR="009A078E" w:rsidRPr="00C6141B">
        <w:rPr>
          <w:rFonts w:cs="Times New Roman"/>
        </w:rPr>
        <w:t>Advantages and shortcomings of the PBP, ARR and NPV technique</w:t>
      </w:r>
      <w:bookmarkEnd w:id="26"/>
    </w:p>
    <w:p w14:paraId="0D77343F" w14:textId="77777777" w:rsidR="009A078E" w:rsidRPr="00C6141B" w:rsidRDefault="009A078E" w:rsidP="009A078E">
      <w:pPr>
        <w:rPr>
          <w:rFonts w:cs="Times New Roman"/>
          <w:b/>
          <w:bCs/>
        </w:rPr>
      </w:pPr>
      <w:r w:rsidRPr="00C6141B">
        <w:rPr>
          <w:rFonts w:cs="Times New Roman"/>
          <w:b/>
          <w:bCs/>
        </w:rPr>
        <w:t>PBP</w:t>
      </w:r>
    </w:p>
    <w:p w14:paraId="4A83667B" w14:textId="3BB80875" w:rsidR="001D72A6" w:rsidRPr="00C6141B" w:rsidRDefault="003753FF" w:rsidP="001D72A6">
      <w:pPr>
        <w:rPr>
          <w:rFonts w:eastAsia="Times New Roman" w:cs="Times New Roman"/>
          <w:szCs w:val="24"/>
          <w:lang w:val="en-US" w:bidi="hi-IN"/>
        </w:rPr>
      </w:pPr>
      <w:r w:rsidRPr="00C6141B">
        <w:rPr>
          <w:rFonts w:cs="Times New Roman"/>
        </w:rPr>
        <w:t>Simplicity in computation is one of the biggest advantage</w:t>
      </w:r>
      <w:r w:rsidR="00C1158B" w:rsidRPr="00C6141B">
        <w:rPr>
          <w:rFonts w:cs="Times New Roman"/>
        </w:rPr>
        <w:t>s</w:t>
      </w:r>
      <w:r w:rsidRPr="00C6141B">
        <w:rPr>
          <w:rFonts w:cs="Times New Roman"/>
        </w:rPr>
        <w:t xml:space="preserve"> of PBP as it does not include time value of money and thus, can be computed </w:t>
      </w:r>
      <w:r w:rsidR="003F6B10" w:rsidRPr="00C6141B">
        <w:rPr>
          <w:rFonts w:cs="Times New Roman"/>
        </w:rPr>
        <w:t xml:space="preserve">calculating cumulative cashflow. This approach makes it easy to understand and use. </w:t>
      </w:r>
      <w:r w:rsidR="003F6B10" w:rsidRPr="00C6141B">
        <w:rPr>
          <w:rFonts w:eastAsia="Times New Roman" w:cs="Times New Roman"/>
          <w:szCs w:val="24"/>
          <w:lang w:val="en-US" w:bidi="hi-IN"/>
        </w:rPr>
        <w:t>In addition, it is easy to understand liquidity of the investment</w:t>
      </w:r>
      <w:r w:rsidR="00C1158B" w:rsidRPr="00C6141B">
        <w:t>.</w:t>
      </w:r>
      <w:r w:rsidR="00C60716" w:rsidRPr="00C6141B">
        <w:t xml:space="preserve"> </w:t>
      </w:r>
      <w:r w:rsidR="00C60716" w:rsidRPr="00C6141B">
        <w:rPr>
          <w:lang w:val="en-US"/>
        </w:rPr>
        <w:t xml:space="preserve">It also shows how long money is at risk before being returned, which allows for a quick assessment of the risk involved with an investment </w:t>
      </w:r>
      <w:r w:rsidR="001D72A6" w:rsidRPr="00C6141B">
        <w:rPr>
          <w:lang w:val="en-US"/>
        </w:rPr>
        <w:t xml:space="preserve">(Zhang, 2021). </w:t>
      </w:r>
      <w:r w:rsidR="001D72A6" w:rsidRPr="00C6141B">
        <w:rPr>
          <w:rFonts w:eastAsia="Times New Roman" w:cs="Times New Roman"/>
          <w:szCs w:val="24"/>
          <w:lang w:val="en-US" w:bidi="hi-IN"/>
        </w:rPr>
        <w:t>The primary disadvantage of the payback period is that it ignores the money's time value. Without being discounted to their present value, all cash flows are handled under the payback period as though they occur at the end of each year. Another disadvantage is the payback period's disregard for any future cash flows. During the payback phase, the project's profitability and return on investment once it breaks even are not considered</w:t>
      </w:r>
      <w:r w:rsidR="00CB27CD" w:rsidRPr="00C6141B">
        <w:rPr>
          <w:rFonts w:eastAsia="Times New Roman" w:cs="Times New Roman"/>
          <w:szCs w:val="24"/>
          <w:lang w:val="en-US" w:bidi="hi-IN"/>
        </w:rPr>
        <w:t xml:space="preserve"> </w:t>
      </w:r>
      <w:r w:rsidR="001D72A6" w:rsidRPr="00C6141B">
        <w:rPr>
          <w:rFonts w:eastAsia="Times New Roman" w:cs="Times New Roman"/>
          <w:szCs w:val="24"/>
          <w:lang w:val="en-US" w:bidi="hi-IN"/>
        </w:rPr>
        <w:t>(</w:t>
      </w:r>
      <w:r w:rsidR="001D72A6" w:rsidRPr="00C6141B">
        <w:rPr>
          <w:rFonts w:cs="Times New Roman"/>
          <w:szCs w:val="24"/>
        </w:rPr>
        <w:t>Miletic and Latinac, 2020</w:t>
      </w:r>
      <w:r w:rsidR="001D72A6" w:rsidRPr="00C6141B">
        <w:rPr>
          <w:rFonts w:eastAsia="Times New Roman" w:cs="Times New Roman"/>
          <w:szCs w:val="24"/>
          <w:lang w:val="en-US" w:bidi="hi-IN"/>
        </w:rPr>
        <w:t xml:space="preserve">). </w:t>
      </w:r>
    </w:p>
    <w:p w14:paraId="1DCF8E8F" w14:textId="77777777" w:rsidR="00BC6700" w:rsidRPr="00C6141B" w:rsidRDefault="00BC6700" w:rsidP="003F6B10">
      <w:pPr>
        <w:rPr>
          <w:rFonts w:eastAsia="Times New Roman" w:cs="Times New Roman"/>
          <w:b/>
          <w:bCs/>
          <w:szCs w:val="24"/>
          <w:lang w:val="en-US" w:bidi="hi-IN"/>
        </w:rPr>
      </w:pPr>
      <w:r w:rsidRPr="00C6141B">
        <w:rPr>
          <w:rFonts w:eastAsia="Times New Roman" w:cs="Times New Roman"/>
          <w:b/>
          <w:bCs/>
          <w:szCs w:val="24"/>
          <w:lang w:val="en-US" w:bidi="hi-IN"/>
        </w:rPr>
        <w:t>ARR</w:t>
      </w:r>
    </w:p>
    <w:p w14:paraId="3E9CD027" w14:textId="7D3EC20E" w:rsidR="00036A91" w:rsidRPr="00C6141B" w:rsidRDefault="001D72A6" w:rsidP="003F6B10">
      <w:pPr>
        <w:rPr>
          <w:lang w:val="en-US"/>
        </w:rPr>
      </w:pPr>
      <w:r w:rsidRPr="00C6141B">
        <w:rPr>
          <w:rFonts w:eastAsia="Times New Roman" w:cs="Times New Roman"/>
          <w:szCs w:val="24"/>
          <w:lang w:val="en-US" w:bidi="hi-IN"/>
        </w:rPr>
        <w:t xml:space="preserve">ARR analysis is one of the easiest ways to evaluate an investment. It does not necessitate complex and substantial computations. Unlike NPV and IRR processes, ARR does not need cash flow accounting. Throughout the project's duration, the ARR strategy covers the whole revenue stream and profitability. It provides an extensive understanding of the profitability of an investment project as a consequence </w:t>
      </w:r>
      <w:r w:rsidR="00C1158B" w:rsidRPr="00C6141B">
        <w:rPr>
          <w:rFonts w:eastAsia="Times New Roman" w:cs="Times New Roman"/>
          <w:szCs w:val="24"/>
          <w:lang w:val="en-US" w:bidi="hi-IN"/>
        </w:rPr>
        <w:t>(</w:t>
      </w:r>
      <w:r w:rsidR="00C1158B" w:rsidRPr="00C6141B">
        <w:t>Keršytė, 2011</w:t>
      </w:r>
      <w:r w:rsidR="00C1158B" w:rsidRPr="00C6141B">
        <w:rPr>
          <w:rFonts w:cs="Times New Roman"/>
          <w:sz w:val="20"/>
          <w:szCs w:val="20"/>
          <w:shd w:val="clear" w:color="auto" w:fill="FFFFFF"/>
        </w:rPr>
        <w:t xml:space="preserve">). </w:t>
      </w:r>
      <w:r w:rsidR="00CB27CD" w:rsidRPr="00C6141B">
        <w:rPr>
          <w:lang w:val="en-US"/>
        </w:rPr>
        <w:t>ARR considers only profitability when evaluating investments; it does not consider capital flows. The ARR technique completely ignores the time value of money, which states that a sum of money now is worth more than the same amount in the future. Most companies that employ ARR as an evaluation technique use a non-deterministic cutoff point to set project boundaries (</w:t>
      </w:r>
      <w:r w:rsidR="00CB27CD" w:rsidRPr="00C6141B">
        <w:rPr>
          <w:rFonts w:cs="Times New Roman"/>
          <w:szCs w:val="24"/>
        </w:rPr>
        <w:t>Cribben and Zeinali, 2023</w:t>
      </w:r>
      <w:r w:rsidR="00CB27CD" w:rsidRPr="00C6141B">
        <w:rPr>
          <w:lang w:val="en-US"/>
        </w:rPr>
        <w:t>).</w:t>
      </w:r>
    </w:p>
    <w:p w14:paraId="20EA3798" w14:textId="77777777" w:rsidR="00745A30" w:rsidRPr="00C6141B" w:rsidRDefault="00745A30" w:rsidP="003F6B10">
      <w:pPr>
        <w:rPr>
          <w:rFonts w:eastAsia="Times New Roman" w:cs="Times New Roman"/>
          <w:b/>
          <w:bCs/>
          <w:szCs w:val="24"/>
          <w:lang w:val="en-US" w:bidi="hi-IN"/>
        </w:rPr>
      </w:pPr>
      <w:r w:rsidRPr="00C6141B">
        <w:rPr>
          <w:rFonts w:eastAsia="Times New Roman" w:cs="Times New Roman"/>
          <w:b/>
          <w:bCs/>
          <w:szCs w:val="24"/>
          <w:lang w:val="en-US" w:bidi="hi-IN"/>
        </w:rPr>
        <w:t>NPV</w:t>
      </w:r>
    </w:p>
    <w:p w14:paraId="40405E76" w14:textId="79F2EEBC" w:rsidR="00CB27CD" w:rsidRPr="00C6141B" w:rsidRDefault="003B6B77" w:rsidP="003F6B10">
      <w:pPr>
        <w:rPr>
          <w:rFonts w:eastAsia="Times New Roman" w:cs="Times New Roman"/>
          <w:szCs w:val="24"/>
          <w:lang w:val="en-US" w:bidi="hi-IN"/>
        </w:rPr>
      </w:pPr>
      <w:r w:rsidRPr="00C6141B">
        <w:rPr>
          <w:rFonts w:eastAsia="Times New Roman" w:cs="Times New Roman"/>
          <w:szCs w:val="24"/>
          <w:lang w:val="en-US" w:bidi="hi-IN"/>
        </w:rPr>
        <w:lastRenderedPageBreak/>
        <w:t xml:space="preserve">NPV is an important investment appraisal technique to make informed decision as it includes time value of money and thus remain more effective in producing real comparison of cash inflows </w:t>
      </w:r>
      <w:r w:rsidR="00FD7CDA" w:rsidRPr="00C6141B">
        <w:rPr>
          <w:rFonts w:eastAsia="Times New Roman" w:cs="Times New Roman"/>
          <w:szCs w:val="24"/>
          <w:lang w:val="en-US" w:bidi="hi-IN"/>
        </w:rPr>
        <w:t>with investment amount</w:t>
      </w:r>
      <w:r w:rsidR="00CB27CD" w:rsidRPr="00C6141B">
        <w:rPr>
          <w:rFonts w:eastAsia="Times New Roman" w:cs="Times New Roman"/>
          <w:szCs w:val="24"/>
          <w:lang w:val="en-US" w:bidi="hi-IN"/>
        </w:rPr>
        <w:t xml:space="preserve">. It converts all cash flows in present value which becomes easy to compare with initial investment </w:t>
      </w:r>
      <w:r w:rsidR="00C1158B" w:rsidRPr="00C6141B">
        <w:rPr>
          <w:rFonts w:eastAsia="Times New Roman" w:cs="Times New Roman"/>
          <w:szCs w:val="24"/>
          <w:lang w:val="en-US" w:bidi="hi-IN"/>
        </w:rPr>
        <w:t>(</w:t>
      </w:r>
      <w:r w:rsidR="00C1158B" w:rsidRPr="00C6141B">
        <w:rPr>
          <w:rFonts w:cs="Times New Roman"/>
          <w:szCs w:val="24"/>
        </w:rPr>
        <w:t>Michelon et al, 2020)</w:t>
      </w:r>
      <w:r w:rsidR="003A3C86" w:rsidRPr="00C6141B">
        <w:rPr>
          <w:rFonts w:eastAsia="Times New Roman" w:cs="Times New Roman"/>
          <w:szCs w:val="24"/>
          <w:lang w:val="en-US" w:bidi="hi-IN"/>
        </w:rPr>
        <w:t xml:space="preserve">. However, it </w:t>
      </w:r>
      <w:r w:rsidR="00C1158B" w:rsidRPr="00C6141B">
        <w:rPr>
          <w:rFonts w:eastAsia="Times New Roman" w:cs="Times New Roman"/>
          <w:szCs w:val="24"/>
          <w:lang w:val="en-US" w:bidi="hi-IN"/>
        </w:rPr>
        <w:t>becomes</w:t>
      </w:r>
      <w:r w:rsidR="003A3C86" w:rsidRPr="00C6141B">
        <w:rPr>
          <w:rFonts w:eastAsia="Times New Roman" w:cs="Times New Roman"/>
          <w:szCs w:val="24"/>
          <w:lang w:val="en-US" w:bidi="hi-IN"/>
        </w:rPr>
        <w:t xml:space="preserve"> irrelevant when determining feasibility of two or more different sized investment projects. </w:t>
      </w:r>
      <w:r w:rsidR="00CB27CD" w:rsidRPr="00C6141B">
        <w:rPr>
          <w:rFonts w:eastAsia="Times New Roman" w:cs="Times New Roman"/>
          <w:szCs w:val="24"/>
          <w:lang w:val="en-US" w:bidi="hi-IN"/>
        </w:rPr>
        <w:t>Inaccurate forecasts of future cash inflows are necessary for NPV. The discount rate is the most crucial component of the calculation as it greatly affects NPV. The discount rate establishes the present value of future cash flows. NPV does not factor in the unpredictable cost of capital (</w:t>
      </w:r>
      <w:r w:rsidR="00CB27CD" w:rsidRPr="00C6141B">
        <w:t>Andor et al, 2015)</w:t>
      </w:r>
      <w:r w:rsidR="00CB27CD" w:rsidRPr="00C6141B">
        <w:rPr>
          <w:rFonts w:eastAsia="Times New Roman" w:cs="Times New Roman"/>
          <w:szCs w:val="24"/>
          <w:lang w:val="en-US" w:bidi="hi-IN"/>
        </w:rPr>
        <w:t xml:space="preserve">. </w:t>
      </w:r>
    </w:p>
    <w:p w14:paraId="09C05BA5" w14:textId="77777777" w:rsidR="00F847A5" w:rsidRPr="00C6141B" w:rsidRDefault="00F847A5" w:rsidP="00F847A5">
      <w:pPr>
        <w:pStyle w:val="Heading2"/>
        <w:rPr>
          <w:rFonts w:eastAsia="Times New Roman" w:cs="Times New Roman"/>
          <w:lang w:val="en-US" w:bidi="hi-IN"/>
        </w:rPr>
      </w:pPr>
      <w:bookmarkStart w:id="27" w:name="_Toc175148053"/>
      <w:r w:rsidRPr="00C6141B">
        <w:rPr>
          <w:rFonts w:eastAsia="Times New Roman" w:cs="Times New Roman"/>
          <w:lang w:val="en-US" w:bidi="hi-IN"/>
        </w:rPr>
        <w:t>3.4 Non financial factors</w:t>
      </w:r>
      <w:bookmarkEnd w:id="27"/>
      <w:r w:rsidRPr="00C6141B">
        <w:rPr>
          <w:rFonts w:eastAsia="Times New Roman" w:cs="Times New Roman"/>
          <w:lang w:val="en-US" w:bidi="hi-IN"/>
        </w:rPr>
        <w:t xml:space="preserve"> </w:t>
      </w:r>
    </w:p>
    <w:p w14:paraId="031D0D7F" w14:textId="77777777" w:rsidR="00BF6F75" w:rsidRPr="00C6141B" w:rsidRDefault="00BF6F75" w:rsidP="00BF6F75">
      <w:pPr>
        <w:rPr>
          <w:lang w:val="en-US" w:bidi="hi-IN"/>
        </w:rPr>
      </w:pPr>
      <w:r w:rsidRPr="00C6141B">
        <w:rPr>
          <w:lang w:val="en-US" w:bidi="hi-IN"/>
        </w:rPr>
        <w:t>In addition to financial measures like NPV and PBP, the management needs to determine several non-financial aspects while deciding whether to invest in the project.</w:t>
      </w:r>
    </w:p>
    <w:p w14:paraId="5000EDF6" w14:textId="77777777" w:rsidR="00BF6F75" w:rsidRPr="00C6141B" w:rsidRDefault="00BF6F75" w:rsidP="00BF6F75">
      <w:pPr>
        <w:rPr>
          <w:lang w:val="en-US" w:bidi="hi-IN"/>
        </w:rPr>
      </w:pPr>
      <w:r w:rsidRPr="00C6141B">
        <w:rPr>
          <w:b/>
          <w:bCs/>
          <w:lang w:val="en-US" w:bidi="hi-IN"/>
        </w:rPr>
        <w:t>Strategic Alignment:</w:t>
      </w:r>
      <w:r w:rsidRPr="00C6141B">
        <w:rPr>
          <w:lang w:val="en-US" w:bidi="hi-IN"/>
        </w:rPr>
        <w:t xml:space="preserve"> The project has to support the firm's long-term strategic goals pertaining to entry into new markets or improving sustainability performance.</w:t>
      </w:r>
    </w:p>
    <w:p w14:paraId="2E85E400" w14:textId="3FABEA70" w:rsidR="00BF6F75" w:rsidRPr="00C6141B" w:rsidRDefault="00BF6F75" w:rsidP="00BF6F75">
      <w:pPr>
        <w:rPr>
          <w:lang w:val="en-US" w:bidi="hi-IN"/>
        </w:rPr>
      </w:pPr>
      <w:r w:rsidRPr="00C6141B">
        <w:rPr>
          <w:b/>
          <w:bCs/>
          <w:lang w:val="en-US" w:bidi="hi-IN"/>
        </w:rPr>
        <w:t>Regulatory and Compliance Issues:</w:t>
      </w:r>
      <w:r w:rsidRPr="00C6141B">
        <w:rPr>
          <w:lang w:val="en-US" w:bidi="hi-IN"/>
        </w:rPr>
        <w:t xml:space="preserve"> Management will need to address any impending regulatory changes that may impact project viability or create further operational risk related to compliance requirements (</w:t>
      </w:r>
      <w:r w:rsidRPr="00C6141B">
        <w:rPr>
          <w:shd w:val="clear" w:color="auto" w:fill="FFFFFF"/>
        </w:rPr>
        <w:t>Sospeter and Awuzie, 2024</w:t>
      </w:r>
      <w:r w:rsidRPr="00C6141B">
        <w:rPr>
          <w:lang w:val="en-US" w:bidi="hi-IN"/>
        </w:rPr>
        <w:t>).</w:t>
      </w:r>
    </w:p>
    <w:p w14:paraId="24322812" w14:textId="77777777" w:rsidR="00BF6F75" w:rsidRPr="00C6141B" w:rsidRDefault="00BF6F75" w:rsidP="00BF6F75">
      <w:pPr>
        <w:rPr>
          <w:lang w:val="en-US" w:bidi="hi-IN"/>
        </w:rPr>
      </w:pPr>
      <w:r w:rsidRPr="00C6141B">
        <w:rPr>
          <w:b/>
          <w:bCs/>
          <w:lang w:val="en-US" w:bidi="hi-IN"/>
        </w:rPr>
        <w:t>Environmental Impact:</w:t>
      </w:r>
      <w:r w:rsidRPr="00C6141B">
        <w:rPr>
          <w:lang w:val="en-US" w:bidi="hi-IN"/>
        </w:rPr>
        <w:t xml:space="preserve"> Environmental sustainability is important for the project, more so in industries where environmental impact has come under criticism. A positive environmental impact of the projects will also improve corporate reputation.</w:t>
      </w:r>
    </w:p>
    <w:p w14:paraId="08EF9DF3" w14:textId="0212CE11" w:rsidR="00BF6F75" w:rsidRPr="00C6141B" w:rsidRDefault="00BF6F75" w:rsidP="00BF6F75">
      <w:pPr>
        <w:rPr>
          <w:lang w:val="en-US" w:bidi="hi-IN"/>
        </w:rPr>
      </w:pPr>
      <w:r w:rsidRPr="00C6141B">
        <w:rPr>
          <w:b/>
          <w:bCs/>
          <w:lang w:val="en-US" w:bidi="hi-IN"/>
        </w:rPr>
        <w:t>Market and Technological Changes:</w:t>
      </w:r>
      <w:r w:rsidRPr="00C6141B">
        <w:rPr>
          <w:lang w:val="en-US" w:bidi="hi-IN"/>
        </w:rPr>
        <w:t xml:space="preserve"> It is important to consider the possible influence of evolving technology and shifts in demand on the project's capacity to remain profitable or become outdated (</w:t>
      </w:r>
      <w:r w:rsidRPr="00C6141B">
        <w:rPr>
          <w:shd w:val="clear" w:color="auto" w:fill="FFFFFF"/>
        </w:rPr>
        <w:t>Shwiyat, et al., 2024</w:t>
      </w:r>
      <w:r w:rsidRPr="00C6141B">
        <w:rPr>
          <w:lang w:val="en-US" w:bidi="hi-IN"/>
        </w:rPr>
        <w:t>).</w:t>
      </w:r>
    </w:p>
    <w:p w14:paraId="2FAE6A0A" w14:textId="6B8B3B0E" w:rsidR="00BF6F75" w:rsidRPr="00C6141B" w:rsidRDefault="00BF6F75" w:rsidP="00BF6F75">
      <w:pPr>
        <w:rPr>
          <w:lang w:val="en-US" w:bidi="hi-IN"/>
        </w:rPr>
      </w:pPr>
    </w:p>
    <w:p w14:paraId="6459B9B9" w14:textId="3D34DA7B" w:rsidR="00F01B42" w:rsidRPr="00C6141B" w:rsidRDefault="00F01B42">
      <w:pPr>
        <w:spacing w:line="276" w:lineRule="auto"/>
        <w:jc w:val="left"/>
        <w:rPr>
          <w:rFonts w:eastAsia="Times New Roman" w:cs="Times New Roman"/>
          <w:szCs w:val="24"/>
          <w:lang w:val="en-US" w:bidi="hi-IN"/>
        </w:rPr>
      </w:pPr>
      <w:r w:rsidRPr="00C6141B">
        <w:rPr>
          <w:rFonts w:eastAsia="Times New Roman" w:cs="Times New Roman"/>
          <w:szCs w:val="24"/>
          <w:lang w:val="en-US" w:bidi="hi-IN"/>
        </w:rPr>
        <w:br w:type="page"/>
      </w:r>
    </w:p>
    <w:p w14:paraId="16479036" w14:textId="77777777" w:rsidR="00A45FA5" w:rsidRPr="00C6141B" w:rsidRDefault="001E2013" w:rsidP="00397EED">
      <w:pPr>
        <w:pStyle w:val="Heading1"/>
        <w:rPr>
          <w:rFonts w:cs="Times New Roman"/>
          <w:szCs w:val="24"/>
          <w:lang w:val="en-US"/>
        </w:rPr>
      </w:pPr>
      <w:bookmarkStart w:id="28" w:name="_Toc175148054"/>
      <w:r w:rsidRPr="00C6141B">
        <w:rPr>
          <w:rFonts w:cs="Times New Roman"/>
          <w:szCs w:val="24"/>
          <w:lang w:val="en-US"/>
        </w:rPr>
        <w:lastRenderedPageBreak/>
        <w:t>References</w:t>
      </w:r>
      <w:bookmarkEnd w:id="28"/>
    </w:p>
    <w:p w14:paraId="368B6516" w14:textId="77777777" w:rsidR="00BF6F75" w:rsidRPr="00C6141B" w:rsidRDefault="00BF6F75" w:rsidP="006F606B">
      <w:pPr>
        <w:rPr>
          <w:shd w:val="clear" w:color="auto" w:fill="FFFFFF"/>
        </w:rPr>
      </w:pPr>
      <w:r w:rsidRPr="00C6141B">
        <w:rPr>
          <w:shd w:val="clear" w:color="auto" w:fill="FFFFFF"/>
        </w:rPr>
        <w:t>Andor, G., Mohanty, S. and Toth, T. 2015. Capital budgeting practices: A survey of Central and Eastern European firms. </w:t>
      </w:r>
      <w:r w:rsidRPr="00C6141B">
        <w:rPr>
          <w:rStyle w:val="html-italic"/>
          <w:rFonts w:cs="Times New Roman"/>
          <w:i/>
          <w:iCs/>
          <w:sz w:val="20"/>
          <w:szCs w:val="20"/>
          <w:shd w:val="clear" w:color="auto" w:fill="FFFFFF"/>
        </w:rPr>
        <w:t>Emerging Markets Review</w:t>
      </w:r>
      <w:r w:rsidRPr="00C6141B">
        <w:rPr>
          <w:shd w:val="clear" w:color="auto" w:fill="FFFFFF"/>
        </w:rPr>
        <w:t> 23, pp. 148–72</w:t>
      </w:r>
    </w:p>
    <w:p w14:paraId="1CB1E059" w14:textId="77777777" w:rsidR="00BF6F75" w:rsidRPr="00C6141B" w:rsidRDefault="00BF6F75" w:rsidP="006F606B">
      <w:pPr>
        <w:rPr>
          <w:rFonts w:cs="Times New Roman"/>
          <w:szCs w:val="24"/>
          <w:lang w:val="en-US"/>
        </w:rPr>
      </w:pPr>
      <w:r w:rsidRPr="00C6141B">
        <w:rPr>
          <w:rFonts w:cs="Times New Roman"/>
          <w:szCs w:val="24"/>
          <w:lang w:val="en-US"/>
        </w:rPr>
        <w:t xml:space="preserve">Anglo American. 2020. Annual Report 2020. [Online]. Available at: </w:t>
      </w:r>
      <w:hyperlink r:id="rId18" w:history="1">
        <w:r w:rsidRPr="00C6141B">
          <w:rPr>
            <w:rStyle w:val="Hyperlink"/>
            <w:rFonts w:cs="Times New Roman"/>
            <w:color w:val="auto"/>
            <w:szCs w:val="24"/>
            <w:lang w:val="en-US"/>
          </w:rPr>
          <w:t>https://www.annualreports.com/HostedData/AnnualReportArchive/a/LSE_AAL_2020.pdf</w:t>
        </w:r>
      </w:hyperlink>
      <w:r w:rsidRPr="00C6141B">
        <w:rPr>
          <w:rFonts w:cs="Times New Roman"/>
          <w:szCs w:val="24"/>
          <w:lang w:val="en-US"/>
        </w:rPr>
        <w:t xml:space="preserve"> [Accessed on: 24.04.2024].</w:t>
      </w:r>
    </w:p>
    <w:p w14:paraId="6EF88AA0" w14:textId="77777777" w:rsidR="00BF6F75" w:rsidRPr="00C6141B" w:rsidRDefault="00BF6F75" w:rsidP="006F606B">
      <w:pPr>
        <w:rPr>
          <w:rFonts w:cs="Times New Roman"/>
          <w:szCs w:val="24"/>
          <w:lang w:val="en-US"/>
        </w:rPr>
      </w:pPr>
      <w:r w:rsidRPr="00C6141B">
        <w:rPr>
          <w:rFonts w:cs="Times New Roman"/>
          <w:szCs w:val="24"/>
          <w:lang w:val="en-US"/>
        </w:rPr>
        <w:t xml:space="preserve">Anglo American. 2022. Annual Report 2022. [Online]. Available at: </w:t>
      </w:r>
      <w:hyperlink r:id="rId19" w:history="1">
        <w:r w:rsidRPr="00C6141B">
          <w:rPr>
            <w:rStyle w:val="Hyperlink"/>
            <w:rFonts w:cs="Times New Roman"/>
            <w:color w:val="auto"/>
            <w:szCs w:val="24"/>
            <w:lang w:val="en-US"/>
          </w:rPr>
          <w:t>https://www.angloamerican.com/~/media/Files/A/Anglo-American-Group-v5/PLC/investors/annual-reporting/2022/aa-annual-report-full-2022.pdf</w:t>
        </w:r>
      </w:hyperlink>
      <w:r w:rsidRPr="00C6141B">
        <w:rPr>
          <w:rFonts w:cs="Times New Roman"/>
          <w:szCs w:val="24"/>
          <w:lang w:val="en-US"/>
        </w:rPr>
        <w:t xml:space="preserve"> [Accessed on: 24.04.2024].</w:t>
      </w:r>
    </w:p>
    <w:p w14:paraId="4FEB033A" w14:textId="77777777" w:rsidR="00BF6F75" w:rsidRPr="00C6141B" w:rsidRDefault="00BF6F75" w:rsidP="006F606B">
      <w:pPr>
        <w:rPr>
          <w:rFonts w:cs="Times New Roman"/>
        </w:rPr>
      </w:pPr>
      <w:r w:rsidRPr="00C6141B">
        <w:rPr>
          <w:rFonts w:cs="Times New Roman"/>
          <w:shd w:val="clear" w:color="auto" w:fill="FFFFFF"/>
        </w:rPr>
        <w:t>Aslamiah, S., Karyatun, S. and Digdowiseiso, K., 2023. The Influence of Return on Assets, Current Ratio and Debt to Asset Ratio on Financial Distress in Consumption Goods Industry Sector Companies Listed on The Indonesia Stock Exchange in 2017-2021. </w:t>
      </w:r>
      <w:r w:rsidRPr="00C6141B">
        <w:rPr>
          <w:rFonts w:cs="Times New Roman"/>
          <w:i/>
          <w:iCs/>
          <w:shd w:val="clear" w:color="auto" w:fill="FFFFFF"/>
        </w:rPr>
        <w:t>Jurnal Syntax admiration</w:t>
      </w:r>
      <w:r w:rsidRPr="00C6141B">
        <w:rPr>
          <w:rFonts w:cs="Times New Roman"/>
          <w:shd w:val="clear" w:color="auto" w:fill="FFFFFF"/>
        </w:rPr>
        <w:t>, </w:t>
      </w:r>
      <w:r w:rsidRPr="00C6141B">
        <w:rPr>
          <w:rFonts w:cs="Times New Roman"/>
          <w:i/>
          <w:iCs/>
          <w:shd w:val="clear" w:color="auto" w:fill="FFFFFF"/>
        </w:rPr>
        <w:t>4</w:t>
      </w:r>
      <w:r w:rsidRPr="00C6141B">
        <w:rPr>
          <w:rFonts w:cs="Times New Roman"/>
          <w:shd w:val="clear" w:color="auto" w:fill="FFFFFF"/>
        </w:rPr>
        <w:t>(4), pp.583-596.</w:t>
      </w:r>
    </w:p>
    <w:p w14:paraId="05E79F84" w14:textId="77777777" w:rsidR="00BF6F75" w:rsidRPr="00C6141B" w:rsidRDefault="00BF6F75" w:rsidP="006F606B">
      <w:pPr>
        <w:rPr>
          <w:rFonts w:cs="Times New Roman"/>
          <w:szCs w:val="24"/>
        </w:rPr>
      </w:pPr>
      <w:r w:rsidRPr="00C6141B">
        <w:rPr>
          <w:rFonts w:cs="Times New Roman"/>
          <w:szCs w:val="24"/>
        </w:rPr>
        <w:t>Aversano, N. and Ritsatos, T., 2014. Glencore Xstrata: The Profitable and Untethered March to Global Resource Dominance. </w:t>
      </w:r>
      <w:r w:rsidRPr="00C6141B">
        <w:rPr>
          <w:rFonts w:cs="Times New Roman"/>
          <w:i/>
          <w:iCs/>
          <w:szCs w:val="24"/>
        </w:rPr>
        <w:t>Athens Journal of Business and Economics</w:t>
      </w:r>
      <w:r w:rsidRPr="00C6141B">
        <w:rPr>
          <w:rFonts w:cs="Times New Roman"/>
          <w:szCs w:val="24"/>
        </w:rPr>
        <w:t>, </w:t>
      </w:r>
      <w:r w:rsidRPr="00C6141B">
        <w:rPr>
          <w:rFonts w:cs="Times New Roman"/>
          <w:i/>
          <w:iCs/>
          <w:szCs w:val="24"/>
        </w:rPr>
        <w:t>10</w:t>
      </w:r>
      <w:r w:rsidRPr="00C6141B">
        <w:rPr>
          <w:rFonts w:cs="Times New Roman"/>
          <w:szCs w:val="24"/>
        </w:rPr>
        <w:t>(Y), pp.1-15.</w:t>
      </w:r>
    </w:p>
    <w:p w14:paraId="21DF3D75" w14:textId="77777777" w:rsidR="00BF6F75" w:rsidRPr="00C6141B" w:rsidRDefault="00BF6F75" w:rsidP="006F606B">
      <w:pPr>
        <w:rPr>
          <w:rFonts w:cs="Times New Roman"/>
          <w:lang w:val="en-US"/>
        </w:rPr>
      </w:pPr>
      <w:r w:rsidRPr="00C6141B">
        <w:rPr>
          <w:rFonts w:cs="Times New Roman"/>
        </w:rPr>
        <w:t xml:space="preserve">Bloomberg, 2019. </w:t>
      </w:r>
      <w:r w:rsidRPr="00C6141B">
        <w:rPr>
          <w:lang w:val="en-US"/>
        </w:rPr>
        <w:t xml:space="preserve">Glencore CEO Glasenberg Hints He May Leave Sooner Than Expected. </w:t>
      </w:r>
      <w:r w:rsidRPr="00C6141B">
        <w:rPr>
          <w:rFonts w:cs="Times New Roman"/>
          <w:lang w:val="en-US"/>
        </w:rPr>
        <w:t xml:space="preserve">[Online]. Available at: </w:t>
      </w:r>
      <w:hyperlink r:id="rId20" w:history="1">
        <w:r w:rsidRPr="00C6141B">
          <w:rPr>
            <w:rStyle w:val="Hyperlink"/>
            <w:rFonts w:cs="Times New Roman"/>
            <w:szCs w:val="24"/>
          </w:rPr>
          <w:t>https://www.bloomberg.com/news/articles/2019-12-03/glencore-ceo-glasenberg-hints-he-may-leave-sooner-than-expected</w:t>
        </w:r>
      </w:hyperlink>
      <w:r w:rsidRPr="00C6141B">
        <w:rPr>
          <w:rFonts w:cs="Times New Roman"/>
          <w:szCs w:val="24"/>
        </w:rPr>
        <w:t xml:space="preserve">. </w:t>
      </w:r>
      <w:r w:rsidRPr="00C6141B">
        <w:rPr>
          <w:rFonts w:cs="Times New Roman"/>
          <w:lang w:val="en-US"/>
        </w:rPr>
        <w:t>[Accessed on 24 April 2024]</w:t>
      </w:r>
    </w:p>
    <w:p w14:paraId="0C457551" w14:textId="77777777" w:rsidR="00BF6F75" w:rsidRPr="00C6141B" w:rsidRDefault="00BF6F75" w:rsidP="006F606B">
      <w:pPr>
        <w:rPr>
          <w:rFonts w:cs="Times New Roman"/>
          <w:szCs w:val="24"/>
          <w:shd w:val="clear" w:color="auto" w:fill="FFFFFF"/>
        </w:rPr>
      </w:pPr>
      <w:r w:rsidRPr="00C6141B">
        <w:rPr>
          <w:rFonts w:cs="Times New Roman"/>
          <w:szCs w:val="24"/>
          <w:shd w:val="clear" w:color="auto" w:fill="FFFFFF"/>
        </w:rPr>
        <w:t>Cevikcan, E. and Kose, Y., 2021. Optimization of profitability and liquidity for residential projects under debt and equity financing. </w:t>
      </w:r>
      <w:r w:rsidRPr="00C6141B">
        <w:rPr>
          <w:rFonts w:cs="Times New Roman"/>
          <w:i/>
          <w:iCs/>
          <w:szCs w:val="24"/>
          <w:shd w:val="clear" w:color="auto" w:fill="FFFFFF"/>
        </w:rPr>
        <w:t>Built Environment Project and Asset Management</w:t>
      </w:r>
      <w:r w:rsidRPr="00C6141B">
        <w:rPr>
          <w:rFonts w:cs="Times New Roman"/>
          <w:szCs w:val="24"/>
          <w:shd w:val="clear" w:color="auto" w:fill="FFFFFF"/>
        </w:rPr>
        <w:t>, </w:t>
      </w:r>
      <w:r w:rsidRPr="00C6141B">
        <w:rPr>
          <w:rFonts w:cs="Times New Roman"/>
          <w:i/>
          <w:iCs/>
          <w:szCs w:val="24"/>
          <w:shd w:val="clear" w:color="auto" w:fill="FFFFFF"/>
        </w:rPr>
        <w:t>11</w:t>
      </w:r>
      <w:r w:rsidRPr="00C6141B">
        <w:rPr>
          <w:rFonts w:cs="Times New Roman"/>
          <w:szCs w:val="24"/>
          <w:shd w:val="clear" w:color="auto" w:fill="FFFFFF"/>
        </w:rPr>
        <w:t>(2), pp.369-391.</w:t>
      </w:r>
    </w:p>
    <w:p w14:paraId="5FB266A9" w14:textId="77777777" w:rsidR="00BF6F75" w:rsidRPr="00C6141B" w:rsidRDefault="00BF6F75" w:rsidP="006F606B">
      <w:pPr>
        <w:rPr>
          <w:rFonts w:cs="Times New Roman"/>
          <w:shd w:val="clear" w:color="auto" w:fill="FFFFFF"/>
        </w:rPr>
      </w:pPr>
      <w:r w:rsidRPr="00C6141B">
        <w:rPr>
          <w:rFonts w:cs="Times New Roman"/>
          <w:shd w:val="clear" w:color="auto" w:fill="FFFFFF"/>
        </w:rPr>
        <w:t>Chairunisa, S.S., Digdowiseiso, K. and Karyatun, S., 2023. The Effect of Total Assets Turnover, Debt to Assets Ratio, Cash Ratio and Current Ratio on Financial Performance of Companies The Hotel, Restaurant and Tourism Subsector in IDX for The Period 2016-2020. </w:t>
      </w:r>
      <w:r w:rsidRPr="00C6141B">
        <w:rPr>
          <w:rFonts w:cs="Times New Roman"/>
          <w:i/>
          <w:iCs/>
          <w:shd w:val="clear" w:color="auto" w:fill="FFFFFF"/>
        </w:rPr>
        <w:t>Jurnal Syntax Admiration</w:t>
      </w:r>
      <w:r w:rsidRPr="00C6141B">
        <w:rPr>
          <w:rFonts w:cs="Times New Roman"/>
          <w:shd w:val="clear" w:color="auto" w:fill="FFFFFF"/>
        </w:rPr>
        <w:t>, </w:t>
      </w:r>
      <w:r w:rsidRPr="00C6141B">
        <w:rPr>
          <w:rFonts w:cs="Times New Roman"/>
          <w:i/>
          <w:iCs/>
          <w:shd w:val="clear" w:color="auto" w:fill="FFFFFF"/>
        </w:rPr>
        <w:t>4</w:t>
      </w:r>
      <w:r w:rsidRPr="00C6141B">
        <w:rPr>
          <w:rFonts w:cs="Times New Roman"/>
          <w:shd w:val="clear" w:color="auto" w:fill="FFFFFF"/>
        </w:rPr>
        <w:t>(3), pp.548-558.</w:t>
      </w:r>
    </w:p>
    <w:p w14:paraId="5A19511D" w14:textId="77777777" w:rsidR="00BF6F75" w:rsidRPr="00C6141B" w:rsidRDefault="00BF6F75" w:rsidP="006F606B">
      <w:pPr>
        <w:rPr>
          <w:rFonts w:cs="Times New Roman"/>
          <w:szCs w:val="24"/>
          <w:shd w:val="clear" w:color="auto" w:fill="FFFFFF"/>
        </w:rPr>
      </w:pPr>
      <w:r w:rsidRPr="00C6141B">
        <w:rPr>
          <w:rFonts w:cs="Times New Roman"/>
          <w:szCs w:val="24"/>
          <w:shd w:val="clear" w:color="auto" w:fill="FFFFFF"/>
        </w:rPr>
        <w:t>Colline, F., 2022. The Mediating Effect of Debt Equity Ratio on The Effect of current ratio, return on equity and total asset turnover on price to book value. </w:t>
      </w:r>
      <w:r w:rsidRPr="00C6141B">
        <w:rPr>
          <w:rFonts w:cs="Times New Roman"/>
          <w:i/>
          <w:iCs/>
          <w:szCs w:val="24"/>
          <w:shd w:val="clear" w:color="auto" w:fill="FFFFFF"/>
        </w:rPr>
        <w:t>JurnalKeuangan dan Perbankan</w:t>
      </w:r>
      <w:r w:rsidRPr="00C6141B">
        <w:rPr>
          <w:rFonts w:cs="Times New Roman"/>
          <w:szCs w:val="24"/>
          <w:shd w:val="clear" w:color="auto" w:fill="FFFFFF"/>
        </w:rPr>
        <w:t>, </w:t>
      </w:r>
      <w:r w:rsidRPr="00C6141B">
        <w:rPr>
          <w:rFonts w:cs="Times New Roman"/>
          <w:i/>
          <w:iCs/>
          <w:szCs w:val="24"/>
          <w:shd w:val="clear" w:color="auto" w:fill="FFFFFF"/>
        </w:rPr>
        <w:t>26</w:t>
      </w:r>
      <w:r w:rsidRPr="00C6141B">
        <w:rPr>
          <w:rFonts w:cs="Times New Roman"/>
          <w:szCs w:val="24"/>
          <w:shd w:val="clear" w:color="auto" w:fill="FFFFFF"/>
        </w:rPr>
        <w:t>(1), pp.75-90.</w:t>
      </w:r>
    </w:p>
    <w:p w14:paraId="184998B5" w14:textId="77777777" w:rsidR="00BF6F75" w:rsidRPr="00C6141B" w:rsidRDefault="00BF6F75" w:rsidP="006F606B">
      <w:pPr>
        <w:rPr>
          <w:rFonts w:cs="Times New Roman"/>
          <w:szCs w:val="24"/>
          <w:lang w:val="en-US"/>
        </w:rPr>
      </w:pPr>
      <w:r w:rsidRPr="00C6141B">
        <w:rPr>
          <w:rFonts w:cs="Times New Roman"/>
          <w:szCs w:val="24"/>
        </w:rPr>
        <w:lastRenderedPageBreak/>
        <w:t>Cribben, I. and Zeinali, Y., 2023. The benefits and limitations of ChatGPT in business education and research: A focus on management science, operations management and data analytics. </w:t>
      </w:r>
      <w:r w:rsidRPr="00C6141B">
        <w:rPr>
          <w:rFonts w:cs="Times New Roman"/>
          <w:i/>
          <w:iCs/>
          <w:szCs w:val="24"/>
        </w:rPr>
        <w:t>Operations Management and Data Analytics (March 29, 2023)</w:t>
      </w:r>
      <w:r w:rsidRPr="00C6141B">
        <w:rPr>
          <w:rFonts w:cs="Times New Roman"/>
          <w:szCs w:val="24"/>
        </w:rPr>
        <w:t>.</w:t>
      </w:r>
    </w:p>
    <w:p w14:paraId="5A74230E" w14:textId="77777777" w:rsidR="00BF6F75" w:rsidRPr="00C6141B" w:rsidRDefault="00BF6F75" w:rsidP="006F606B">
      <w:pPr>
        <w:rPr>
          <w:rFonts w:cs="Times New Roman"/>
          <w:szCs w:val="24"/>
          <w:lang w:val="en-US"/>
        </w:rPr>
      </w:pPr>
      <w:r w:rsidRPr="00C6141B">
        <w:rPr>
          <w:rFonts w:cs="Times New Roman"/>
          <w:shd w:val="clear" w:color="auto" w:fill="FFFFFF"/>
        </w:rPr>
        <w:t>Gerged, A.M., Albitar, K. and Al‐Haddad, L., 2023. Corporate environmental disclosure and earnings management—The moderating role of corporate governance structures. </w:t>
      </w:r>
      <w:r w:rsidRPr="00C6141B">
        <w:rPr>
          <w:rFonts w:cs="Times New Roman"/>
          <w:i/>
          <w:iCs/>
          <w:shd w:val="clear" w:color="auto" w:fill="FFFFFF"/>
        </w:rPr>
        <w:t>International Journal of Finance &amp; Economics</w:t>
      </w:r>
      <w:r w:rsidRPr="00C6141B">
        <w:rPr>
          <w:rFonts w:cs="Times New Roman"/>
          <w:shd w:val="clear" w:color="auto" w:fill="FFFFFF"/>
        </w:rPr>
        <w:t>, </w:t>
      </w:r>
      <w:r w:rsidRPr="00C6141B">
        <w:rPr>
          <w:rFonts w:cs="Times New Roman"/>
          <w:i/>
          <w:iCs/>
          <w:shd w:val="clear" w:color="auto" w:fill="FFFFFF"/>
        </w:rPr>
        <w:t>28</w:t>
      </w:r>
      <w:r w:rsidRPr="00C6141B">
        <w:rPr>
          <w:rFonts w:cs="Times New Roman"/>
          <w:shd w:val="clear" w:color="auto" w:fill="FFFFFF"/>
        </w:rPr>
        <w:t>(3), pp.2789-2810.</w:t>
      </w:r>
    </w:p>
    <w:p w14:paraId="3471BEFB" w14:textId="77777777" w:rsidR="00BF6F75" w:rsidRPr="00C6141B" w:rsidRDefault="00BF6F75" w:rsidP="006F606B">
      <w:pPr>
        <w:rPr>
          <w:rFonts w:cs="Times New Roman"/>
          <w:szCs w:val="24"/>
        </w:rPr>
      </w:pPr>
      <w:r w:rsidRPr="00C6141B">
        <w:rPr>
          <w:rFonts w:cs="Times New Roman"/>
          <w:szCs w:val="24"/>
        </w:rPr>
        <w:t xml:space="preserve">Glencore 2024. </w:t>
      </w:r>
      <w:r w:rsidRPr="00C6141B">
        <w:rPr>
          <w:rFonts w:cs="Times New Roman"/>
          <w:i/>
          <w:iCs/>
          <w:szCs w:val="24"/>
        </w:rPr>
        <w:t>At a glance</w:t>
      </w:r>
      <w:r w:rsidRPr="00C6141B">
        <w:rPr>
          <w:rFonts w:cs="Times New Roman"/>
          <w:szCs w:val="24"/>
        </w:rPr>
        <w:t xml:space="preserve">, </w:t>
      </w:r>
      <w:r w:rsidRPr="00C6141B">
        <w:rPr>
          <w:rFonts w:cs="Times New Roman"/>
          <w:i/>
          <w:iCs/>
          <w:szCs w:val="24"/>
        </w:rPr>
        <w:t>Glencore</w:t>
      </w:r>
      <w:r w:rsidRPr="00C6141B">
        <w:rPr>
          <w:rFonts w:cs="Times New Roman"/>
          <w:szCs w:val="24"/>
        </w:rPr>
        <w:t xml:space="preserve">. Available at: https://www.glencore.com/who-we-are/at-a-glance (Accessed: 24 April 2024). </w:t>
      </w:r>
    </w:p>
    <w:p w14:paraId="0AB8766F" w14:textId="77777777" w:rsidR="00BF6F75" w:rsidRPr="00C6141B" w:rsidRDefault="00BF6F75" w:rsidP="006F606B">
      <w:pPr>
        <w:rPr>
          <w:rFonts w:cs="Times New Roman"/>
          <w:lang w:val="en-US"/>
        </w:rPr>
      </w:pPr>
      <w:r w:rsidRPr="00C6141B">
        <w:rPr>
          <w:rFonts w:cs="Times New Roman"/>
          <w:lang w:val="en-US"/>
        </w:rPr>
        <w:t xml:space="preserve">Glencore Plc, 2018. Annual Report, 2018. [Online]. Available at: </w:t>
      </w:r>
      <w:hyperlink r:id="rId21" w:history="1">
        <w:r w:rsidRPr="00C6141B">
          <w:rPr>
            <w:rStyle w:val="Hyperlink"/>
            <w:rFonts w:cs="Times New Roman"/>
            <w:lang w:val="en-US"/>
          </w:rPr>
          <w:t>https://www.annualreports.com/HostedData/AnnualReportArchive/g/LSE_GLEN_2018.pdf</w:t>
        </w:r>
      </w:hyperlink>
      <w:r w:rsidRPr="00C6141B">
        <w:rPr>
          <w:rFonts w:cs="Times New Roman"/>
          <w:lang w:val="en-US"/>
        </w:rPr>
        <w:t>. [Accessed on 24 April 2024]</w:t>
      </w:r>
    </w:p>
    <w:p w14:paraId="61A42C3B" w14:textId="77777777" w:rsidR="00BF6F75" w:rsidRPr="00C6141B" w:rsidRDefault="00BF6F75" w:rsidP="006F606B">
      <w:pPr>
        <w:rPr>
          <w:rFonts w:cs="Times New Roman"/>
          <w:lang w:val="en-US"/>
        </w:rPr>
      </w:pPr>
      <w:r w:rsidRPr="00C6141B">
        <w:rPr>
          <w:rFonts w:cs="Times New Roman"/>
          <w:lang w:val="en-US"/>
        </w:rPr>
        <w:t>Glencore Plc, 2020. Annual Report, 2020. [Online]. Available at:</w:t>
      </w:r>
      <w:hyperlink r:id="rId22" w:history="1">
        <w:r w:rsidRPr="00C6141B">
          <w:rPr>
            <w:rStyle w:val="Hyperlink"/>
            <w:rFonts w:cs="Times New Roman"/>
            <w:color w:val="auto"/>
            <w:lang w:val="en-US"/>
          </w:rPr>
          <w:t>https://www.annualreports.com/HostedData/AnnualReportArchive/g/LSE_GLEN_2020.pdf</w:t>
        </w:r>
      </w:hyperlink>
      <w:r w:rsidRPr="00C6141B">
        <w:rPr>
          <w:rFonts w:cs="Times New Roman"/>
          <w:lang w:val="en-US"/>
        </w:rPr>
        <w:t>. [Accessed on 24 April 2024]</w:t>
      </w:r>
    </w:p>
    <w:p w14:paraId="7241BE34" w14:textId="77777777" w:rsidR="00BF6F75" w:rsidRPr="00C6141B" w:rsidRDefault="00BF6F75" w:rsidP="006F606B">
      <w:pPr>
        <w:rPr>
          <w:rFonts w:cs="Times New Roman"/>
          <w:szCs w:val="24"/>
        </w:rPr>
      </w:pPr>
      <w:r w:rsidRPr="00C6141B">
        <w:rPr>
          <w:rFonts w:cs="Times New Roman"/>
          <w:szCs w:val="24"/>
        </w:rPr>
        <w:t>Glencore Plc, 2021</w:t>
      </w:r>
      <w:r w:rsidRPr="00C6141B">
        <w:rPr>
          <w:rFonts w:cs="Times New Roman"/>
          <w:i/>
          <w:iCs/>
          <w:szCs w:val="24"/>
        </w:rPr>
        <w:t xml:space="preserve">. </w:t>
      </w:r>
      <w:r w:rsidRPr="00C6141B">
        <w:rPr>
          <w:rFonts w:cs="Times New Roman"/>
          <w:szCs w:val="24"/>
        </w:rPr>
        <w:t xml:space="preserve">Annual report, 2021. Available at: </w:t>
      </w:r>
      <w:hyperlink r:id="rId23" w:history="1">
        <w:r w:rsidRPr="00C6141B">
          <w:rPr>
            <w:rStyle w:val="Hyperlink"/>
            <w:rFonts w:cs="Times New Roman"/>
            <w:szCs w:val="24"/>
          </w:rPr>
          <w:t>https://www.annualreports.com/HostedData/AnnualReportArchive/g/LSE_GLEN_2021.pdf</w:t>
        </w:r>
      </w:hyperlink>
      <w:r w:rsidRPr="00C6141B">
        <w:rPr>
          <w:rFonts w:cs="Times New Roman"/>
          <w:szCs w:val="24"/>
        </w:rPr>
        <w:t xml:space="preserve">. (Accessed: 24 April 2024). </w:t>
      </w:r>
    </w:p>
    <w:p w14:paraId="5F2ACADF" w14:textId="77777777" w:rsidR="00BF6F75" w:rsidRPr="00C6141B" w:rsidRDefault="00BF6F75" w:rsidP="006F606B">
      <w:pPr>
        <w:rPr>
          <w:rFonts w:cs="Times New Roman"/>
          <w:lang w:val="en-US"/>
        </w:rPr>
      </w:pPr>
      <w:r w:rsidRPr="00C6141B">
        <w:rPr>
          <w:rFonts w:cs="Times New Roman"/>
          <w:lang w:val="en-US"/>
        </w:rPr>
        <w:t>Glencore Plc, 2022. Annual Report, 2022. [Online]. Available at:</w:t>
      </w:r>
      <w:hyperlink r:id="rId24" w:history="1">
        <w:r w:rsidRPr="00C6141B">
          <w:rPr>
            <w:rStyle w:val="Hyperlink"/>
            <w:rFonts w:cs="Times New Roman"/>
            <w:color w:val="auto"/>
            <w:lang w:val="en-US"/>
          </w:rPr>
          <w:t>https://www.glencore.com/.rest/api/v1/documents/ded10fa92974aa388a43aa9f86f483e9/GLEN-2022-Annual-Report.pdf</w:t>
        </w:r>
      </w:hyperlink>
      <w:r w:rsidRPr="00C6141B">
        <w:rPr>
          <w:rFonts w:cs="Times New Roman"/>
          <w:lang w:val="en-US"/>
        </w:rPr>
        <w:t>. [Accessed on 24 April 2024].</w:t>
      </w:r>
    </w:p>
    <w:p w14:paraId="07B5C221" w14:textId="77777777" w:rsidR="00BF6F75" w:rsidRPr="00C6141B" w:rsidRDefault="00BF6F75" w:rsidP="006F606B">
      <w:pPr>
        <w:rPr>
          <w:rFonts w:cs="Times New Roman"/>
          <w:szCs w:val="24"/>
        </w:rPr>
      </w:pPr>
      <w:r w:rsidRPr="00C6141B">
        <w:rPr>
          <w:rFonts w:cs="Times New Roman"/>
          <w:szCs w:val="24"/>
        </w:rPr>
        <w:t xml:space="preserve">Glencore Plc, 2024. At a glance, Glencore. Available at: </w:t>
      </w:r>
      <w:hyperlink r:id="rId25" w:history="1">
        <w:r w:rsidRPr="00C6141B">
          <w:rPr>
            <w:rStyle w:val="Hyperlink"/>
            <w:rFonts w:cs="Times New Roman"/>
            <w:szCs w:val="24"/>
          </w:rPr>
          <w:t>https://www.glencore.com/who-we-are/at-a-glance</w:t>
        </w:r>
      </w:hyperlink>
      <w:r w:rsidRPr="00C6141B">
        <w:rPr>
          <w:rFonts w:cs="Times New Roman"/>
          <w:szCs w:val="24"/>
        </w:rPr>
        <w:t xml:space="preserve">. [Accessed: 19 July 2024]. </w:t>
      </w:r>
    </w:p>
    <w:p w14:paraId="62E51BCA" w14:textId="77777777" w:rsidR="00BF6F75" w:rsidRPr="00C6141B" w:rsidRDefault="00BF6F75" w:rsidP="006F606B">
      <w:pPr>
        <w:rPr>
          <w:rFonts w:cs="Times New Roman"/>
          <w:bCs/>
          <w:szCs w:val="24"/>
        </w:rPr>
      </w:pPr>
      <w:r w:rsidRPr="00C6141B">
        <w:t xml:space="preserve">Glencore Plc, 2024a. </w:t>
      </w:r>
      <w:r w:rsidRPr="00C6141B">
        <w:rPr>
          <w:lang w:val="en-US"/>
        </w:rPr>
        <w:t xml:space="preserve">Our business model and strategy. [Online]. Available at: </w:t>
      </w:r>
      <w:hyperlink r:id="rId26" w:history="1">
        <w:r w:rsidRPr="00C6141B">
          <w:rPr>
            <w:rStyle w:val="Hyperlink"/>
            <w:rFonts w:cs="Times New Roman"/>
            <w:bCs/>
            <w:szCs w:val="24"/>
          </w:rPr>
          <w:t>https://www.glencore.com/who-we-are/our-business-model-and-strategy</w:t>
        </w:r>
      </w:hyperlink>
      <w:r w:rsidRPr="00C6141B">
        <w:rPr>
          <w:rFonts w:cs="Times New Roman"/>
          <w:bCs/>
          <w:szCs w:val="24"/>
        </w:rPr>
        <w:t>. [Accessed on 19 July 2024].</w:t>
      </w:r>
    </w:p>
    <w:p w14:paraId="0A68103E" w14:textId="77777777" w:rsidR="00BF6F75" w:rsidRPr="00C6141B" w:rsidRDefault="00BF6F75" w:rsidP="006F606B">
      <w:pPr>
        <w:rPr>
          <w:rFonts w:cs="Times New Roman"/>
          <w:szCs w:val="24"/>
        </w:rPr>
      </w:pPr>
      <w:r w:rsidRPr="00C6141B">
        <w:rPr>
          <w:rFonts w:cs="Times New Roman"/>
          <w:szCs w:val="24"/>
        </w:rPr>
        <w:t xml:space="preserve">Glencore Plc, 2024b. our history. Available at: </w:t>
      </w:r>
      <w:hyperlink r:id="rId27" w:history="1">
        <w:r w:rsidRPr="00C6141B">
          <w:rPr>
            <w:rStyle w:val="Hyperlink"/>
            <w:rFonts w:cs="Times New Roman"/>
            <w:bCs/>
            <w:szCs w:val="24"/>
          </w:rPr>
          <w:t>https://www.glencore.com/who-we-are/our-history</w:t>
        </w:r>
      </w:hyperlink>
      <w:r w:rsidRPr="00C6141B">
        <w:rPr>
          <w:rFonts w:cs="Times New Roman"/>
          <w:bCs/>
          <w:szCs w:val="24"/>
        </w:rPr>
        <w:t xml:space="preserve">. </w:t>
      </w:r>
      <w:r w:rsidRPr="00C6141B">
        <w:rPr>
          <w:rFonts w:cs="Times New Roman"/>
          <w:szCs w:val="24"/>
        </w:rPr>
        <w:t>[Accessed: 19 July 2024].</w:t>
      </w:r>
    </w:p>
    <w:p w14:paraId="5543D7AA" w14:textId="77777777" w:rsidR="00BF6F75" w:rsidRPr="00C6141B" w:rsidRDefault="00BF6F75" w:rsidP="006F606B">
      <w:pPr>
        <w:rPr>
          <w:rFonts w:cs="Times New Roman"/>
          <w:szCs w:val="24"/>
        </w:rPr>
      </w:pPr>
      <w:r w:rsidRPr="00C6141B">
        <w:rPr>
          <w:rFonts w:cs="Times New Roman"/>
          <w:szCs w:val="24"/>
        </w:rPr>
        <w:t xml:space="preserve">Glencore. 2023 </w:t>
      </w:r>
      <w:r w:rsidRPr="00C6141B">
        <w:rPr>
          <w:rFonts w:cs="Times New Roman"/>
          <w:i/>
          <w:iCs/>
          <w:szCs w:val="24"/>
        </w:rPr>
        <w:t>Acquisition of a 77% interest in Teck’s steelmaking coal business for US$6.93 bn</w:t>
      </w:r>
      <w:r w:rsidRPr="00C6141B">
        <w:rPr>
          <w:rFonts w:cs="Times New Roman"/>
          <w:szCs w:val="24"/>
        </w:rPr>
        <w:t xml:space="preserve">, </w:t>
      </w:r>
      <w:r w:rsidRPr="00C6141B">
        <w:rPr>
          <w:rFonts w:cs="Times New Roman"/>
          <w:i/>
          <w:iCs/>
          <w:szCs w:val="24"/>
        </w:rPr>
        <w:t>Glencore</w:t>
      </w:r>
      <w:r w:rsidRPr="00C6141B">
        <w:rPr>
          <w:rFonts w:cs="Times New Roman"/>
          <w:szCs w:val="24"/>
        </w:rPr>
        <w:t>. Available at: https://www.glencore.com/media-and-</w:t>
      </w:r>
      <w:r w:rsidRPr="00C6141B">
        <w:rPr>
          <w:rFonts w:cs="Times New Roman"/>
          <w:szCs w:val="24"/>
        </w:rPr>
        <w:lastRenderedPageBreak/>
        <w:t xml:space="preserve">insights/news/acquisition-of-a-77-percent-interest-in-tecks-steelmaking-coal-business-for-USd6-93-bn (Accessed: 24 April 2024). </w:t>
      </w:r>
    </w:p>
    <w:p w14:paraId="26B576FE" w14:textId="77777777" w:rsidR="00BF6F75" w:rsidRPr="00C6141B" w:rsidRDefault="00BF6F75" w:rsidP="006F606B">
      <w:pPr>
        <w:rPr>
          <w:rFonts w:cs="Times New Roman"/>
          <w:szCs w:val="24"/>
        </w:rPr>
      </w:pPr>
      <w:r w:rsidRPr="00C6141B">
        <w:rPr>
          <w:rFonts w:cs="Times New Roman"/>
          <w:szCs w:val="24"/>
        </w:rPr>
        <w:t xml:space="preserve">GlobalData 2024. </w:t>
      </w:r>
      <w:r w:rsidRPr="00C6141B">
        <w:rPr>
          <w:rFonts w:cs="Times New Roman"/>
          <w:i/>
          <w:iCs/>
          <w:szCs w:val="24"/>
        </w:rPr>
        <w:t>Glencore plc company Profile - Overview</w:t>
      </w:r>
      <w:r w:rsidRPr="00C6141B">
        <w:rPr>
          <w:rFonts w:cs="Times New Roman"/>
          <w:szCs w:val="24"/>
        </w:rPr>
        <w:t xml:space="preserve">, </w:t>
      </w:r>
      <w:r w:rsidRPr="00C6141B">
        <w:rPr>
          <w:rFonts w:cs="Times New Roman"/>
          <w:i/>
          <w:iCs/>
          <w:szCs w:val="24"/>
        </w:rPr>
        <w:t>GlobalData</w:t>
      </w:r>
      <w:r w:rsidRPr="00C6141B">
        <w:rPr>
          <w:rFonts w:cs="Times New Roman"/>
          <w:szCs w:val="24"/>
        </w:rPr>
        <w:t xml:space="preserve">. Available at: https://www.globaldata.com/company-profile/glencore-plc/ (Accessed: 24 April 2024). </w:t>
      </w:r>
    </w:p>
    <w:p w14:paraId="1AA2A6C6" w14:textId="77777777" w:rsidR="00BF6F75" w:rsidRPr="00C6141B" w:rsidRDefault="00BF6F75" w:rsidP="006F606B">
      <w:pPr>
        <w:rPr>
          <w:rFonts w:cs="Times New Roman"/>
          <w:szCs w:val="24"/>
          <w:lang w:val="en-US"/>
        </w:rPr>
      </w:pPr>
      <w:r w:rsidRPr="00C6141B">
        <w:rPr>
          <w:rFonts w:cs="Times New Roman"/>
          <w:szCs w:val="24"/>
          <w:lang w:val="en-US"/>
        </w:rPr>
        <w:t xml:space="preserve">Guru Focus. 2024. Anglo American Inventory Turnover. [Online]. Available at: </w:t>
      </w:r>
      <w:hyperlink r:id="rId28" w:history="1">
        <w:r w:rsidRPr="00C6141B">
          <w:rPr>
            <w:rStyle w:val="Hyperlink"/>
            <w:rFonts w:cs="Times New Roman"/>
            <w:color w:val="auto"/>
            <w:szCs w:val="24"/>
            <w:lang w:val="en-US"/>
          </w:rPr>
          <w:t>https://www.gurufocus.com/term/inventory-turnover/FRA:NGLB</w:t>
        </w:r>
      </w:hyperlink>
      <w:r w:rsidRPr="00C6141B">
        <w:rPr>
          <w:rFonts w:cs="Times New Roman"/>
          <w:szCs w:val="24"/>
          <w:lang w:val="en-US"/>
        </w:rPr>
        <w:t xml:space="preserve"> [Accessed on: 24.04.2024].</w:t>
      </w:r>
    </w:p>
    <w:p w14:paraId="6CE4ABC1" w14:textId="77777777" w:rsidR="00BF6F75" w:rsidRPr="00C6141B" w:rsidRDefault="00BF6F75" w:rsidP="006F606B">
      <w:pPr>
        <w:rPr>
          <w:rFonts w:cs="Times New Roman"/>
          <w:shd w:val="clear" w:color="auto" w:fill="FFFFFF"/>
        </w:rPr>
      </w:pPr>
      <w:r w:rsidRPr="00C6141B">
        <w:rPr>
          <w:rFonts w:cs="Times New Roman"/>
          <w:shd w:val="clear" w:color="auto" w:fill="FFFFFF"/>
        </w:rPr>
        <w:t>Hidayat, I. and Dewi, F.O.S., 2023. The effect of liquidity, leverage, and working capital turn on profitability. </w:t>
      </w:r>
      <w:r w:rsidRPr="00C6141B">
        <w:rPr>
          <w:rFonts w:cs="Times New Roman"/>
          <w:i/>
          <w:iCs/>
          <w:shd w:val="clear" w:color="auto" w:fill="FFFFFF"/>
        </w:rPr>
        <w:t>APTISI Transactions on Management</w:t>
      </w:r>
      <w:r w:rsidRPr="00C6141B">
        <w:rPr>
          <w:rFonts w:cs="Times New Roman"/>
          <w:shd w:val="clear" w:color="auto" w:fill="FFFFFF"/>
        </w:rPr>
        <w:t>, </w:t>
      </w:r>
      <w:r w:rsidRPr="00C6141B">
        <w:rPr>
          <w:rFonts w:cs="Times New Roman"/>
          <w:i/>
          <w:iCs/>
          <w:shd w:val="clear" w:color="auto" w:fill="FFFFFF"/>
        </w:rPr>
        <w:t>7</w:t>
      </w:r>
      <w:r w:rsidRPr="00C6141B">
        <w:rPr>
          <w:rFonts w:cs="Times New Roman"/>
          <w:shd w:val="clear" w:color="auto" w:fill="FFFFFF"/>
        </w:rPr>
        <w:t>(1), pp.60-68.</w:t>
      </w:r>
    </w:p>
    <w:p w14:paraId="1B9E034D" w14:textId="77777777" w:rsidR="00BF6F75" w:rsidRPr="00C6141B" w:rsidRDefault="00BF6F75" w:rsidP="006F606B">
      <w:pPr>
        <w:rPr>
          <w:rFonts w:cs="Times New Roman"/>
          <w:shd w:val="clear" w:color="auto" w:fill="FFFFFF"/>
        </w:rPr>
      </w:pPr>
      <w:r w:rsidRPr="00C6141B">
        <w:rPr>
          <w:rFonts w:cs="Times New Roman"/>
          <w:shd w:val="clear" w:color="auto" w:fill="FFFFFF"/>
        </w:rPr>
        <w:t>Ilham, R.N., Akhyar, C. and Maimunah, S., 2023. The Influence Of Profit Management And Financial Performance On Company Value In Building Materials Construction Sub-Sector Companies Listed On The Indonesia Stock Exchange For The 2018-2021 Period. </w:t>
      </w:r>
      <w:r w:rsidRPr="00C6141B">
        <w:rPr>
          <w:rFonts w:cs="Times New Roman"/>
          <w:i/>
          <w:iCs/>
          <w:shd w:val="clear" w:color="auto" w:fill="FFFFFF"/>
        </w:rPr>
        <w:t>Journal of Accounting Research, Utility Finance and Digital Assets</w:t>
      </w:r>
      <w:r w:rsidRPr="00C6141B">
        <w:rPr>
          <w:rFonts w:cs="Times New Roman"/>
          <w:shd w:val="clear" w:color="auto" w:fill="FFFFFF"/>
        </w:rPr>
        <w:t>, </w:t>
      </w:r>
      <w:r w:rsidRPr="00C6141B">
        <w:rPr>
          <w:rFonts w:cs="Times New Roman"/>
          <w:i/>
          <w:iCs/>
          <w:shd w:val="clear" w:color="auto" w:fill="FFFFFF"/>
        </w:rPr>
        <w:t>1</w:t>
      </w:r>
      <w:r w:rsidRPr="00C6141B">
        <w:rPr>
          <w:rFonts w:cs="Times New Roman"/>
          <w:shd w:val="clear" w:color="auto" w:fill="FFFFFF"/>
        </w:rPr>
        <w:t>(4), pp.323-335.</w:t>
      </w:r>
    </w:p>
    <w:p w14:paraId="17F161F0" w14:textId="77777777" w:rsidR="00BF6F75" w:rsidRPr="00C6141B" w:rsidRDefault="00BF6F75" w:rsidP="006F606B">
      <w:pPr>
        <w:rPr>
          <w:rFonts w:cs="Times New Roman"/>
          <w:szCs w:val="24"/>
          <w:shd w:val="clear" w:color="auto" w:fill="FFFFFF"/>
        </w:rPr>
      </w:pPr>
      <w:r w:rsidRPr="00C6141B">
        <w:rPr>
          <w:rFonts w:cs="Times New Roman"/>
          <w:szCs w:val="24"/>
          <w:shd w:val="clear" w:color="auto" w:fill="FFFFFF"/>
        </w:rPr>
        <w:t>Kehinde Busola, E., Ogunnaike Olaleke, O. and Adegbuyi, O., 2020. Analysis of inventory management practices for optimal economic performance using ABC and EOQ models. </w:t>
      </w:r>
      <w:r w:rsidRPr="00C6141B">
        <w:rPr>
          <w:rFonts w:cs="Times New Roman"/>
          <w:i/>
          <w:iCs/>
          <w:szCs w:val="24"/>
          <w:shd w:val="clear" w:color="auto" w:fill="FFFFFF"/>
        </w:rPr>
        <w:t>International Journal of Management (IJM)</w:t>
      </w:r>
      <w:r w:rsidRPr="00C6141B">
        <w:rPr>
          <w:rFonts w:cs="Times New Roman"/>
          <w:szCs w:val="24"/>
          <w:shd w:val="clear" w:color="auto" w:fill="FFFFFF"/>
        </w:rPr>
        <w:t>, </w:t>
      </w:r>
      <w:r w:rsidRPr="00C6141B">
        <w:rPr>
          <w:rFonts w:cs="Times New Roman"/>
          <w:i/>
          <w:iCs/>
          <w:szCs w:val="24"/>
          <w:shd w:val="clear" w:color="auto" w:fill="FFFFFF"/>
        </w:rPr>
        <w:t>11</w:t>
      </w:r>
      <w:r w:rsidRPr="00C6141B">
        <w:rPr>
          <w:rFonts w:cs="Times New Roman"/>
          <w:szCs w:val="24"/>
          <w:shd w:val="clear" w:color="auto" w:fill="FFFFFF"/>
        </w:rPr>
        <w:t>(7).</w:t>
      </w:r>
    </w:p>
    <w:p w14:paraId="2246FA2C" w14:textId="77777777" w:rsidR="00BF6F75" w:rsidRPr="00C6141B" w:rsidRDefault="00BF6F75" w:rsidP="006F606B">
      <w:pPr>
        <w:rPr>
          <w:b/>
          <w:bCs/>
          <w:szCs w:val="24"/>
        </w:rPr>
      </w:pPr>
      <w:r w:rsidRPr="00C6141B">
        <w:rPr>
          <w:shd w:val="clear" w:color="auto" w:fill="FFFFFF"/>
        </w:rPr>
        <w:t>Keršytė, A. 2011. Capital budgeting process: Theoretical aspects. </w:t>
      </w:r>
      <w:r w:rsidRPr="00C6141B">
        <w:rPr>
          <w:rStyle w:val="html-italic"/>
          <w:rFonts w:cs="Times New Roman"/>
          <w:i/>
          <w:iCs/>
          <w:sz w:val="20"/>
          <w:szCs w:val="20"/>
          <w:shd w:val="clear" w:color="auto" w:fill="FFFFFF"/>
        </w:rPr>
        <w:t>Economics and Management</w:t>
      </w:r>
      <w:r w:rsidRPr="00C6141B">
        <w:rPr>
          <w:shd w:val="clear" w:color="auto" w:fill="FFFFFF"/>
        </w:rPr>
        <w:t>, 16, pp.1130–34.</w:t>
      </w:r>
    </w:p>
    <w:p w14:paraId="17F8367D" w14:textId="77777777" w:rsidR="00BF6F75" w:rsidRPr="00C6141B" w:rsidRDefault="00BF6F75" w:rsidP="006F606B">
      <w:pPr>
        <w:rPr>
          <w:rFonts w:cs="Times New Roman"/>
          <w:lang w:val="en-US"/>
        </w:rPr>
      </w:pPr>
      <w:r w:rsidRPr="00C6141B">
        <w:rPr>
          <w:rFonts w:cs="Times New Roman"/>
        </w:rPr>
        <w:t>London Stock Exchange, 2022. Publication of 2022 Annual and Climate Reports.</w:t>
      </w:r>
      <w:r w:rsidRPr="00C6141B">
        <w:rPr>
          <w:rFonts w:cs="Times New Roman"/>
          <w:lang w:val="en-US"/>
        </w:rPr>
        <w:t xml:space="preserve"> [Online]. Available at: </w:t>
      </w:r>
      <w:hyperlink r:id="rId29" w:history="1">
        <w:r w:rsidRPr="00C6141B">
          <w:rPr>
            <w:rStyle w:val="Hyperlink"/>
            <w:rFonts w:cs="Times New Roman"/>
            <w:lang w:val="en-US"/>
          </w:rPr>
          <w:t>https://www.londonstockexchange.com/news-article/GLEN/publication-of-2022-annual-and-climate-reports/15888772</w:t>
        </w:r>
      </w:hyperlink>
      <w:r w:rsidRPr="00C6141B">
        <w:rPr>
          <w:rFonts w:cs="Times New Roman"/>
          <w:lang w:val="en-US"/>
        </w:rPr>
        <w:t>. [Accessed on 24 April 2024].</w:t>
      </w:r>
    </w:p>
    <w:p w14:paraId="284F1E59" w14:textId="77777777" w:rsidR="00BF6F75" w:rsidRPr="00C6141B" w:rsidRDefault="00BF6F75" w:rsidP="006F606B">
      <w:pPr>
        <w:rPr>
          <w:rFonts w:cs="Times New Roman"/>
          <w:bCs/>
          <w:szCs w:val="24"/>
        </w:rPr>
      </w:pPr>
      <w:r w:rsidRPr="00C6141B">
        <w:rPr>
          <w:lang w:val="en-US"/>
        </w:rPr>
        <w:t xml:space="preserve">Market Beat, 2024. Glencore (GLEN) Competitors. [Online]. Available at: </w:t>
      </w:r>
      <w:hyperlink r:id="rId30" w:anchor="google_vignette" w:history="1">
        <w:r w:rsidRPr="00C6141B">
          <w:rPr>
            <w:rStyle w:val="Hyperlink"/>
            <w:lang w:val="en-US"/>
          </w:rPr>
          <w:t>https://www.marketbeat.com/stocks/LON/GLEN/competitors-and-alternatives/#google_vignette</w:t>
        </w:r>
      </w:hyperlink>
      <w:r w:rsidRPr="00C6141B">
        <w:rPr>
          <w:lang w:val="en-US"/>
        </w:rPr>
        <w:t xml:space="preserve">. </w:t>
      </w:r>
      <w:r w:rsidRPr="00C6141B">
        <w:rPr>
          <w:rFonts w:cs="Times New Roman"/>
          <w:bCs/>
          <w:szCs w:val="24"/>
        </w:rPr>
        <w:t>[Accessed on 19 July 2024].</w:t>
      </w:r>
    </w:p>
    <w:p w14:paraId="7E4BF400" w14:textId="77777777" w:rsidR="00BF6F75" w:rsidRPr="00C6141B" w:rsidRDefault="00BF6F75" w:rsidP="006F606B">
      <w:pPr>
        <w:rPr>
          <w:rFonts w:cs="Times New Roman"/>
          <w:szCs w:val="24"/>
        </w:rPr>
      </w:pPr>
      <w:r w:rsidRPr="00C6141B">
        <w:rPr>
          <w:rFonts w:cs="Times New Roman"/>
          <w:szCs w:val="24"/>
        </w:rPr>
        <w:t xml:space="preserve">Michelon, P. S., Lunkes, R. J., and Bornia, A. C. 2020. Capital budgeting: a systematic review of the literature. </w:t>
      </w:r>
      <w:r w:rsidRPr="00C6141B">
        <w:rPr>
          <w:rFonts w:cs="Times New Roman"/>
          <w:i/>
          <w:iCs/>
          <w:szCs w:val="24"/>
        </w:rPr>
        <w:t>Production</w:t>
      </w:r>
      <w:r w:rsidRPr="00C6141B">
        <w:rPr>
          <w:rFonts w:cs="Times New Roman"/>
          <w:szCs w:val="24"/>
        </w:rPr>
        <w:t xml:space="preserve"> 30, e20190020. </w:t>
      </w:r>
      <w:hyperlink r:id="rId31" w:history="1">
        <w:r w:rsidRPr="00C6141B">
          <w:rPr>
            <w:rStyle w:val="Hyperlink"/>
            <w:rFonts w:cs="Times New Roman"/>
            <w:color w:val="auto"/>
            <w:szCs w:val="24"/>
          </w:rPr>
          <w:t>https://doi.org/10.1590/0103-6513.20190020</w:t>
        </w:r>
      </w:hyperlink>
    </w:p>
    <w:p w14:paraId="42DCA2A1" w14:textId="77777777" w:rsidR="00BF6F75" w:rsidRPr="00C6141B" w:rsidRDefault="00BF6F75" w:rsidP="006F606B">
      <w:pPr>
        <w:rPr>
          <w:rFonts w:cs="Times New Roman"/>
          <w:szCs w:val="24"/>
        </w:rPr>
      </w:pPr>
      <w:r w:rsidRPr="00C6141B">
        <w:rPr>
          <w:rFonts w:cs="Times New Roman"/>
          <w:szCs w:val="24"/>
        </w:rPr>
        <w:t>Miletic, M. and Latinac, D., 2020. Internal rate of return method-a commonly used method with few advantages and many disadvantages?. In </w:t>
      </w:r>
      <w:r w:rsidRPr="00C6141B">
        <w:rPr>
          <w:rFonts w:cs="Times New Roman"/>
          <w:i/>
          <w:iCs/>
          <w:szCs w:val="24"/>
        </w:rPr>
        <w:t>4th Contemporary Issues In Economy &amp; Technology (CIET 2020)</w:t>
      </w:r>
      <w:r w:rsidRPr="00C6141B">
        <w:rPr>
          <w:rFonts w:cs="Times New Roman"/>
          <w:szCs w:val="24"/>
        </w:rPr>
        <w:t> (pp. 315-322).</w:t>
      </w:r>
    </w:p>
    <w:p w14:paraId="2557D36E" w14:textId="77777777" w:rsidR="00BF6F75" w:rsidRPr="00C6141B" w:rsidRDefault="00BF6F75" w:rsidP="006F606B">
      <w:pPr>
        <w:rPr>
          <w:rFonts w:cs="Times New Roman"/>
          <w:bCs/>
          <w:szCs w:val="24"/>
        </w:rPr>
      </w:pPr>
      <w:r w:rsidRPr="00C6141B">
        <w:rPr>
          <w:rFonts w:cs="Times New Roman"/>
          <w:bCs/>
          <w:szCs w:val="24"/>
          <w:lang w:val="en-US"/>
        </w:rPr>
        <w:lastRenderedPageBreak/>
        <w:t xml:space="preserve">Mining Technology, 2024. Glencore profit plunges in 2023 on reduced commodity prices. </w:t>
      </w:r>
      <w:r w:rsidRPr="00C6141B">
        <w:rPr>
          <w:lang w:val="en-US"/>
        </w:rPr>
        <w:t xml:space="preserve">[Online]. Available at: </w:t>
      </w:r>
      <w:hyperlink r:id="rId32" w:history="1">
        <w:r w:rsidRPr="00C6141B">
          <w:rPr>
            <w:rStyle w:val="Hyperlink"/>
            <w:lang w:val="en-US"/>
          </w:rPr>
          <w:t>https://www.mining-technology.com/news/glencore-profit-plunges-in-2023/?cf-view</w:t>
        </w:r>
      </w:hyperlink>
      <w:r w:rsidRPr="00C6141B">
        <w:rPr>
          <w:lang w:val="en-US"/>
        </w:rPr>
        <w:t xml:space="preserve">. </w:t>
      </w:r>
      <w:r w:rsidRPr="00C6141B">
        <w:rPr>
          <w:rFonts w:cs="Times New Roman"/>
          <w:bCs/>
          <w:szCs w:val="24"/>
        </w:rPr>
        <w:t>[Accessed on 19 July 2024].</w:t>
      </w:r>
    </w:p>
    <w:p w14:paraId="3556EDBE" w14:textId="77777777" w:rsidR="00BF6F75" w:rsidRPr="00C6141B" w:rsidRDefault="00BF6F75" w:rsidP="006F606B">
      <w:pPr>
        <w:rPr>
          <w:rFonts w:cs="Times New Roman"/>
          <w:szCs w:val="24"/>
          <w:shd w:val="clear" w:color="auto" w:fill="FFFFFF"/>
        </w:rPr>
      </w:pPr>
      <w:r w:rsidRPr="00C6141B">
        <w:rPr>
          <w:rFonts w:cs="Times New Roman"/>
          <w:szCs w:val="24"/>
          <w:shd w:val="clear" w:color="auto" w:fill="FFFFFF"/>
        </w:rPr>
        <w:t>Odhiambo, A., Koske, N. and Limo, P., 2022. Debt-Equity Ratio, CEO Power and Financial Performance of Listed Companies at the Nairobi Securities Exchange, Kenya. </w:t>
      </w:r>
      <w:r w:rsidRPr="00C6141B">
        <w:rPr>
          <w:rFonts w:cs="Times New Roman"/>
          <w:i/>
          <w:iCs/>
          <w:szCs w:val="24"/>
          <w:shd w:val="clear" w:color="auto" w:fill="FFFFFF"/>
        </w:rPr>
        <w:t>European Journal of Business and Management Research</w:t>
      </w:r>
      <w:r w:rsidRPr="00C6141B">
        <w:rPr>
          <w:rFonts w:cs="Times New Roman"/>
          <w:szCs w:val="24"/>
          <w:shd w:val="clear" w:color="auto" w:fill="FFFFFF"/>
        </w:rPr>
        <w:t>, </w:t>
      </w:r>
      <w:r w:rsidRPr="00C6141B">
        <w:rPr>
          <w:rFonts w:cs="Times New Roman"/>
          <w:i/>
          <w:iCs/>
          <w:szCs w:val="24"/>
          <w:shd w:val="clear" w:color="auto" w:fill="FFFFFF"/>
        </w:rPr>
        <w:t>7</w:t>
      </w:r>
      <w:r w:rsidRPr="00C6141B">
        <w:rPr>
          <w:rFonts w:cs="Times New Roman"/>
          <w:szCs w:val="24"/>
          <w:shd w:val="clear" w:color="auto" w:fill="FFFFFF"/>
        </w:rPr>
        <w:t>(2), pp.330-338.</w:t>
      </w:r>
    </w:p>
    <w:p w14:paraId="62EB5023" w14:textId="77777777" w:rsidR="00BF6F75" w:rsidRPr="00C6141B" w:rsidRDefault="00BF6F75" w:rsidP="006F606B">
      <w:pPr>
        <w:rPr>
          <w:rFonts w:cs="Times New Roman"/>
          <w:shd w:val="clear" w:color="auto" w:fill="FFFFFF"/>
        </w:rPr>
      </w:pPr>
      <w:r w:rsidRPr="00C6141B">
        <w:rPr>
          <w:rFonts w:cs="Times New Roman"/>
          <w:shd w:val="clear" w:color="auto" w:fill="FFFFFF"/>
        </w:rPr>
        <w:t>Oktavian, E. and Handoyo, S., 2023. The Effect of Leverage, Profitability, Liquidity Ratio, and Inflation towards Financial Distress: Study From the Manufacturing Industry in Indonesia. </w:t>
      </w:r>
      <w:r w:rsidRPr="00C6141B">
        <w:rPr>
          <w:rFonts w:cs="Times New Roman"/>
          <w:i/>
          <w:iCs/>
          <w:shd w:val="clear" w:color="auto" w:fill="FFFFFF"/>
        </w:rPr>
        <w:t>International Journal of Management Science and Application</w:t>
      </w:r>
      <w:r w:rsidRPr="00C6141B">
        <w:rPr>
          <w:rFonts w:cs="Times New Roman"/>
          <w:shd w:val="clear" w:color="auto" w:fill="FFFFFF"/>
        </w:rPr>
        <w:t>, </w:t>
      </w:r>
      <w:r w:rsidRPr="00C6141B">
        <w:rPr>
          <w:rFonts w:cs="Times New Roman"/>
          <w:i/>
          <w:iCs/>
          <w:shd w:val="clear" w:color="auto" w:fill="FFFFFF"/>
        </w:rPr>
        <w:t>2</w:t>
      </w:r>
      <w:r w:rsidRPr="00C6141B">
        <w:rPr>
          <w:rFonts w:cs="Times New Roman"/>
          <w:shd w:val="clear" w:color="auto" w:fill="FFFFFF"/>
        </w:rPr>
        <w:t>(1), pp.11-27.</w:t>
      </w:r>
    </w:p>
    <w:p w14:paraId="786E3ECE" w14:textId="77777777" w:rsidR="00BF6F75" w:rsidRPr="00C6141B" w:rsidRDefault="00BF6F75" w:rsidP="006F606B">
      <w:pPr>
        <w:rPr>
          <w:rFonts w:cs="Times New Roman"/>
          <w:szCs w:val="24"/>
          <w:shd w:val="clear" w:color="auto" w:fill="FFFFFF"/>
        </w:rPr>
      </w:pPr>
      <w:r w:rsidRPr="00C6141B">
        <w:rPr>
          <w:rFonts w:cs="Times New Roman"/>
          <w:szCs w:val="24"/>
          <w:shd w:val="clear" w:color="auto" w:fill="FFFFFF"/>
        </w:rPr>
        <w:t>Orobia, L.A., Nakibuuka, J., Bananuka, J. and Akisimire, R., 2020. Inventory management, managerial competence and financial performance of small businesses. </w:t>
      </w:r>
      <w:r w:rsidRPr="00C6141B">
        <w:rPr>
          <w:rFonts w:cs="Times New Roman"/>
          <w:i/>
          <w:iCs/>
          <w:szCs w:val="24"/>
          <w:shd w:val="clear" w:color="auto" w:fill="FFFFFF"/>
        </w:rPr>
        <w:t>Journal of Accounting in Emerging Economies</w:t>
      </w:r>
      <w:r w:rsidRPr="00C6141B">
        <w:rPr>
          <w:rFonts w:cs="Times New Roman"/>
          <w:szCs w:val="24"/>
          <w:shd w:val="clear" w:color="auto" w:fill="FFFFFF"/>
        </w:rPr>
        <w:t>, </w:t>
      </w:r>
      <w:r w:rsidRPr="00C6141B">
        <w:rPr>
          <w:rFonts w:cs="Times New Roman"/>
          <w:i/>
          <w:iCs/>
          <w:szCs w:val="24"/>
          <w:shd w:val="clear" w:color="auto" w:fill="FFFFFF"/>
        </w:rPr>
        <w:t>10</w:t>
      </w:r>
      <w:r w:rsidRPr="00C6141B">
        <w:rPr>
          <w:rFonts w:cs="Times New Roman"/>
          <w:szCs w:val="24"/>
          <w:shd w:val="clear" w:color="auto" w:fill="FFFFFF"/>
        </w:rPr>
        <w:t>(3), pp.379-398.</w:t>
      </w:r>
    </w:p>
    <w:p w14:paraId="386C5AD9" w14:textId="77777777" w:rsidR="00BF6F75" w:rsidRPr="00C6141B" w:rsidRDefault="00BF6F75" w:rsidP="006F606B">
      <w:pPr>
        <w:rPr>
          <w:rFonts w:cs="Times New Roman"/>
          <w:shd w:val="clear" w:color="auto" w:fill="FFFFFF"/>
        </w:rPr>
      </w:pPr>
      <w:r w:rsidRPr="00C6141B">
        <w:rPr>
          <w:rFonts w:cs="Times New Roman"/>
          <w:shd w:val="clear" w:color="auto" w:fill="FFFFFF"/>
        </w:rPr>
        <w:t>Pratiwi, A.P. and Noveria, A., 2023. The Impact of Financial Profitability Ratio to the Stock Returns of Telecommunication Company during the COVID-19 Pandemic in Indonesia. </w:t>
      </w:r>
      <w:r w:rsidRPr="00C6141B">
        <w:rPr>
          <w:rFonts w:cs="Times New Roman"/>
          <w:i/>
          <w:iCs/>
          <w:shd w:val="clear" w:color="auto" w:fill="FFFFFF"/>
        </w:rPr>
        <w:t>Keynesia: International Journal of Economy and Business</w:t>
      </w:r>
      <w:r w:rsidRPr="00C6141B">
        <w:rPr>
          <w:rFonts w:cs="Times New Roman"/>
          <w:shd w:val="clear" w:color="auto" w:fill="FFFFFF"/>
        </w:rPr>
        <w:t>, </w:t>
      </w:r>
      <w:r w:rsidRPr="00C6141B">
        <w:rPr>
          <w:rFonts w:cs="Times New Roman"/>
          <w:i/>
          <w:iCs/>
          <w:shd w:val="clear" w:color="auto" w:fill="FFFFFF"/>
        </w:rPr>
        <w:t>2</w:t>
      </w:r>
      <w:r w:rsidRPr="00C6141B">
        <w:rPr>
          <w:rFonts w:cs="Times New Roman"/>
          <w:shd w:val="clear" w:color="auto" w:fill="FFFFFF"/>
        </w:rPr>
        <w:t>(2), pp.104-115.</w:t>
      </w:r>
    </w:p>
    <w:p w14:paraId="2FE613F8" w14:textId="77777777" w:rsidR="00BF6F75" w:rsidRPr="00C6141B" w:rsidRDefault="00BF6F75" w:rsidP="006F606B">
      <w:pPr>
        <w:rPr>
          <w:rFonts w:cs="Times New Roman"/>
          <w:szCs w:val="24"/>
          <w:shd w:val="clear" w:color="auto" w:fill="FFFFFF"/>
        </w:rPr>
      </w:pPr>
      <w:r w:rsidRPr="00C6141B">
        <w:rPr>
          <w:rFonts w:cs="Times New Roman"/>
          <w:szCs w:val="24"/>
          <w:shd w:val="clear" w:color="auto" w:fill="FFFFFF"/>
        </w:rPr>
        <w:t>Rahayu, M. and Ilham, R.N., 2023. The Influence Of Cash Turnover, Receivables Turnover And Inventory Turnover On The Economic Profitability Of Registered Pharmaceutical Companies On The Indonesian Stock Exchange Period 2017-2021. </w:t>
      </w:r>
      <w:r w:rsidRPr="00C6141B">
        <w:rPr>
          <w:rFonts w:cs="Times New Roman"/>
          <w:i/>
          <w:iCs/>
          <w:szCs w:val="24"/>
          <w:shd w:val="clear" w:color="auto" w:fill="FFFFFF"/>
        </w:rPr>
        <w:t>Journal of Accounting Research, Utility Finance and Digital Assets</w:t>
      </w:r>
      <w:r w:rsidRPr="00C6141B">
        <w:rPr>
          <w:rFonts w:cs="Times New Roman"/>
          <w:szCs w:val="24"/>
          <w:shd w:val="clear" w:color="auto" w:fill="FFFFFF"/>
        </w:rPr>
        <w:t>, </w:t>
      </w:r>
      <w:r w:rsidRPr="00C6141B">
        <w:rPr>
          <w:rFonts w:cs="Times New Roman"/>
          <w:i/>
          <w:iCs/>
          <w:szCs w:val="24"/>
          <w:shd w:val="clear" w:color="auto" w:fill="FFFFFF"/>
        </w:rPr>
        <w:t>1</w:t>
      </w:r>
      <w:r w:rsidRPr="00C6141B">
        <w:rPr>
          <w:rFonts w:cs="Times New Roman"/>
          <w:szCs w:val="24"/>
          <w:shd w:val="clear" w:color="auto" w:fill="FFFFFF"/>
        </w:rPr>
        <w:t>(4), pp.336-341.</w:t>
      </w:r>
    </w:p>
    <w:p w14:paraId="2898E278" w14:textId="77777777" w:rsidR="00BF6F75" w:rsidRPr="00C6141B" w:rsidRDefault="00BF6F75" w:rsidP="006F606B">
      <w:pPr>
        <w:rPr>
          <w:rFonts w:cs="Times New Roman"/>
          <w:szCs w:val="24"/>
          <w:shd w:val="clear" w:color="auto" w:fill="FFFFFF"/>
        </w:rPr>
      </w:pPr>
      <w:r w:rsidRPr="00C6141B">
        <w:rPr>
          <w:rFonts w:cs="Times New Roman"/>
          <w:szCs w:val="24"/>
          <w:shd w:val="clear" w:color="auto" w:fill="FFFFFF"/>
        </w:rPr>
        <w:t>Rahmawati, Y. and Hadian, H.N., 2022. The influence of debt equity ratio (DER), earning per share (EPS), and price earning ratio (PER) on stock price. </w:t>
      </w:r>
      <w:r w:rsidRPr="00C6141B">
        <w:rPr>
          <w:rFonts w:cs="Times New Roman"/>
          <w:i/>
          <w:iCs/>
          <w:szCs w:val="24"/>
          <w:shd w:val="clear" w:color="auto" w:fill="FFFFFF"/>
        </w:rPr>
        <w:t>International Journal of Financial, Accounting, and Management</w:t>
      </w:r>
      <w:r w:rsidRPr="00C6141B">
        <w:rPr>
          <w:rFonts w:cs="Times New Roman"/>
          <w:szCs w:val="24"/>
          <w:shd w:val="clear" w:color="auto" w:fill="FFFFFF"/>
        </w:rPr>
        <w:t>, </w:t>
      </w:r>
      <w:r w:rsidRPr="00C6141B">
        <w:rPr>
          <w:rFonts w:cs="Times New Roman"/>
          <w:i/>
          <w:iCs/>
          <w:szCs w:val="24"/>
          <w:shd w:val="clear" w:color="auto" w:fill="FFFFFF"/>
        </w:rPr>
        <w:t>3</w:t>
      </w:r>
      <w:r w:rsidRPr="00C6141B">
        <w:rPr>
          <w:rFonts w:cs="Times New Roman"/>
          <w:szCs w:val="24"/>
          <w:shd w:val="clear" w:color="auto" w:fill="FFFFFF"/>
        </w:rPr>
        <w:t>(4), pp.289-300.</w:t>
      </w:r>
    </w:p>
    <w:p w14:paraId="0C34D31D" w14:textId="77777777" w:rsidR="00BF6F75" w:rsidRPr="00C6141B" w:rsidRDefault="00BF6F75" w:rsidP="006F606B">
      <w:pPr>
        <w:rPr>
          <w:rFonts w:cs="Times New Roman"/>
          <w:szCs w:val="24"/>
        </w:rPr>
      </w:pPr>
      <w:r w:rsidRPr="00C6141B">
        <w:rPr>
          <w:rFonts w:cs="Times New Roman"/>
          <w:szCs w:val="24"/>
        </w:rPr>
        <w:t>Reino, K., 2023. Glencore: transparency and sustainability.</w:t>
      </w:r>
    </w:p>
    <w:p w14:paraId="6193B7E1" w14:textId="77777777" w:rsidR="00BF6F75" w:rsidRPr="00C6141B" w:rsidRDefault="00BF6F75" w:rsidP="006F606B">
      <w:pPr>
        <w:rPr>
          <w:shd w:val="clear" w:color="auto" w:fill="FFFFFF"/>
        </w:rPr>
      </w:pPr>
      <w:r w:rsidRPr="00C6141B">
        <w:rPr>
          <w:shd w:val="clear" w:color="auto" w:fill="FFFFFF"/>
        </w:rPr>
        <w:t>Shwiyat, Z.M., Bataineh, A., Aljawarneh, N.M. and Al-Bataineh, O., 2024. Impact of capital budgeting techniques for investment decisions on optimising cost, in light of implementing MRPII systems: evidence from Jordan. </w:t>
      </w:r>
      <w:r w:rsidRPr="00C6141B">
        <w:rPr>
          <w:i/>
          <w:iCs/>
          <w:shd w:val="clear" w:color="auto" w:fill="FFFFFF"/>
        </w:rPr>
        <w:t>International Journal of Procurement Management</w:t>
      </w:r>
      <w:r w:rsidRPr="00C6141B">
        <w:rPr>
          <w:shd w:val="clear" w:color="auto" w:fill="FFFFFF"/>
        </w:rPr>
        <w:t>, </w:t>
      </w:r>
      <w:r w:rsidRPr="00C6141B">
        <w:rPr>
          <w:i/>
          <w:iCs/>
          <w:shd w:val="clear" w:color="auto" w:fill="FFFFFF"/>
        </w:rPr>
        <w:t>20</w:t>
      </w:r>
      <w:r w:rsidRPr="00C6141B">
        <w:rPr>
          <w:shd w:val="clear" w:color="auto" w:fill="FFFFFF"/>
        </w:rPr>
        <w:t>(4), pp.427-443.</w:t>
      </w:r>
    </w:p>
    <w:p w14:paraId="7B02235A" w14:textId="77777777" w:rsidR="00BF6F75" w:rsidRPr="00C6141B" w:rsidRDefault="00BF6F75" w:rsidP="006F606B">
      <w:pPr>
        <w:rPr>
          <w:rFonts w:cs="Times New Roman"/>
          <w:szCs w:val="24"/>
          <w:shd w:val="clear" w:color="auto" w:fill="FFFFFF"/>
        </w:rPr>
      </w:pPr>
      <w:r w:rsidRPr="00C6141B">
        <w:rPr>
          <w:rFonts w:cs="Times New Roman"/>
          <w:szCs w:val="24"/>
          <w:shd w:val="clear" w:color="auto" w:fill="FFFFFF"/>
        </w:rPr>
        <w:lastRenderedPageBreak/>
        <w:t>Siregar, Q.R. and Harahap, D.D., 2021. Influence Current Ratio, Debt to Equity Ratio and Total Asset Turnover on Return on Equity in the Transportation Sector Industry. </w:t>
      </w:r>
      <w:r w:rsidRPr="00C6141B">
        <w:rPr>
          <w:rFonts w:cs="Times New Roman"/>
          <w:i/>
          <w:iCs/>
          <w:szCs w:val="24"/>
          <w:shd w:val="clear" w:color="auto" w:fill="FFFFFF"/>
        </w:rPr>
        <w:t>International Journal of Business Economics (IJBE)</w:t>
      </w:r>
      <w:r w:rsidRPr="00C6141B">
        <w:rPr>
          <w:rFonts w:cs="Times New Roman"/>
          <w:szCs w:val="24"/>
          <w:shd w:val="clear" w:color="auto" w:fill="FFFFFF"/>
        </w:rPr>
        <w:t>, </w:t>
      </w:r>
      <w:r w:rsidRPr="00C6141B">
        <w:rPr>
          <w:rFonts w:cs="Times New Roman"/>
          <w:i/>
          <w:iCs/>
          <w:szCs w:val="24"/>
          <w:shd w:val="clear" w:color="auto" w:fill="FFFFFF"/>
        </w:rPr>
        <w:t>2</w:t>
      </w:r>
      <w:r w:rsidRPr="00C6141B">
        <w:rPr>
          <w:rFonts w:cs="Times New Roman"/>
          <w:szCs w:val="24"/>
          <w:shd w:val="clear" w:color="auto" w:fill="FFFFFF"/>
        </w:rPr>
        <w:t>(2), pp.99-112.</w:t>
      </w:r>
    </w:p>
    <w:p w14:paraId="1C133420" w14:textId="77777777" w:rsidR="00BF6F75" w:rsidRPr="00C6141B" w:rsidRDefault="00BF6F75" w:rsidP="006F606B">
      <w:pPr>
        <w:rPr>
          <w:shd w:val="clear" w:color="auto" w:fill="FFFFFF"/>
        </w:rPr>
      </w:pPr>
      <w:r w:rsidRPr="00C6141B">
        <w:rPr>
          <w:shd w:val="clear" w:color="auto" w:fill="FFFFFF"/>
        </w:rPr>
        <w:t>Sospeter, N.G. and Awuzie, B.O., 2024. Capital Budgeting Implementation by Public Sector Construction Firms in Tanzania's Housebuilding Industry: An Exploratory Study. </w:t>
      </w:r>
      <w:r w:rsidRPr="00C6141B">
        <w:rPr>
          <w:i/>
          <w:iCs/>
          <w:shd w:val="clear" w:color="auto" w:fill="FFFFFF"/>
        </w:rPr>
        <w:t>Journal of Construction in Developing Countries</w:t>
      </w:r>
      <w:r w:rsidRPr="00C6141B">
        <w:rPr>
          <w:shd w:val="clear" w:color="auto" w:fill="FFFFFF"/>
        </w:rPr>
        <w:t>, </w:t>
      </w:r>
      <w:r w:rsidRPr="00C6141B">
        <w:rPr>
          <w:i/>
          <w:iCs/>
          <w:shd w:val="clear" w:color="auto" w:fill="FFFFFF"/>
        </w:rPr>
        <w:t>29</w:t>
      </w:r>
      <w:r w:rsidRPr="00C6141B">
        <w:rPr>
          <w:shd w:val="clear" w:color="auto" w:fill="FFFFFF"/>
        </w:rPr>
        <w:t>(1), pp.87-109.</w:t>
      </w:r>
    </w:p>
    <w:p w14:paraId="27C36FFD" w14:textId="77777777" w:rsidR="00BF6F75" w:rsidRPr="00C6141B" w:rsidRDefault="00BF6F75" w:rsidP="006F606B">
      <w:pPr>
        <w:rPr>
          <w:rFonts w:cs="Times New Roman"/>
          <w:shd w:val="clear" w:color="auto" w:fill="FFFFFF"/>
        </w:rPr>
      </w:pPr>
      <w:r w:rsidRPr="00C6141B">
        <w:rPr>
          <w:rFonts w:cs="Times New Roman"/>
          <w:shd w:val="clear" w:color="auto" w:fill="FFFFFF"/>
        </w:rPr>
        <w:t>Tannady, H., Pahlawi, N., Hernawan, M.A., Arta, D.N.C. and Yusuf, S.D., 2023. Role of Stock Performance as an Intervening Variable in a Relationship Between Profitability, Leverage, Growth and Company Value. </w:t>
      </w:r>
      <w:r w:rsidRPr="00C6141B">
        <w:rPr>
          <w:rFonts w:cs="Times New Roman"/>
          <w:i/>
          <w:iCs/>
          <w:shd w:val="clear" w:color="auto" w:fill="FFFFFF"/>
        </w:rPr>
        <w:t>JEMSI (Jurnal Ekonomi, Manajemen, dan Akuntansi)</w:t>
      </w:r>
      <w:r w:rsidRPr="00C6141B">
        <w:rPr>
          <w:rFonts w:cs="Times New Roman"/>
          <w:shd w:val="clear" w:color="auto" w:fill="FFFFFF"/>
        </w:rPr>
        <w:t>, </w:t>
      </w:r>
      <w:r w:rsidRPr="00C6141B">
        <w:rPr>
          <w:rFonts w:cs="Times New Roman"/>
          <w:i/>
          <w:iCs/>
          <w:shd w:val="clear" w:color="auto" w:fill="FFFFFF"/>
        </w:rPr>
        <w:t>9</w:t>
      </w:r>
      <w:r w:rsidRPr="00C6141B">
        <w:rPr>
          <w:rFonts w:cs="Times New Roman"/>
          <w:shd w:val="clear" w:color="auto" w:fill="FFFFFF"/>
        </w:rPr>
        <w:t>(2), pp.220-225.</w:t>
      </w:r>
    </w:p>
    <w:p w14:paraId="0FAC17E0" w14:textId="77777777" w:rsidR="00BF6F75" w:rsidRPr="00C6141B" w:rsidRDefault="00BF6F75" w:rsidP="006F606B">
      <w:pPr>
        <w:rPr>
          <w:rFonts w:cs="Times New Roman"/>
          <w:szCs w:val="24"/>
          <w:shd w:val="clear" w:color="auto" w:fill="FFFFFF"/>
        </w:rPr>
      </w:pPr>
      <w:r w:rsidRPr="00C6141B">
        <w:rPr>
          <w:rFonts w:cs="Times New Roman"/>
          <w:szCs w:val="24"/>
          <w:shd w:val="clear" w:color="auto" w:fill="FFFFFF"/>
        </w:rPr>
        <w:t>Tarsono, O., 2021. The effect of debt equity ratio, return on equity, net profit margin on stock prices. </w:t>
      </w:r>
      <w:r w:rsidRPr="00C6141B">
        <w:rPr>
          <w:rFonts w:cs="Times New Roman"/>
          <w:i/>
          <w:iCs/>
          <w:szCs w:val="24"/>
          <w:shd w:val="clear" w:color="auto" w:fill="FFFFFF"/>
        </w:rPr>
        <w:t>International Journal of Social Science</w:t>
      </w:r>
      <w:r w:rsidRPr="00C6141B">
        <w:rPr>
          <w:rFonts w:cs="Times New Roman"/>
          <w:szCs w:val="24"/>
          <w:shd w:val="clear" w:color="auto" w:fill="FFFFFF"/>
        </w:rPr>
        <w:t>, </w:t>
      </w:r>
      <w:r w:rsidRPr="00C6141B">
        <w:rPr>
          <w:rFonts w:cs="Times New Roman"/>
          <w:i/>
          <w:iCs/>
          <w:szCs w:val="24"/>
          <w:shd w:val="clear" w:color="auto" w:fill="FFFFFF"/>
        </w:rPr>
        <w:t>1</w:t>
      </w:r>
      <w:r w:rsidRPr="00C6141B">
        <w:rPr>
          <w:rFonts w:cs="Times New Roman"/>
          <w:szCs w:val="24"/>
          <w:shd w:val="clear" w:color="auto" w:fill="FFFFFF"/>
        </w:rPr>
        <w:t>(4), pp.393-398.</w:t>
      </w:r>
    </w:p>
    <w:p w14:paraId="581CB37B" w14:textId="77777777" w:rsidR="00BF6F75" w:rsidRPr="00C6141B" w:rsidRDefault="00BF6F75" w:rsidP="006F606B">
      <w:pPr>
        <w:rPr>
          <w:rFonts w:cs="Times New Roman"/>
          <w:lang w:val="en-US"/>
        </w:rPr>
      </w:pPr>
      <w:r w:rsidRPr="00C6141B">
        <w:rPr>
          <w:rFonts w:cs="Times New Roman"/>
          <w:lang w:val="en-US"/>
        </w:rPr>
        <w:t xml:space="preserve">Thomas, D., 2022. DR Congo: Miner Glencore pays $180m in latest corruption case. [Online]. Available at: </w:t>
      </w:r>
      <w:hyperlink r:id="rId33" w:history="1">
        <w:r w:rsidRPr="00C6141B">
          <w:rPr>
            <w:rStyle w:val="Hyperlink"/>
            <w:rFonts w:cs="Times New Roman"/>
            <w:lang w:val="en-US"/>
          </w:rPr>
          <w:t>https://www.bbc.com/news/business-63858295</w:t>
        </w:r>
      </w:hyperlink>
      <w:r w:rsidRPr="00C6141B">
        <w:rPr>
          <w:rFonts w:cs="Times New Roman"/>
          <w:lang w:val="en-US"/>
        </w:rPr>
        <w:t>. [Accessed on 24 April 2024].</w:t>
      </w:r>
    </w:p>
    <w:p w14:paraId="601E5DFB" w14:textId="77777777" w:rsidR="00BF6F75" w:rsidRPr="00C6141B" w:rsidRDefault="00BF6F75" w:rsidP="006F606B">
      <w:pPr>
        <w:rPr>
          <w:rFonts w:cs="Times New Roman"/>
          <w:shd w:val="clear" w:color="auto" w:fill="FFFFFF"/>
        </w:rPr>
      </w:pPr>
      <w:r w:rsidRPr="00C6141B">
        <w:rPr>
          <w:rFonts w:cs="Times New Roman"/>
          <w:shd w:val="clear" w:color="auto" w:fill="FFFFFF"/>
        </w:rPr>
        <w:t>Toumeh, A.A., Yahya, S. and Amran, A., 2023. Surplus free cash flow, stock market segmentations and earnings management: The moderating role of independent audit committee. </w:t>
      </w:r>
      <w:r w:rsidRPr="00C6141B">
        <w:rPr>
          <w:rFonts w:cs="Times New Roman"/>
          <w:i/>
          <w:iCs/>
          <w:shd w:val="clear" w:color="auto" w:fill="FFFFFF"/>
        </w:rPr>
        <w:t>Global Business Review</w:t>
      </w:r>
      <w:r w:rsidRPr="00C6141B">
        <w:rPr>
          <w:rFonts w:cs="Times New Roman"/>
          <w:shd w:val="clear" w:color="auto" w:fill="FFFFFF"/>
        </w:rPr>
        <w:t>, </w:t>
      </w:r>
      <w:r w:rsidRPr="00C6141B">
        <w:rPr>
          <w:rFonts w:cs="Times New Roman"/>
          <w:i/>
          <w:iCs/>
          <w:shd w:val="clear" w:color="auto" w:fill="FFFFFF"/>
        </w:rPr>
        <w:t>24</w:t>
      </w:r>
      <w:r w:rsidRPr="00C6141B">
        <w:rPr>
          <w:rFonts w:cs="Times New Roman"/>
          <w:shd w:val="clear" w:color="auto" w:fill="FFFFFF"/>
        </w:rPr>
        <w:t>(6), pp.1353-1382.</w:t>
      </w:r>
    </w:p>
    <w:p w14:paraId="08086065" w14:textId="77777777" w:rsidR="00BF6F75" w:rsidRPr="00181D74" w:rsidRDefault="00BF6F75" w:rsidP="006F606B">
      <w:pPr>
        <w:rPr>
          <w:rFonts w:cs="Times New Roman"/>
          <w:szCs w:val="24"/>
          <w:lang w:val="en-US"/>
        </w:rPr>
      </w:pPr>
      <w:r w:rsidRPr="00C6141B">
        <w:rPr>
          <w:rFonts w:cs="Times New Roman"/>
          <w:szCs w:val="24"/>
        </w:rPr>
        <w:t>Zhang, S., 2021, December. Comparison of different investment decisions linked with discount rate. In </w:t>
      </w:r>
      <w:r w:rsidRPr="00C6141B">
        <w:rPr>
          <w:rFonts w:cs="Times New Roman"/>
          <w:i/>
          <w:iCs/>
          <w:szCs w:val="24"/>
        </w:rPr>
        <w:t>2021 3rd International Conference on Economic Management and Cultural Industry (ICEMCI 2021)</w:t>
      </w:r>
      <w:r w:rsidRPr="00C6141B">
        <w:rPr>
          <w:rFonts w:cs="Times New Roman"/>
          <w:szCs w:val="24"/>
        </w:rPr>
        <w:t> (pp. 2076-2080). Atlantis Press.</w:t>
      </w:r>
    </w:p>
    <w:sectPr w:rsidR="00BF6F75" w:rsidRPr="00181D74" w:rsidSect="00E904E1">
      <w:headerReference w:type="even" r:id="rId34"/>
      <w:headerReference w:type="default" r:id="rId35"/>
      <w:footerReference w:type="even" r:id="rId36"/>
      <w:footerReference w:type="default" r:id="rId37"/>
      <w:headerReference w:type="first" r:id="rId38"/>
      <w:footerReference w:type="first" r:id="rId39"/>
      <w:pgSz w:w="11906" w:h="16838"/>
      <w:pgMar w:top="1440" w:right="1440" w:bottom="1440" w:left="1440" w:header="720" w:footer="72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38FCDF" w14:textId="77777777" w:rsidR="00B46390" w:rsidRDefault="00B46390" w:rsidP="00DC1915">
      <w:pPr>
        <w:spacing w:after="0" w:line="240" w:lineRule="auto"/>
      </w:pPr>
      <w:r>
        <w:separator/>
      </w:r>
    </w:p>
  </w:endnote>
  <w:endnote w:type="continuationSeparator" w:id="0">
    <w:p w14:paraId="5CB31A51" w14:textId="77777777" w:rsidR="00B46390" w:rsidRDefault="00B46390" w:rsidP="00DC19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FE0F1A" w14:textId="77777777" w:rsidR="0035494A" w:rsidRDefault="003549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45121739"/>
      <w:docPartObj>
        <w:docPartGallery w:val="Page Numbers (Bottom of Page)"/>
        <w:docPartUnique/>
      </w:docPartObj>
    </w:sdtPr>
    <w:sdtEndPr>
      <w:rPr>
        <w:noProof/>
      </w:rPr>
    </w:sdtEndPr>
    <w:sdtContent>
      <w:p w14:paraId="6E845E2A" w14:textId="77777777" w:rsidR="0035494A" w:rsidRDefault="00000000">
        <w:pPr>
          <w:pStyle w:val="Footer"/>
          <w:jc w:val="right"/>
        </w:pPr>
        <w:r>
          <w:fldChar w:fldCharType="begin"/>
        </w:r>
        <w:r>
          <w:instrText xml:space="preserve"> PAGE   \* MERGEFORMAT </w:instrText>
        </w:r>
        <w:r>
          <w:fldChar w:fldCharType="separate"/>
        </w:r>
        <w:r w:rsidR="00F30F02">
          <w:rPr>
            <w:noProof/>
          </w:rPr>
          <w:t>1</w:t>
        </w:r>
        <w:r>
          <w:rPr>
            <w:noProof/>
          </w:rPr>
          <w:fldChar w:fldCharType="end"/>
        </w:r>
      </w:p>
    </w:sdtContent>
  </w:sdt>
  <w:p w14:paraId="671D6E76" w14:textId="77777777" w:rsidR="0035494A" w:rsidRDefault="0035494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F4D338" w14:textId="77777777" w:rsidR="0035494A" w:rsidRDefault="003549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0E48C4" w14:textId="77777777" w:rsidR="00B46390" w:rsidRDefault="00B46390" w:rsidP="00DC1915">
      <w:pPr>
        <w:spacing w:after="0" w:line="240" w:lineRule="auto"/>
      </w:pPr>
      <w:r>
        <w:separator/>
      </w:r>
    </w:p>
  </w:footnote>
  <w:footnote w:type="continuationSeparator" w:id="0">
    <w:p w14:paraId="37733215" w14:textId="77777777" w:rsidR="00B46390" w:rsidRDefault="00B46390" w:rsidP="00DC19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AAB702" w14:textId="77777777" w:rsidR="0035494A" w:rsidRDefault="003549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C8DCCD" w14:textId="77777777" w:rsidR="0035494A" w:rsidRDefault="0035494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C314C4" w14:textId="77777777" w:rsidR="0035494A" w:rsidRDefault="003549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6333928"/>
    <w:multiLevelType w:val="hybridMultilevel"/>
    <w:tmpl w:val="06AC6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188560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tTAxNLawNDUzt7S0sDBV0lEKTi0uzszPAykwrAUAEXqLxiwAAAA="/>
  </w:docVars>
  <w:rsids>
    <w:rsidRoot w:val="00DC1915"/>
    <w:rsid w:val="000060BE"/>
    <w:rsid w:val="00007233"/>
    <w:rsid w:val="00011192"/>
    <w:rsid w:val="00034F95"/>
    <w:rsid w:val="00036A91"/>
    <w:rsid w:val="00076BF8"/>
    <w:rsid w:val="00083698"/>
    <w:rsid w:val="000A452F"/>
    <w:rsid w:val="000C1213"/>
    <w:rsid w:val="000D5C1B"/>
    <w:rsid w:val="000E0E77"/>
    <w:rsid w:val="000E588F"/>
    <w:rsid w:val="0010663B"/>
    <w:rsid w:val="00115D73"/>
    <w:rsid w:val="001349D9"/>
    <w:rsid w:val="00181D74"/>
    <w:rsid w:val="001A70C2"/>
    <w:rsid w:val="001B575D"/>
    <w:rsid w:val="001D72A6"/>
    <w:rsid w:val="001E2013"/>
    <w:rsid w:val="001E7774"/>
    <w:rsid w:val="00213737"/>
    <w:rsid w:val="00226865"/>
    <w:rsid w:val="00234C7E"/>
    <w:rsid w:val="00247CB0"/>
    <w:rsid w:val="002607ED"/>
    <w:rsid w:val="00297D01"/>
    <w:rsid w:val="002A2EC2"/>
    <w:rsid w:val="002C02D1"/>
    <w:rsid w:val="002C2C89"/>
    <w:rsid w:val="002C54C4"/>
    <w:rsid w:val="002C7042"/>
    <w:rsid w:val="002D6681"/>
    <w:rsid w:val="0033219C"/>
    <w:rsid w:val="00333583"/>
    <w:rsid w:val="00351FB0"/>
    <w:rsid w:val="0035494A"/>
    <w:rsid w:val="0036185A"/>
    <w:rsid w:val="00367EF6"/>
    <w:rsid w:val="003753FF"/>
    <w:rsid w:val="0038133E"/>
    <w:rsid w:val="003842AF"/>
    <w:rsid w:val="0038444C"/>
    <w:rsid w:val="00397EED"/>
    <w:rsid w:val="003A3C86"/>
    <w:rsid w:val="003B56F9"/>
    <w:rsid w:val="003B6B77"/>
    <w:rsid w:val="003E6693"/>
    <w:rsid w:val="003F073E"/>
    <w:rsid w:val="003F6B10"/>
    <w:rsid w:val="0041357F"/>
    <w:rsid w:val="00474741"/>
    <w:rsid w:val="004817F9"/>
    <w:rsid w:val="004A79E9"/>
    <w:rsid w:val="004E535E"/>
    <w:rsid w:val="004F6122"/>
    <w:rsid w:val="005021D5"/>
    <w:rsid w:val="0051383E"/>
    <w:rsid w:val="00516A58"/>
    <w:rsid w:val="00522E84"/>
    <w:rsid w:val="00523CD6"/>
    <w:rsid w:val="00530BC7"/>
    <w:rsid w:val="00546678"/>
    <w:rsid w:val="0058106A"/>
    <w:rsid w:val="00581BB0"/>
    <w:rsid w:val="005857F6"/>
    <w:rsid w:val="00587F5A"/>
    <w:rsid w:val="00592A05"/>
    <w:rsid w:val="00595CED"/>
    <w:rsid w:val="005971E5"/>
    <w:rsid w:val="00597A32"/>
    <w:rsid w:val="005B31A0"/>
    <w:rsid w:val="005B7676"/>
    <w:rsid w:val="005C1953"/>
    <w:rsid w:val="005E0A0F"/>
    <w:rsid w:val="005E22CC"/>
    <w:rsid w:val="00613E9B"/>
    <w:rsid w:val="0061509D"/>
    <w:rsid w:val="00616B25"/>
    <w:rsid w:val="00645562"/>
    <w:rsid w:val="00652AF2"/>
    <w:rsid w:val="0066565E"/>
    <w:rsid w:val="00680D0F"/>
    <w:rsid w:val="00697FA1"/>
    <w:rsid w:val="006A2388"/>
    <w:rsid w:val="006B1C76"/>
    <w:rsid w:val="006C1F38"/>
    <w:rsid w:val="006C60C0"/>
    <w:rsid w:val="006C6128"/>
    <w:rsid w:val="006D2EDF"/>
    <w:rsid w:val="006E4874"/>
    <w:rsid w:val="006F606B"/>
    <w:rsid w:val="00745A30"/>
    <w:rsid w:val="007C486F"/>
    <w:rsid w:val="0082524B"/>
    <w:rsid w:val="00825CAC"/>
    <w:rsid w:val="00837787"/>
    <w:rsid w:val="008704E9"/>
    <w:rsid w:val="00883B26"/>
    <w:rsid w:val="00890764"/>
    <w:rsid w:val="008A2026"/>
    <w:rsid w:val="008B0A66"/>
    <w:rsid w:val="008B28E4"/>
    <w:rsid w:val="008B43DA"/>
    <w:rsid w:val="008B5741"/>
    <w:rsid w:val="008D4CA0"/>
    <w:rsid w:val="00905296"/>
    <w:rsid w:val="00914544"/>
    <w:rsid w:val="0092772B"/>
    <w:rsid w:val="00936B69"/>
    <w:rsid w:val="009638E4"/>
    <w:rsid w:val="009756F1"/>
    <w:rsid w:val="009818B4"/>
    <w:rsid w:val="00981B31"/>
    <w:rsid w:val="009845F7"/>
    <w:rsid w:val="009A078E"/>
    <w:rsid w:val="009D089A"/>
    <w:rsid w:val="009E33E5"/>
    <w:rsid w:val="009F6675"/>
    <w:rsid w:val="00A21518"/>
    <w:rsid w:val="00A2717A"/>
    <w:rsid w:val="00A302A6"/>
    <w:rsid w:val="00A31692"/>
    <w:rsid w:val="00A45FA5"/>
    <w:rsid w:val="00A46B11"/>
    <w:rsid w:val="00A62212"/>
    <w:rsid w:val="00AA68C0"/>
    <w:rsid w:val="00AA7395"/>
    <w:rsid w:val="00AA7F9B"/>
    <w:rsid w:val="00AB61AD"/>
    <w:rsid w:val="00AD322A"/>
    <w:rsid w:val="00AE69B3"/>
    <w:rsid w:val="00B04A5D"/>
    <w:rsid w:val="00B3018C"/>
    <w:rsid w:val="00B46390"/>
    <w:rsid w:val="00B53931"/>
    <w:rsid w:val="00B614BD"/>
    <w:rsid w:val="00B732EB"/>
    <w:rsid w:val="00B829A1"/>
    <w:rsid w:val="00B90060"/>
    <w:rsid w:val="00B90EB9"/>
    <w:rsid w:val="00BA29BC"/>
    <w:rsid w:val="00BB2034"/>
    <w:rsid w:val="00BB2C0F"/>
    <w:rsid w:val="00BC62E6"/>
    <w:rsid w:val="00BC6700"/>
    <w:rsid w:val="00BF6F75"/>
    <w:rsid w:val="00C1158B"/>
    <w:rsid w:val="00C11FFD"/>
    <w:rsid w:val="00C162BC"/>
    <w:rsid w:val="00C30614"/>
    <w:rsid w:val="00C34D22"/>
    <w:rsid w:val="00C405A4"/>
    <w:rsid w:val="00C55721"/>
    <w:rsid w:val="00C60716"/>
    <w:rsid w:val="00C6141B"/>
    <w:rsid w:val="00C619BB"/>
    <w:rsid w:val="00C769BC"/>
    <w:rsid w:val="00C812D1"/>
    <w:rsid w:val="00C84D90"/>
    <w:rsid w:val="00CB27CD"/>
    <w:rsid w:val="00CB69E5"/>
    <w:rsid w:val="00CD39C0"/>
    <w:rsid w:val="00D21ED1"/>
    <w:rsid w:val="00D27B53"/>
    <w:rsid w:val="00D55E3C"/>
    <w:rsid w:val="00D56832"/>
    <w:rsid w:val="00D76685"/>
    <w:rsid w:val="00DA4CAC"/>
    <w:rsid w:val="00DC1915"/>
    <w:rsid w:val="00DC48D6"/>
    <w:rsid w:val="00DC6E8B"/>
    <w:rsid w:val="00DE79A4"/>
    <w:rsid w:val="00DF22D2"/>
    <w:rsid w:val="00DF7F28"/>
    <w:rsid w:val="00E0286B"/>
    <w:rsid w:val="00E051F2"/>
    <w:rsid w:val="00E37A0A"/>
    <w:rsid w:val="00E40D1F"/>
    <w:rsid w:val="00E5745A"/>
    <w:rsid w:val="00E615DD"/>
    <w:rsid w:val="00E617A9"/>
    <w:rsid w:val="00E6361C"/>
    <w:rsid w:val="00E8027C"/>
    <w:rsid w:val="00E8316C"/>
    <w:rsid w:val="00E904E1"/>
    <w:rsid w:val="00F0133B"/>
    <w:rsid w:val="00F01B42"/>
    <w:rsid w:val="00F22080"/>
    <w:rsid w:val="00F306C9"/>
    <w:rsid w:val="00F30F02"/>
    <w:rsid w:val="00F3127C"/>
    <w:rsid w:val="00F41AF0"/>
    <w:rsid w:val="00F43BE1"/>
    <w:rsid w:val="00F4707A"/>
    <w:rsid w:val="00F500FA"/>
    <w:rsid w:val="00F60649"/>
    <w:rsid w:val="00F644CD"/>
    <w:rsid w:val="00F74879"/>
    <w:rsid w:val="00F847A5"/>
    <w:rsid w:val="00F908D3"/>
    <w:rsid w:val="00F90A41"/>
    <w:rsid w:val="00FA11E0"/>
    <w:rsid w:val="00FB3064"/>
    <w:rsid w:val="00FB5987"/>
    <w:rsid w:val="00FC1A86"/>
    <w:rsid w:val="00FC2B65"/>
    <w:rsid w:val="00FD7CDA"/>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A8FA75"/>
  <w15:docId w15:val="{27D682AD-7526-4AEF-B0AB-4AD865354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7F2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F7F28"/>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0E0E77"/>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92772B"/>
    <w:pPr>
      <w:keepNext/>
      <w:keepLines/>
      <w:spacing w:before="8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19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1915"/>
  </w:style>
  <w:style w:type="paragraph" w:styleId="Footer">
    <w:name w:val="footer"/>
    <w:basedOn w:val="Normal"/>
    <w:link w:val="FooterChar"/>
    <w:uiPriority w:val="99"/>
    <w:unhideWhenUsed/>
    <w:rsid w:val="00DC19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1915"/>
  </w:style>
  <w:style w:type="character" w:customStyle="1" w:styleId="Heading1Char">
    <w:name w:val="Heading 1 Char"/>
    <w:basedOn w:val="DefaultParagraphFont"/>
    <w:link w:val="Heading1"/>
    <w:uiPriority w:val="9"/>
    <w:rsid w:val="00DF7F28"/>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0E0E77"/>
    <w:rPr>
      <w:rFonts w:ascii="Times New Roman" w:eastAsiaTheme="majorEastAsia" w:hAnsi="Times New Roman" w:cstheme="majorBidi"/>
      <w:b/>
      <w:bCs/>
      <w:sz w:val="24"/>
      <w:szCs w:val="26"/>
    </w:rPr>
  </w:style>
  <w:style w:type="character" w:customStyle="1" w:styleId="Heading3Char">
    <w:name w:val="Heading 3 Char"/>
    <w:basedOn w:val="DefaultParagraphFont"/>
    <w:link w:val="Heading3"/>
    <w:uiPriority w:val="9"/>
    <w:rsid w:val="0092772B"/>
    <w:rPr>
      <w:rFonts w:ascii="Times New Roman" w:eastAsiaTheme="majorEastAsia" w:hAnsi="Times New Roman" w:cstheme="majorBidi"/>
      <w:b/>
      <w:bCs/>
      <w:sz w:val="24"/>
    </w:rPr>
  </w:style>
  <w:style w:type="paragraph" w:styleId="TOCHeading">
    <w:name w:val="TOC Heading"/>
    <w:basedOn w:val="Heading1"/>
    <w:next w:val="Normal"/>
    <w:uiPriority w:val="39"/>
    <w:semiHidden/>
    <w:unhideWhenUsed/>
    <w:qFormat/>
    <w:rsid w:val="0036185A"/>
    <w:pPr>
      <w:outlineLvl w:val="9"/>
    </w:pPr>
    <w:rPr>
      <w:lang w:val="en-US" w:eastAsia="ja-JP"/>
    </w:rPr>
  </w:style>
  <w:style w:type="paragraph" w:styleId="TOC1">
    <w:name w:val="toc 1"/>
    <w:basedOn w:val="Normal"/>
    <w:next w:val="Normal"/>
    <w:autoRedefine/>
    <w:uiPriority w:val="39"/>
    <w:unhideWhenUsed/>
    <w:rsid w:val="0036185A"/>
    <w:pPr>
      <w:spacing w:after="100"/>
    </w:pPr>
  </w:style>
  <w:style w:type="paragraph" w:styleId="TOC2">
    <w:name w:val="toc 2"/>
    <w:basedOn w:val="Normal"/>
    <w:next w:val="Normal"/>
    <w:autoRedefine/>
    <w:uiPriority w:val="39"/>
    <w:unhideWhenUsed/>
    <w:rsid w:val="0036185A"/>
    <w:pPr>
      <w:spacing w:after="100"/>
      <w:ind w:left="220"/>
    </w:pPr>
  </w:style>
  <w:style w:type="paragraph" w:styleId="TOC3">
    <w:name w:val="toc 3"/>
    <w:basedOn w:val="Normal"/>
    <w:next w:val="Normal"/>
    <w:autoRedefine/>
    <w:uiPriority w:val="39"/>
    <w:unhideWhenUsed/>
    <w:rsid w:val="0036185A"/>
    <w:pPr>
      <w:spacing w:after="100"/>
      <w:ind w:left="440"/>
    </w:pPr>
  </w:style>
  <w:style w:type="character" w:styleId="Hyperlink">
    <w:name w:val="Hyperlink"/>
    <w:basedOn w:val="DefaultParagraphFont"/>
    <w:uiPriority w:val="99"/>
    <w:unhideWhenUsed/>
    <w:rsid w:val="0036185A"/>
    <w:rPr>
      <w:color w:val="0563C1" w:themeColor="hyperlink"/>
      <w:u w:val="single"/>
    </w:rPr>
  </w:style>
  <w:style w:type="paragraph" w:styleId="BalloonText">
    <w:name w:val="Balloon Text"/>
    <w:basedOn w:val="Normal"/>
    <w:link w:val="BalloonTextChar"/>
    <w:uiPriority w:val="99"/>
    <w:semiHidden/>
    <w:unhideWhenUsed/>
    <w:rsid w:val="003618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185A"/>
    <w:rPr>
      <w:rFonts w:ascii="Tahoma" w:hAnsi="Tahoma" w:cs="Tahoma"/>
      <w:sz w:val="16"/>
      <w:szCs w:val="16"/>
    </w:rPr>
  </w:style>
  <w:style w:type="table" w:styleId="TableGrid">
    <w:name w:val="Table Grid"/>
    <w:basedOn w:val="TableNormal"/>
    <w:uiPriority w:val="59"/>
    <w:rsid w:val="000111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769BC"/>
    <w:pPr>
      <w:spacing w:line="240" w:lineRule="auto"/>
    </w:pPr>
    <w:rPr>
      <w:b/>
      <w:bCs/>
      <w:color w:val="4472C4" w:themeColor="accent1"/>
      <w:sz w:val="18"/>
      <w:szCs w:val="18"/>
    </w:rPr>
  </w:style>
  <w:style w:type="paragraph" w:styleId="Title">
    <w:name w:val="Title"/>
    <w:basedOn w:val="Normal"/>
    <w:next w:val="Normal"/>
    <w:link w:val="TitleChar"/>
    <w:uiPriority w:val="10"/>
    <w:qFormat/>
    <w:rsid w:val="00C619BB"/>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C619BB"/>
    <w:rPr>
      <w:rFonts w:asciiTheme="majorHAnsi" w:eastAsiaTheme="majorEastAsia" w:hAnsiTheme="majorHAnsi" w:cstheme="majorBidi"/>
      <w:color w:val="323E4F" w:themeColor="text2" w:themeShade="BF"/>
      <w:spacing w:val="5"/>
      <w:kern w:val="28"/>
      <w:sz w:val="52"/>
      <w:szCs w:val="52"/>
    </w:rPr>
  </w:style>
  <w:style w:type="paragraph" w:styleId="ListParagraph">
    <w:name w:val="List Paragraph"/>
    <w:basedOn w:val="Normal"/>
    <w:uiPriority w:val="34"/>
    <w:qFormat/>
    <w:rsid w:val="00CB69E5"/>
    <w:pPr>
      <w:spacing w:after="160" w:line="259" w:lineRule="auto"/>
      <w:ind w:left="720"/>
      <w:contextualSpacing/>
      <w:jc w:val="left"/>
    </w:pPr>
    <w:rPr>
      <w:rFonts w:asciiTheme="minorHAnsi" w:hAnsiTheme="minorHAnsi"/>
      <w:sz w:val="22"/>
      <w:lang w:val="en-US"/>
    </w:rPr>
  </w:style>
  <w:style w:type="character" w:customStyle="1" w:styleId="ff1">
    <w:name w:val="ff1"/>
    <w:basedOn w:val="DefaultParagraphFont"/>
    <w:rsid w:val="00697FA1"/>
  </w:style>
  <w:style w:type="character" w:customStyle="1" w:styleId="ff4">
    <w:name w:val="ff4"/>
    <w:basedOn w:val="DefaultParagraphFont"/>
    <w:rsid w:val="00697FA1"/>
  </w:style>
  <w:style w:type="character" w:customStyle="1" w:styleId="html-italic">
    <w:name w:val="html-italic"/>
    <w:basedOn w:val="DefaultParagraphFont"/>
    <w:rsid w:val="002C2C89"/>
  </w:style>
  <w:style w:type="character" w:styleId="UnresolvedMention">
    <w:name w:val="Unresolved Mention"/>
    <w:basedOn w:val="DefaultParagraphFont"/>
    <w:uiPriority w:val="99"/>
    <w:semiHidden/>
    <w:unhideWhenUsed/>
    <w:rsid w:val="00A271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72772">
      <w:bodyDiv w:val="1"/>
      <w:marLeft w:val="0"/>
      <w:marRight w:val="0"/>
      <w:marTop w:val="0"/>
      <w:marBottom w:val="0"/>
      <w:divBdr>
        <w:top w:val="none" w:sz="0" w:space="0" w:color="auto"/>
        <w:left w:val="none" w:sz="0" w:space="0" w:color="auto"/>
        <w:bottom w:val="none" w:sz="0" w:space="0" w:color="auto"/>
        <w:right w:val="none" w:sz="0" w:space="0" w:color="auto"/>
      </w:divBdr>
    </w:div>
    <w:div w:id="209340714">
      <w:bodyDiv w:val="1"/>
      <w:marLeft w:val="0"/>
      <w:marRight w:val="0"/>
      <w:marTop w:val="0"/>
      <w:marBottom w:val="0"/>
      <w:divBdr>
        <w:top w:val="none" w:sz="0" w:space="0" w:color="auto"/>
        <w:left w:val="none" w:sz="0" w:space="0" w:color="auto"/>
        <w:bottom w:val="none" w:sz="0" w:space="0" w:color="auto"/>
        <w:right w:val="none" w:sz="0" w:space="0" w:color="auto"/>
      </w:divBdr>
    </w:div>
    <w:div w:id="333461613">
      <w:bodyDiv w:val="1"/>
      <w:marLeft w:val="0"/>
      <w:marRight w:val="0"/>
      <w:marTop w:val="0"/>
      <w:marBottom w:val="0"/>
      <w:divBdr>
        <w:top w:val="none" w:sz="0" w:space="0" w:color="auto"/>
        <w:left w:val="none" w:sz="0" w:space="0" w:color="auto"/>
        <w:bottom w:val="none" w:sz="0" w:space="0" w:color="auto"/>
        <w:right w:val="none" w:sz="0" w:space="0" w:color="auto"/>
      </w:divBdr>
    </w:div>
    <w:div w:id="501362310">
      <w:bodyDiv w:val="1"/>
      <w:marLeft w:val="0"/>
      <w:marRight w:val="0"/>
      <w:marTop w:val="0"/>
      <w:marBottom w:val="0"/>
      <w:divBdr>
        <w:top w:val="none" w:sz="0" w:space="0" w:color="auto"/>
        <w:left w:val="none" w:sz="0" w:space="0" w:color="auto"/>
        <w:bottom w:val="none" w:sz="0" w:space="0" w:color="auto"/>
        <w:right w:val="none" w:sz="0" w:space="0" w:color="auto"/>
      </w:divBdr>
    </w:div>
    <w:div w:id="520048407">
      <w:bodyDiv w:val="1"/>
      <w:marLeft w:val="0"/>
      <w:marRight w:val="0"/>
      <w:marTop w:val="0"/>
      <w:marBottom w:val="0"/>
      <w:divBdr>
        <w:top w:val="none" w:sz="0" w:space="0" w:color="auto"/>
        <w:left w:val="none" w:sz="0" w:space="0" w:color="auto"/>
        <w:bottom w:val="none" w:sz="0" w:space="0" w:color="auto"/>
        <w:right w:val="none" w:sz="0" w:space="0" w:color="auto"/>
      </w:divBdr>
    </w:div>
    <w:div w:id="535389424">
      <w:bodyDiv w:val="1"/>
      <w:marLeft w:val="0"/>
      <w:marRight w:val="0"/>
      <w:marTop w:val="0"/>
      <w:marBottom w:val="0"/>
      <w:divBdr>
        <w:top w:val="none" w:sz="0" w:space="0" w:color="auto"/>
        <w:left w:val="none" w:sz="0" w:space="0" w:color="auto"/>
        <w:bottom w:val="none" w:sz="0" w:space="0" w:color="auto"/>
        <w:right w:val="none" w:sz="0" w:space="0" w:color="auto"/>
      </w:divBdr>
    </w:div>
    <w:div w:id="598802687">
      <w:bodyDiv w:val="1"/>
      <w:marLeft w:val="0"/>
      <w:marRight w:val="0"/>
      <w:marTop w:val="0"/>
      <w:marBottom w:val="0"/>
      <w:divBdr>
        <w:top w:val="none" w:sz="0" w:space="0" w:color="auto"/>
        <w:left w:val="none" w:sz="0" w:space="0" w:color="auto"/>
        <w:bottom w:val="none" w:sz="0" w:space="0" w:color="auto"/>
        <w:right w:val="none" w:sz="0" w:space="0" w:color="auto"/>
      </w:divBdr>
    </w:div>
    <w:div w:id="634605600">
      <w:bodyDiv w:val="1"/>
      <w:marLeft w:val="0"/>
      <w:marRight w:val="0"/>
      <w:marTop w:val="0"/>
      <w:marBottom w:val="0"/>
      <w:divBdr>
        <w:top w:val="none" w:sz="0" w:space="0" w:color="auto"/>
        <w:left w:val="none" w:sz="0" w:space="0" w:color="auto"/>
        <w:bottom w:val="none" w:sz="0" w:space="0" w:color="auto"/>
        <w:right w:val="none" w:sz="0" w:space="0" w:color="auto"/>
      </w:divBdr>
    </w:div>
    <w:div w:id="648363186">
      <w:bodyDiv w:val="1"/>
      <w:marLeft w:val="0"/>
      <w:marRight w:val="0"/>
      <w:marTop w:val="0"/>
      <w:marBottom w:val="0"/>
      <w:divBdr>
        <w:top w:val="none" w:sz="0" w:space="0" w:color="auto"/>
        <w:left w:val="none" w:sz="0" w:space="0" w:color="auto"/>
        <w:bottom w:val="none" w:sz="0" w:space="0" w:color="auto"/>
        <w:right w:val="none" w:sz="0" w:space="0" w:color="auto"/>
      </w:divBdr>
    </w:div>
    <w:div w:id="692732047">
      <w:bodyDiv w:val="1"/>
      <w:marLeft w:val="0"/>
      <w:marRight w:val="0"/>
      <w:marTop w:val="0"/>
      <w:marBottom w:val="0"/>
      <w:divBdr>
        <w:top w:val="none" w:sz="0" w:space="0" w:color="auto"/>
        <w:left w:val="none" w:sz="0" w:space="0" w:color="auto"/>
        <w:bottom w:val="none" w:sz="0" w:space="0" w:color="auto"/>
        <w:right w:val="none" w:sz="0" w:space="0" w:color="auto"/>
      </w:divBdr>
    </w:div>
    <w:div w:id="697580332">
      <w:bodyDiv w:val="1"/>
      <w:marLeft w:val="0"/>
      <w:marRight w:val="0"/>
      <w:marTop w:val="0"/>
      <w:marBottom w:val="0"/>
      <w:divBdr>
        <w:top w:val="none" w:sz="0" w:space="0" w:color="auto"/>
        <w:left w:val="none" w:sz="0" w:space="0" w:color="auto"/>
        <w:bottom w:val="none" w:sz="0" w:space="0" w:color="auto"/>
        <w:right w:val="none" w:sz="0" w:space="0" w:color="auto"/>
      </w:divBdr>
    </w:div>
    <w:div w:id="740060391">
      <w:bodyDiv w:val="1"/>
      <w:marLeft w:val="0"/>
      <w:marRight w:val="0"/>
      <w:marTop w:val="0"/>
      <w:marBottom w:val="0"/>
      <w:divBdr>
        <w:top w:val="none" w:sz="0" w:space="0" w:color="auto"/>
        <w:left w:val="none" w:sz="0" w:space="0" w:color="auto"/>
        <w:bottom w:val="none" w:sz="0" w:space="0" w:color="auto"/>
        <w:right w:val="none" w:sz="0" w:space="0" w:color="auto"/>
      </w:divBdr>
    </w:div>
    <w:div w:id="760613282">
      <w:bodyDiv w:val="1"/>
      <w:marLeft w:val="0"/>
      <w:marRight w:val="0"/>
      <w:marTop w:val="0"/>
      <w:marBottom w:val="0"/>
      <w:divBdr>
        <w:top w:val="none" w:sz="0" w:space="0" w:color="auto"/>
        <w:left w:val="none" w:sz="0" w:space="0" w:color="auto"/>
        <w:bottom w:val="none" w:sz="0" w:space="0" w:color="auto"/>
        <w:right w:val="none" w:sz="0" w:space="0" w:color="auto"/>
      </w:divBdr>
    </w:div>
    <w:div w:id="779758217">
      <w:bodyDiv w:val="1"/>
      <w:marLeft w:val="0"/>
      <w:marRight w:val="0"/>
      <w:marTop w:val="0"/>
      <w:marBottom w:val="0"/>
      <w:divBdr>
        <w:top w:val="none" w:sz="0" w:space="0" w:color="auto"/>
        <w:left w:val="none" w:sz="0" w:space="0" w:color="auto"/>
        <w:bottom w:val="none" w:sz="0" w:space="0" w:color="auto"/>
        <w:right w:val="none" w:sz="0" w:space="0" w:color="auto"/>
      </w:divBdr>
    </w:div>
    <w:div w:id="783185544">
      <w:bodyDiv w:val="1"/>
      <w:marLeft w:val="0"/>
      <w:marRight w:val="0"/>
      <w:marTop w:val="0"/>
      <w:marBottom w:val="0"/>
      <w:divBdr>
        <w:top w:val="none" w:sz="0" w:space="0" w:color="auto"/>
        <w:left w:val="none" w:sz="0" w:space="0" w:color="auto"/>
        <w:bottom w:val="none" w:sz="0" w:space="0" w:color="auto"/>
        <w:right w:val="none" w:sz="0" w:space="0" w:color="auto"/>
      </w:divBdr>
    </w:div>
    <w:div w:id="791020886">
      <w:bodyDiv w:val="1"/>
      <w:marLeft w:val="0"/>
      <w:marRight w:val="0"/>
      <w:marTop w:val="0"/>
      <w:marBottom w:val="0"/>
      <w:divBdr>
        <w:top w:val="none" w:sz="0" w:space="0" w:color="auto"/>
        <w:left w:val="none" w:sz="0" w:space="0" w:color="auto"/>
        <w:bottom w:val="none" w:sz="0" w:space="0" w:color="auto"/>
        <w:right w:val="none" w:sz="0" w:space="0" w:color="auto"/>
      </w:divBdr>
    </w:div>
    <w:div w:id="820579155">
      <w:bodyDiv w:val="1"/>
      <w:marLeft w:val="0"/>
      <w:marRight w:val="0"/>
      <w:marTop w:val="0"/>
      <w:marBottom w:val="0"/>
      <w:divBdr>
        <w:top w:val="none" w:sz="0" w:space="0" w:color="auto"/>
        <w:left w:val="none" w:sz="0" w:space="0" w:color="auto"/>
        <w:bottom w:val="none" w:sz="0" w:space="0" w:color="auto"/>
        <w:right w:val="none" w:sz="0" w:space="0" w:color="auto"/>
      </w:divBdr>
    </w:div>
    <w:div w:id="923808186">
      <w:bodyDiv w:val="1"/>
      <w:marLeft w:val="0"/>
      <w:marRight w:val="0"/>
      <w:marTop w:val="0"/>
      <w:marBottom w:val="0"/>
      <w:divBdr>
        <w:top w:val="none" w:sz="0" w:space="0" w:color="auto"/>
        <w:left w:val="none" w:sz="0" w:space="0" w:color="auto"/>
        <w:bottom w:val="none" w:sz="0" w:space="0" w:color="auto"/>
        <w:right w:val="none" w:sz="0" w:space="0" w:color="auto"/>
      </w:divBdr>
    </w:div>
    <w:div w:id="947926128">
      <w:bodyDiv w:val="1"/>
      <w:marLeft w:val="0"/>
      <w:marRight w:val="0"/>
      <w:marTop w:val="0"/>
      <w:marBottom w:val="0"/>
      <w:divBdr>
        <w:top w:val="none" w:sz="0" w:space="0" w:color="auto"/>
        <w:left w:val="none" w:sz="0" w:space="0" w:color="auto"/>
        <w:bottom w:val="none" w:sz="0" w:space="0" w:color="auto"/>
        <w:right w:val="none" w:sz="0" w:space="0" w:color="auto"/>
      </w:divBdr>
    </w:div>
    <w:div w:id="966202861">
      <w:bodyDiv w:val="1"/>
      <w:marLeft w:val="0"/>
      <w:marRight w:val="0"/>
      <w:marTop w:val="0"/>
      <w:marBottom w:val="0"/>
      <w:divBdr>
        <w:top w:val="none" w:sz="0" w:space="0" w:color="auto"/>
        <w:left w:val="none" w:sz="0" w:space="0" w:color="auto"/>
        <w:bottom w:val="none" w:sz="0" w:space="0" w:color="auto"/>
        <w:right w:val="none" w:sz="0" w:space="0" w:color="auto"/>
      </w:divBdr>
    </w:div>
    <w:div w:id="983043023">
      <w:bodyDiv w:val="1"/>
      <w:marLeft w:val="0"/>
      <w:marRight w:val="0"/>
      <w:marTop w:val="0"/>
      <w:marBottom w:val="0"/>
      <w:divBdr>
        <w:top w:val="none" w:sz="0" w:space="0" w:color="auto"/>
        <w:left w:val="none" w:sz="0" w:space="0" w:color="auto"/>
        <w:bottom w:val="none" w:sz="0" w:space="0" w:color="auto"/>
        <w:right w:val="none" w:sz="0" w:space="0" w:color="auto"/>
      </w:divBdr>
    </w:div>
    <w:div w:id="1000305765">
      <w:bodyDiv w:val="1"/>
      <w:marLeft w:val="0"/>
      <w:marRight w:val="0"/>
      <w:marTop w:val="0"/>
      <w:marBottom w:val="0"/>
      <w:divBdr>
        <w:top w:val="none" w:sz="0" w:space="0" w:color="auto"/>
        <w:left w:val="none" w:sz="0" w:space="0" w:color="auto"/>
        <w:bottom w:val="none" w:sz="0" w:space="0" w:color="auto"/>
        <w:right w:val="none" w:sz="0" w:space="0" w:color="auto"/>
      </w:divBdr>
    </w:div>
    <w:div w:id="1056663685">
      <w:bodyDiv w:val="1"/>
      <w:marLeft w:val="0"/>
      <w:marRight w:val="0"/>
      <w:marTop w:val="0"/>
      <w:marBottom w:val="0"/>
      <w:divBdr>
        <w:top w:val="none" w:sz="0" w:space="0" w:color="auto"/>
        <w:left w:val="none" w:sz="0" w:space="0" w:color="auto"/>
        <w:bottom w:val="none" w:sz="0" w:space="0" w:color="auto"/>
        <w:right w:val="none" w:sz="0" w:space="0" w:color="auto"/>
      </w:divBdr>
    </w:div>
    <w:div w:id="1105803006">
      <w:bodyDiv w:val="1"/>
      <w:marLeft w:val="0"/>
      <w:marRight w:val="0"/>
      <w:marTop w:val="0"/>
      <w:marBottom w:val="0"/>
      <w:divBdr>
        <w:top w:val="none" w:sz="0" w:space="0" w:color="auto"/>
        <w:left w:val="none" w:sz="0" w:space="0" w:color="auto"/>
        <w:bottom w:val="none" w:sz="0" w:space="0" w:color="auto"/>
        <w:right w:val="none" w:sz="0" w:space="0" w:color="auto"/>
      </w:divBdr>
    </w:div>
    <w:div w:id="1202016570">
      <w:bodyDiv w:val="1"/>
      <w:marLeft w:val="0"/>
      <w:marRight w:val="0"/>
      <w:marTop w:val="0"/>
      <w:marBottom w:val="0"/>
      <w:divBdr>
        <w:top w:val="none" w:sz="0" w:space="0" w:color="auto"/>
        <w:left w:val="none" w:sz="0" w:space="0" w:color="auto"/>
        <w:bottom w:val="none" w:sz="0" w:space="0" w:color="auto"/>
        <w:right w:val="none" w:sz="0" w:space="0" w:color="auto"/>
      </w:divBdr>
    </w:div>
    <w:div w:id="1206722902">
      <w:bodyDiv w:val="1"/>
      <w:marLeft w:val="0"/>
      <w:marRight w:val="0"/>
      <w:marTop w:val="0"/>
      <w:marBottom w:val="0"/>
      <w:divBdr>
        <w:top w:val="none" w:sz="0" w:space="0" w:color="auto"/>
        <w:left w:val="none" w:sz="0" w:space="0" w:color="auto"/>
        <w:bottom w:val="none" w:sz="0" w:space="0" w:color="auto"/>
        <w:right w:val="none" w:sz="0" w:space="0" w:color="auto"/>
      </w:divBdr>
    </w:div>
    <w:div w:id="1241478253">
      <w:bodyDiv w:val="1"/>
      <w:marLeft w:val="0"/>
      <w:marRight w:val="0"/>
      <w:marTop w:val="0"/>
      <w:marBottom w:val="0"/>
      <w:divBdr>
        <w:top w:val="none" w:sz="0" w:space="0" w:color="auto"/>
        <w:left w:val="none" w:sz="0" w:space="0" w:color="auto"/>
        <w:bottom w:val="none" w:sz="0" w:space="0" w:color="auto"/>
        <w:right w:val="none" w:sz="0" w:space="0" w:color="auto"/>
      </w:divBdr>
    </w:div>
    <w:div w:id="1249457790">
      <w:bodyDiv w:val="1"/>
      <w:marLeft w:val="0"/>
      <w:marRight w:val="0"/>
      <w:marTop w:val="0"/>
      <w:marBottom w:val="0"/>
      <w:divBdr>
        <w:top w:val="none" w:sz="0" w:space="0" w:color="auto"/>
        <w:left w:val="none" w:sz="0" w:space="0" w:color="auto"/>
        <w:bottom w:val="none" w:sz="0" w:space="0" w:color="auto"/>
        <w:right w:val="none" w:sz="0" w:space="0" w:color="auto"/>
      </w:divBdr>
    </w:div>
    <w:div w:id="1277563702">
      <w:bodyDiv w:val="1"/>
      <w:marLeft w:val="0"/>
      <w:marRight w:val="0"/>
      <w:marTop w:val="0"/>
      <w:marBottom w:val="0"/>
      <w:divBdr>
        <w:top w:val="none" w:sz="0" w:space="0" w:color="auto"/>
        <w:left w:val="none" w:sz="0" w:space="0" w:color="auto"/>
        <w:bottom w:val="none" w:sz="0" w:space="0" w:color="auto"/>
        <w:right w:val="none" w:sz="0" w:space="0" w:color="auto"/>
      </w:divBdr>
    </w:div>
    <w:div w:id="1289436997">
      <w:bodyDiv w:val="1"/>
      <w:marLeft w:val="0"/>
      <w:marRight w:val="0"/>
      <w:marTop w:val="0"/>
      <w:marBottom w:val="0"/>
      <w:divBdr>
        <w:top w:val="none" w:sz="0" w:space="0" w:color="auto"/>
        <w:left w:val="none" w:sz="0" w:space="0" w:color="auto"/>
        <w:bottom w:val="none" w:sz="0" w:space="0" w:color="auto"/>
        <w:right w:val="none" w:sz="0" w:space="0" w:color="auto"/>
      </w:divBdr>
    </w:div>
    <w:div w:id="1323317346">
      <w:bodyDiv w:val="1"/>
      <w:marLeft w:val="0"/>
      <w:marRight w:val="0"/>
      <w:marTop w:val="0"/>
      <w:marBottom w:val="0"/>
      <w:divBdr>
        <w:top w:val="none" w:sz="0" w:space="0" w:color="auto"/>
        <w:left w:val="none" w:sz="0" w:space="0" w:color="auto"/>
        <w:bottom w:val="none" w:sz="0" w:space="0" w:color="auto"/>
        <w:right w:val="none" w:sz="0" w:space="0" w:color="auto"/>
      </w:divBdr>
    </w:div>
    <w:div w:id="1349520809">
      <w:bodyDiv w:val="1"/>
      <w:marLeft w:val="0"/>
      <w:marRight w:val="0"/>
      <w:marTop w:val="0"/>
      <w:marBottom w:val="0"/>
      <w:divBdr>
        <w:top w:val="none" w:sz="0" w:space="0" w:color="auto"/>
        <w:left w:val="none" w:sz="0" w:space="0" w:color="auto"/>
        <w:bottom w:val="none" w:sz="0" w:space="0" w:color="auto"/>
        <w:right w:val="none" w:sz="0" w:space="0" w:color="auto"/>
      </w:divBdr>
    </w:div>
    <w:div w:id="1374387553">
      <w:bodyDiv w:val="1"/>
      <w:marLeft w:val="0"/>
      <w:marRight w:val="0"/>
      <w:marTop w:val="0"/>
      <w:marBottom w:val="0"/>
      <w:divBdr>
        <w:top w:val="none" w:sz="0" w:space="0" w:color="auto"/>
        <w:left w:val="none" w:sz="0" w:space="0" w:color="auto"/>
        <w:bottom w:val="none" w:sz="0" w:space="0" w:color="auto"/>
        <w:right w:val="none" w:sz="0" w:space="0" w:color="auto"/>
      </w:divBdr>
    </w:div>
    <w:div w:id="1472088892">
      <w:bodyDiv w:val="1"/>
      <w:marLeft w:val="0"/>
      <w:marRight w:val="0"/>
      <w:marTop w:val="0"/>
      <w:marBottom w:val="0"/>
      <w:divBdr>
        <w:top w:val="none" w:sz="0" w:space="0" w:color="auto"/>
        <w:left w:val="none" w:sz="0" w:space="0" w:color="auto"/>
        <w:bottom w:val="none" w:sz="0" w:space="0" w:color="auto"/>
        <w:right w:val="none" w:sz="0" w:space="0" w:color="auto"/>
      </w:divBdr>
    </w:div>
    <w:div w:id="1545558133">
      <w:bodyDiv w:val="1"/>
      <w:marLeft w:val="0"/>
      <w:marRight w:val="0"/>
      <w:marTop w:val="0"/>
      <w:marBottom w:val="0"/>
      <w:divBdr>
        <w:top w:val="none" w:sz="0" w:space="0" w:color="auto"/>
        <w:left w:val="none" w:sz="0" w:space="0" w:color="auto"/>
        <w:bottom w:val="none" w:sz="0" w:space="0" w:color="auto"/>
        <w:right w:val="none" w:sz="0" w:space="0" w:color="auto"/>
      </w:divBdr>
    </w:div>
    <w:div w:id="1606960837">
      <w:bodyDiv w:val="1"/>
      <w:marLeft w:val="0"/>
      <w:marRight w:val="0"/>
      <w:marTop w:val="0"/>
      <w:marBottom w:val="0"/>
      <w:divBdr>
        <w:top w:val="none" w:sz="0" w:space="0" w:color="auto"/>
        <w:left w:val="none" w:sz="0" w:space="0" w:color="auto"/>
        <w:bottom w:val="none" w:sz="0" w:space="0" w:color="auto"/>
        <w:right w:val="none" w:sz="0" w:space="0" w:color="auto"/>
      </w:divBdr>
    </w:div>
    <w:div w:id="1632785242">
      <w:bodyDiv w:val="1"/>
      <w:marLeft w:val="0"/>
      <w:marRight w:val="0"/>
      <w:marTop w:val="0"/>
      <w:marBottom w:val="0"/>
      <w:divBdr>
        <w:top w:val="none" w:sz="0" w:space="0" w:color="auto"/>
        <w:left w:val="none" w:sz="0" w:space="0" w:color="auto"/>
        <w:bottom w:val="none" w:sz="0" w:space="0" w:color="auto"/>
        <w:right w:val="none" w:sz="0" w:space="0" w:color="auto"/>
      </w:divBdr>
    </w:div>
    <w:div w:id="1648434041">
      <w:bodyDiv w:val="1"/>
      <w:marLeft w:val="0"/>
      <w:marRight w:val="0"/>
      <w:marTop w:val="0"/>
      <w:marBottom w:val="0"/>
      <w:divBdr>
        <w:top w:val="none" w:sz="0" w:space="0" w:color="auto"/>
        <w:left w:val="none" w:sz="0" w:space="0" w:color="auto"/>
        <w:bottom w:val="none" w:sz="0" w:space="0" w:color="auto"/>
        <w:right w:val="none" w:sz="0" w:space="0" w:color="auto"/>
      </w:divBdr>
    </w:div>
    <w:div w:id="1661619661">
      <w:bodyDiv w:val="1"/>
      <w:marLeft w:val="0"/>
      <w:marRight w:val="0"/>
      <w:marTop w:val="0"/>
      <w:marBottom w:val="0"/>
      <w:divBdr>
        <w:top w:val="none" w:sz="0" w:space="0" w:color="auto"/>
        <w:left w:val="none" w:sz="0" w:space="0" w:color="auto"/>
        <w:bottom w:val="none" w:sz="0" w:space="0" w:color="auto"/>
        <w:right w:val="none" w:sz="0" w:space="0" w:color="auto"/>
      </w:divBdr>
    </w:div>
    <w:div w:id="1738555848">
      <w:bodyDiv w:val="1"/>
      <w:marLeft w:val="0"/>
      <w:marRight w:val="0"/>
      <w:marTop w:val="0"/>
      <w:marBottom w:val="0"/>
      <w:divBdr>
        <w:top w:val="none" w:sz="0" w:space="0" w:color="auto"/>
        <w:left w:val="none" w:sz="0" w:space="0" w:color="auto"/>
        <w:bottom w:val="none" w:sz="0" w:space="0" w:color="auto"/>
        <w:right w:val="none" w:sz="0" w:space="0" w:color="auto"/>
      </w:divBdr>
    </w:div>
    <w:div w:id="1808813625">
      <w:bodyDiv w:val="1"/>
      <w:marLeft w:val="0"/>
      <w:marRight w:val="0"/>
      <w:marTop w:val="0"/>
      <w:marBottom w:val="0"/>
      <w:divBdr>
        <w:top w:val="none" w:sz="0" w:space="0" w:color="auto"/>
        <w:left w:val="none" w:sz="0" w:space="0" w:color="auto"/>
        <w:bottom w:val="none" w:sz="0" w:space="0" w:color="auto"/>
        <w:right w:val="none" w:sz="0" w:space="0" w:color="auto"/>
      </w:divBdr>
    </w:div>
    <w:div w:id="1821843944">
      <w:bodyDiv w:val="1"/>
      <w:marLeft w:val="0"/>
      <w:marRight w:val="0"/>
      <w:marTop w:val="0"/>
      <w:marBottom w:val="0"/>
      <w:divBdr>
        <w:top w:val="none" w:sz="0" w:space="0" w:color="auto"/>
        <w:left w:val="none" w:sz="0" w:space="0" w:color="auto"/>
        <w:bottom w:val="none" w:sz="0" w:space="0" w:color="auto"/>
        <w:right w:val="none" w:sz="0" w:space="0" w:color="auto"/>
      </w:divBdr>
    </w:div>
    <w:div w:id="1835217096">
      <w:bodyDiv w:val="1"/>
      <w:marLeft w:val="0"/>
      <w:marRight w:val="0"/>
      <w:marTop w:val="0"/>
      <w:marBottom w:val="0"/>
      <w:divBdr>
        <w:top w:val="none" w:sz="0" w:space="0" w:color="auto"/>
        <w:left w:val="none" w:sz="0" w:space="0" w:color="auto"/>
        <w:bottom w:val="none" w:sz="0" w:space="0" w:color="auto"/>
        <w:right w:val="none" w:sz="0" w:space="0" w:color="auto"/>
      </w:divBdr>
    </w:div>
    <w:div w:id="1907565821">
      <w:bodyDiv w:val="1"/>
      <w:marLeft w:val="0"/>
      <w:marRight w:val="0"/>
      <w:marTop w:val="0"/>
      <w:marBottom w:val="0"/>
      <w:divBdr>
        <w:top w:val="none" w:sz="0" w:space="0" w:color="auto"/>
        <w:left w:val="none" w:sz="0" w:space="0" w:color="auto"/>
        <w:bottom w:val="none" w:sz="0" w:space="0" w:color="auto"/>
        <w:right w:val="none" w:sz="0" w:space="0" w:color="auto"/>
      </w:divBdr>
    </w:div>
    <w:div w:id="1929650553">
      <w:bodyDiv w:val="1"/>
      <w:marLeft w:val="0"/>
      <w:marRight w:val="0"/>
      <w:marTop w:val="0"/>
      <w:marBottom w:val="0"/>
      <w:divBdr>
        <w:top w:val="none" w:sz="0" w:space="0" w:color="auto"/>
        <w:left w:val="none" w:sz="0" w:space="0" w:color="auto"/>
        <w:bottom w:val="none" w:sz="0" w:space="0" w:color="auto"/>
        <w:right w:val="none" w:sz="0" w:space="0" w:color="auto"/>
      </w:divBdr>
    </w:div>
    <w:div w:id="1935163124">
      <w:bodyDiv w:val="1"/>
      <w:marLeft w:val="0"/>
      <w:marRight w:val="0"/>
      <w:marTop w:val="0"/>
      <w:marBottom w:val="0"/>
      <w:divBdr>
        <w:top w:val="none" w:sz="0" w:space="0" w:color="auto"/>
        <w:left w:val="none" w:sz="0" w:space="0" w:color="auto"/>
        <w:bottom w:val="none" w:sz="0" w:space="0" w:color="auto"/>
        <w:right w:val="none" w:sz="0" w:space="0" w:color="auto"/>
      </w:divBdr>
    </w:div>
    <w:div w:id="1957785549">
      <w:bodyDiv w:val="1"/>
      <w:marLeft w:val="0"/>
      <w:marRight w:val="0"/>
      <w:marTop w:val="0"/>
      <w:marBottom w:val="0"/>
      <w:divBdr>
        <w:top w:val="none" w:sz="0" w:space="0" w:color="auto"/>
        <w:left w:val="none" w:sz="0" w:space="0" w:color="auto"/>
        <w:bottom w:val="none" w:sz="0" w:space="0" w:color="auto"/>
        <w:right w:val="none" w:sz="0" w:space="0" w:color="auto"/>
      </w:divBdr>
    </w:div>
    <w:div w:id="1964380098">
      <w:bodyDiv w:val="1"/>
      <w:marLeft w:val="0"/>
      <w:marRight w:val="0"/>
      <w:marTop w:val="0"/>
      <w:marBottom w:val="0"/>
      <w:divBdr>
        <w:top w:val="none" w:sz="0" w:space="0" w:color="auto"/>
        <w:left w:val="none" w:sz="0" w:space="0" w:color="auto"/>
        <w:bottom w:val="none" w:sz="0" w:space="0" w:color="auto"/>
        <w:right w:val="none" w:sz="0" w:space="0" w:color="auto"/>
      </w:divBdr>
    </w:div>
    <w:div w:id="2017876801">
      <w:bodyDiv w:val="1"/>
      <w:marLeft w:val="0"/>
      <w:marRight w:val="0"/>
      <w:marTop w:val="0"/>
      <w:marBottom w:val="0"/>
      <w:divBdr>
        <w:top w:val="none" w:sz="0" w:space="0" w:color="auto"/>
        <w:left w:val="none" w:sz="0" w:space="0" w:color="auto"/>
        <w:bottom w:val="none" w:sz="0" w:space="0" w:color="auto"/>
        <w:right w:val="none" w:sz="0" w:space="0" w:color="auto"/>
      </w:divBdr>
    </w:div>
    <w:div w:id="2027519367">
      <w:bodyDiv w:val="1"/>
      <w:marLeft w:val="0"/>
      <w:marRight w:val="0"/>
      <w:marTop w:val="0"/>
      <w:marBottom w:val="0"/>
      <w:divBdr>
        <w:top w:val="none" w:sz="0" w:space="0" w:color="auto"/>
        <w:left w:val="none" w:sz="0" w:space="0" w:color="auto"/>
        <w:bottom w:val="none" w:sz="0" w:space="0" w:color="auto"/>
        <w:right w:val="none" w:sz="0" w:space="0" w:color="auto"/>
      </w:divBdr>
    </w:div>
    <w:div w:id="2041933633">
      <w:bodyDiv w:val="1"/>
      <w:marLeft w:val="0"/>
      <w:marRight w:val="0"/>
      <w:marTop w:val="0"/>
      <w:marBottom w:val="0"/>
      <w:divBdr>
        <w:top w:val="none" w:sz="0" w:space="0" w:color="auto"/>
        <w:left w:val="none" w:sz="0" w:space="0" w:color="auto"/>
        <w:bottom w:val="none" w:sz="0" w:space="0" w:color="auto"/>
        <w:right w:val="none" w:sz="0" w:space="0" w:color="auto"/>
      </w:divBdr>
    </w:div>
    <w:div w:id="2065254071">
      <w:bodyDiv w:val="1"/>
      <w:marLeft w:val="0"/>
      <w:marRight w:val="0"/>
      <w:marTop w:val="0"/>
      <w:marBottom w:val="0"/>
      <w:divBdr>
        <w:top w:val="none" w:sz="0" w:space="0" w:color="auto"/>
        <w:left w:val="none" w:sz="0" w:space="0" w:color="auto"/>
        <w:bottom w:val="none" w:sz="0" w:space="0" w:color="auto"/>
        <w:right w:val="none" w:sz="0" w:space="0" w:color="auto"/>
      </w:divBdr>
    </w:div>
    <w:div w:id="2084375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4.xml"/><Relationship Id="rId18" Type="http://schemas.openxmlformats.org/officeDocument/2006/relationships/hyperlink" Target="https://www.annualreports.com/HostedData/AnnualReportArchive/a/LSE_AAL_2020.pdf" TargetMode="External"/><Relationship Id="rId26" Type="http://schemas.openxmlformats.org/officeDocument/2006/relationships/hyperlink" Target="https://www.glencore.com/who-we-are/our-business-model-and-strategy" TargetMode="External"/><Relationship Id="rId39" Type="http://schemas.openxmlformats.org/officeDocument/2006/relationships/footer" Target="footer3.xml"/><Relationship Id="rId21" Type="http://schemas.openxmlformats.org/officeDocument/2006/relationships/hyperlink" Target="https://www.annualreports.com/HostedData/AnnualReportArchive/g/LSE_GLEN_2018.pdf" TargetMode="External"/><Relationship Id="rId34"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hyperlink" Target="https://www.bloomberg.com/news/articles/2019-12-03/glencore-ceo-glasenberg-hints-he-may-leave-sooner-than-expected" TargetMode="External"/><Relationship Id="rId29" Type="http://schemas.openxmlformats.org/officeDocument/2006/relationships/hyperlink" Target="https://www.londonstockexchange.com/news-article/GLEN/publication-of-2022-annual-and-climate-reports/15888772"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hyperlink" Target="https://www.glencore.com/.rest/api/v1/documents/ded10fa92974aa388a43aa9f86f483e9/GLEN-2022-Annual-Report.pdf" TargetMode="External"/><Relationship Id="rId32" Type="http://schemas.openxmlformats.org/officeDocument/2006/relationships/hyperlink" Target="https://www.mining-technology.com/news/glencore-profit-plunges-in-2023/?cf-view" TargetMode="External"/><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hyperlink" Target="https://www.annualreports.com/HostedData/AnnualReportArchive/g/LSE_GLEN_2021.pdf" TargetMode="External"/><Relationship Id="rId28" Type="http://schemas.openxmlformats.org/officeDocument/2006/relationships/hyperlink" Target="https://www.gurufocus.com/term/inventory-turnover/FRA:NGLB" TargetMode="External"/><Relationship Id="rId36" Type="http://schemas.openxmlformats.org/officeDocument/2006/relationships/footer" Target="footer1.xml"/><Relationship Id="rId10" Type="http://schemas.openxmlformats.org/officeDocument/2006/relationships/chart" Target="charts/chart1.xml"/><Relationship Id="rId19" Type="http://schemas.openxmlformats.org/officeDocument/2006/relationships/hyperlink" Target="https://www.angloamerican.com/~/media/Files/A/Anglo-American-Group-v5/PLC/investors/annual-reporting/2022/aa-annual-report-full-2022.pdf" TargetMode="External"/><Relationship Id="rId31" Type="http://schemas.openxmlformats.org/officeDocument/2006/relationships/hyperlink" Target="https://doi.org/10.1590/0103-6513.2019002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5.xml"/><Relationship Id="rId22" Type="http://schemas.openxmlformats.org/officeDocument/2006/relationships/hyperlink" Target="https://www.annualreports.com/HostedData/AnnualReportArchive/g/LSE_GLEN_2020.pdf" TargetMode="External"/><Relationship Id="rId27" Type="http://schemas.openxmlformats.org/officeDocument/2006/relationships/hyperlink" Target="https://www.glencore.com/who-we-are/our-history" TargetMode="External"/><Relationship Id="rId30" Type="http://schemas.openxmlformats.org/officeDocument/2006/relationships/hyperlink" Target="https://www.marketbeat.com/stocks/LON/GLEN/competitors-and-alternatives/" TargetMode="External"/><Relationship Id="rId35" Type="http://schemas.openxmlformats.org/officeDocument/2006/relationships/header" Target="header2.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hyperlink" Target="https://www.glencore.com/who-we-are/at-a-glance" TargetMode="External"/><Relationship Id="rId33" Type="http://schemas.openxmlformats.org/officeDocument/2006/relationships/hyperlink" Target="https://www.bbc.com/news/business-63858295" TargetMode="External"/><Relationship Id="rId38" Type="http://schemas.openxmlformats.org/officeDocument/2006/relationships/header" Target="header3.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hp\Downloads\PSLAPR24-Sameer%20Finance.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hp\Downloads\PSLAPR24-Sameer%20Finance.xlsx" TargetMode="External"/></Relationships>
</file>

<file path=word/charts/_rels/chart3.xml.rels><?xml version="1.0" encoding="UTF-8" standalone="yes"?>
<Relationships xmlns="http://schemas.openxmlformats.org/package/2006/relationships"><Relationship Id="rId3" Type="http://schemas.openxmlformats.org/officeDocument/2006/relationships/oleObject" Target="file:///C:\Users\hp\Downloads\PSLAPR24-Sameer%20Finance%20(1).xlsx" TargetMode="External"/><Relationship Id="rId2" Type="http://schemas.microsoft.com/office/2011/relationships/chartColorStyle" Target="colors1.xml"/><Relationship Id="rId1" Type="http://schemas.microsoft.com/office/2011/relationships/chartStyle" Target="style1.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hp\Downloads\PSLAPR24-Sameer%20Finance%20(1).xlsx" TargetMode="External"/><Relationship Id="rId2" Type="http://schemas.microsoft.com/office/2011/relationships/chartColorStyle" Target="colors2.xml"/><Relationship Id="rId1" Type="http://schemas.microsoft.com/office/2011/relationships/chartStyle" Target="style2.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hp\Downloads\PSLAPR24-Sameer%20Finance%20(1).xlsx" TargetMode="External"/><Relationship Id="rId2" Type="http://schemas.microsoft.com/office/2011/relationships/chartColorStyle" Target="colors3.xml"/><Relationship Id="rId1" Type="http://schemas.microsoft.com/office/2011/relationships/chartStyle" Target="style3.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hp\Downloads\PSLAPR24-Sameer%20Finance%20(1).xlsx" TargetMode="External"/><Relationship Id="rId2" Type="http://schemas.microsoft.com/office/2011/relationships/chartColorStyle" Target="colors4.xml"/><Relationship Id="rId1" Type="http://schemas.microsoft.com/office/2011/relationships/chartStyle" Target="style4.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hp\Downloads\PSLAPR24-Sameer%20Finance%20(1).xlsx" TargetMode="External"/><Relationship Id="rId2" Type="http://schemas.microsoft.com/office/2011/relationships/chartColorStyle" Target="colors5.xml"/><Relationship Id="rId1" Type="http://schemas.microsoft.com/office/2011/relationships/chartStyle" Target="style5.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hp\Downloads\PSLAPR24-Sameer%20Finance%20(1).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vert="horz"/>
          <a:lstStyle/>
          <a:p>
            <a:pPr>
              <a:defRPr/>
            </a:pPr>
            <a:r>
              <a:rPr lang="en-US" sz="1400" b="0"/>
              <a:t>Net Profit Ratio</a:t>
            </a:r>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Ratios!$J$3</c:f>
              <c:strCache>
                <c:ptCount val="1"/>
                <c:pt idx="0">
                  <c:v>2018</c:v>
                </c:pt>
              </c:strCache>
            </c:strRef>
          </c:tx>
          <c:spPr>
            <a:solidFill>
              <a:schemeClr val="accent1"/>
            </a:solidFill>
            <a:ln>
              <a:noFill/>
            </a:ln>
            <a:effectLst/>
            <a:sp3d/>
          </c:spPr>
          <c:invertIfNegative val="0"/>
          <c:cat>
            <c:strRef>
              <c:f>Ratios!$I$4</c:f>
              <c:strCache>
                <c:ptCount val="1"/>
                <c:pt idx="0">
                  <c:v>Glencore Plc</c:v>
                </c:pt>
              </c:strCache>
            </c:strRef>
          </c:cat>
          <c:val>
            <c:numRef>
              <c:f>Ratios!$J$4</c:f>
              <c:numCache>
                <c:formatCode>0.00%</c:formatCode>
                <c:ptCount val="1"/>
                <c:pt idx="0">
                  <c:v>1.1904220173466701E-2</c:v>
                </c:pt>
              </c:numCache>
            </c:numRef>
          </c:val>
          <c:extLst>
            <c:ext xmlns:c16="http://schemas.microsoft.com/office/drawing/2014/chart" uri="{C3380CC4-5D6E-409C-BE32-E72D297353CC}">
              <c16:uniqueId val="{00000000-3412-43CA-8ADB-D3B3DA1890C0}"/>
            </c:ext>
          </c:extLst>
        </c:ser>
        <c:ser>
          <c:idx val="1"/>
          <c:order val="1"/>
          <c:tx>
            <c:strRef>
              <c:f>Ratios!$K$3</c:f>
              <c:strCache>
                <c:ptCount val="1"/>
                <c:pt idx="0">
                  <c:v>2019</c:v>
                </c:pt>
              </c:strCache>
            </c:strRef>
          </c:tx>
          <c:spPr>
            <a:solidFill>
              <a:schemeClr val="accent2"/>
            </a:solidFill>
            <a:ln>
              <a:noFill/>
            </a:ln>
            <a:effectLst/>
            <a:sp3d/>
          </c:spPr>
          <c:invertIfNegative val="0"/>
          <c:cat>
            <c:strRef>
              <c:f>Ratios!$I$4</c:f>
              <c:strCache>
                <c:ptCount val="1"/>
                <c:pt idx="0">
                  <c:v>Glencore Plc</c:v>
                </c:pt>
              </c:strCache>
            </c:strRef>
          </c:cat>
          <c:val>
            <c:numRef>
              <c:f>Ratios!$K$4</c:f>
              <c:numCache>
                <c:formatCode>0.00%</c:formatCode>
                <c:ptCount val="1"/>
                <c:pt idx="0">
                  <c:v>-7.0010366740891929E-3</c:v>
                </c:pt>
              </c:numCache>
            </c:numRef>
          </c:val>
          <c:extLst>
            <c:ext xmlns:c16="http://schemas.microsoft.com/office/drawing/2014/chart" uri="{C3380CC4-5D6E-409C-BE32-E72D297353CC}">
              <c16:uniqueId val="{00000001-3412-43CA-8ADB-D3B3DA1890C0}"/>
            </c:ext>
          </c:extLst>
        </c:ser>
        <c:ser>
          <c:idx val="2"/>
          <c:order val="2"/>
          <c:tx>
            <c:strRef>
              <c:f>Ratios!$L$3</c:f>
              <c:strCache>
                <c:ptCount val="1"/>
                <c:pt idx="0">
                  <c:v>2020</c:v>
                </c:pt>
              </c:strCache>
            </c:strRef>
          </c:tx>
          <c:spPr>
            <a:solidFill>
              <a:schemeClr val="accent3"/>
            </a:solidFill>
            <a:ln>
              <a:noFill/>
            </a:ln>
            <a:effectLst/>
            <a:sp3d/>
          </c:spPr>
          <c:invertIfNegative val="0"/>
          <c:cat>
            <c:strRef>
              <c:f>Ratios!$I$4</c:f>
              <c:strCache>
                <c:ptCount val="1"/>
                <c:pt idx="0">
                  <c:v>Glencore Plc</c:v>
                </c:pt>
              </c:strCache>
            </c:strRef>
          </c:cat>
          <c:val>
            <c:numRef>
              <c:f>Ratios!$L$4</c:f>
              <c:numCache>
                <c:formatCode>0.00%</c:formatCode>
                <c:ptCount val="1"/>
                <c:pt idx="0">
                  <c:v>2.7722744453343457E-2</c:v>
                </c:pt>
              </c:numCache>
            </c:numRef>
          </c:val>
          <c:extLst>
            <c:ext xmlns:c16="http://schemas.microsoft.com/office/drawing/2014/chart" uri="{C3380CC4-5D6E-409C-BE32-E72D297353CC}">
              <c16:uniqueId val="{00000002-3412-43CA-8ADB-D3B3DA1890C0}"/>
            </c:ext>
          </c:extLst>
        </c:ser>
        <c:ser>
          <c:idx val="3"/>
          <c:order val="3"/>
          <c:tx>
            <c:strRef>
              <c:f>Ratios!$M$3</c:f>
              <c:strCache>
                <c:ptCount val="1"/>
                <c:pt idx="0">
                  <c:v>2021</c:v>
                </c:pt>
              </c:strCache>
            </c:strRef>
          </c:tx>
          <c:spPr>
            <a:solidFill>
              <a:schemeClr val="accent4"/>
            </a:solidFill>
            <a:ln>
              <a:noFill/>
            </a:ln>
            <a:effectLst/>
            <a:sp3d/>
          </c:spPr>
          <c:invertIfNegative val="0"/>
          <c:cat>
            <c:strRef>
              <c:f>Ratios!$I$4</c:f>
              <c:strCache>
                <c:ptCount val="1"/>
                <c:pt idx="0">
                  <c:v>Glencore Plc</c:v>
                </c:pt>
              </c:strCache>
            </c:strRef>
          </c:cat>
          <c:val>
            <c:numRef>
              <c:f>Ratios!$M$4</c:f>
              <c:numCache>
                <c:formatCode>0.00%</c:formatCode>
                <c:ptCount val="1"/>
                <c:pt idx="0">
                  <c:v>2.1344680516905447E-2</c:v>
                </c:pt>
              </c:numCache>
            </c:numRef>
          </c:val>
          <c:extLst>
            <c:ext xmlns:c16="http://schemas.microsoft.com/office/drawing/2014/chart" uri="{C3380CC4-5D6E-409C-BE32-E72D297353CC}">
              <c16:uniqueId val="{00000003-3412-43CA-8ADB-D3B3DA1890C0}"/>
            </c:ext>
          </c:extLst>
        </c:ser>
        <c:ser>
          <c:idx val="4"/>
          <c:order val="4"/>
          <c:tx>
            <c:strRef>
              <c:f>Ratios!$N$3</c:f>
              <c:strCache>
                <c:ptCount val="1"/>
                <c:pt idx="0">
                  <c:v>2022</c:v>
                </c:pt>
              </c:strCache>
            </c:strRef>
          </c:tx>
          <c:spPr>
            <a:solidFill>
              <a:schemeClr val="accent5"/>
            </a:solidFill>
            <a:ln>
              <a:noFill/>
            </a:ln>
            <a:effectLst/>
            <a:sp3d/>
          </c:spPr>
          <c:invertIfNegative val="0"/>
          <c:cat>
            <c:strRef>
              <c:f>Ratios!$I$4</c:f>
              <c:strCache>
                <c:ptCount val="1"/>
                <c:pt idx="0">
                  <c:v>Glencore Plc</c:v>
                </c:pt>
              </c:strCache>
            </c:strRef>
          </c:cat>
          <c:val>
            <c:numRef>
              <c:f>Ratios!$N$4</c:f>
              <c:numCache>
                <c:formatCode>0.00%</c:formatCode>
                <c:ptCount val="1"/>
                <c:pt idx="0">
                  <c:v>6.4500125007812992E-2</c:v>
                </c:pt>
              </c:numCache>
            </c:numRef>
          </c:val>
          <c:extLst>
            <c:ext xmlns:c16="http://schemas.microsoft.com/office/drawing/2014/chart" uri="{C3380CC4-5D6E-409C-BE32-E72D297353CC}">
              <c16:uniqueId val="{00000004-3412-43CA-8ADB-D3B3DA1890C0}"/>
            </c:ext>
          </c:extLst>
        </c:ser>
        <c:dLbls>
          <c:showLegendKey val="0"/>
          <c:showVal val="0"/>
          <c:showCatName val="0"/>
          <c:showSerName val="0"/>
          <c:showPercent val="0"/>
          <c:showBubbleSize val="0"/>
        </c:dLbls>
        <c:gapWidth val="75"/>
        <c:shape val="box"/>
        <c:axId val="78169984"/>
        <c:axId val="78171520"/>
        <c:axId val="0"/>
      </c:bar3DChart>
      <c:catAx>
        <c:axId val="78169984"/>
        <c:scaling>
          <c:orientation val="minMax"/>
        </c:scaling>
        <c:delete val="1"/>
        <c:axPos val="b"/>
        <c:numFmt formatCode="General" sourceLinked="1"/>
        <c:majorTickMark val="none"/>
        <c:minorTickMark val="none"/>
        <c:tickLblPos val="nextTo"/>
        <c:crossAx val="78171520"/>
        <c:crosses val="autoZero"/>
        <c:auto val="1"/>
        <c:lblAlgn val="ctr"/>
        <c:lblOffset val="100"/>
        <c:noMultiLvlLbl val="0"/>
      </c:catAx>
      <c:valAx>
        <c:axId val="7817152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w="9525">
            <a:noFill/>
          </a:ln>
          <a:effectLst/>
        </c:spPr>
        <c:txPr>
          <a:bodyPr rot="-60000000" vert="horz"/>
          <a:lstStyle/>
          <a:p>
            <a:pPr>
              <a:defRPr/>
            </a:pPr>
            <a:endParaRPr lang="en-US"/>
          </a:p>
        </c:txPr>
        <c:crossAx val="78169984"/>
        <c:crosses val="autoZero"/>
        <c:crossBetween val="between"/>
      </c:valAx>
      <c:spPr>
        <a:noFill/>
        <a:ln>
          <a:noFill/>
        </a:ln>
        <a:effectLst/>
      </c:spPr>
    </c:plotArea>
    <c:legend>
      <c:legendPos val="b"/>
      <c:overlay val="0"/>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vert="horz"/>
          <a:lstStyle/>
          <a:p>
            <a:pPr>
              <a:defRPr/>
            </a:pPr>
            <a:r>
              <a:rPr lang="en-US"/>
              <a:t>Current Ratio</a:t>
            </a:r>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Ratios!$J$6</c:f>
              <c:strCache>
                <c:ptCount val="1"/>
                <c:pt idx="0">
                  <c:v>2018</c:v>
                </c:pt>
              </c:strCache>
            </c:strRef>
          </c:tx>
          <c:spPr>
            <a:solidFill>
              <a:schemeClr val="accent1"/>
            </a:solidFill>
            <a:ln>
              <a:noFill/>
            </a:ln>
            <a:effectLst/>
            <a:sp3d/>
          </c:spPr>
          <c:invertIfNegative val="0"/>
          <c:cat>
            <c:strRef>
              <c:f>Ratios!$I$7</c:f>
              <c:strCache>
                <c:ptCount val="1"/>
                <c:pt idx="0">
                  <c:v>Glencore Plc</c:v>
                </c:pt>
              </c:strCache>
            </c:strRef>
          </c:cat>
          <c:val>
            <c:numRef>
              <c:f>Ratios!$J$7</c:f>
              <c:numCache>
                <c:formatCode>0.00</c:formatCode>
                <c:ptCount val="1"/>
                <c:pt idx="0">
                  <c:v>1.0965025265035184</c:v>
                </c:pt>
              </c:numCache>
            </c:numRef>
          </c:val>
          <c:extLst>
            <c:ext xmlns:c16="http://schemas.microsoft.com/office/drawing/2014/chart" uri="{C3380CC4-5D6E-409C-BE32-E72D297353CC}">
              <c16:uniqueId val="{00000000-090C-49B1-A1B4-36890D49513D}"/>
            </c:ext>
          </c:extLst>
        </c:ser>
        <c:ser>
          <c:idx val="1"/>
          <c:order val="1"/>
          <c:tx>
            <c:strRef>
              <c:f>Ratios!$K$6</c:f>
              <c:strCache>
                <c:ptCount val="1"/>
                <c:pt idx="0">
                  <c:v>2019</c:v>
                </c:pt>
              </c:strCache>
            </c:strRef>
          </c:tx>
          <c:spPr>
            <a:solidFill>
              <a:schemeClr val="accent2"/>
            </a:solidFill>
            <a:ln>
              <a:noFill/>
            </a:ln>
            <a:effectLst/>
            <a:sp3d/>
          </c:spPr>
          <c:invertIfNegative val="0"/>
          <c:cat>
            <c:strRef>
              <c:f>Ratios!$I$7</c:f>
              <c:strCache>
                <c:ptCount val="1"/>
                <c:pt idx="0">
                  <c:v>Glencore Plc</c:v>
                </c:pt>
              </c:strCache>
            </c:strRef>
          </c:cat>
          <c:val>
            <c:numRef>
              <c:f>Ratios!$K$7</c:f>
              <c:numCache>
                <c:formatCode>0.00</c:formatCode>
                <c:ptCount val="1"/>
                <c:pt idx="0">
                  <c:v>1.0615771123872026</c:v>
                </c:pt>
              </c:numCache>
            </c:numRef>
          </c:val>
          <c:extLst>
            <c:ext xmlns:c16="http://schemas.microsoft.com/office/drawing/2014/chart" uri="{C3380CC4-5D6E-409C-BE32-E72D297353CC}">
              <c16:uniqueId val="{00000001-090C-49B1-A1B4-36890D49513D}"/>
            </c:ext>
          </c:extLst>
        </c:ser>
        <c:ser>
          <c:idx val="2"/>
          <c:order val="2"/>
          <c:tx>
            <c:strRef>
              <c:f>Ratios!$L$6</c:f>
              <c:strCache>
                <c:ptCount val="1"/>
                <c:pt idx="0">
                  <c:v>2020</c:v>
                </c:pt>
              </c:strCache>
            </c:strRef>
          </c:tx>
          <c:spPr>
            <a:solidFill>
              <a:schemeClr val="accent3"/>
            </a:solidFill>
            <a:ln>
              <a:noFill/>
            </a:ln>
            <a:effectLst/>
            <a:sp3d/>
          </c:spPr>
          <c:invertIfNegative val="0"/>
          <c:cat>
            <c:strRef>
              <c:f>Ratios!$I$7</c:f>
              <c:strCache>
                <c:ptCount val="1"/>
                <c:pt idx="0">
                  <c:v>Glencore Plc</c:v>
                </c:pt>
              </c:strCache>
            </c:strRef>
          </c:cat>
          <c:val>
            <c:numRef>
              <c:f>Ratios!$L$7</c:f>
              <c:numCache>
                <c:formatCode>0.00</c:formatCode>
                <c:ptCount val="1"/>
                <c:pt idx="0">
                  <c:v>1.0956111660454857</c:v>
                </c:pt>
              </c:numCache>
            </c:numRef>
          </c:val>
          <c:extLst>
            <c:ext xmlns:c16="http://schemas.microsoft.com/office/drawing/2014/chart" uri="{C3380CC4-5D6E-409C-BE32-E72D297353CC}">
              <c16:uniqueId val="{00000002-090C-49B1-A1B4-36890D49513D}"/>
            </c:ext>
          </c:extLst>
        </c:ser>
        <c:ser>
          <c:idx val="3"/>
          <c:order val="3"/>
          <c:tx>
            <c:strRef>
              <c:f>Ratios!$M$6</c:f>
              <c:strCache>
                <c:ptCount val="1"/>
                <c:pt idx="0">
                  <c:v>2021</c:v>
                </c:pt>
              </c:strCache>
            </c:strRef>
          </c:tx>
          <c:spPr>
            <a:solidFill>
              <a:schemeClr val="accent4"/>
            </a:solidFill>
            <a:ln>
              <a:noFill/>
            </a:ln>
            <a:effectLst/>
            <a:sp3d/>
          </c:spPr>
          <c:invertIfNegative val="0"/>
          <c:cat>
            <c:strRef>
              <c:f>Ratios!$I$7</c:f>
              <c:strCache>
                <c:ptCount val="1"/>
                <c:pt idx="0">
                  <c:v>Glencore Plc</c:v>
                </c:pt>
              </c:strCache>
            </c:strRef>
          </c:cat>
          <c:val>
            <c:numRef>
              <c:f>Ratios!$M$7</c:f>
              <c:numCache>
                <c:formatCode>0.00</c:formatCode>
                <c:ptCount val="1"/>
                <c:pt idx="0">
                  <c:v>1.1681594856345661</c:v>
                </c:pt>
              </c:numCache>
            </c:numRef>
          </c:val>
          <c:extLst>
            <c:ext xmlns:c16="http://schemas.microsoft.com/office/drawing/2014/chart" uri="{C3380CC4-5D6E-409C-BE32-E72D297353CC}">
              <c16:uniqueId val="{00000003-090C-49B1-A1B4-36890D49513D}"/>
            </c:ext>
          </c:extLst>
        </c:ser>
        <c:ser>
          <c:idx val="4"/>
          <c:order val="4"/>
          <c:tx>
            <c:strRef>
              <c:f>Ratios!$N$6</c:f>
              <c:strCache>
                <c:ptCount val="1"/>
                <c:pt idx="0">
                  <c:v>2022</c:v>
                </c:pt>
              </c:strCache>
            </c:strRef>
          </c:tx>
          <c:spPr>
            <a:solidFill>
              <a:schemeClr val="accent5"/>
            </a:solidFill>
            <a:ln>
              <a:noFill/>
            </a:ln>
            <a:effectLst/>
            <a:sp3d/>
          </c:spPr>
          <c:invertIfNegative val="0"/>
          <c:cat>
            <c:strRef>
              <c:f>Ratios!$I$7</c:f>
              <c:strCache>
                <c:ptCount val="1"/>
                <c:pt idx="0">
                  <c:v>Glencore Plc</c:v>
                </c:pt>
              </c:strCache>
            </c:strRef>
          </c:cat>
          <c:val>
            <c:numRef>
              <c:f>Ratios!$N$7</c:f>
              <c:numCache>
                <c:formatCode>0.00</c:formatCode>
                <c:ptCount val="1"/>
                <c:pt idx="0">
                  <c:v>1.2958255335080495</c:v>
                </c:pt>
              </c:numCache>
            </c:numRef>
          </c:val>
          <c:extLst>
            <c:ext xmlns:c16="http://schemas.microsoft.com/office/drawing/2014/chart" uri="{C3380CC4-5D6E-409C-BE32-E72D297353CC}">
              <c16:uniqueId val="{00000004-090C-49B1-A1B4-36890D49513D}"/>
            </c:ext>
          </c:extLst>
        </c:ser>
        <c:dLbls>
          <c:showLegendKey val="0"/>
          <c:showVal val="0"/>
          <c:showCatName val="0"/>
          <c:showSerName val="0"/>
          <c:showPercent val="0"/>
          <c:showBubbleSize val="0"/>
        </c:dLbls>
        <c:gapWidth val="75"/>
        <c:shape val="box"/>
        <c:axId val="96422528"/>
        <c:axId val="97071488"/>
        <c:axId val="0"/>
      </c:bar3DChart>
      <c:catAx>
        <c:axId val="96422528"/>
        <c:scaling>
          <c:orientation val="minMax"/>
        </c:scaling>
        <c:delete val="1"/>
        <c:axPos val="b"/>
        <c:numFmt formatCode="General" sourceLinked="1"/>
        <c:majorTickMark val="none"/>
        <c:minorTickMark val="none"/>
        <c:tickLblPos val="nextTo"/>
        <c:crossAx val="97071488"/>
        <c:crosses val="autoZero"/>
        <c:auto val="1"/>
        <c:lblAlgn val="ctr"/>
        <c:lblOffset val="100"/>
        <c:noMultiLvlLbl val="0"/>
      </c:catAx>
      <c:valAx>
        <c:axId val="9707148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vert="horz"/>
          <a:lstStyle/>
          <a:p>
            <a:pPr>
              <a:defRPr/>
            </a:pPr>
            <a:endParaRPr lang="en-US"/>
          </a:p>
        </c:txPr>
        <c:crossAx val="96422528"/>
        <c:crosses val="autoZero"/>
        <c:crossBetween val="between"/>
      </c:valAx>
      <c:spPr>
        <a:noFill/>
        <a:ln>
          <a:noFill/>
        </a:ln>
        <a:effectLst/>
      </c:spPr>
    </c:plotArea>
    <c:legend>
      <c:legendPos val="b"/>
      <c:overlay val="0"/>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latin typeface="Times New Roman" panose="02020603050405020304" pitchFamily="18" charset="0"/>
                <a:cs typeface="Times New Roman" panose="02020603050405020304" pitchFamily="18" charset="0"/>
              </a:rPr>
              <a:t>Gearing Ratio </a:t>
            </a:r>
            <a:endParaRPr lang="en-US">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Ratios!$J$15</c:f>
              <c:strCache>
                <c:ptCount val="1"/>
                <c:pt idx="0">
                  <c:v>2018</c:v>
                </c:pt>
              </c:strCache>
            </c:strRef>
          </c:tx>
          <c:spPr>
            <a:solidFill>
              <a:schemeClr val="accent1"/>
            </a:solidFill>
            <a:ln>
              <a:noFill/>
            </a:ln>
            <a:effectLst/>
            <a:sp3d/>
          </c:spPr>
          <c:invertIfNegative val="0"/>
          <c:cat>
            <c:strRef>
              <c:f>Ratios!$I$16</c:f>
              <c:strCache>
                <c:ptCount val="1"/>
                <c:pt idx="0">
                  <c:v>Debt-Equity Ratio</c:v>
                </c:pt>
              </c:strCache>
            </c:strRef>
          </c:cat>
          <c:val>
            <c:numRef>
              <c:f>Ratios!$J$16</c:f>
              <c:numCache>
                <c:formatCode>0.00</c:formatCode>
                <c:ptCount val="1"/>
                <c:pt idx="0">
                  <c:v>0.58224445276865788</c:v>
                </c:pt>
              </c:numCache>
            </c:numRef>
          </c:val>
          <c:extLst>
            <c:ext xmlns:c16="http://schemas.microsoft.com/office/drawing/2014/chart" uri="{C3380CC4-5D6E-409C-BE32-E72D297353CC}">
              <c16:uniqueId val="{00000000-3978-4FB6-8D43-5DFB0A8BF4B7}"/>
            </c:ext>
          </c:extLst>
        </c:ser>
        <c:ser>
          <c:idx val="1"/>
          <c:order val="1"/>
          <c:tx>
            <c:strRef>
              <c:f>Ratios!$K$15</c:f>
              <c:strCache>
                <c:ptCount val="1"/>
                <c:pt idx="0">
                  <c:v>2019</c:v>
                </c:pt>
              </c:strCache>
            </c:strRef>
          </c:tx>
          <c:spPr>
            <a:solidFill>
              <a:schemeClr val="accent2"/>
            </a:solidFill>
            <a:ln>
              <a:noFill/>
            </a:ln>
            <a:effectLst/>
            <a:sp3d/>
          </c:spPr>
          <c:invertIfNegative val="0"/>
          <c:cat>
            <c:strRef>
              <c:f>Ratios!$I$16</c:f>
              <c:strCache>
                <c:ptCount val="1"/>
                <c:pt idx="0">
                  <c:v>Debt-Equity Ratio</c:v>
                </c:pt>
              </c:strCache>
            </c:strRef>
          </c:cat>
          <c:val>
            <c:numRef>
              <c:f>Ratios!$K$16</c:f>
              <c:numCache>
                <c:formatCode>0.00</c:formatCode>
                <c:ptCount val="1"/>
                <c:pt idx="0">
                  <c:v>0.44744622285656033</c:v>
                </c:pt>
              </c:numCache>
            </c:numRef>
          </c:val>
          <c:extLst>
            <c:ext xmlns:c16="http://schemas.microsoft.com/office/drawing/2014/chart" uri="{C3380CC4-5D6E-409C-BE32-E72D297353CC}">
              <c16:uniqueId val="{00000001-3978-4FB6-8D43-5DFB0A8BF4B7}"/>
            </c:ext>
          </c:extLst>
        </c:ser>
        <c:ser>
          <c:idx val="2"/>
          <c:order val="2"/>
          <c:tx>
            <c:strRef>
              <c:f>Ratios!$L$15</c:f>
              <c:strCache>
                <c:ptCount val="1"/>
                <c:pt idx="0">
                  <c:v>2020</c:v>
                </c:pt>
              </c:strCache>
            </c:strRef>
          </c:tx>
          <c:spPr>
            <a:solidFill>
              <a:schemeClr val="accent3"/>
            </a:solidFill>
            <a:ln>
              <a:noFill/>
            </a:ln>
            <a:effectLst/>
            <a:sp3d/>
          </c:spPr>
          <c:invertIfNegative val="0"/>
          <c:cat>
            <c:strRef>
              <c:f>Ratios!$I$16</c:f>
              <c:strCache>
                <c:ptCount val="1"/>
                <c:pt idx="0">
                  <c:v>Debt-Equity Ratio</c:v>
                </c:pt>
              </c:strCache>
            </c:strRef>
          </c:cat>
          <c:val>
            <c:numRef>
              <c:f>Ratios!$L$16</c:f>
              <c:numCache>
                <c:formatCode>0.00</c:formatCode>
                <c:ptCount val="1"/>
                <c:pt idx="0">
                  <c:v>0.42759141910354048</c:v>
                </c:pt>
              </c:numCache>
            </c:numRef>
          </c:val>
          <c:extLst>
            <c:ext xmlns:c16="http://schemas.microsoft.com/office/drawing/2014/chart" uri="{C3380CC4-5D6E-409C-BE32-E72D297353CC}">
              <c16:uniqueId val="{00000002-3978-4FB6-8D43-5DFB0A8BF4B7}"/>
            </c:ext>
          </c:extLst>
        </c:ser>
        <c:ser>
          <c:idx val="3"/>
          <c:order val="3"/>
          <c:tx>
            <c:strRef>
              <c:f>Ratios!$M$15</c:f>
              <c:strCache>
                <c:ptCount val="1"/>
                <c:pt idx="0">
                  <c:v>2021</c:v>
                </c:pt>
              </c:strCache>
            </c:strRef>
          </c:tx>
          <c:spPr>
            <a:solidFill>
              <a:schemeClr val="accent4"/>
            </a:solidFill>
            <a:ln>
              <a:noFill/>
            </a:ln>
            <a:effectLst/>
            <a:sp3d/>
          </c:spPr>
          <c:invertIfNegative val="0"/>
          <c:cat>
            <c:strRef>
              <c:f>Ratios!$I$16</c:f>
              <c:strCache>
                <c:ptCount val="1"/>
                <c:pt idx="0">
                  <c:v>Debt-Equity Ratio</c:v>
                </c:pt>
              </c:strCache>
            </c:strRef>
          </c:cat>
          <c:val>
            <c:numRef>
              <c:f>Ratios!$M$16</c:f>
              <c:numCache>
                <c:formatCode>0.00</c:formatCode>
                <c:ptCount val="1"/>
                <c:pt idx="0">
                  <c:v>0.1625267491941382</c:v>
                </c:pt>
              </c:numCache>
            </c:numRef>
          </c:val>
          <c:extLst>
            <c:ext xmlns:c16="http://schemas.microsoft.com/office/drawing/2014/chart" uri="{C3380CC4-5D6E-409C-BE32-E72D297353CC}">
              <c16:uniqueId val="{00000003-3978-4FB6-8D43-5DFB0A8BF4B7}"/>
            </c:ext>
          </c:extLst>
        </c:ser>
        <c:ser>
          <c:idx val="4"/>
          <c:order val="4"/>
          <c:tx>
            <c:strRef>
              <c:f>Ratios!$N$15</c:f>
              <c:strCache>
                <c:ptCount val="1"/>
                <c:pt idx="0">
                  <c:v>2022</c:v>
                </c:pt>
              </c:strCache>
            </c:strRef>
          </c:tx>
          <c:spPr>
            <a:solidFill>
              <a:schemeClr val="accent5"/>
            </a:solidFill>
            <a:ln>
              <a:noFill/>
            </a:ln>
            <a:effectLst/>
            <a:sp3d/>
          </c:spPr>
          <c:invertIfNegative val="0"/>
          <c:cat>
            <c:strRef>
              <c:f>Ratios!$I$16</c:f>
              <c:strCache>
                <c:ptCount val="1"/>
                <c:pt idx="0">
                  <c:v>Debt-Equity Ratio</c:v>
                </c:pt>
              </c:strCache>
            </c:strRef>
          </c:cat>
          <c:val>
            <c:numRef>
              <c:f>Ratios!$N$16</c:f>
              <c:numCache>
                <c:formatCode>0.00</c:formatCode>
                <c:ptCount val="1"/>
                <c:pt idx="0">
                  <c:v>2.2114597846038171E-3</c:v>
                </c:pt>
              </c:numCache>
            </c:numRef>
          </c:val>
          <c:extLst>
            <c:ext xmlns:c16="http://schemas.microsoft.com/office/drawing/2014/chart" uri="{C3380CC4-5D6E-409C-BE32-E72D297353CC}">
              <c16:uniqueId val="{00000004-3978-4FB6-8D43-5DFB0A8BF4B7}"/>
            </c:ext>
          </c:extLst>
        </c:ser>
        <c:dLbls>
          <c:showLegendKey val="0"/>
          <c:showVal val="0"/>
          <c:showCatName val="0"/>
          <c:showSerName val="0"/>
          <c:showPercent val="0"/>
          <c:showBubbleSize val="0"/>
        </c:dLbls>
        <c:gapWidth val="75"/>
        <c:shape val="box"/>
        <c:axId val="1270920047"/>
        <c:axId val="1270911887"/>
        <c:axId val="0"/>
      </c:bar3DChart>
      <c:catAx>
        <c:axId val="1270920047"/>
        <c:scaling>
          <c:orientation val="minMax"/>
        </c:scaling>
        <c:delete val="1"/>
        <c:axPos val="b"/>
        <c:numFmt formatCode="General" sourceLinked="1"/>
        <c:majorTickMark val="none"/>
        <c:minorTickMark val="none"/>
        <c:tickLblPos val="nextTo"/>
        <c:crossAx val="1270911887"/>
        <c:crosses val="autoZero"/>
        <c:auto val="1"/>
        <c:lblAlgn val="ctr"/>
        <c:lblOffset val="100"/>
        <c:noMultiLvlLbl val="0"/>
      </c:catAx>
      <c:valAx>
        <c:axId val="127091188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7092004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a:latin typeface="Times New Roman" panose="02020603050405020304" pitchFamily="18" charset="0"/>
                <a:cs typeface="Times New Roman" panose="02020603050405020304" pitchFamily="18" charset="0"/>
              </a:rPr>
              <a:t>Efficiency</a:t>
            </a:r>
            <a:r>
              <a:rPr lang="en-US" sz="1400" baseline="0">
                <a:latin typeface="Times New Roman" panose="02020603050405020304" pitchFamily="18" charset="0"/>
                <a:cs typeface="Times New Roman" panose="02020603050405020304" pitchFamily="18" charset="0"/>
              </a:rPr>
              <a:t> Ratio</a:t>
            </a:r>
            <a:endParaRPr lang="en-US" sz="14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Ratios!$J$11</c:f>
              <c:strCache>
                <c:ptCount val="1"/>
                <c:pt idx="0">
                  <c:v>2018</c:v>
                </c:pt>
              </c:strCache>
            </c:strRef>
          </c:tx>
          <c:spPr>
            <a:solidFill>
              <a:schemeClr val="accent1"/>
            </a:solidFill>
            <a:ln>
              <a:noFill/>
            </a:ln>
            <a:effectLst/>
            <a:sp3d/>
          </c:spPr>
          <c:invertIfNegative val="0"/>
          <c:cat>
            <c:strRef>
              <c:f>Ratios!$I$12</c:f>
              <c:strCache>
                <c:ptCount val="1"/>
                <c:pt idx="0">
                  <c:v>Inventory Turnover in days</c:v>
                </c:pt>
              </c:strCache>
            </c:strRef>
          </c:cat>
          <c:val>
            <c:numRef>
              <c:f>Ratios!$J$12</c:f>
              <c:numCache>
                <c:formatCode>0.00</c:formatCode>
                <c:ptCount val="1"/>
                <c:pt idx="0">
                  <c:v>0.61151505946900298</c:v>
                </c:pt>
              </c:numCache>
            </c:numRef>
          </c:val>
          <c:extLst>
            <c:ext xmlns:c16="http://schemas.microsoft.com/office/drawing/2014/chart" uri="{C3380CC4-5D6E-409C-BE32-E72D297353CC}">
              <c16:uniqueId val="{00000000-3378-440C-A877-7DC7952CFBF7}"/>
            </c:ext>
          </c:extLst>
        </c:ser>
        <c:ser>
          <c:idx val="1"/>
          <c:order val="1"/>
          <c:tx>
            <c:strRef>
              <c:f>Ratios!$K$11</c:f>
              <c:strCache>
                <c:ptCount val="1"/>
                <c:pt idx="0">
                  <c:v>2019</c:v>
                </c:pt>
              </c:strCache>
            </c:strRef>
          </c:tx>
          <c:spPr>
            <a:solidFill>
              <a:schemeClr val="accent2"/>
            </a:solidFill>
            <a:ln>
              <a:noFill/>
            </a:ln>
            <a:effectLst/>
            <a:sp3d/>
          </c:spPr>
          <c:invertIfNegative val="0"/>
          <c:cat>
            <c:strRef>
              <c:f>Ratios!$I$12</c:f>
              <c:strCache>
                <c:ptCount val="1"/>
                <c:pt idx="0">
                  <c:v>Inventory Turnover in days</c:v>
                </c:pt>
              </c:strCache>
            </c:strRef>
          </c:cat>
          <c:val>
            <c:numRef>
              <c:f>Ratios!$K$12</c:f>
              <c:numCache>
                <c:formatCode>0.00</c:formatCode>
                <c:ptCount val="1"/>
                <c:pt idx="0">
                  <c:v>0.99734358516209354</c:v>
                </c:pt>
              </c:numCache>
            </c:numRef>
          </c:val>
          <c:extLst>
            <c:ext xmlns:c16="http://schemas.microsoft.com/office/drawing/2014/chart" uri="{C3380CC4-5D6E-409C-BE32-E72D297353CC}">
              <c16:uniqueId val="{00000001-3378-440C-A877-7DC7952CFBF7}"/>
            </c:ext>
          </c:extLst>
        </c:ser>
        <c:ser>
          <c:idx val="2"/>
          <c:order val="2"/>
          <c:tx>
            <c:strRef>
              <c:f>Ratios!$L$11</c:f>
              <c:strCache>
                <c:ptCount val="1"/>
                <c:pt idx="0">
                  <c:v>2020</c:v>
                </c:pt>
              </c:strCache>
            </c:strRef>
          </c:tx>
          <c:spPr>
            <a:solidFill>
              <a:schemeClr val="accent3"/>
            </a:solidFill>
            <a:ln>
              <a:noFill/>
            </a:ln>
            <a:effectLst/>
            <a:sp3d/>
          </c:spPr>
          <c:invertIfNegative val="0"/>
          <c:cat>
            <c:strRef>
              <c:f>Ratios!$I$12</c:f>
              <c:strCache>
                <c:ptCount val="1"/>
                <c:pt idx="0">
                  <c:v>Inventory Turnover in days</c:v>
                </c:pt>
              </c:strCache>
            </c:strRef>
          </c:cat>
          <c:val>
            <c:numRef>
              <c:f>Ratios!$L$12</c:f>
              <c:numCache>
                <c:formatCode>0.00</c:formatCode>
                <c:ptCount val="1"/>
                <c:pt idx="0">
                  <c:v>1.78498268897865</c:v>
                </c:pt>
              </c:numCache>
            </c:numRef>
          </c:val>
          <c:extLst>
            <c:ext xmlns:c16="http://schemas.microsoft.com/office/drawing/2014/chart" uri="{C3380CC4-5D6E-409C-BE32-E72D297353CC}">
              <c16:uniqueId val="{00000002-3378-440C-A877-7DC7952CFBF7}"/>
            </c:ext>
          </c:extLst>
        </c:ser>
        <c:ser>
          <c:idx val="3"/>
          <c:order val="3"/>
          <c:tx>
            <c:strRef>
              <c:f>Ratios!$M$11</c:f>
              <c:strCache>
                <c:ptCount val="1"/>
                <c:pt idx="0">
                  <c:v>2021</c:v>
                </c:pt>
              </c:strCache>
            </c:strRef>
          </c:tx>
          <c:spPr>
            <a:solidFill>
              <a:schemeClr val="accent4"/>
            </a:solidFill>
            <a:ln>
              <a:noFill/>
            </a:ln>
            <a:effectLst/>
            <a:sp3d/>
          </c:spPr>
          <c:invertIfNegative val="0"/>
          <c:cat>
            <c:strRef>
              <c:f>Ratios!$I$12</c:f>
              <c:strCache>
                <c:ptCount val="1"/>
                <c:pt idx="0">
                  <c:v>Inventory Turnover in days</c:v>
                </c:pt>
              </c:strCache>
            </c:strRef>
          </c:cat>
          <c:val>
            <c:numRef>
              <c:f>Ratios!$M$12</c:f>
              <c:numCache>
                <c:formatCode>0.00</c:formatCode>
                <c:ptCount val="1"/>
                <c:pt idx="0">
                  <c:v>1.2626325965407326</c:v>
                </c:pt>
              </c:numCache>
            </c:numRef>
          </c:val>
          <c:extLst>
            <c:ext xmlns:c16="http://schemas.microsoft.com/office/drawing/2014/chart" uri="{C3380CC4-5D6E-409C-BE32-E72D297353CC}">
              <c16:uniqueId val="{00000003-3378-440C-A877-7DC7952CFBF7}"/>
            </c:ext>
          </c:extLst>
        </c:ser>
        <c:ser>
          <c:idx val="4"/>
          <c:order val="4"/>
          <c:tx>
            <c:strRef>
              <c:f>Ratios!$N$11</c:f>
              <c:strCache>
                <c:ptCount val="1"/>
                <c:pt idx="0">
                  <c:v>2022</c:v>
                </c:pt>
              </c:strCache>
            </c:strRef>
          </c:tx>
          <c:spPr>
            <a:solidFill>
              <a:schemeClr val="accent5"/>
            </a:solidFill>
            <a:ln>
              <a:noFill/>
            </a:ln>
            <a:effectLst/>
            <a:sp3d/>
          </c:spPr>
          <c:invertIfNegative val="0"/>
          <c:cat>
            <c:strRef>
              <c:f>Ratios!$I$12</c:f>
              <c:strCache>
                <c:ptCount val="1"/>
                <c:pt idx="0">
                  <c:v>Inventory Turnover in days</c:v>
                </c:pt>
              </c:strCache>
            </c:strRef>
          </c:cat>
          <c:val>
            <c:numRef>
              <c:f>Ratios!$N$12</c:f>
              <c:numCache>
                <c:formatCode>0.00</c:formatCode>
                <c:ptCount val="1"/>
                <c:pt idx="0">
                  <c:v>0.96546914827105268</c:v>
                </c:pt>
              </c:numCache>
            </c:numRef>
          </c:val>
          <c:extLst>
            <c:ext xmlns:c16="http://schemas.microsoft.com/office/drawing/2014/chart" uri="{C3380CC4-5D6E-409C-BE32-E72D297353CC}">
              <c16:uniqueId val="{00000004-3378-440C-A877-7DC7952CFBF7}"/>
            </c:ext>
          </c:extLst>
        </c:ser>
        <c:dLbls>
          <c:showLegendKey val="0"/>
          <c:showVal val="0"/>
          <c:showCatName val="0"/>
          <c:showSerName val="0"/>
          <c:showPercent val="0"/>
          <c:showBubbleSize val="0"/>
        </c:dLbls>
        <c:gapWidth val="75"/>
        <c:shape val="box"/>
        <c:axId val="1267435023"/>
        <c:axId val="1267434063"/>
        <c:axId val="0"/>
      </c:bar3DChart>
      <c:catAx>
        <c:axId val="1267435023"/>
        <c:scaling>
          <c:orientation val="minMax"/>
        </c:scaling>
        <c:delete val="1"/>
        <c:axPos val="b"/>
        <c:numFmt formatCode="General" sourceLinked="1"/>
        <c:majorTickMark val="none"/>
        <c:minorTickMark val="none"/>
        <c:tickLblPos val="nextTo"/>
        <c:crossAx val="1267434063"/>
        <c:crosses val="autoZero"/>
        <c:auto val="1"/>
        <c:lblAlgn val="ctr"/>
        <c:lblOffset val="100"/>
        <c:noMultiLvlLbl val="0"/>
      </c:catAx>
      <c:valAx>
        <c:axId val="1267434063"/>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6743502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a:effectLst/>
                <a:latin typeface="Times New Roman" panose="02020603050405020304" pitchFamily="18" charset="0"/>
                <a:cs typeface="Times New Roman" panose="02020603050405020304" pitchFamily="18" charset="0"/>
              </a:rPr>
              <a:t>Net Profit Ratio</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Ratios!$I$3</c:f>
              <c:strCache>
                <c:ptCount val="1"/>
                <c:pt idx="0">
                  <c:v>Glencore Plc </c:v>
                </c:pt>
              </c:strCache>
            </c:strRef>
          </c:tx>
          <c:spPr>
            <a:solidFill>
              <a:schemeClr val="accent1"/>
            </a:solidFill>
            <a:ln>
              <a:noFill/>
            </a:ln>
            <a:effectLst/>
          </c:spPr>
          <c:invertIfNegative val="0"/>
          <c:cat>
            <c:numRef>
              <c:f>Ratios!$J$2:$N$2</c:f>
              <c:numCache>
                <c:formatCode>General</c:formatCode>
                <c:ptCount val="5"/>
                <c:pt idx="0">
                  <c:v>2018</c:v>
                </c:pt>
                <c:pt idx="1">
                  <c:v>2019</c:v>
                </c:pt>
                <c:pt idx="2">
                  <c:v>2020</c:v>
                </c:pt>
                <c:pt idx="3">
                  <c:v>2021</c:v>
                </c:pt>
                <c:pt idx="4">
                  <c:v>2022</c:v>
                </c:pt>
              </c:numCache>
            </c:numRef>
          </c:cat>
          <c:val>
            <c:numRef>
              <c:f>Ratios!$J$3:$N$3</c:f>
              <c:numCache>
                <c:formatCode>0.00%</c:formatCode>
                <c:ptCount val="5"/>
                <c:pt idx="0">
                  <c:v>1.1904220173466694E-2</c:v>
                </c:pt>
                <c:pt idx="1">
                  <c:v>-7.0010366740891911E-3</c:v>
                </c:pt>
                <c:pt idx="2">
                  <c:v>2.772274445334345E-2</c:v>
                </c:pt>
                <c:pt idx="3">
                  <c:v>2.134468051690544E-2</c:v>
                </c:pt>
                <c:pt idx="4">
                  <c:v>6.4500125007812992E-2</c:v>
                </c:pt>
              </c:numCache>
            </c:numRef>
          </c:val>
          <c:extLst>
            <c:ext xmlns:c16="http://schemas.microsoft.com/office/drawing/2014/chart" uri="{C3380CC4-5D6E-409C-BE32-E72D297353CC}">
              <c16:uniqueId val="{00000000-D923-46E2-B8D9-256C5E538D3F}"/>
            </c:ext>
          </c:extLst>
        </c:ser>
        <c:ser>
          <c:idx val="1"/>
          <c:order val="1"/>
          <c:tx>
            <c:strRef>
              <c:f>Ratios!$I$4</c:f>
              <c:strCache>
                <c:ptCount val="1"/>
                <c:pt idx="0">
                  <c:v>Anglo-American Plc</c:v>
                </c:pt>
              </c:strCache>
            </c:strRef>
          </c:tx>
          <c:spPr>
            <a:solidFill>
              <a:schemeClr val="accent2"/>
            </a:solidFill>
            <a:ln>
              <a:noFill/>
            </a:ln>
            <a:effectLst/>
          </c:spPr>
          <c:invertIfNegative val="0"/>
          <c:cat>
            <c:numRef>
              <c:f>Ratios!$J$2:$N$2</c:f>
              <c:numCache>
                <c:formatCode>General</c:formatCode>
                <c:ptCount val="5"/>
                <c:pt idx="0">
                  <c:v>2018</c:v>
                </c:pt>
                <c:pt idx="1">
                  <c:v>2019</c:v>
                </c:pt>
                <c:pt idx="2">
                  <c:v>2020</c:v>
                </c:pt>
                <c:pt idx="3">
                  <c:v>2021</c:v>
                </c:pt>
                <c:pt idx="4">
                  <c:v>2022</c:v>
                </c:pt>
              </c:numCache>
            </c:numRef>
          </c:cat>
          <c:val>
            <c:numRef>
              <c:f>Ratios!$J$4:$N$4</c:f>
              <c:numCache>
                <c:formatCode>0.00%</c:formatCode>
                <c:ptCount val="5"/>
                <c:pt idx="0">
                  <c:v>0.1285</c:v>
                </c:pt>
                <c:pt idx="1">
                  <c:v>0.1187</c:v>
                </c:pt>
                <c:pt idx="2">
                  <c:v>8.2100000000000006E-2</c:v>
                </c:pt>
                <c:pt idx="3">
                  <c:v>0.20599999999999999</c:v>
                </c:pt>
                <c:pt idx="4">
                  <c:v>0.1285</c:v>
                </c:pt>
              </c:numCache>
            </c:numRef>
          </c:val>
          <c:extLst>
            <c:ext xmlns:c16="http://schemas.microsoft.com/office/drawing/2014/chart" uri="{C3380CC4-5D6E-409C-BE32-E72D297353CC}">
              <c16:uniqueId val="{00000001-D923-46E2-B8D9-256C5E538D3F}"/>
            </c:ext>
          </c:extLst>
        </c:ser>
        <c:dLbls>
          <c:showLegendKey val="0"/>
          <c:showVal val="0"/>
          <c:showCatName val="0"/>
          <c:showSerName val="0"/>
          <c:showPercent val="0"/>
          <c:showBubbleSize val="0"/>
        </c:dLbls>
        <c:gapWidth val="75"/>
        <c:overlap val="-25"/>
        <c:axId val="1237679375"/>
        <c:axId val="1237692335"/>
      </c:barChart>
      <c:catAx>
        <c:axId val="12376793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7692335"/>
        <c:crosses val="autoZero"/>
        <c:auto val="1"/>
        <c:lblAlgn val="ctr"/>
        <c:lblOffset val="100"/>
        <c:noMultiLvlLbl val="0"/>
      </c:catAx>
      <c:valAx>
        <c:axId val="1237692335"/>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767937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latin typeface="Times New Roman" panose="02020603050405020304" pitchFamily="18" charset="0"/>
                <a:cs typeface="Times New Roman" panose="02020603050405020304" pitchFamily="18" charset="0"/>
              </a:rPr>
              <a:t>Current Ratio</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Ratios!$I$8</c:f>
              <c:strCache>
                <c:ptCount val="1"/>
                <c:pt idx="0">
                  <c:v>Glencore Plc </c:v>
                </c:pt>
              </c:strCache>
            </c:strRef>
          </c:tx>
          <c:spPr>
            <a:solidFill>
              <a:schemeClr val="accent1"/>
            </a:solidFill>
            <a:ln>
              <a:noFill/>
            </a:ln>
            <a:effectLst/>
          </c:spPr>
          <c:invertIfNegative val="0"/>
          <c:cat>
            <c:strRef>
              <c:f>Ratios!$J$6:$N$7</c:f>
              <c:strCache>
                <c:ptCount val="5"/>
                <c:pt idx="0">
                  <c:v>2018</c:v>
                </c:pt>
                <c:pt idx="1">
                  <c:v>2019</c:v>
                </c:pt>
                <c:pt idx="2">
                  <c:v>2020</c:v>
                </c:pt>
                <c:pt idx="3">
                  <c:v>2021</c:v>
                </c:pt>
                <c:pt idx="4">
                  <c:v>2022</c:v>
                </c:pt>
              </c:strCache>
            </c:strRef>
          </c:cat>
          <c:val>
            <c:numRef>
              <c:f>Ratios!$J$8:$N$8</c:f>
              <c:numCache>
                <c:formatCode>0.000</c:formatCode>
                <c:ptCount val="5"/>
                <c:pt idx="0" formatCode="0.00">
                  <c:v>1.0965025265035173</c:v>
                </c:pt>
                <c:pt idx="1">
                  <c:v>1.0615771123872026</c:v>
                </c:pt>
                <c:pt idx="2">
                  <c:v>1.0956111660454857</c:v>
                </c:pt>
                <c:pt idx="3">
                  <c:v>1.1681594856345661</c:v>
                </c:pt>
                <c:pt idx="4">
                  <c:v>1.2958255335080495</c:v>
                </c:pt>
              </c:numCache>
            </c:numRef>
          </c:val>
          <c:extLst>
            <c:ext xmlns:c16="http://schemas.microsoft.com/office/drawing/2014/chart" uri="{C3380CC4-5D6E-409C-BE32-E72D297353CC}">
              <c16:uniqueId val="{00000000-FDDB-44CC-BD42-7F822A912185}"/>
            </c:ext>
          </c:extLst>
        </c:ser>
        <c:ser>
          <c:idx val="1"/>
          <c:order val="1"/>
          <c:tx>
            <c:strRef>
              <c:f>Ratios!$I$9</c:f>
              <c:strCache>
                <c:ptCount val="1"/>
                <c:pt idx="0">
                  <c:v>Anglo-American Plc</c:v>
                </c:pt>
              </c:strCache>
            </c:strRef>
          </c:tx>
          <c:spPr>
            <a:solidFill>
              <a:schemeClr val="accent2"/>
            </a:solidFill>
            <a:ln>
              <a:noFill/>
            </a:ln>
            <a:effectLst/>
          </c:spPr>
          <c:invertIfNegative val="0"/>
          <c:cat>
            <c:strRef>
              <c:f>Ratios!$J$6:$N$7</c:f>
              <c:strCache>
                <c:ptCount val="5"/>
                <c:pt idx="0">
                  <c:v>2018</c:v>
                </c:pt>
                <c:pt idx="1">
                  <c:v>2019</c:v>
                </c:pt>
                <c:pt idx="2">
                  <c:v>2020</c:v>
                </c:pt>
                <c:pt idx="3">
                  <c:v>2021</c:v>
                </c:pt>
                <c:pt idx="4">
                  <c:v>2022</c:v>
                </c:pt>
              </c:strCache>
            </c:strRef>
          </c:cat>
          <c:val>
            <c:numRef>
              <c:f>Ratios!$J$9:$N$9</c:f>
              <c:numCache>
                <c:formatCode>General</c:formatCode>
                <c:ptCount val="5"/>
                <c:pt idx="0">
                  <c:v>1.95</c:v>
                </c:pt>
                <c:pt idx="1">
                  <c:v>1.84</c:v>
                </c:pt>
                <c:pt idx="2">
                  <c:v>1.93</c:v>
                </c:pt>
                <c:pt idx="3">
                  <c:v>1.78</c:v>
                </c:pt>
                <c:pt idx="4">
                  <c:v>1.89</c:v>
                </c:pt>
              </c:numCache>
            </c:numRef>
          </c:val>
          <c:extLst>
            <c:ext xmlns:c16="http://schemas.microsoft.com/office/drawing/2014/chart" uri="{C3380CC4-5D6E-409C-BE32-E72D297353CC}">
              <c16:uniqueId val="{00000001-FDDB-44CC-BD42-7F822A912185}"/>
            </c:ext>
          </c:extLst>
        </c:ser>
        <c:dLbls>
          <c:showLegendKey val="0"/>
          <c:showVal val="0"/>
          <c:showCatName val="0"/>
          <c:showSerName val="0"/>
          <c:showPercent val="0"/>
          <c:showBubbleSize val="0"/>
        </c:dLbls>
        <c:gapWidth val="219"/>
        <c:overlap val="-27"/>
        <c:axId val="1347397503"/>
        <c:axId val="1347397983"/>
      </c:barChart>
      <c:catAx>
        <c:axId val="134739750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7397983"/>
        <c:crosses val="autoZero"/>
        <c:auto val="1"/>
        <c:lblAlgn val="ctr"/>
        <c:lblOffset val="100"/>
        <c:noMultiLvlLbl val="0"/>
      </c:catAx>
      <c:valAx>
        <c:axId val="1347397983"/>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739750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i="0" u="none" strike="noStrike" baseline="0">
                <a:effectLst/>
                <a:latin typeface="Times New Roman" panose="02020603050405020304" pitchFamily="18" charset="0"/>
                <a:cs typeface="Times New Roman" panose="02020603050405020304" pitchFamily="18" charset="0"/>
              </a:rPr>
              <a:t>Inventory Turnover Ratio</a:t>
            </a:r>
            <a:endParaRPr lang="en-US" b="1">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Ratios!$I$13</c:f>
              <c:strCache>
                <c:ptCount val="1"/>
                <c:pt idx="0">
                  <c:v>Glencore Plc </c:v>
                </c:pt>
              </c:strCache>
            </c:strRef>
          </c:tx>
          <c:spPr>
            <a:solidFill>
              <a:schemeClr val="accent1"/>
            </a:solidFill>
            <a:ln>
              <a:noFill/>
            </a:ln>
            <a:effectLst/>
          </c:spPr>
          <c:invertIfNegative val="0"/>
          <c:cat>
            <c:numRef>
              <c:f>Ratios!$J$12:$N$12</c:f>
              <c:numCache>
                <c:formatCode>General</c:formatCode>
                <c:ptCount val="5"/>
                <c:pt idx="0">
                  <c:v>2018</c:v>
                </c:pt>
                <c:pt idx="1">
                  <c:v>2019</c:v>
                </c:pt>
                <c:pt idx="2">
                  <c:v>2020</c:v>
                </c:pt>
                <c:pt idx="3">
                  <c:v>2021</c:v>
                </c:pt>
                <c:pt idx="4">
                  <c:v>2022</c:v>
                </c:pt>
              </c:numCache>
            </c:numRef>
          </c:cat>
          <c:val>
            <c:numRef>
              <c:f>Ratios!$J$13:$N$13</c:f>
              <c:numCache>
                <c:formatCode>0.00</c:formatCode>
                <c:ptCount val="5"/>
                <c:pt idx="0">
                  <c:v>10.28</c:v>
                </c:pt>
                <c:pt idx="1">
                  <c:v>10.55</c:v>
                </c:pt>
                <c:pt idx="2">
                  <c:v>6.07</c:v>
                </c:pt>
                <c:pt idx="3">
                  <c:v>6.73</c:v>
                </c:pt>
                <c:pt idx="4">
                  <c:v>6.82</c:v>
                </c:pt>
              </c:numCache>
            </c:numRef>
          </c:val>
          <c:extLst>
            <c:ext xmlns:c16="http://schemas.microsoft.com/office/drawing/2014/chart" uri="{C3380CC4-5D6E-409C-BE32-E72D297353CC}">
              <c16:uniqueId val="{00000000-4353-45C8-BF7F-83A98DF5CABC}"/>
            </c:ext>
          </c:extLst>
        </c:ser>
        <c:ser>
          <c:idx val="1"/>
          <c:order val="1"/>
          <c:tx>
            <c:strRef>
              <c:f>Ratios!$I$14</c:f>
              <c:strCache>
                <c:ptCount val="1"/>
                <c:pt idx="0">
                  <c:v>Anglo-American Plc</c:v>
                </c:pt>
              </c:strCache>
            </c:strRef>
          </c:tx>
          <c:spPr>
            <a:solidFill>
              <a:schemeClr val="accent2"/>
            </a:solidFill>
            <a:ln>
              <a:noFill/>
            </a:ln>
            <a:effectLst/>
          </c:spPr>
          <c:invertIfNegative val="0"/>
          <c:cat>
            <c:numRef>
              <c:f>Ratios!$J$12:$N$12</c:f>
              <c:numCache>
                <c:formatCode>General</c:formatCode>
                <c:ptCount val="5"/>
                <c:pt idx="0">
                  <c:v>2018</c:v>
                </c:pt>
                <c:pt idx="1">
                  <c:v>2019</c:v>
                </c:pt>
                <c:pt idx="2">
                  <c:v>2020</c:v>
                </c:pt>
                <c:pt idx="3">
                  <c:v>2021</c:v>
                </c:pt>
                <c:pt idx="4">
                  <c:v>2022</c:v>
                </c:pt>
              </c:numCache>
            </c:numRef>
          </c:cat>
          <c:val>
            <c:numRef>
              <c:f>Ratios!$J$14:$N$14</c:f>
              <c:numCache>
                <c:formatCode>General</c:formatCode>
                <c:ptCount val="5"/>
                <c:pt idx="0">
                  <c:v>4.82</c:v>
                </c:pt>
                <c:pt idx="1">
                  <c:v>5.48</c:v>
                </c:pt>
                <c:pt idx="2">
                  <c:v>3.32</c:v>
                </c:pt>
                <c:pt idx="3">
                  <c:v>4.58</c:v>
                </c:pt>
                <c:pt idx="4">
                  <c:v>3.92</c:v>
                </c:pt>
              </c:numCache>
            </c:numRef>
          </c:val>
          <c:extLst>
            <c:ext xmlns:c16="http://schemas.microsoft.com/office/drawing/2014/chart" uri="{C3380CC4-5D6E-409C-BE32-E72D297353CC}">
              <c16:uniqueId val="{00000001-4353-45C8-BF7F-83A98DF5CABC}"/>
            </c:ext>
          </c:extLst>
        </c:ser>
        <c:dLbls>
          <c:showLegendKey val="0"/>
          <c:showVal val="0"/>
          <c:showCatName val="0"/>
          <c:showSerName val="0"/>
          <c:showPercent val="0"/>
          <c:showBubbleSize val="0"/>
        </c:dLbls>
        <c:gapWidth val="219"/>
        <c:overlap val="-27"/>
        <c:axId val="1143469295"/>
        <c:axId val="1143469775"/>
      </c:barChart>
      <c:catAx>
        <c:axId val="11434692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3469775"/>
        <c:crosses val="autoZero"/>
        <c:auto val="1"/>
        <c:lblAlgn val="ctr"/>
        <c:lblOffset val="100"/>
        <c:noMultiLvlLbl val="0"/>
      </c:catAx>
      <c:valAx>
        <c:axId val="1143469775"/>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34692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1" i="0" u="none" strike="noStrike" baseline="0">
                <a:effectLst/>
                <a:latin typeface="Times New Roman" panose="02020603050405020304" pitchFamily="18" charset="0"/>
                <a:cs typeface="Times New Roman" panose="02020603050405020304" pitchFamily="18" charset="0"/>
              </a:rPr>
              <a:t>Debt-to-Equity Ratio</a:t>
            </a:r>
            <a:endParaRPr lang="en-US" b="1">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Ratios!$I$18</c:f>
              <c:strCache>
                <c:ptCount val="1"/>
                <c:pt idx="0">
                  <c:v>Glencore Plc </c:v>
                </c:pt>
              </c:strCache>
            </c:strRef>
          </c:tx>
          <c:spPr>
            <a:solidFill>
              <a:schemeClr val="accent1"/>
            </a:solidFill>
            <a:ln>
              <a:noFill/>
            </a:ln>
            <a:effectLst/>
          </c:spPr>
          <c:invertIfNegative val="0"/>
          <c:cat>
            <c:numRef>
              <c:f>Ratios!$J$17:$N$17</c:f>
              <c:numCache>
                <c:formatCode>General</c:formatCode>
                <c:ptCount val="5"/>
                <c:pt idx="0">
                  <c:v>2018</c:v>
                </c:pt>
                <c:pt idx="1">
                  <c:v>2019</c:v>
                </c:pt>
                <c:pt idx="2">
                  <c:v>2020</c:v>
                </c:pt>
                <c:pt idx="3">
                  <c:v>2021</c:v>
                </c:pt>
                <c:pt idx="4">
                  <c:v>2022</c:v>
                </c:pt>
              </c:numCache>
            </c:numRef>
          </c:cat>
          <c:val>
            <c:numRef>
              <c:f>Ratios!$J$18:$N$18</c:f>
              <c:numCache>
                <c:formatCode>0.00</c:formatCode>
                <c:ptCount val="5"/>
                <c:pt idx="0">
                  <c:v>0.58224445276865788</c:v>
                </c:pt>
                <c:pt idx="1">
                  <c:v>0.44744622285656033</c:v>
                </c:pt>
                <c:pt idx="2">
                  <c:v>0.42759141910354048</c:v>
                </c:pt>
                <c:pt idx="3">
                  <c:v>0.1625267491941382</c:v>
                </c:pt>
                <c:pt idx="4">
                  <c:v>2.2114597846038171E-3</c:v>
                </c:pt>
              </c:numCache>
            </c:numRef>
          </c:val>
          <c:extLst>
            <c:ext xmlns:c16="http://schemas.microsoft.com/office/drawing/2014/chart" uri="{C3380CC4-5D6E-409C-BE32-E72D297353CC}">
              <c16:uniqueId val="{00000000-7480-47DB-A87B-5E90793B4DDA}"/>
            </c:ext>
          </c:extLst>
        </c:ser>
        <c:ser>
          <c:idx val="1"/>
          <c:order val="1"/>
          <c:tx>
            <c:strRef>
              <c:f>Ratios!$I$19</c:f>
              <c:strCache>
                <c:ptCount val="1"/>
                <c:pt idx="0">
                  <c:v>Anglo-American Plc</c:v>
                </c:pt>
              </c:strCache>
            </c:strRef>
          </c:tx>
          <c:spPr>
            <a:solidFill>
              <a:schemeClr val="accent2"/>
            </a:solidFill>
            <a:ln>
              <a:noFill/>
            </a:ln>
            <a:effectLst/>
          </c:spPr>
          <c:invertIfNegative val="0"/>
          <c:cat>
            <c:numRef>
              <c:f>Ratios!$J$17:$N$17</c:f>
              <c:numCache>
                <c:formatCode>General</c:formatCode>
                <c:ptCount val="5"/>
                <c:pt idx="0">
                  <c:v>2018</c:v>
                </c:pt>
                <c:pt idx="1">
                  <c:v>2019</c:v>
                </c:pt>
                <c:pt idx="2">
                  <c:v>2020</c:v>
                </c:pt>
                <c:pt idx="3">
                  <c:v>2021</c:v>
                </c:pt>
                <c:pt idx="4">
                  <c:v>2022</c:v>
                </c:pt>
              </c:numCache>
            </c:numRef>
          </c:cat>
          <c:val>
            <c:numRef>
              <c:f>Ratios!$J$19:$N$19</c:f>
              <c:numCache>
                <c:formatCode>General</c:formatCode>
                <c:ptCount val="5"/>
                <c:pt idx="0">
                  <c:v>0.3</c:v>
                </c:pt>
                <c:pt idx="1">
                  <c:v>0.34</c:v>
                </c:pt>
                <c:pt idx="2">
                  <c:v>0.41</c:v>
                </c:pt>
                <c:pt idx="3">
                  <c:v>0.37</c:v>
                </c:pt>
                <c:pt idx="4">
                  <c:v>0.42</c:v>
                </c:pt>
              </c:numCache>
            </c:numRef>
          </c:val>
          <c:extLst>
            <c:ext xmlns:c16="http://schemas.microsoft.com/office/drawing/2014/chart" uri="{C3380CC4-5D6E-409C-BE32-E72D297353CC}">
              <c16:uniqueId val="{00000001-7480-47DB-A87B-5E90793B4DDA}"/>
            </c:ext>
          </c:extLst>
        </c:ser>
        <c:dLbls>
          <c:showLegendKey val="0"/>
          <c:showVal val="0"/>
          <c:showCatName val="0"/>
          <c:showSerName val="0"/>
          <c:showPercent val="0"/>
          <c:showBubbleSize val="0"/>
        </c:dLbls>
        <c:gapWidth val="219"/>
        <c:overlap val="-27"/>
        <c:axId val="1408490639"/>
        <c:axId val="1408491599"/>
      </c:barChart>
      <c:catAx>
        <c:axId val="14084906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08491599"/>
        <c:crosses val="autoZero"/>
        <c:auto val="1"/>
        <c:lblAlgn val="ctr"/>
        <c:lblOffset val="100"/>
        <c:noMultiLvlLbl val="0"/>
      </c:catAx>
      <c:valAx>
        <c:axId val="140849159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0849063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DE9894-DBAE-426F-99D1-387B15073D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434</TotalTime>
  <Pages>27</Pages>
  <Words>6910</Words>
  <Characters>39387</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Rajkumari Meena</cp:lastModifiedBy>
  <cp:revision>21</cp:revision>
  <dcterms:created xsi:type="dcterms:W3CDTF">2024-04-24T07:26:00Z</dcterms:created>
  <dcterms:modified xsi:type="dcterms:W3CDTF">2024-08-21T10:24:00Z</dcterms:modified>
</cp:coreProperties>
</file>