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5575D" w14:textId="77777777" w:rsidR="00180A51" w:rsidRDefault="00180A51" w:rsidP="00180A51">
      <w:pPr>
        <w:spacing w:before="212"/>
        <w:jc w:val="center"/>
        <w:rPr>
          <w:rFonts w:ascii="Arial"/>
          <w:b/>
          <w:sz w:val="56"/>
        </w:rPr>
      </w:pPr>
      <w:r>
        <w:rPr>
          <w:rFonts w:ascii="Arial"/>
          <w:b/>
          <w:noProof/>
          <w:sz w:val="56"/>
        </w:rPr>
        <w:drawing>
          <wp:inline distT="0" distB="0" distL="0" distR="0" wp14:anchorId="16D0B649" wp14:editId="5FEDC06C">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7E15728F" w14:textId="77777777" w:rsidR="00180A51" w:rsidRPr="0066224E" w:rsidRDefault="00180A51" w:rsidP="00180A51">
      <w:pPr>
        <w:spacing w:before="212"/>
        <w:jc w:val="center"/>
        <w:rPr>
          <w:rFonts w:ascii="Arial"/>
          <w:b/>
          <w:sz w:val="36"/>
          <w:szCs w:val="36"/>
        </w:rPr>
      </w:pPr>
    </w:p>
    <w:p w14:paraId="17D8C7BF" w14:textId="77777777" w:rsidR="00180A51" w:rsidRDefault="00180A51" w:rsidP="00180A51">
      <w:pPr>
        <w:spacing w:before="212"/>
        <w:rPr>
          <w:rFonts w:ascii="Arial"/>
          <w:b/>
          <w:sz w:val="56"/>
        </w:rPr>
      </w:pPr>
    </w:p>
    <w:p w14:paraId="72739E29" w14:textId="77777777" w:rsidR="00180A51" w:rsidRDefault="00180A51" w:rsidP="00180A51">
      <w:pPr>
        <w:spacing w:before="212"/>
        <w:rPr>
          <w:rFonts w:ascii="Arial"/>
          <w:b/>
          <w:sz w:val="48"/>
          <w:szCs w:val="48"/>
        </w:rPr>
      </w:pPr>
      <w:r w:rsidRPr="00DD5969">
        <w:rPr>
          <w:rFonts w:ascii="Arial"/>
          <w:b/>
          <w:sz w:val="48"/>
          <w:szCs w:val="48"/>
        </w:rPr>
        <w:t>MODULE CODE:</w:t>
      </w:r>
      <w:r>
        <w:rPr>
          <w:rFonts w:ascii="Arial"/>
          <w:b/>
          <w:sz w:val="48"/>
          <w:szCs w:val="48"/>
        </w:rPr>
        <w:t xml:space="preserve"> </w:t>
      </w:r>
      <w:r w:rsidRPr="00D9467E">
        <w:rPr>
          <w:rFonts w:ascii="Arial"/>
          <w:b/>
          <w:sz w:val="48"/>
          <w:szCs w:val="48"/>
        </w:rPr>
        <w:t>ECDE7012</w:t>
      </w:r>
    </w:p>
    <w:p w14:paraId="58877870" w14:textId="77777777" w:rsidR="00180A51" w:rsidRDefault="00180A51" w:rsidP="00180A51">
      <w:pPr>
        <w:spacing w:before="212"/>
        <w:rPr>
          <w:rFonts w:ascii="Arial"/>
          <w:b/>
          <w:sz w:val="48"/>
          <w:szCs w:val="48"/>
        </w:rPr>
      </w:pPr>
    </w:p>
    <w:p w14:paraId="6024501B" w14:textId="77777777" w:rsidR="00180A51" w:rsidRPr="00DD5969" w:rsidRDefault="00180A51" w:rsidP="00180A51">
      <w:pPr>
        <w:spacing w:before="212"/>
        <w:rPr>
          <w:rFonts w:ascii="Arial"/>
          <w:b/>
          <w:sz w:val="48"/>
          <w:szCs w:val="48"/>
        </w:rPr>
      </w:pPr>
      <w:r>
        <w:rPr>
          <w:rFonts w:ascii="Arial"/>
          <w:b/>
          <w:sz w:val="48"/>
          <w:szCs w:val="48"/>
        </w:rPr>
        <w:t>ASSESSMENT COMPONENT: TWO</w:t>
      </w:r>
    </w:p>
    <w:p w14:paraId="6C21F977" w14:textId="77777777" w:rsidR="00180A51" w:rsidRDefault="00180A51" w:rsidP="00180A51">
      <w:pPr>
        <w:spacing w:before="7"/>
        <w:jc w:val="center"/>
        <w:rPr>
          <w:rFonts w:ascii="Arial"/>
          <w:b/>
          <w:sz w:val="44"/>
        </w:rPr>
      </w:pPr>
    </w:p>
    <w:p w14:paraId="6E6C4C61" w14:textId="77777777" w:rsidR="00180A51" w:rsidRPr="00DD5969" w:rsidRDefault="00180A51" w:rsidP="00180A51">
      <w:pPr>
        <w:spacing w:before="3"/>
        <w:rPr>
          <w:rFonts w:ascii="Arial"/>
          <w:b/>
          <w:sz w:val="48"/>
          <w:szCs w:val="48"/>
        </w:rPr>
      </w:pPr>
      <w:r w:rsidRPr="00DD5969">
        <w:rPr>
          <w:rFonts w:ascii="Arial"/>
          <w:b/>
          <w:sz w:val="48"/>
          <w:szCs w:val="48"/>
        </w:rPr>
        <w:t>STUDENT NAME:</w:t>
      </w:r>
      <w:r>
        <w:rPr>
          <w:rFonts w:ascii="Arial"/>
          <w:b/>
          <w:sz w:val="48"/>
          <w:szCs w:val="48"/>
        </w:rPr>
        <w:t xml:space="preserve"> JOANNE PURCHASE</w:t>
      </w:r>
    </w:p>
    <w:p w14:paraId="4BBB12B5" w14:textId="77777777" w:rsidR="00180A51" w:rsidRPr="00DD5969" w:rsidRDefault="00180A51" w:rsidP="00180A51">
      <w:pPr>
        <w:spacing w:before="3"/>
        <w:rPr>
          <w:rFonts w:ascii="Arial"/>
          <w:b/>
          <w:sz w:val="48"/>
          <w:szCs w:val="48"/>
        </w:rPr>
      </w:pPr>
    </w:p>
    <w:p w14:paraId="62C99221" w14:textId="77777777" w:rsidR="00180A51" w:rsidRPr="00DD5969" w:rsidRDefault="00180A51" w:rsidP="00180A51">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2419261</w:t>
      </w:r>
    </w:p>
    <w:p w14:paraId="69F7D6CD" w14:textId="77777777" w:rsidR="00180A51" w:rsidRDefault="00180A51" w:rsidP="00180A51">
      <w:pPr>
        <w:rPr>
          <w:rFonts w:ascii="Arial"/>
          <w:b/>
          <w:sz w:val="47"/>
        </w:rPr>
      </w:pPr>
    </w:p>
    <w:p w14:paraId="63F85601" w14:textId="77777777" w:rsidR="00180A51" w:rsidRPr="00192D3C" w:rsidRDefault="00180A51" w:rsidP="00180A51">
      <w:pPr>
        <w:ind w:left="100"/>
        <w:jc w:val="center"/>
        <w:rPr>
          <w:rFonts w:ascii="Arial"/>
          <w:b/>
          <w:sz w:val="47"/>
        </w:rPr>
      </w:pPr>
    </w:p>
    <w:p w14:paraId="490854E8" w14:textId="77777777" w:rsidR="00180A51" w:rsidRDefault="00180A51" w:rsidP="00180A51">
      <w:pPr>
        <w:ind w:left="100"/>
        <w:rPr>
          <w:rFonts w:ascii="Arial"/>
          <w:b/>
          <w:sz w:val="47"/>
        </w:rPr>
      </w:pPr>
    </w:p>
    <w:p w14:paraId="5FAE1B60" w14:textId="77777777" w:rsidR="00180A51" w:rsidRDefault="00180A51" w:rsidP="00180A51">
      <w:pPr>
        <w:ind w:left="100"/>
        <w:rPr>
          <w:rFonts w:ascii="Arial"/>
          <w:b/>
          <w:sz w:val="47"/>
        </w:rPr>
      </w:pPr>
    </w:p>
    <w:p w14:paraId="355D1C93" w14:textId="77777777" w:rsidR="00180A51" w:rsidRPr="00192D3C" w:rsidRDefault="00180A51" w:rsidP="00180A51">
      <w:pPr>
        <w:ind w:left="100"/>
        <w:rPr>
          <w:rFonts w:ascii="Arial"/>
          <w:b/>
          <w:sz w:val="47"/>
        </w:rPr>
      </w:pPr>
      <w:r w:rsidRPr="00192D3C">
        <w:rPr>
          <w:rFonts w:ascii="Arial"/>
          <w:b/>
          <w:sz w:val="47"/>
        </w:rPr>
        <w:t>Doctorate in Education (EdD)</w:t>
      </w:r>
    </w:p>
    <w:p w14:paraId="501E000E" w14:textId="77777777" w:rsidR="00180A51" w:rsidRPr="00192D3C" w:rsidRDefault="00180A51" w:rsidP="00180A51">
      <w:pPr>
        <w:jc w:val="center"/>
        <w:rPr>
          <w:rFonts w:ascii="Arial"/>
          <w:b/>
          <w:sz w:val="40"/>
        </w:rPr>
      </w:pPr>
    </w:p>
    <w:p w14:paraId="29F4EBF5" w14:textId="77777777" w:rsidR="00180A51" w:rsidRPr="00E243A8" w:rsidRDefault="00180A51" w:rsidP="00180A51">
      <w:pPr>
        <w:rPr>
          <w:b/>
          <w:bCs/>
          <w:sz w:val="32"/>
          <w:szCs w:val="32"/>
          <w:u w:val="single"/>
        </w:rPr>
      </w:pPr>
      <w:r w:rsidRPr="00E243A8">
        <w:rPr>
          <w:b/>
          <w:bCs/>
          <w:sz w:val="32"/>
          <w:szCs w:val="32"/>
          <w:u w:val="single"/>
        </w:rPr>
        <w:t>AI Acknowledgement</w:t>
      </w:r>
    </w:p>
    <w:p w14:paraId="340CEBCC" w14:textId="77777777" w:rsidR="00180A51" w:rsidRDefault="00180A51" w:rsidP="00180A51"/>
    <w:p w14:paraId="6EBECA1F" w14:textId="77777777" w:rsidR="00180A51" w:rsidRDefault="00180A51" w:rsidP="00180A51">
      <w:r w:rsidRPr="00E243A8">
        <w:t xml:space="preserve">I confirm that I have not used any AI tools in the research and creation of this assignment. </w:t>
      </w:r>
    </w:p>
    <w:p w14:paraId="285CFF60" w14:textId="77777777" w:rsidR="00180A51" w:rsidRDefault="00180A51" w:rsidP="00180A51">
      <w:r w:rsidRPr="00E243A8">
        <w:t xml:space="preserve">I confirm that I have not presented any AI generated materials as my own work. </w:t>
      </w:r>
    </w:p>
    <w:p w14:paraId="12BDBFF3" w14:textId="77777777" w:rsidR="00180A51" w:rsidRPr="00E243A8" w:rsidRDefault="00180A51" w:rsidP="00180A51">
      <w:r w:rsidRPr="00E243A8">
        <w:t xml:space="preserve">I confirm </w:t>
      </w:r>
      <w:r>
        <w:t xml:space="preserve">that </w:t>
      </w:r>
      <w:r w:rsidRPr="00E243A8">
        <w:t>I have copies of my drafts, notes, and other resources I used, which I may be asked to provide in evidence.</w:t>
      </w:r>
    </w:p>
    <w:p w14:paraId="147977FD" w14:textId="77777777" w:rsidR="00180A51" w:rsidRDefault="00180A51" w:rsidP="00180A51"/>
    <w:p w14:paraId="12FCECEB" w14:textId="77777777" w:rsidR="00180A51" w:rsidRPr="00C2550A" w:rsidRDefault="00180A51" w:rsidP="00180A51">
      <w:pPr>
        <w:rPr>
          <w:b/>
          <w:bCs/>
        </w:rPr>
      </w:pPr>
      <w:r w:rsidRPr="00C2550A">
        <w:rPr>
          <w:b/>
          <w:bCs/>
        </w:rPr>
        <w:t>OR:</w:t>
      </w:r>
    </w:p>
    <w:p w14:paraId="0C19BC34" w14:textId="77777777" w:rsidR="00180A51" w:rsidRDefault="00180A51" w:rsidP="00180A51"/>
    <w:p w14:paraId="5255DFA5" w14:textId="77777777" w:rsidR="00180A51" w:rsidRDefault="00180A51" w:rsidP="00180A51">
      <w:r w:rsidRPr="00DD5969">
        <w:t>I acknowledge the use of [AI Tool] [(AI Tool</w:t>
      </w:r>
      <w:r>
        <w:t xml:space="preserve"> </w:t>
      </w:r>
      <w:proofErr w:type="spellStart"/>
      <w:r>
        <w:t>chatgpt</w:t>
      </w:r>
      <w:proofErr w:type="spellEnd"/>
      <w:r w:rsidRPr="00DD5969">
        <w:t xml:space="preserve">] on </w:t>
      </w:r>
      <w:r>
        <w:t>from February to April 2026</w:t>
      </w:r>
      <w:r w:rsidRPr="00DD5969">
        <w:t xml:space="preserve"> to [Purpose my work]. I used the prompt(s): </w:t>
      </w:r>
    </w:p>
    <w:p w14:paraId="4371A518" w14:textId="77777777" w:rsidR="00180A51" w:rsidRDefault="00180A51" w:rsidP="00180A51">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79D74FA0" w14:textId="77777777" w:rsidR="00180A51" w:rsidRPr="00D9467E" w:rsidRDefault="00180A51" w:rsidP="00180A51"/>
    <w:p w14:paraId="54169905" w14:textId="77777777" w:rsidR="00180A51" w:rsidRDefault="00180A51" w:rsidP="00180A51">
      <w:pPr>
        <w:pStyle w:val="ListParagraph"/>
        <w:numPr>
          <w:ilvl w:val="0"/>
          <w:numId w:val="1"/>
        </w:numPr>
        <w:tabs>
          <w:tab w:val="num" w:pos="720"/>
        </w:tabs>
      </w:pPr>
      <w:r>
        <w:t xml:space="preserve">1 </w:t>
      </w:r>
      <w:r w:rsidRPr="00D9467E">
        <w:t>Help me critically articulate the gap in the literature on student belonging, focusing on the limitations of macro-level and survey-based research.</w:t>
      </w:r>
    </w:p>
    <w:p w14:paraId="01F9443D" w14:textId="77777777" w:rsidR="00180A51" w:rsidRPr="00D9467E" w:rsidRDefault="00180A51" w:rsidP="00180A51">
      <w:pPr>
        <w:tabs>
          <w:tab w:val="num" w:pos="720"/>
        </w:tabs>
      </w:pPr>
    </w:p>
    <w:p w14:paraId="52BB8F75" w14:textId="77777777" w:rsidR="00180A51" w:rsidRPr="00D9467E" w:rsidRDefault="00180A51" w:rsidP="00180A51">
      <w:pPr>
        <w:pStyle w:val="ListParagraph"/>
        <w:numPr>
          <w:ilvl w:val="0"/>
          <w:numId w:val="1"/>
        </w:numPr>
      </w:pPr>
      <w:r w:rsidRPr="00D9467E">
        <w:t>Suggest ways to link inclusive language practices to Chinese students’ sense of belonging using sociocultural and discourse theory.</w:t>
      </w:r>
    </w:p>
    <w:p w14:paraId="007B574C" w14:textId="77777777" w:rsidR="00180A51" w:rsidRPr="00D9467E" w:rsidRDefault="00180A51" w:rsidP="00180A51">
      <w:pPr>
        <w:pStyle w:val="ListParagraph"/>
        <w:numPr>
          <w:ilvl w:val="0"/>
          <w:numId w:val="1"/>
        </w:numPr>
      </w:pPr>
      <w:r w:rsidRPr="00D9467E">
        <w:t>Help me identify relevant academic literature on belonging and inclusion within Welsh higher education contexts.</w:t>
      </w:r>
    </w:p>
    <w:p w14:paraId="656772A0" w14:textId="77777777" w:rsidR="00180A51" w:rsidRDefault="00180A51" w:rsidP="003512FA">
      <w:pPr>
        <w:rPr>
          <w:i/>
          <w:iCs/>
          <w:u w:val="single"/>
        </w:rPr>
      </w:pPr>
    </w:p>
    <w:p w14:paraId="1E8074A1" w14:textId="77777777" w:rsidR="0037269C" w:rsidRDefault="0037269C" w:rsidP="003512FA">
      <w:pPr>
        <w:rPr>
          <w:i/>
          <w:iCs/>
          <w:u w:val="single"/>
        </w:rPr>
      </w:pPr>
    </w:p>
    <w:p w14:paraId="477FA112" w14:textId="77777777" w:rsidR="0037269C" w:rsidRDefault="0037269C" w:rsidP="003512FA">
      <w:pPr>
        <w:rPr>
          <w:i/>
          <w:iCs/>
          <w:u w:val="single"/>
        </w:rPr>
      </w:pPr>
    </w:p>
    <w:p w14:paraId="38B8B5A3" w14:textId="77777777" w:rsidR="0037269C" w:rsidRDefault="0037269C" w:rsidP="003512FA">
      <w:pPr>
        <w:rPr>
          <w:i/>
          <w:iCs/>
          <w:u w:val="single"/>
        </w:rPr>
      </w:pPr>
    </w:p>
    <w:p w14:paraId="71FE906D" w14:textId="77777777" w:rsidR="0037269C" w:rsidRDefault="0037269C" w:rsidP="003512FA">
      <w:pPr>
        <w:rPr>
          <w:i/>
          <w:iCs/>
          <w:u w:val="single"/>
        </w:rPr>
      </w:pPr>
    </w:p>
    <w:p w14:paraId="30F0F799" w14:textId="77777777" w:rsidR="0037269C" w:rsidRDefault="0037269C" w:rsidP="003512FA">
      <w:pPr>
        <w:rPr>
          <w:i/>
          <w:iCs/>
          <w:u w:val="single"/>
        </w:rPr>
      </w:pPr>
    </w:p>
    <w:p w14:paraId="7A4F7CDB" w14:textId="4DF7A7E6" w:rsidR="00C94060" w:rsidRPr="00C27D75" w:rsidRDefault="00C94060" w:rsidP="003512FA">
      <w:pPr>
        <w:rPr>
          <w:i/>
          <w:iCs/>
          <w:u w:val="single"/>
        </w:rPr>
      </w:pPr>
      <w:r w:rsidRPr="00C27D75">
        <w:rPr>
          <w:i/>
          <w:iCs/>
          <w:u w:val="single"/>
        </w:rPr>
        <w:lastRenderedPageBreak/>
        <w:t>Investigating Inclusive Language and Student Belonging in Welsh International Foundation Classrooms: An Interpretivist Qualitative Design</w:t>
      </w:r>
      <w:r w:rsidRPr="00C27D75">
        <w:rPr>
          <w:i/>
          <w:iCs/>
          <w:u w:val="single"/>
        </w:rPr>
        <w:t xml:space="preserve">- </w:t>
      </w:r>
      <w:r w:rsidR="003B5738">
        <w:rPr>
          <w:i/>
          <w:iCs/>
          <w:u w:val="single"/>
        </w:rPr>
        <w:t>(</w:t>
      </w:r>
      <w:r w:rsidRPr="00C27D75">
        <w:rPr>
          <w:i/>
          <w:iCs/>
          <w:u w:val="single"/>
        </w:rPr>
        <w:t>Component 2</w:t>
      </w:r>
      <w:r w:rsidR="003B5738">
        <w:rPr>
          <w:i/>
          <w:iCs/>
          <w:u w:val="single"/>
        </w:rPr>
        <w:t>)</w:t>
      </w:r>
    </w:p>
    <w:p w14:paraId="1A4DAE29" w14:textId="1B93E816" w:rsidR="00C94060" w:rsidRDefault="00C94060" w:rsidP="003512FA">
      <w:pPr>
        <w:rPr>
          <w:i/>
          <w:iCs/>
        </w:rPr>
      </w:pPr>
      <w:r>
        <w:rPr>
          <w:i/>
          <w:iCs/>
        </w:rPr>
        <w:t>Joanne Purchase</w:t>
      </w:r>
    </w:p>
    <w:p w14:paraId="34819E89" w14:textId="2E61ADDB" w:rsidR="0029403E" w:rsidRPr="0029403E" w:rsidRDefault="0029403E" w:rsidP="003512FA">
      <w:pPr>
        <w:rPr>
          <w:b/>
          <w:bCs/>
          <w:i/>
          <w:iCs/>
        </w:rPr>
      </w:pPr>
      <w:r w:rsidRPr="0029403E">
        <w:rPr>
          <w:b/>
          <w:bCs/>
          <w:i/>
          <w:iCs/>
        </w:rPr>
        <w:t>Research Focus and Conceptual Framing</w:t>
      </w:r>
    </w:p>
    <w:p w14:paraId="3F6B7D2E" w14:textId="5E0B808D" w:rsidR="005B372D" w:rsidRDefault="00C802E5" w:rsidP="003512FA">
      <w:r w:rsidRPr="00C802E5">
        <w:t>This study interrogates the role of inclusive language practices within Welsh international foundation seminars in shaping Chinese students’ sense of belonging and academic legitimacy. Although belonging is widely recognised as central to student engagement and retention, much of the existing literature remains constrained by macro-institutional and survey-based approaches, which obscure the micro-level, interactional processes through which belonging is produced. This study challenges that limitation by positioning classroom discourse as a central site of inclusion and exclusion, where recognition and legitimacy are actively negotiated. It is guided by the following research questions: How do Chinese students experience classroom language practices? How do these practices influence belonging and legitimacy? How do tutors conceptualise and enact inclusive language?</w:t>
      </w:r>
    </w:p>
    <w:p w14:paraId="626C3F4E" w14:textId="28B9D1D6" w:rsidR="00A373F7" w:rsidRDefault="00A373F7" w:rsidP="003512FA">
      <w:r w:rsidRPr="00A373F7">
        <w:t>In this study, inclusion is understood as the pedagogical and institutional practices that enable participation, recognition and access within the classroom, while belonging refers to students’ subjective sense of acceptance, legitimacy and connection within that environment (Strayhorn, 2019; Kahu and Nelson, 2018). Although closely related, inclusion does not automatically result in belonging; rather, inclusive practices may create the conditions under which belonging is constructed through interaction.</w:t>
      </w:r>
      <w:r w:rsidR="0017383A">
        <w:t xml:space="preserve"> </w:t>
      </w:r>
      <w:r w:rsidR="005D5F9D" w:rsidRPr="005D5F9D">
        <w:t>While much of the existing research on belonging is situated in international contexts, its relevance to Welsh higher education lies in highlighting shared challenges within increasingly diverse and internationalised classrooms. However, the Welsh context also introduces specific policy and pedagogical considerations, meaning that further contextually grounded research is needed</w:t>
      </w:r>
    </w:p>
    <w:p w14:paraId="6E9E0B7F" w14:textId="37D9F3D1" w:rsidR="003512FA" w:rsidRPr="003512FA" w:rsidRDefault="003512FA" w:rsidP="003512FA">
      <w:pPr>
        <w:rPr>
          <w:b/>
          <w:bCs/>
        </w:rPr>
      </w:pPr>
      <w:r w:rsidRPr="003512FA">
        <w:rPr>
          <w:b/>
          <w:bCs/>
        </w:rPr>
        <w:t>Research Methods / Tools</w:t>
      </w:r>
    </w:p>
    <w:p w14:paraId="18CBAE09" w14:textId="24BDA8F5" w:rsidR="00F749B0" w:rsidRDefault="00F749B0" w:rsidP="003512FA">
      <w:r w:rsidRPr="00F749B0">
        <w:t>This methodological design is directly informed by the critical literature review presented in Component 1, which identified a gap in the literature concerning the lack of micro-level, interactional analyses of belonging. By focusing on classroom discourse through interviews and observations, the study operationalises this gap, enabling an empirically grounded exploration of how belonging is constructed in situ.</w:t>
      </w:r>
    </w:p>
    <w:p w14:paraId="402BE985" w14:textId="6F8D3F8B" w:rsidR="003512FA" w:rsidRPr="003512FA" w:rsidRDefault="003512FA" w:rsidP="003512FA">
      <w:r w:rsidRPr="003512FA">
        <w:t>To generate data capable of addressing the research questions, this study adopts a qualitative, multi-method design comprising semi-structured interviews and non-participant classroom observations</w:t>
      </w:r>
      <w:r w:rsidR="001D4D40">
        <w:t xml:space="preserve">. </w:t>
      </w:r>
      <w:r w:rsidR="00D76D91" w:rsidRPr="00D76D91">
        <w:t xml:space="preserve">While qualitative multi-method designs are commonly employed in interpretivist research, their value in this study lies specifically in their capacity to address a recognised limitation within belonging research: the </w:t>
      </w:r>
      <w:r w:rsidR="00D76D91" w:rsidRPr="00D76D91">
        <w:lastRenderedPageBreak/>
        <w:t>absence of fine-grained, interactional analysis. By combining interviews and observations, the study moves beyond reliance on self-reported perceptions to examine how belonging is both experienced and enacted, thereby strengthening the explanatory power of the research design.</w:t>
      </w:r>
      <w:r w:rsidR="00D76D91">
        <w:t xml:space="preserve"> </w:t>
      </w:r>
      <w:r w:rsidRPr="003512FA">
        <w:t>In line with the research onion framework (Saunders, Lewis and Thornhill, 2019), the study employs an inductive orientation, allowing patterns to emerge from the data, while also incorporating an abductive dimension whereby findings are interpreted through existing theoretical frameworks, particularly sociocultural and discourse-oriented perspectives (Norton, 2013; Gee, 2014).</w:t>
      </w:r>
    </w:p>
    <w:p w14:paraId="6FAA59D2" w14:textId="77777777" w:rsidR="003512FA" w:rsidRPr="003512FA" w:rsidRDefault="003512FA" w:rsidP="003512FA">
      <w:r w:rsidRPr="003512FA">
        <w:t xml:space="preserve">Semi-structured interviews will be conducted with Chinese students and tutors within Welsh international foundation programmes. This method is widely recognised as effective for accessing </w:t>
      </w:r>
      <w:proofErr w:type="gramStart"/>
      <w:r w:rsidRPr="003512FA">
        <w:t>participants’</w:t>
      </w:r>
      <w:proofErr w:type="gramEnd"/>
      <w:r w:rsidRPr="003512FA">
        <w:t xml:space="preserve"> lived experiences, perceptions and interpretations, particularly in educational contexts where meaning is socially constructed (Kvale and Brinkmann, 2009; Flick, 2023). The interview schedule will be designed using open-ended questions, allowing participants to articulate their experiences in their own terms while providing sufficient structure to ensure alignment with the research questions. Questions for students will focus on their experiences of classroom participation, perceptions of tutor language, and moments of inclusion or exclusion. For tutors, questions will explore how inclusive language is conceptualised, enacted and reflected upon within seminar practice. This structure reflects recommendations in the literature that semi-structured interviews balance consistency with flexibility, enabling depth while maintaining focus (Cohen, Manion and Morrison, 2018).</w:t>
      </w:r>
    </w:p>
    <w:p w14:paraId="7D2649A4" w14:textId="77777777" w:rsidR="00770B9E" w:rsidRPr="00770B9E" w:rsidRDefault="00584754" w:rsidP="00770B9E">
      <w:r w:rsidRPr="00584754">
        <w:t xml:space="preserve">Semi-structured interviews are particularly well suited to this study as they enable the generation of rich, contextually embedded accounts of participants’ experiences while allowing for flexibility in exploring emergent meanings (Kvale and Brinkmann, 2009; Cohen, Manion and Morrison, 2018; Flick, 2023). Their value lies not simply in depth of data, but in their capacity to access the relational and interpretive dimensions of phenomena such as belonging, which cannot be readily captured through standardised instruments (Strayhorn, 2019; Kahu and Nelson, 2018). However, interview data must be understood as socially situated and co-constructed, rather than transparent reflections of experience (Holstein and </w:t>
      </w:r>
      <w:proofErr w:type="spellStart"/>
      <w:r w:rsidRPr="00584754">
        <w:t>Gubrium</w:t>
      </w:r>
      <w:proofErr w:type="spellEnd"/>
      <w:r w:rsidRPr="00584754">
        <w:t xml:space="preserve">, 1995). As such, they are inherently shaped by issues of recall, selective representation and the interactional dynamics between researcher and participant. These limitations are intensified within educational contexts characterised by hierarchical relationships, where students—particularly those from cultures that emphasise deference to authority—may be reluctant to offer critical perspectives (Heng, 2021; Gu and </w:t>
      </w:r>
      <w:proofErr w:type="spellStart"/>
      <w:r w:rsidRPr="00584754">
        <w:t>Schweisfurth</w:t>
      </w:r>
      <w:proofErr w:type="spellEnd"/>
      <w:r w:rsidRPr="00584754">
        <w:t xml:space="preserve">, 2015). Consequently, interview data require careful interpretation, recognising both what is said and what may remain unarticulated. To mitigate these limitations, the study adopts a reflexive approach, foregrounding the researcher’s role in shaping the interview encounter and incorporating strategies such as open-ended questioning, non-evaluative framing and assurances of confidentiality to support more candid responses </w:t>
      </w:r>
      <w:r w:rsidRPr="00584754">
        <w:lastRenderedPageBreak/>
        <w:t>(May and Perry, 2011). In this sense, interviews are not treated as neutral data collection tools, but as interactional sites in which meaning is actively negotiated.</w:t>
      </w:r>
      <w:r>
        <w:t xml:space="preserve"> </w:t>
      </w:r>
      <w:r w:rsidR="003512FA" w:rsidRPr="003512FA">
        <w:t xml:space="preserve">To complement interview data, non-participant classroom observations will be undertaken to examine how inclusive language is enacted within seminar interaction. Observation is particularly appropriate given the study’s focus on discourse, as it enables direct engagement with the interactional processes through which belonging is constructed (Gee, 2014). An observation schedule will be developed to guide data collection, focusing on key features identified in the literature, including questioning patterns, wait time, feedback strategies, uptake of student contributions and participation structures. This schedule will be semi-structured rather than based on fixed quantitative scales, as the study prioritises qualitative interpretation over measurement. </w:t>
      </w:r>
      <w:r w:rsidR="00770B9E" w:rsidRPr="00770B9E">
        <w:t>Field notes will be employed to systematically document both verbal interactions and wider contextual features of the classroom environment, including participation patterns, spatial arrangements and interactional dynamics. This approach enables the generation of rich, descriptive data that capture not only what is said but how meaning is constructed within the social context of the classroom (Emerson, Fretz and Shaw, 2011; Cohen, Manion and Morrison, 2018). By attending to both linguistic and contextual dimensions, field notes support a more holistic and interpretive understanding of classroom practice, which is essential for analysing discourse as a socially situated phenomenon (Gee, 2014; Flick, 2023).</w:t>
      </w:r>
    </w:p>
    <w:p w14:paraId="6B1C117D" w14:textId="40E40440" w:rsidR="003512FA" w:rsidRPr="003512FA" w:rsidRDefault="003512FA" w:rsidP="003512FA"/>
    <w:p w14:paraId="5BDA9806" w14:textId="3AA1A562" w:rsidR="00C55B41" w:rsidRPr="00C55B41" w:rsidRDefault="00C55B41" w:rsidP="00C55B41">
      <w:r w:rsidRPr="00C55B41">
        <w:t xml:space="preserve">The inclusion of classroom observation strengthens the research design by addressing a key limitation associated with interview-based methods, namely their reliance on retrospective, self-reported accounts that may not fully capture the complexity of lived interaction (Cohen, Manion and Morrison, 2018; Flick, 2023). Observational methods enable the researcher to access social practices as they unfold, providing insight into how inclusive language is enacted within the situated dynamics of classroom discourse (Gee, 2014; Emerson, Fretz and Shaw, 2011). </w:t>
      </w:r>
      <w:r w:rsidR="003D3654" w:rsidRPr="003D3654">
        <w:t xml:space="preserve">This is particularly important in studies of pedagogy, where there is often a disconnect between espoused beliefs and enacted practice (Hockings, 2010). By facilitating comparison between reported experiences and observed behaviour, observation “enhances the credibility of the findings” through methodological triangulation (Creswell and </w:t>
      </w:r>
      <w:proofErr w:type="spellStart"/>
      <w:r w:rsidR="003D3654" w:rsidRPr="003D3654">
        <w:t>Poth</w:t>
      </w:r>
      <w:proofErr w:type="spellEnd"/>
      <w:r w:rsidR="003D3654" w:rsidRPr="003D3654">
        <w:t>, 2018).</w:t>
      </w:r>
    </w:p>
    <w:p w14:paraId="6C06FACA" w14:textId="77777777" w:rsidR="00C55B41" w:rsidRPr="00C55B41" w:rsidRDefault="00C55B41" w:rsidP="00C55B41">
      <w:r w:rsidRPr="00C55B41">
        <w:t xml:space="preserve">However, observational research is not without limitations. The presence of the researcher may give rise to reactivity, or the “observer effect”, whereby participants modify their behaviour due to being observed (Gray, 2022). In addition, observational data are inherently interpretive, requiring the researcher to make situated judgements about meaning, which are shaped by their own positionality and theoretical lens (Flick, 2023). These limitations necessitate a reflexive approach, in which the researcher critically examines how their presence, assumptions and analytic decisions influence </w:t>
      </w:r>
      <w:r w:rsidRPr="00C55B41">
        <w:lastRenderedPageBreak/>
        <w:t>the data. Strategies such as prolonged engagement, repeated observations and systematic field note documentation are therefore employed to enhance the depth and credibility of the data, while acknowledging that observation provides a partial, rather than neutral, representation of classroom reality (Cohen, Manion and Morrison, 2018; Emerson, Fretz and Shaw, 2011).</w:t>
      </w:r>
    </w:p>
    <w:p w14:paraId="274C571A" w14:textId="67E0DE68" w:rsidR="003512FA" w:rsidRPr="003512FA" w:rsidRDefault="003512FA" w:rsidP="003512FA">
      <w:r w:rsidRPr="003512FA">
        <w:t xml:space="preserve">The study will employ purposive sampling to recruit participants who are directly relevant to the research focus. The sample will consist of Chinese students enrolled in international foundation programmes and tutors teaching within these contexts. This sampling strategy is justified by the study’s aim to generate context-specific, in-depth understanding rather than statistically generalisable findings (Creswell and </w:t>
      </w:r>
      <w:proofErr w:type="spellStart"/>
      <w:r w:rsidRPr="003512FA">
        <w:t>Poth</w:t>
      </w:r>
      <w:proofErr w:type="spellEnd"/>
      <w:r w:rsidRPr="003512FA">
        <w:t xml:space="preserve">, 2023). Focusing specifically on Chinese students responds to critiques within the literature that international students are often treated as a homogeneous group, thereby obscuring important differences in experience (Gu and </w:t>
      </w:r>
      <w:proofErr w:type="spellStart"/>
      <w:r w:rsidRPr="003512FA">
        <w:t>Schweisfurth</w:t>
      </w:r>
      <w:proofErr w:type="spellEnd"/>
      <w:r w:rsidRPr="003512FA">
        <w:t>, 2015; Heng, 2021). The anticipated sample size will be small, consistent with qualitative research, allowing for detailed exploration of participants’ perspectives.</w:t>
      </w:r>
    </w:p>
    <w:p w14:paraId="36B63EF0" w14:textId="77777777" w:rsidR="003512FA" w:rsidRPr="003512FA" w:rsidRDefault="003512FA" w:rsidP="003512FA">
      <w:r w:rsidRPr="003512FA">
        <w:t>Ethical considerations are central to the research design, particularly given the researcher’s positionality as an insider lecturer. Issues of power and potential coercion must be carefully managed, as students may perceive participation as linked to their academic standing. To address this, participation will be strictly voluntary, with clear communication that involvement will have no impact on assessment or progression. Informed consent will be obtained from all participants in accordance with BERA (2024) guidelines, and participants will be provided with clear information regarding the purpose of the study, their rights and the use of data.</w:t>
      </w:r>
    </w:p>
    <w:p w14:paraId="08994366" w14:textId="77777777" w:rsidR="003512FA" w:rsidRPr="003512FA" w:rsidRDefault="003512FA" w:rsidP="003512FA">
      <w:r w:rsidRPr="003512FA">
        <w:t xml:space="preserve">Participants will be given a defined withdrawal period prior to anonymisation, after which withdrawal may not be possible. Data will be pseudonymised to protect participant identity, with pseudonyms used in reporting to maintain confidentiality while preserving the narrative integrity of qualitative data (Braun and Clarke, 2021). All data will be securely stored in accordance with GDPR requirements. The researcher’s insider status necessitates ongoing reflexivity, recognising both the advantages of contextual understanding and the potential for bias. Reflexive practices, including analytic </w:t>
      </w:r>
      <w:proofErr w:type="spellStart"/>
      <w:r w:rsidRPr="003512FA">
        <w:t>memoing</w:t>
      </w:r>
      <w:proofErr w:type="spellEnd"/>
      <w:r w:rsidRPr="003512FA">
        <w:t xml:space="preserve"> and critical self-awareness, will be employed to enhance transparency and rigour.</w:t>
      </w:r>
    </w:p>
    <w:p w14:paraId="7ABB5B18" w14:textId="77777777" w:rsidR="003512FA" w:rsidRPr="003512FA" w:rsidRDefault="003512FA" w:rsidP="003512FA">
      <w:r w:rsidRPr="003512FA">
        <w:t>Taken together, the integration of semi-structured interviews and classroom observations provides a robust and theoretically aligned methodological framework. By enabling the exploration of both perceived and enacted dimensions of classroom discourse, the study is well positioned to generate nuanced, contextually grounded insights into how inclusive language shapes Chinese students’ sense of belonging within Welsh higher education.</w:t>
      </w:r>
    </w:p>
    <w:p w14:paraId="7C165DC5" w14:textId="77777777" w:rsidR="003512FA" w:rsidRDefault="003512FA" w:rsidP="003512FA">
      <w:pPr>
        <w:rPr>
          <w:b/>
          <w:bCs/>
        </w:rPr>
      </w:pPr>
      <w:r w:rsidRPr="003512FA">
        <w:rPr>
          <w:b/>
          <w:bCs/>
        </w:rPr>
        <w:lastRenderedPageBreak/>
        <w:t>Data Presentation and Analysis Methods</w:t>
      </w:r>
    </w:p>
    <w:p w14:paraId="20A56C65" w14:textId="735DE972" w:rsidR="00870AE7" w:rsidRPr="00870AE7" w:rsidRDefault="00870AE7" w:rsidP="003512FA">
      <w:r w:rsidRPr="00870AE7">
        <w:t>This study is grounded in an interpretivist worldview, which assumes that reality is socially constructed and that meaning is co-produced through interaction. As such, the research prioritises participants’ subjective experiences and the interpretation of classroom discourse as a site of meaning-making.</w:t>
      </w:r>
    </w:p>
    <w:p w14:paraId="011839CB" w14:textId="77777777" w:rsidR="003512FA" w:rsidRPr="003512FA" w:rsidRDefault="003512FA" w:rsidP="003512FA">
      <w:r w:rsidRPr="003512FA">
        <w:t xml:space="preserve">The analysis and presentation of data in this study are underpinned by an interpretivist epistemology and a qualitative research design, which prioritise the interpretation of meaning, experience and social interaction over measurement and generalisation (Creswell and </w:t>
      </w:r>
      <w:proofErr w:type="spellStart"/>
      <w:r w:rsidRPr="003512FA">
        <w:t>Poth</w:t>
      </w:r>
      <w:proofErr w:type="spellEnd"/>
      <w:r w:rsidRPr="003512FA">
        <w:t>, 2023; Cohen, Manion and Morrison, 2018). Consistent with this orientation, data generated through semi-structured interviews and classroom observations will be analysed using reflexive thematic analysis, as developed by Braun and Clarke (2006; 2021). This method is particularly appropriate given the study’s focus on how inclusive language practices are experienced and enacted within classroom discourse, where meaning is fluid, context-dependent and co-constructed.</w:t>
      </w:r>
    </w:p>
    <w:p w14:paraId="196DD187" w14:textId="77777777" w:rsidR="003512FA" w:rsidRPr="003512FA" w:rsidRDefault="003512FA" w:rsidP="003512FA">
      <w:r w:rsidRPr="003512FA">
        <w:t>Within the research onion framework (Saunders, Lewis and Thornhill, 2019), the study operates at the interpretivist layer and adopts an inductive research approach, allowing patterns and meanings to emerge from the data. However, in line with contemporary qualitative research practice, the analysis also incorporates an abductive dimension, as highlighted in module teaching, whereby emerging patterns are interpreted in relation to existing theoretical frameworks to generate the most plausible explanations. This is particularly relevant in this study, as the analysis will be informed by sociocultural and discourse-oriented perspectives (Norton, 2013; Gee, 2014; Bourdieu, 1991), enabling the researcher to move beyond descriptive coding towards theoretically informed interpretation of how language mediates participation, recognition and legitimacy.</w:t>
      </w:r>
    </w:p>
    <w:p w14:paraId="250BE50A" w14:textId="77777777" w:rsidR="003512FA" w:rsidRPr="003512FA" w:rsidRDefault="003512FA" w:rsidP="003512FA">
      <w:r w:rsidRPr="003512FA">
        <w:t>Reflexive thematic analysis is widely recognised as a flexible yet rigorous method for identifying, analysing and interpreting patterns of meaning across qualitative data sets (Braun and Clarke, 2021; Flick, 2023). Unlike more positivist approaches to coding, which seek to establish reliability through inter-coder agreement, reflexive thematic analysis acknowledges the active role of the researcher in knowledge production. This aligns closely with the interpretivist stance of the study, which recognises that themes do not simply “emerge” from data but are constructed through the interaction between data, theory and researcher interpretation (Braun and Clarke, 2021).</w:t>
      </w:r>
    </w:p>
    <w:p w14:paraId="545E6A10" w14:textId="77777777" w:rsidR="003512FA" w:rsidRPr="003512FA" w:rsidRDefault="003512FA" w:rsidP="003512FA">
      <w:r w:rsidRPr="003512FA">
        <w:t xml:space="preserve">The analytic process will follow a systematic and iterative series of phases. The first phase involves familiarisation with the data, through repeated reading of interview transcripts and observation field notes. This stage is critical for developing an in-depth understanding of the data set and for identifying initial patterns and points of interest (Braun and Clarke, 2006). The second phase involves the generation of initial codes, where segments of data are labelled according to their relevance to the research focus. </w:t>
      </w:r>
      <w:r w:rsidRPr="003512FA">
        <w:lastRenderedPageBreak/>
        <w:t>In this study, coding will attend to patterns of language use, participation dynamics, feedback practices, and expressions of inclusion, exclusion and legitimacy.</w:t>
      </w:r>
    </w:p>
    <w:p w14:paraId="4517DD90" w14:textId="77777777" w:rsidR="003512FA" w:rsidRPr="003512FA" w:rsidRDefault="003512FA" w:rsidP="003512FA">
      <w:r w:rsidRPr="003512FA">
        <w:t>In the third phase, codes will be organised into candidate themes, which represent broader patterns of meaning across the data. These themes will not be treated as purely descriptive categories but will be developed analytically, with attention to how they relate to the research questions and theoretical framework. For example, themes may capture how tutor questioning practices shape participation, how feedback positions students as competent or deficient, or how interactional norms influence perceptions of belonging. The fourth phase involves reviewing and refining themes to ensure coherence, internal consistency and distinction between themes. This process will involve returning to the data set to ensure that themes accurately represent participants’ experiences while also providing meaningful analytic insight.</w:t>
      </w:r>
    </w:p>
    <w:p w14:paraId="3F9BB521" w14:textId="77777777" w:rsidR="003512FA" w:rsidRPr="003512FA" w:rsidRDefault="003512FA" w:rsidP="003512FA">
      <w:r w:rsidRPr="003512FA">
        <w:t xml:space="preserve">The final phases involve defining and naming </w:t>
      </w:r>
      <w:proofErr w:type="gramStart"/>
      <w:r w:rsidRPr="003512FA">
        <w:t>themes, and</w:t>
      </w:r>
      <w:proofErr w:type="gramEnd"/>
      <w:r w:rsidRPr="003512FA">
        <w:t xml:space="preserve"> producing the analytic narrative. Data will be presented through a thematic structure, supported by illustrative extracts from interviews and observational field notes. This approach enhances transparency and allows readers to engage directly with participants’ voices, which is a key principle of qualitative research (Creswell and </w:t>
      </w:r>
      <w:proofErr w:type="spellStart"/>
      <w:r w:rsidRPr="003512FA">
        <w:t>Poth</w:t>
      </w:r>
      <w:proofErr w:type="spellEnd"/>
      <w:r w:rsidRPr="003512FA">
        <w:t>, 2023). The integration of multiple data sources also enables a degree of triangulation, strengthening the credibility of the findings by comparing reported experiences with observed classroom practices (Cohen, Manion and Morrison, 2018).</w:t>
      </w:r>
    </w:p>
    <w:p w14:paraId="53808855" w14:textId="77777777" w:rsidR="003512FA" w:rsidRPr="003512FA" w:rsidRDefault="003512FA" w:rsidP="003512FA">
      <w:r w:rsidRPr="003512FA">
        <w:t>A key strength of reflexive thematic analysis lies in its flexibility and its capacity to accommodate both inductive and theoretically informed analysis. This is particularly valuable in this study, as it allows the researcher to remain responsive to participants’ experiences while also engaging critically with sociocultural theories of language and identity. By interpreting themes through concepts such as linguistic capital (Bourdieu, 1991), discourse as social practice (Gee, 2014), and identity negotiation (Norton, 2013), the analysis moves beyond surface-level description to examine how classroom language practices construct or constrain students’ sense of belonging.</w:t>
      </w:r>
    </w:p>
    <w:p w14:paraId="04FAFA73" w14:textId="77777777" w:rsidR="003512FA" w:rsidRPr="003512FA" w:rsidRDefault="003512FA" w:rsidP="003512FA">
      <w:r w:rsidRPr="003512FA">
        <w:t xml:space="preserve">However, the method is not without limitations. The interpretive nature of thematic analysis means that findings are shaped by the researcher’s perspective, raising questions about subjectivity and bias. This is particularly pertinent given the researcher’s positionality as an insider lecturer within the study context. As highlighted in module discussions on positionality, the researcher is not a neutral observer but an active participant in the research process, whose assumptions and experiences may influence both data collection and analysis. To address this, the study will incorporate reflexive practices, including analytic </w:t>
      </w:r>
      <w:proofErr w:type="spellStart"/>
      <w:r w:rsidRPr="003512FA">
        <w:t>memoing</w:t>
      </w:r>
      <w:proofErr w:type="spellEnd"/>
      <w:r w:rsidRPr="003512FA">
        <w:t xml:space="preserve"> and ongoing critical reflection on how interpretations are constructed (May and Perry, 2011). This aligns with qualitative research principles that emphasise transparency and reflexivity as key components of rigour.</w:t>
      </w:r>
    </w:p>
    <w:p w14:paraId="2B66D1E4" w14:textId="77777777" w:rsidR="003512FA" w:rsidRPr="003512FA" w:rsidRDefault="003512FA" w:rsidP="003512FA">
      <w:r w:rsidRPr="003512FA">
        <w:lastRenderedPageBreak/>
        <w:t xml:space="preserve">Another limitation concerns the potential lack of generalisability. As the study is based on a small, purposively selected sample within a specific institutional context, findings cannot be generalised to all higher education settings. However, this limitation is inherent to qualitative research and does not diminish the value of the study. Instead, the focus is on generating contextually grounded, theoretically informed insights that may be transferable to similar settings (Creswell and </w:t>
      </w:r>
      <w:proofErr w:type="spellStart"/>
      <w:r w:rsidRPr="003512FA">
        <w:t>Poth</w:t>
      </w:r>
      <w:proofErr w:type="spellEnd"/>
      <w:r w:rsidRPr="003512FA">
        <w:t>, 2023). The aim is not statistical generalisation but analytical generalisation, whereby findings contribute to broader theoretical understanding of belonging and discourse in higher education.</w:t>
      </w:r>
    </w:p>
    <w:p w14:paraId="228ECF94" w14:textId="77777777" w:rsidR="003512FA" w:rsidRPr="003512FA" w:rsidRDefault="003512FA" w:rsidP="003512FA">
      <w:r w:rsidRPr="003512FA">
        <w:t>The integration of interview and observational data further strengthens the analytic process. While interviews provide insight into participants’ perceptions and interpretations, observations capture the interactional realities of classroom discourse. This combination enables the researcher to examine both the subjective and enacted dimensions of inclusive language, addressing a key gap identified in the literature. However, integrating multiple data sources also presents challenges, particularly in ensuring coherence and consistency in analysis. This will be addressed through careful organisation of data and iterative comparison of themes across data sets.</w:t>
      </w:r>
    </w:p>
    <w:p w14:paraId="5BBE19A3" w14:textId="77777777" w:rsidR="003512FA" w:rsidRPr="003512FA" w:rsidRDefault="003512FA" w:rsidP="003512FA">
      <w:r w:rsidRPr="003512FA">
        <w:t>In presenting the findings, themes will be structured in a way that reflects the research questions, with each theme supported by multiple data extracts to demonstrate depth and variation. Attention will be paid to representing diverse perspectives within the data, including potential contradictions or tensions. This is consistent with abductive reasoning, which seeks not only to identify patterns but also to account for complexity and unexpected findings.</w:t>
      </w:r>
    </w:p>
    <w:p w14:paraId="26EA56E3" w14:textId="77777777" w:rsidR="003512FA" w:rsidRDefault="003512FA" w:rsidP="003512FA">
      <w:r w:rsidRPr="003512FA">
        <w:t>Overall, reflexive thematic analysis provides a methodologically coherent and theoretically aligned approach to analysing the data in this study. Its flexibility allows for the integration of inductive and abductive reasoning, while its emphasis on interpretation aligns with the interpretivist epistemology underpinning the research. By combining systematic analytic procedures with reflexive awareness, the study aims to produce rigorous, nuanced and contextually grounded insights into how inclusive language practices shape Chinese students’ sense of belonging within Welsh international foundation seminars.</w:t>
      </w:r>
    </w:p>
    <w:p w14:paraId="3FF7999F" w14:textId="77777777" w:rsidR="003512FA" w:rsidRPr="003512FA" w:rsidRDefault="003512FA" w:rsidP="003512FA">
      <w:pPr>
        <w:rPr>
          <w:b/>
          <w:bCs/>
        </w:rPr>
      </w:pPr>
      <w:r w:rsidRPr="003512FA">
        <w:rPr>
          <w:b/>
          <w:bCs/>
        </w:rPr>
        <w:t>Conclusions</w:t>
      </w:r>
    </w:p>
    <w:p w14:paraId="18CD3EB5" w14:textId="77777777" w:rsidR="003512FA" w:rsidRPr="003512FA" w:rsidRDefault="003512FA" w:rsidP="003512FA">
      <w:r w:rsidRPr="003512FA">
        <w:t xml:space="preserve">This research design has been developed to generate in-depth, contextually grounded insight into how inclusive language practices shape Chinese students’ sense of belonging within Welsh international foundation seminars. In evaluating the proposed methodology, it is important to critically consider issues of reliability, validity and generalisability, while recognising that these concepts require reinterpretation within qualitative, interpretivist research (Cohen, Manion and Morrison, 2018; Creswell and </w:t>
      </w:r>
      <w:proofErr w:type="spellStart"/>
      <w:r w:rsidRPr="003512FA">
        <w:lastRenderedPageBreak/>
        <w:t>Poth</w:t>
      </w:r>
      <w:proofErr w:type="spellEnd"/>
      <w:r w:rsidRPr="003512FA">
        <w:t>, 2023). Rather than seeking replication and standardisation, the study prioritises credibility, trustworthiness and interpretive depth.</w:t>
      </w:r>
    </w:p>
    <w:p w14:paraId="14EB6658" w14:textId="77777777" w:rsidR="003512FA" w:rsidRPr="003512FA" w:rsidRDefault="003512FA" w:rsidP="003512FA">
      <w:r w:rsidRPr="003512FA">
        <w:t xml:space="preserve">In terms of reliability, understood traditionally as the consistency and replicability of findings, the proposed methods present inherent limitations. Semi-structured interviews and classroom observations are context-dependent and shaped by the interaction between researcher and participants, meaning that exact replication would be neither possible nor desirable (Flick, 2023). The interpretive nature of thematic analysis further complicates notions of reliability, as coding and theme development are influenced by the researcher’s perspective (Braun and Clarke, 2021). However, within qualitative research, reliability can be reconceptualised as dependability, referring to the transparency and coherence of the research process (Cohen, Manion and Morrison, 2018). This study addresses this through systematic documentation of analytic decisions, including coding frameworks, theme development and reflexive </w:t>
      </w:r>
      <w:proofErr w:type="spellStart"/>
      <w:r w:rsidRPr="003512FA">
        <w:t>memoing</w:t>
      </w:r>
      <w:proofErr w:type="spellEnd"/>
      <w:r w:rsidRPr="003512FA">
        <w:t>, enabling the research process to be scrutinised and understood. While findings may not be replicable in a positivist sense, they are intended to be logically and analytically consistent.</w:t>
      </w:r>
    </w:p>
    <w:p w14:paraId="25C2077A" w14:textId="77777777" w:rsidR="003512FA" w:rsidRPr="003512FA" w:rsidRDefault="003512FA" w:rsidP="003512FA">
      <w:r w:rsidRPr="003512FA">
        <w:t xml:space="preserve">Validity, or the extent to which the study accurately captures the phenomenon under investigation, is a central strength of the proposed design. The use of semi-structured interviews allows participants to articulate their lived experiences of classroom interaction, providing access to the subjective dimensions of belonging that are often overlooked in survey-based research (Kvale and Brinkmann, 2009). Classroom observations complement this by capturing the interactional practices through which inclusive language is enacted, addressing the gap between reported experience and observed behaviour. This combination of methods enhances credibility through triangulation, enabling the researcher to </w:t>
      </w:r>
      <w:proofErr w:type="gramStart"/>
      <w:r w:rsidRPr="003512FA">
        <w:t>compare and contrast</w:t>
      </w:r>
      <w:proofErr w:type="gramEnd"/>
      <w:r w:rsidRPr="003512FA">
        <w:t xml:space="preserve"> different forms of data (Cohen, Manion and Morrison, 2018). Furthermore, the use of a sociocultural and discourse-informed analytical lens strengthens interpretive validity by situating findings within established theoretical frameworks (Norton, 2013; Gee, 2014).</w:t>
      </w:r>
    </w:p>
    <w:p w14:paraId="1FA58E11" w14:textId="77777777" w:rsidR="003512FA" w:rsidRPr="003512FA" w:rsidRDefault="003512FA" w:rsidP="003512FA">
      <w:r w:rsidRPr="003512FA">
        <w:t xml:space="preserve">However, validity is not unproblematic. Interviews are subject to issues of self-report, including selective recall and social desirability bias, particularly in contexts where power relations are present (Heng, 2021). Similarly, observational data are shaped by the presence and interpretation of the researcher, raising questions about objectivity. These limitations are addressed through reflexive practice, which acknowledges the researcher’s role in shaping the research process and seeks to make this influence explicit (May and Perry, 2011). The researcher’s positionality as an insider lecturer presents both opportunities and challenges in this regard. While it facilitates access and contextual understanding, it also requires careful management of assumptions and potential bias. Reflexive strategies, including ongoing critical self-awareness and analytic </w:t>
      </w:r>
      <w:proofErr w:type="spellStart"/>
      <w:r w:rsidRPr="003512FA">
        <w:t>memoing</w:t>
      </w:r>
      <w:proofErr w:type="spellEnd"/>
      <w:r w:rsidRPr="003512FA">
        <w:t>, are therefore essential in supporting the validity of the study.</w:t>
      </w:r>
    </w:p>
    <w:p w14:paraId="2D47E53D" w14:textId="77777777" w:rsidR="003512FA" w:rsidRPr="003512FA" w:rsidRDefault="003512FA" w:rsidP="003512FA">
      <w:r w:rsidRPr="003512FA">
        <w:lastRenderedPageBreak/>
        <w:t xml:space="preserve">Generalisation presents a further area for critical consideration. Given the study’s focus on a small, purposively selected sample within a specific institutional context, findings cannot be generalised in a statistical sense. However, this limitation is consistent with qualitative research, which prioritises depth over breadth (Creswell and </w:t>
      </w:r>
      <w:proofErr w:type="spellStart"/>
      <w:r w:rsidRPr="003512FA">
        <w:t>Poth</w:t>
      </w:r>
      <w:proofErr w:type="spellEnd"/>
      <w:r w:rsidRPr="003512FA">
        <w:t>, 2023). Instead, the study aims to achieve analytical or theoretical generalisation, whereby findings contribute to broader conceptual understandings of belonging, discourse and inclusive pedagogy (Yin, 2018). By situating the analysis within established theoretical frameworks, the study enables readers to assess the transferability of findings to similar contexts. Detailed description of the research setting and participants will further support this process, allowing others to determine the relevance of the findings to their own contexts (Flick, 2023).</w:t>
      </w:r>
    </w:p>
    <w:p w14:paraId="3A321E71" w14:textId="77777777" w:rsidR="003512FA" w:rsidRPr="003512FA" w:rsidRDefault="003512FA" w:rsidP="003512FA">
      <w:r w:rsidRPr="003512FA">
        <w:t>The overall research design demonstrates a high degree of alignment between philosophical worldview, theoretical framework, methods and analysis. The use of qualitative, discourse-oriented methods is appropriate given the study’s focus on meaning-making and interaction, and addresses identified gaps in the literature concerning the micro-level construction of belonging. The integration of interviews and observations strengthens the design by capturing both perceived and enacted dimensions of inclusive language, while the use of thematic analysis provides a flexible and systematic approach to interpretation.</w:t>
      </w:r>
    </w:p>
    <w:p w14:paraId="2FC6A141" w14:textId="77777777" w:rsidR="003512FA" w:rsidRPr="003512FA" w:rsidRDefault="003512FA" w:rsidP="003512FA">
      <w:r w:rsidRPr="003512FA">
        <w:t>Nevertheless, the design is not without challenges. The reliance on qualitative methods requires careful management of subjectivity and bias, and the insider position of the researcher introduces additional ethical and methodological complexities. The small sample size limits generalisability, and the time-intensive nature of qualitative data collection and analysis may constrain the scope of the study. However, these limitations are balanced by the potential to generate rich, nuanced and contextually grounded insights that would not be accessible through quantitative approaches.</w:t>
      </w:r>
    </w:p>
    <w:p w14:paraId="72250A09" w14:textId="77777777" w:rsidR="003512FA" w:rsidRPr="003512FA" w:rsidRDefault="003512FA" w:rsidP="003512FA">
      <w:r w:rsidRPr="003512FA">
        <w:t>In conclusion, the proposed research design is both methodologically coherent and theoretically informed, offering a robust framework for investigating how inclusive language practices shape Chinese students’ sense of belonging within Welsh higher education. While issues of reliability, validity and generalisability must be critically acknowledged, the study’s emphasis on reflexivity, triangulation and theoretical alignment supports its overall credibility and contribution to the field. By prioritising depth, context and meaning, the research is well positioned to advance understanding of the relationship between language, identity and belonging in internationalised higher education contexts.</w:t>
      </w:r>
    </w:p>
    <w:p w14:paraId="2CCE8AE6" w14:textId="77777777" w:rsidR="003512FA" w:rsidRPr="003512FA" w:rsidRDefault="003512FA" w:rsidP="003512FA"/>
    <w:p w14:paraId="1EEBD15D" w14:textId="77777777" w:rsidR="00136600" w:rsidRDefault="00136600"/>
    <w:p w14:paraId="7A8A28A4" w14:textId="77777777" w:rsidR="001E556A" w:rsidRDefault="001E556A"/>
    <w:p w14:paraId="4FE317A1" w14:textId="77777777" w:rsidR="001E556A" w:rsidRPr="001E556A" w:rsidRDefault="001E556A" w:rsidP="001E556A">
      <w:pPr>
        <w:rPr>
          <w:b/>
          <w:bCs/>
        </w:rPr>
      </w:pPr>
      <w:r w:rsidRPr="001E556A">
        <w:rPr>
          <w:b/>
          <w:bCs/>
        </w:rPr>
        <w:lastRenderedPageBreak/>
        <w:t>Reference List</w:t>
      </w:r>
    </w:p>
    <w:p w14:paraId="560E534E" w14:textId="01AE6D8D" w:rsidR="001E556A" w:rsidRPr="001E556A" w:rsidRDefault="001E556A" w:rsidP="001E556A">
      <w:r w:rsidRPr="001E556A">
        <w:t xml:space="preserve">BERA (2024) </w:t>
      </w:r>
      <w:r w:rsidRPr="001E556A">
        <w:rPr>
          <w:i/>
          <w:iCs/>
        </w:rPr>
        <w:t>Ethical guidelines for educational research</w:t>
      </w:r>
      <w:r w:rsidRPr="001E556A">
        <w:t xml:space="preserve">. 5th </w:t>
      </w:r>
      <w:proofErr w:type="spellStart"/>
      <w:r w:rsidRPr="001E556A">
        <w:t>edn</w:t>
      </w:r>
      <w:proofErr w:type="spellEnd"/>
      <w:r w:rsidRPr="001E556A">
        <w:t xml:space="preserve">. London: British Educational Research Association. Available at: </w:t>
      </w:r>
      <w:hyperlink r:id="rId6" w:tgtFrame="_new" w:history="1">
        <w:r w:rsidRPr="001E556A">
          <w:rPr>
            <w:rStyle w:val="Hyperlink"/>
          </w:rPr>
          <w:t>https://www.bera.ac.uk</w:t>
        </w:r>
      </w:hyperlink>
      <w:r w:rsidRPr="001E556A">
        <w:t xml:space="preserve"> (Accessed: 1</w:t>
      </w:r>
      <w:r>
        <w:t>5 April</w:t>
      </w:r>
      <w:r w:rsidRPr="001E556A">
        <w:t xml:space="preserve"> 2026).</w:t>
      </w:r>
    </w:p>
    <w:p w14:paraId="7E9EACAD" w14:textId="77777777" w:rsidR="001E556A" w:rsidRPr="001E556A" w:rsidRDefault="001E556A" w:rsidP="001E556A">
      <w:r w:rsidRPr="001E556A">
        <w:t xml:space="preserve">Bourdieu, P. (1991) </w:t>
      </w:r>
      <w:r w:rsidRPr="001E556A">
        <w:rPr>
          <w:i/>
          <w:iCs/>
        </w:rPr>
        <w:t>Language and symbolic power</w:t>
      </w:r>
      <w:r w:rsidRPr="001E556A">
        <w:t>. Cambridge: Polity Press.</w:t>
      </w:r>
    </w:p>
    <w:p w14:paraId="285364C8" w14:textId="77777777" w:rsidR="001E556A" w:rsidRPr="001E556A" w:rsidRDefault="001E556A" w:rsidP="001E556A">
      <w:r w:rsidRPr="001E556A">
        <w:t xml:space="preserve">Braun, V. and Clarke, V. (2006) ‘Using thematic analysis in psychology’, </w:t>
      </w:r>
      <w:r w:rsidRPr="001E556A">
        <w:rPr>
          <w:i/>
          <w:iCs/>
        </w:rPr>
        <w:t>Qualitative Research in Psychology</w:t>
      </w:r>
      <w:r w:rsidRPr="001E556A">
        <w:t>, 3(2), pp. 77–101.</w:t>
      </w:r>
    </w:p>
    <w:p w14:paraId="224E10EB" w14:textId="77777777" w:rsidR="001E556A" w:rsidRPr="001E556A" w:rsidRDefault="001E556A" w:rsidP="001E556A">
      <w:r w:rsidRPr="001E556A">
        <w:t xml:space="preserve">Braun, V. and Clarke, V. (2021) </w:t>
      </w:r>
      <w:r w:rsidRPr="001E556A">
        <w:rPr>
          <w:i/>
          <w:iCs/>
        </w:rPr>
        <w:t>Thematic analysis: A practical guide</w:t>
      </w:r>
      <w:r w:rsidRPr="001E556A">
        <w:t>. London: SAGE.</w:t>
      </w:r>
    </w:p>
    <w:p w14:paraId="27EBCD0E" w14:textId="77777777" w:rsidR="001E556A" w:rsidRPr="001E556A" w:rsidRDefault="001E556A" w:rsidP="001E556A">
      <w:r w:rsidRPr="001E556A">
        <w:t xml:space="preserve">Cohen, L., Manion, L. and Morrison, K. (2018) </w:t>
      </w:r>
      <w:r w:rsidRPr="001E556A">
        <w:rPr>
          <w:i/>
          <w:iCs/>
        </w:rPr>
        <w:t>Research methods in education</w:t>
      </w:r>
      <w:r w:rsidRPr="001E556A">
        <w:t xml:space="preserve">. 8th </w:t>
      </w:r>
      <w:proofErr w:type="spellStart"/>
      <w:r w:rsidRPr="001E556A">
        <w:t>edn</w:t>
      </w:r>
      <w:proofErr w:type="spellEnd"/>
      <w:r w:rsidRPr="001E556A">
        <w:t>. London: Routledge.</w:t>
      </w:r>
    </w:p>
    <w:p w14:paraId="1C266915" w14:textId="77777777" w:rsidR="001E556A" w:rsidRPr="001E556A" w:rsidRDefault="001E556A" w:rsidP="001E556A">
      <w:r w:rsidRPr="001E556A">
        <w:t xml:space="preserve">Creswell, J.W. and </w:t>
      </w:r>
      <w:proofErr w:type="spellStart"/>
      <w:r w:rsidRPr="001E556A">
        <w:t>Poth</w:t>
      </w:r>
      <w:proofErr w:type="spellEnd"/>
      <w:r w:rsidRPr="001E556A">
        <w:t xml:space="preserve">, C.N. (2018) </w:t>
      </w:r>
      <w:r w:rsidRPr="001E556A">
        <w:rPr>
          <w:i/>
          <w:iCs/>
        </w:rPr>
        <w:t>Qualitative inquiry and research design: Choosing among five approaches</w:t>
      </w:r>
      <w:r w:rsidRPr="001E556A">
        <w:t xml:space="preserve">. 4th </w:t>
      </w:r>
      <w:proofErr w:type="spellStart"/>
      <w:r w:rsidRPr="001E556A">
        <w:t>edn</w:t>
      </w:r>
      <w:proofErr w:type="spellEnd"/>
      <w:r w:rsidRPr="001E556A">
        <w:t>. London: SAGE.</w:t>
      </w:r>
    </w:p>
    <w:p w14:paraId="0899F9B0" w14:textId="77777777" w:rsidR="001E556A" w:rsidRPr="001E556A" w:rsidRDefault="001E556A" w:rsidP="001E556A">
      <w:r w:rsidRPr="001E556A">
        <w:t xml:space="preserve">Creswell, J.W. and </w:t>
      </w:r>
      <w:proofErr w:type="spellStart"/>
      <w:r w:rsidRPr="001E556A">
        <w:t>Poth</w:t>
      </w:r>
      <w:proofErr w:type="spellEnd"/>
      <w:r w:rsidRPr="001E556A">
        <w:t xml:space="preserve">, C.N. (2023) </w:t>
      </w:r>
      <w:r w:rsidRPr="001E556A">
        <w:rPr>
          <w:i/>
          <w:iCs/>
        </w:rPr>
        <w:t>Qualitative inquiry and research design: Choosing among five approaches</w:t>
      </w:r>
      <w:r w:rsidRPr="001E556A">
        <w:t xml:space="preserve">. 5th </w:t>
      </w:r>
      <w:proofErr w:type="spellStart"/>
      <w:r w:rsidRPr="001E556A">
        <w:t>edn</w:t>
      </w:r>
      <w:proofErr w:type="spellEnd"/>
      <w:r w:rsidRPr="001E556A">
        <w:t>. London: SAGE.</w:t>
      </w:r>
    </w:p>
    <w:p w14:paraId="160C8B1D" w14:textId="77777777" w:rsidR="001E556A" w:rsidRPr="001E556A" w:rsidRDefault="001E556A" w:rsidP="001E556A">
      <w:r w:rsidRPr="001E556A">
        <w:t xml:space="preserve">Emerson, R.M., Fretz, R.I. and Shaw, L.L. (2011) </w:t>
      </w:r>
      <w:r w:rsidRPr="001E556A">
        <w:rPr>
          <w:i/>
          <w:iCs/>
        </w:rPr>
        <w:t>Writing ethnographic fieldnotes</w:t>
      </w:r>
      <w:r w:rsidRPr="001E556A">
        <w:t xml:space="preserve">. 2nd </w:t>
      </w:r>
      <w:proofErr w:type="spellStart"/>
      <w:r w:rsidRPr="001E556A">
        <w:t>edn</w:t>
      </w:r>
      <w:proofErr w:type="spellEnd"/>
      <w:r w:rsidRPr="001E556A">
        <w:t>. Chicago: University of Chicago Press.</w:t>
      </w:r>
    </w:p>
    <w:p w14:paraId="7A419785" w14:textId="77777777" w:rsidR="001E556A" w:rsidRPr="001E556A" w:rsidRDefault="001E556A" w:rsidP="001E556A">
      <w:r w:rsidRPr="001E556A">
        <w:t xml:space="preserve">Flick, U. (2023) </w:t>
      </w:r>
      <w:r w:rsidRPr="001E556A">
        <w:rPr>
          <w:i/>
          <w:iCs/>
        </w:rPr>
        <w:t>An introduction to qualitative research</w:t>
      </w:r>
      <w:r w:rsidRPr="001E556A">
        <w:t xml:space="preserve">. 7th </w:t>
      </w:r>
      <w:proofErr w:type="spellStart"/>
      <w:r w:rsidRPr="001E556A">
        <w:t>edn</w:t>
      </w:r>
      <w:proofErr w:type="spellEnd"/>
      <w:r w:rsidRPr="001E556A">
        <w:t>. London: SAGE.</w:t>
      </w:r>
    </w:p>
    <w:p w14:paraId="415ECE2A" w14:textId="77777777" w:rsidR="001E556A" w:rsidRPr="001E556A" w:rsidRDefault="001E556A" w:rsidP="001E556A">
      <w:r w:rsidRPr="001E556A">
        <w:t xml:space="preserve">Gee, J.P. (2014) </w:t>
      </w:r>
      <w:r w:rsidRPr="001E556A">
        <w:rPr>
          <w:i/>
          <w:iCs/>
        </w:rPr>
        <w:t>An introduction to discourse analysis: Theory and method</w:t>
      </w:r>
      <w:r w:rsidRPr="001E556A">
        <w:t xml:space="preserve">. 4th </w:t>
      </w:r>
      <w:proofErr w:type="spellStart"/>
      <w:r w:rsidRPr="001E556A">
        <w:t>edn</w:t>
      </w:r>
      <w:proofErr w:type="spellEnd"/>
      <w:r w:rsidRPr="001E556A">
        <w:t>. London: Routledge.</w:t>
      </w:r>
    </w:p>
    <w:p w14:paraId="6D17FD0B" w14:textId="77777777" w:rsidR="001E556A" w:rsidRPr="001E556A" w:rsidRDefault="001E556A" w:rsidP="001E556A">
      <w:r w:rsidRPr="001E556A">
        <w:t xml:space="preserve">Gray, D.E. (2022) </w:t>
      </w:r>
      <w:r w:rsidRPr="001E556A">
        <w:rPr>
          <w:i/>
          <w:iCs/>
        </w:rPr>
        <w:t>Doing research in the real world</w:t>
      </w:r>
      <w:r w:rsidRPr="001E556A">
        <w:t xml:space="preserve">. 5th </w:t>
      </w:r>
      <w:proofErr w:type="spellStart"/>
      <w:r w:rsidRPr="001E556A">
        <w:t>edn</w:t>
      </w:r>
      <w:proofErr w:type="spellEnd"/>
      <w:r w:rsidRPr="001E556A">
        <w:t>. London: SAGE.</w:t>
      </w:r>
    </w:p>
    <w:p w14:paraId="4C537C64" w14:textId="77777777" w:rsidR="001E556A" w:rsidRPr="001E556A" w:rsidRDefault="001E556A" w:rsidP="001E556A">
      <w:r w:rsidRPr="001E556A">
        <w:t xml:space="preserve">Gu, Q. and </w:t>
      </w:r>
      <w:proofErr w:type="spellStart"/>
      <w:r w:rsidRPr="001E556A">
        <w:t>Schweisfurth</w:t>
      </w:r>
      <w:proofErr w:type="spellEnd"/>
      <w:r w:rsidRPr="001E556A">
        <w:t xml:space="preserve">, M. (2015) ‘Transnational connections, competences and identities: Experiences of Chinese international students after their return “home”’, </w:t>
      </w:r>
      <w:r w:rsidRPr="001E556A">
        <w:rPr>
          <w:i/>
          <w:iCs/>
        </w:rPr>
        <w:t>British Educational Research Journal</w:t>
      </w:r>
      <w:r w:rsidRPr="001E556A">
        <w:t>, 41(6), pp. 947–970.</w:t>
      </w:r>
    </w:p>
    <w:p w14:paraId="39D7E9A9" w14:textId="77777777" w:rsidR="001E556A" w:rsidRPr="001E556A" w:rsidRDefault="001E556A" w:rsidP="001E556A">
      <w:r w:rsidRPr="001E556A">
        <w:t xml:space="preserve">Heng, T.T. (2021) </w:t>
      </w:r>
      <w:r w:rsidRPr="001E556A">
        <w:rPr>
          <w:i/>
          <w:iCs/>
        </w:rPr>
        <w:t>Understanding the heterogeneity of international students</w:t>
      </w:r>
      <w:r w:rsidRPr="001E556A">
        <w:t>. London: Routledge.</w:t>
      </w:r>
    </w:p>
    <w:p w14:paraId="2B2BD05D" w14:textId="77777777" w:rsidR="001E556A" w:rsidRPr="001E556A" w:rsidRDefault="001E556A" w:rsidP="001E556A">
      <w:r w:rsidRPr="001E556A">
        <w:t xml:space="preserve">Hockings, C. (2010) </w:t>
      </w:r>
      <w:r w:rsidRPr="001E556A">
        <w:rPr>
          <w:i/>
          <w:iCs/>
        </w:rPr>
        <w:t>Inclusive learning and teaching in higher education: A synthesis of research</w:t>
      </w:r>
      <w:r w:rsidRPr="001E556A">
        <w:t>. York: Higher Education Academy.</w:t>
      </w:r>
    </w:p>
    <w:p w14:paraId="4AE53CB4" w14:textId="77777777" w:rsidR="001E556A" w:rsidRPr="001E556A" w:rsidRDefault="001E556A" w:rsidP="001E556A">
      <w:r w:rsidRPr="001E556A">
        <w:t xml:space="preserve">Holstein, J.A. and </w:t>
      </w:r>
      <w:proofErr w:type="spellStart"/>
      <w:r w:rsidRPr="001E556A">
        <w:t>Gubrium</w:t>
      </w:r>
      <w:proofErr w:type="spellEnd"/>
      <w:r w:rsidRPr="001E556A">
        <w:t xml:space="preserve">, J.F. (1995) </w:t>
      </w:r>
      <w:r w:rsidRPr="001E556A">
        <w:rPr>
          <w:i/>
          <w:iCs/>
        </w:rPr>
        <w:t>The active interview</w:t>
      </w:r>
      <w:r w:rsidRPr="001E556A">
        <w:t>. London: SAGE.</w:t>
      </w:r>
    </w:p>
    <w:p w14:paraId="575692B7" w14:textId="77777777" w:rsidR="001E556A" w:rsidRPr="001E556A" w:rsidRDefault="001E556A" w:rsidP="001E556A">
      <w:r w:rsidRPr="001E556A">
        <w:t xml:space="preserve">Kahu, E.R. and Nelson, K. (2018) ‘Student engagement in the educational interface: Understanding the mechanisms of student success’, </w:t>
      </w:r>
      <w:r w:rsidRPr="001E556A">
        <w:rPr>
          <w:i/>
          <w:iCs/>
        </w:rPr>
        <w:t>Higher Education Research &amp; Development</w:t>
      </w:r>
      <w:r w:rsidRPr="001E556A">
        <w:t>, 37(1), pp. 58–71.</w:t>
      </w:r>
    </w:p>
    <w:p w14:paraId="2F4761B4" w14:textId="77777777" w:rsidR="001E556A" w:rsidRPr="001E556A" w:rsidRDefault="001E556A" w:rsidP="001E556A">
      <w:r w:rsidRPr="001E556A">
        <w:t xml:space="preserve">Kvale, S. and Brinkmann, S. (2009) </w:t>
      </w:r>
      <w:proofErr w:type="spellStart"/>
      <w:r w:rsidRPr="001E556A">
        <w:rPr>
          <w:i/>
          <w:iCs/>
        </w:rPr>
        <w:t>InterViews</w:t>
      </w:r>
      <w:proofErr w:type="spellEnd"/>
      <w:r w:rsidRPr="001E556A">
        <w:rPr>
          <w:i/>
          <w:iCs/>
        </w:rPr>
        <w:t>: Learning the craft of qualitative research interviewing</w:t>
      </w:r>
      <w:r w:rsidRPr="001E556A">
        <w:t xml:space="preserve">. 2nd </w:t>
      </w:r>
      <w:proofErr w:type="spellStart"/>
      <w:r w:rsidRPr="001E556A">
        <w:t>edn</w:t>
      </w:r>
      <w:proofErr w:type="spellEnd"/>
      <w:r w:rsidRPr="001E556A">
        <w:t>. London: SAGE.</w:t>
      </w:r>
    </w:p>
    <w:p w14:paraId="607C0D75" w14:textId="77777777" w:rsidR="001E556A" w:rsidRPr="001E556A" w:rsidRDefault="001E556A" w:rsidP="001E556A">
      <w:r w:rsidRPr="001E556A">
        <w:lastRenderedPageBreak/>
        <w:t xml:space="preserve">May, T. and Perry, B. (2011) </w:t>
      </w:r>
      <w:r w:rsidRPr="001E556A">
        <w:rPr>
          <w:i/>
          <w:iCs/>
        </w:rPr>
        <w:t>Social research and reflexivity: Content, consequences and context</w:t>
      </w:r>
      <w:r w:rsidRPr="001E556A">
        <w:t>. London: SAGE.</w:t>
      </w:r>
    </w:p>
    <w:p w14:paraId="121D1DE5" w14:textId="77777777" w:rsidR="001E556A" w:rsidRPr="001E556A" w:rsidRDefault="001E556A" w:rsidP="001E556A">
      <w:r w:rsidRPr="001E556A">
        <w:t xml:space="preserve">Norton, B. (2013) </w:t>
      </w:r>
      <w:r w:rsidRPr="001E556A">
        <w:rPr>
          <w:i/>
          <w:iCs/>
        </w:rPr>
        <w:t>Identity and language learning: Extending the conversation</w:t>
      </w:r>
      <w:r w:rsidRPr="001E556A">
        <w:t xml:space="preserve">. 2nd </w:t>
      </w:r>
      <w:proofErr w:type="spellStart"/>
      <w:r w:rsidRPr="001E556A">
        <w:t>edn</w:t>
      </w:r>
      <w:proofErr w:type="spellEnd"/>
      <w:r w:rsidRPr="001E556A">
        <w:t>. Bristol: Multilingual Matters.</w:t>
      </w:r>
    </w:p>
    <w:p w14:paraId="02108C3F" w14:textId="77777777" w:rsidR="001E556A" w:rsidRPr="001E556A" w:rsidRDefault="001E556A" w:rsidP="001E556A">
      <w:r w:rsidRPr="001E556A">
        <w:t xml:space="preserve">Saunders, M., Lewis, P. and Thornhill, A. (2019) </w:t>
      </w:r>
      <w:r w:rsidRPr="001E556A">
        <w:rPr>
          <w:i/>
          <w:iCs/>
        </w:rPr>
        <w:t>Research methods for business students</w:t>
      </w:r>
      <w:r w:rsidRPr="001E556A">
        <w:t xml:space="preserve">. 8th </w:t>
      </w:r>
      <w:proofErr w:type="spellStart"/>
      <w:r w:rsidRPr="001E556A">
        <w:t>edn</w:t>
      </w:r>
      <w:proofErr w:type="spellEnd"/>
      <w:r w:rsidRPr="001E556A">
        <w:t>. Harlow: Pearson.</w:t>
      </w:r>
    </w:p>
    <w:p w14:paraId="4FE10D40" w14:textId="77777777" w:rsidR="001E556A" w:rsidRPr="001E556A" w:rsidRDefault="001E556A" w:rsidP="001E556A">
      <w:r w:rsidRPr="001E556A">
        <w:t xml:space="preserve">Strayhorn, T.L. (2019) </w:t>
      </w:r>
      <w:r w:rsidRPr="001E556A">
        <w:rPr>
          <w:i/>
          <w:iCs/>
        </w:rPr>
        <w:t>College students’ sense of belonging: A key to educational success for all students</w:t>
      </w:r>
      <w:r w:rsidRPr="001E556A">
        <w:t xml:space="preserve">. 2nd </w:t>
      </w:r>
      <w:proofErr w:type="spellStart"/>
      <w:r w:rsidRPr="001E556A">
        <w:t>edn</w:t>
      </w:r>
      <w:proofErr w:type="spellEnd"/>
      <w:r w:rsidRPr="001E556A">
        <w:t>. New York: Routledge.</w:t>
      </w:r>
    </w:p>
    <w:p w14:paraId="07C62B38" w14:textId="77777777" w:rsidR="001E556A" w:rsidRPr="001E556A" w:rsidRDefault="001E556A" w:rsidP="001E556A">
      <w:r w:rsidRPr="001E556A">
        <w:t xml:space="preserve">Yin, R.K. (2018) </w:t>
      </w:r>
      <w:r w:rsidRPr="001E556A">
        <w:rPr>
          <w:i/>
          <w:iCs/>
        </w:rPr>
        <w:t>Case study research and applications: Design and methods</w:t>
      </w:r>
      <w:r w:rsidRPr="001E556A">
        <w:t xml:space="preserve">. 6th </w:t>
      </w:r>
      <w:proofErr w:type="spellStart"/>
      <w:r w:rsidRPr="001E556A">
        <w:t>edn</w:t>
      </w:r>
      <w:proofErr w:type="spellEnd"/>
      <w:r w:rsidRPr="001E556A">
        <w:t>. London: SAGE.</w:t>
      </w:r>
    </w:p>
    <w:p w14:paraId="18994582" w14:textId="77777777" w:rsidR="001E556A" w:rsidRDefault="001E556A"/>
    <w:p w14:paraId="31EBB76E" w14:textId="77777777" w:rsidR="001E556A" w:rsidRDefault="001E556A"/>
    <w:sectPr w:rsidR="001E5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34AAF"/>
    <w:multiLevelType w:val="hybridMultilevel"/>
    <w:tmpl w:val="C296A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2050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600"/>
    <w:rsid w:val="00131582"/>
    <w:rsid w:val="00136600"/>
    <w:rsid w:val="0017383A"/>
    <w:rsid w:val="00180A51"/>
    <w:rsid w:val="001D4D40"/>
    <w:rsid w:val="001E556A"/>
    <w:rsid w:val="0029403E"/>
    <w:rsid w:val="003512FA"/>
    <w:rsid w:val="00356682"/>
    <w:rsid w:val="0037269C"/>
    <w:rsid w:val="003B5738"/>
    <w:rsid w:val="003D3654"/>
    <w:rsid w:val="00584754"/>
    <w:rsid w:val="005B372D"/>
    <w:rsid w:val="005D5F9D"/>
    <w:rsid w:val="005E4F84"/>
    <w:rsid w:val="00651849"/>
    <w:rsid w:val="00770B9E"/>
    <w:rsid w:val="007D2A64"/>
    <w:rsid w:val="00870AE7"/>
    <w:rsid w:val="00A373F7"/>
    <w:rsid w:val="00C27D75"/>
    <w:rsid w:val="00C55B41"/>
    <w:rsid w:val="00C802E5"/>
    <w:rsid w:val="00C94060"/>
    <w:rsid w:val="00D76D91"/>
    <w:rsid w:val="00E74CCC"/>
    <w:rsid w:val="00E85582"/>
    <w:rsid w:val="00F7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2B0F0"/>
  <w15:chartTrackingRefBased/>
  <w15:docId w15:val="{216089AD-09CE-4C77-8B17-FB972AB8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6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6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6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6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6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6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6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6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6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6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600"/>
    <w:rPr>
      <w:rFonts w:eastAsiaTheme="majorEastAsia" w:cstheme="majorBidi"/>
      <w:color w:val="272727" w:themeColor="text1" w:themeTint="D8"/>
    </w:rPr>
  </w:style>
  <w:style w:type="paragraph" w:styleId="Title">
    <w:name w:val="Title"/>
    <w:basedOn w:val="Normal"/>
    <w:next w:val="Normal"/>
    <w:link w:val="TitleChar"/>
    <w:uiPriority w:val="10"/>
    <w:qFormat/>
    <w:rsid w:val="00136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600"/>
    <w:pPr>
      <w:spacing w:before="160"/>
      <w:jc w:val="center"/>
    </w:pPr>
    <w:rPr>
      <w:i/>
      <w:iCs/>
      <w:color w:val="404040" w:themeColor="text1" w:themeTint="BF"/>
    </w:rPr>
  </w:style>
  <w:style w:type="character" w:customStyle="1" w:styleId="QuoteChar">
    <w:name w:val="Quote Char"/>
    <w:basedOn w:val="DefaultParagraphFont"/>
    <w:link w:val="Quote"/>
    <w:uiPriority w:val="29"/>
    <w:rsid w:val="00136600"/>
    <w:rPr>
      <w:i/>
      <w:iCs/>
      <w:color w:val="404040" w:themeColor="text1" w:themeTint="BF"/>
    </w:rPr>
  </w:style>
  <w:style w:type="paragraph" w:styleId="ListParagraph">
    <w:name w:val="List Paragraph"/>
    <w:basedOn w:val="Normal"/>
    <w:uiPriority w:val="34"/>
    <w:qFormat/>
    <w:rsid w:val="00136600"/>
    <w:pPr>
      <w:ind w:left="720"/>
      <w:contextualSpacing/>
    </w:pPr>
  </w:style>
  <w:style w:type="character" w:styleId="IntenseEmphasis">
    <w:name w:val="Intense Emphasis"/>
    <w:basedOn w:val="DefaultParagraphFont"/>
    <w:uiPriority w:val="21"/>
    <w:qFormat/>
    <w:rsid w:val="00136600"/>
    <w:rPr>
      <w:i/>
      <w:iCs/>
      <w:color w:val="0F4761" w:themeColor="accent1" w:themeShade="BF"/>
    </w:rPr>
  </w:style>
  <w:style w:type="paragraph" w:styleId="IntenseQuote">
    <w:name w:val="Intense Quote"/>
    <w:basedOn w:val="Normal"/>
    <w:next w:val="Normal"/>
    <w:link w:val="IntenseQuoteChar"/>
    <w:uiPriority w:val="30"/>
    <w:qFormat/>
    <w:rsid w:val="00136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600"/>
    <w:rPr>
      <w:i/>
      <w:iCs/>
      <w:color w:val="0F4761" w:themeColor="accent1" w:themeShade="BF"/>
    </w:rPr>
  </w:style>
  <w:style w:type="character" w:styleId="IntenseReference">
    <w:name w:val="Intense Reference"/>
    <w:basedOn w:val="DefaultParagraphFont"/>
    <w:uiPriority w:val="32"/>
    <w:qFormat/>
    <w:rsid w:val="00136600"/>
    <w:rPr>
      <w:b/>
      <w:bCs/>
      <w:smallCaps/>
      <w:color w:val="0F4761" w:themeColor="accent1" w:themeShade="BF"/>
      <w:spacing w:val="5"/>
    </w:rPr>
  </w:style>
  <w:style w:type="paragraph" w:styleId="NormalWeb">
    <w:name w:val="Normal (Web)"/>
    <w:basedOn w:val="Normal"/>
    <w:uiPriority w:val="99"/>
    <w:semiHidden/>
    <w:unhideWhenUsed/>
    <w:rsid w:val="00770B9E"/>
    <w:rPr>
      <w:rFonts w:ascii="Times New Roman" w:hAnsi="Times New Roman" w:cs="Times New Roman"/>
    </w:rPr>
  </w:style>
  <w:style w:type="character" w:styleId="Hyperlink">
    <w:name w:val="Hyperlink"/>
    <w:basedOn w:val="DefaultParagraphFont"/>
    <w:uiPriority w:val="99"/>
    <w:unhideWhenUsed/>
    <w:rsid w:val="001E556A"/>
    <w:rPr>
      <w:color w:val="467886" w:themeColor="hyperlink"/>
      <w:u w:val="single"/>
    </w:rPr>
  </w:style>
  <w:style w:type="character" w:styleId="UnresolvedMention">
    <w:name w:val="Unresolved Mention"/>
    <w:basedOn w:val="DefaultParagraphFont"/>
    <w:uiPriority w:val="99"/>
    <w:semiHidden/>
    <w:unhideWhenUsed/>
    <w:rsid w:val="001E55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a.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421</TotalTime>
  <Pages>13</Pages>
  <Words>4687</Words>
  <Characters>26717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Purchase-Plumley</dc:creator>
  <cp:keywords/>
  <dc:description/>
  <cp:lastModifiedBy>Joanne Purchase-Plumley</cp:lastModifiedBy>
  <cp:revision>25</cp:revision>
  <dcterms:created xsi:type="dcterms:W3CDTF">2026-04-23T11:36:00Z</dcterms:created>
  <dcterms:modified xsi:type="dcterms:W3CDTF">2026-04-26T16:47:00Z</dcterms:modified>
</cp:coreProperties>
</file>