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323C77" w14:textId="30EDA5AA" w:rsidR="008C53D6" w:rsidRPr="0096245A" w:rsidRDefault="0083026E">
      <w:pPr>
        <w:rPr>
          <w:u w:val="single"/>
        </w:rPr>
      </w:pPr>
      <w:r w:rsidRPr="0096245A">
        <w:rPr>
          <w:u w:val="single"/>
        </w:rPr>
        <w:t>GOBBET</w:t>
      </w:r>
    </w:p>
    <w:p w14:paraId="1D347C83" w14:textId="035871B7" w:rsidR="0083026E" w:rsidRDefault="0083026E">
      <w:r>
        <w:t xml:space="preserve">Homer’s Iliad </w:t>
      </w:r>
      <w:r w:rsidR="00A07C1E">
        <w:t xml:space="preserve">has been theorised to be </w:t>
      </w:r>
      <w:r>
        <w:t xml:space="preserve">written in the </w:t>
      </w:r>
      <w:r w:rsidR="00566BFD">
        <w:t>8</w:t>
      </w:r>
      <w:r>
        <w:t>th century BC</w:t>
      </w:r>
      <w:r w:rsidR="00F97418">
        <w:t xml:space="preserve"> </w:t>
      </w:r>
      <w:r w:rsidR="00F97418">
        <w:fldChar w:fldCharType="begin"/>
      </w:r>
      <w:r w:rsidR="00F97418">
        <w:instrText xml:space="preserve"> ADDIN ZOTERO_ITEM CSL_CITATION {"citationID":"jSaYmUh6","properties":{"unsorted":false,"formattedCitation":"(Cartwright, 2017)","plainCitation":"(Cartwright, 2017)","noteIndex":0},"citationItems":[{"id":204,"uris":["http://zotero.org/users/18703416/items/UVQMVZ9X"],"itemData":{"id":204,"type":"article-journal","abstract":"Homer's Iliad describes the final year of the Trojan War, a legendary conflict between an alliance of Greek cities and the city of Troy in Anatolia. It was probably written in the 8th century BCE after...","container-title":"World History Encyclopedia","language":"en","source":"www.worldhistory.org","title":"Iliad","URL":"https://www.worldhistory.org/iliad/","author":[{"family":"Cartwright","given":"Mark"}],"accessed":{"date-parts":[["2026",10,23]]},"issued":{"date-parts":[["2017",3,10]]}}}],"schema":"https://github.com/citation-style-language/schema/raw/master/csl-citation.json"} </w:instrText>
      </w:r>
      <w:r w:rsidR="00F97418">
        <w:fldChar w:fldCharType="separate"/>
      </w:r>
      <w:r w:rsidR="00F97418" w:rsidRPr="00F97418">
        <w:rPr>
          <w:rFonts w:ascii="Aptos" w:hAnsi="Aptos"/>
        </w:rPr>
        <w:t>(Cartwright, 2017)</w:t>
      </w:r>
      <w:r w:rsidR="00F97418">
        <w:fldChar w:fldCharType="end"/>
      </w:r>
      <w:r w:rsidR="00E16BA8">
        <w:t xml:space="preserve"> </w:t>
      </w:r>
      <w:r>
        <w:t>during a period of significant change</w:t>
      </w:r>
      <w:r w:rsidR="0054307A">
        <w:t xml:space="preserve"> which can be seen in the archaeological record through a range of burial practices </w:t>
      </w:r>
      <w:r w:rsidR="00E2667F">
        <w:t>being used</w:t>
      </w:r>
      <w:r w:rsidR="00373719">
        <w:t xml:space="preserve"> at the same time</w:t>
      </w:r>
      <w:r w:rsidR="00E16BA8">
        <w:fldChar w:fldCharType="begin"/>
      </w:r>
      <w:r w:rsidR="00E16BA8">
        <w:instrText xml:space="preserve"> ADDIN ZOTERO_ITEM CSL_CITATION {"citationID":"noJvXqp1","properties":{"unsorted":false,"formattedCitation":"(Alexandridou, 2020)","plainCitation":"(Alexandridou, 2020)","noteIndex":0},"citationItems":[{"id":197,"uris":["http://zotero.org/users/18703416/items/RTP7H533"],"itemData":{"id":197,"type":"chapter","container-title":"Mortuary Variability and Social Diversity in Ancient Greece: Studies on ancient Greek death and burial","ISBN":"ISBN 978-1-78969-442-0","publisher":"Archaeopress Publishing Ltd","title":"Funerary Variability in Late Geometric Attica and its Implications: A Closer Look at the Neglected Late 8th-century Cremations","author":[{"family":"Alexandridou","given":"Alexandra"}],"issued":{"date-parts":[["2020"]]}}}],"schema":"https://github.com/citation-style-language/schema/raw/master/csl-citation.json"} </w:instrText>
      </w:r>
      <w:r w:rsidR="00E16BA8">
        <w:fldChar w:fldCharType="separate"/>
      </w:r>
      <w:r w:rsidR="00E16BA8" w:rsidRPr="00E16BA8">
        <w:rPr>
          <w:rFonts w:ascii="Aptos" w:hAnsi="Aptos"/>
        </w:rPr>
        <w:t>(Alexandridou, 2020)</w:t>
      </w:r>
      <w:r w:rsidR="00E16BA8">
        <w:fldChar w:fldCharType="end"/>
      </w:r>
      <w:r w:rsidR="0096245A">
        <w:t xml:space="preserve">. </w:t>
      </w:r>
      <w:r w:rsidR="009850A2">
        <w:t xml:space="preserve">The text is also set </w:t>
      </w:r>
      <w:r w:rsidR="00277F45">
        <w:t xml:space="preserve">in a period of significant </w:t>
      </w:r>
      <w:r w:rsidR="006B3CED">
        <w:t>societ</w:t>
      </w:r>
      <w:r w:rsidR="00A07C1E">
        <w:t>a</w:t>
      </w:r>
      <w:r w:rsidR="006B3CED">
        <w:t xml:space="preserve">l change, with the end of the </w:t>
      </w:r>
      <w:r w:rsidR="004D0051">
        <w:t>Mycenaean</w:t>
      </w:r>
      <w:r w:rsidR="006B3CED">
        <w:t xml:space="preserve"> period, </w:t>
      </w:r>
      <w:r w:rsidR="0096245A">
        <w:t xml:space="preserve">which also witnessed a </w:t>
      </w:r>
      <w:r w:rsidR="006B3CED">
        <w:t xml:space="preserve">significant period of societal change which can also be seen </w:t>
      </w:r>
      <w:r w:rsidR="001A11C5">
        <w:t>through a diversifying burial practice</w:t>
      </w:r>
      <w:r w:rsidR="00E16BA8">
        <w:fldChar w:fldCharType="begin"/>
      </w:r>
      <w:r w:rsidR="00E16BA8">
        <w:instrText xml:space="preserve"> ADDIN ZOTERO_ITEM CSL_CITATION {"citationID":"zPDIrAMz","properties":{"unsorted":false,"formattedCitation":"(Burke, 2008)","plainCitation":"(Burke, 2008)","noteIndex":0},"citationItems":[{"id":202,"uris":["http://zotero.org/users/18703416/items/MS9W43QS"],"itemData":{"id":202,"type":"chapter","abstract":"Ritual lament in the ancient Greek world, as it is primarily understood through epic poetry and Athenian tragedy, was a controlled, performative act of memory and mourning. In contrast to the Hittite material discussed by Rutherford (chapter 3), Greek prehistory, or the Aegean Bronze Age, has not left us any literature from which we can reconstruct belief systems about death and lament. We do, however, have a great deal of archaeological evidence for how the Mycenaeans buried their dead, beginning with the great Shaft Graves of Mycenae, dating to the early Mycenaean period, and continuing into the postdestruction phase of the Bronze Age, with the famous Warrior Vase from Mycenae.","container-title":"Lament: Studies in the Ancient Mediterranean and Beyond","DOI":"10.1093/oso/9780195336924.003.0004","ISBN":"978-0-19-533692-4","page":"0","publisher":"Oxford University Press","source":"Silverchair","title":"Mycenaean Memory And Bronze Age Lament","URL":"https://doi.org/10.1093/oso/9780195336924.003.0004","author":[{"family":"Burke","given":"Brendan"}],"editor":[{"family":"Suter","given":"Ann"}],"accessed":{"date-parts":[["2026",10,23]]},"issued":{"date-parts":[["2008",2,5]]}}}],"schema":"https://github.com/citation-style-language/schema/raw/master/csl-citation.json"} </w:instrText>
      </w:r>
      <w:r w:rsidR="00E16BA8">
        <w:fldChar w:fldCharType="separate"/>
      </w:r>
      <w:r w:rsidR="00E16BA8" w:rsidRPr="00E16BA8">
        <w:rPr>
          <w:rFonts w:ascii="Aptos" w:hAnsi="Aptos"/>
        </w:rPr>
        <w:t>(Burke, 2008)</w:t>
      </w:r>
      <w:r w:rsidR="00E16BA8">
        <w:fldChar w:fldCharType="end"/>
      </w:r>
      <w:r w:rsidR="001A11C5">
        <w:t>.</w:t>
      </w:r>
      <w:r w:rsidR="000F2E20">
        <w:t xml:space="preserve"> </w:t>
      </w:r>
      <w:r w:rsidR="000F2E20">
        <w:t>At the time the Iliad is set, cremation is not prevalent in the archaeological record. Within the 12</w:t>
      </w:r>
      <w:r w:rsidR="000F2E20" w:rsidRPr="008D1F80">
        <w:rPr>
          <w:vertAlign w:val="superscript"/>
        </w:rPr>
        <w:t>th</w:t>
      </w:r>
      <w:r w:rsidR="000F2E20">
        <w:t xml:space="preserve"> century, the level of cremation is incredibly rare</w:t>
      </w:r>
      <w:r w:rsidR="00A54728">
        <w:fldChar w:fldCharType="begin"/>
      </w:r>
      <w:r w:rsidR="00A54728">
        <w:instrText xml:space="preserve"> ADDIN ZOTERO_ITEM CSL_CITATION {"citationID":"p2zsJVZ9","properties":{"unsorted":false,"formattedCitation":"(Kramer-Hajos, 2015)","plainCitation":"(Kramer-Hajos, 2015)","noteIndex":0},"citationItems":[{"id":200,"uris":["http://zotero.org/users/18703416/items/6WBJCQA8"],"itemData":{"id":200,"type":"article-journal","abstract":"This article offers an iconographic and stylistic analysis of the published painted larnakes (clay sarcophagi) with funerary scenes from Late Bronze Age Tanagra in central Greece. Previous scholarship has failed to account fully for the existence of a small number of depictions that appear to show unexpected gender roles: wailing men and officiating women. The latter offer us an example of women holding official positions in Mycenaean Greece and accord them an unexpected prominence in the burial ritual, which may suggest that they were responsible for the production of some of the larnax burials at Tanagra. The imagery on the larnakes thus provides a rare example of female agency in Mycenaean Greece.","container-title":"Hesperia: The Journal of the American School of Classical Studies at Athens","DOI":"10.2972/hesperia.84.4.0627","ISSN":"0018-098X","issue":"4","page":"627-667","publisher":"The American School of Classical Studies at Athens","source":"JSTOR","title":"Mourning on the Larnakes at Tanagra: Gender and Agency in Late Bronze Age Greece","title-short":"Mourning on the Larnakes at Tanagra","volume":"84","author":[{"family":"Kramer-Hajos","given":"Margaretha"}],"issued":{"date-parts":[["2015"]]}}}],"schema":"https://github.com/citation-style-language/schema/raw/master/csl-citation.json"} </w:instrText>
      </w:r>
      <w:r w:rsidR="00A54728">
        <w:fldChar w:fldCharType="separate"/>
      </w:r>
      <w:r w:rsidR="00A54728" w:rsidRPr="00A54728">
        <w:rPr>
          <w:rFonts w:ascii="Aptos" w:hAnsi="Aptos"/>
        </w:rPr>
        <w:t>(Kramer-</w:t>
      </w:r>
      <w:proofErr w:type="spellStart"/>
      <w:r w:rsidR="00A54728" w:rsidRPr="00A54728">
        <w:rPr>
          <w:rFonts w:ascii="Aptos" w:hAnsi="Aptos"/>
        </w:rPr>
        <w:t>Hajos</w:t>
      </w:r>
      <w:proofErr w:type="spellEnd"/>
      <w:r w:rsidR="00A54728" w:rsidRPr="00A54728">
        <w:rPr>
          <w:rFonts w:ascii="Aptos" w:hAnsi="Aptos"/>
        </w:rPr>
        <w:t>, 2015)</w:t>
      </w:r>
      <w:r w:rsidR="00A54728">
        <w:fldChar w:fldCharType="end"/>
      </w:r>
      <w:r w:rsidR="000F2E20">
        <w:t xml:space="preserve">. Even at the time of homer’s supposed writing of the Iliad in the late geometric period, cremation is a varied and complex practice, which </w:t>
      </w:r>
      <w:r w:rsidR="000F2E20" w:rsidRPr="009C6EDC">
        <w:t>Is mainly reserved for certain groups of individuals</w:t>
      </w:r>
      <w:r w:rsidR="00A54728">
        <w:fldChar w:fldCharType="begin"/>
      </w:r>
      <w:r w:rsidR="00A54728">
        <w:instrText xml:space="preserve"> ADDIN ZOTERO_ITEM CSL_CITATION {"citationID":"gcTn9jwj","properties":{"unsorted":false,"formattedCitation":"(Alexandridou, 2020)","plainCitation":"(Alexandridou, 2020)","noteIndex":0},"citationItems":[{"id":197,"uris":["http://zotero.org/users/18703416/items/RTP7H533"],"itemData":{"id":197,"type":"chapter","container-title":"Mortuary Variability and Social Diversity in Ancient Greece: Studies on ancient Greek death and burial","ISBN":"ISBN 978-1-78969-442-0","publisher":"Archaeopress Publishing Ltd","title":"Funerary Variability in Late Geometric Attica and its Implications: A Closer Look at the Neglected Late 8th-century Cremations","author":[{"family":"Alexandridou","given":"Alexandra"}],"issued":{"date-parts":[["2020"]]}}}],"schema":"https://github.com/citation-style-language/schema/raw/master/csl-citation.json"} </w:instrText>
      </w:r>
      <w:r w:rsidR="00A54728">
        <w:fldChar w:fldCharType="separate"/>
      </w:r>
      <w:r w:rsidR="00A54728" w:rsidRPr="00A54728">
        <w:rPr>
          <w:rFonts w:ascii="Aptos" w:hAnsi="Aptos"/>
        </w:rPr>
        <w:t>(Alexandridou, 2020)</w:t>
      </w:r>
      <w:r w:rsidR="00A54728">
        <w:fldChar w:fldCharType="end"/>
      </w:r>
      <w:r w:rsidR="008B005E">
        <w:t>. The practice of cremation is at the time of Homer’s writing, slowly decre</w:t>
      </w:r>
      <w:r w:rsidR="003B1B73">
        <w:t>as</w:t>
      </w:r>
      <w:r w:rsidR="008B005E">
        <w:t>ing in popularity</w:t>
      </w:r>
      <w:r w:rsidR="00226C68">
        <w:t xml:space="preserve">. </w:t>
      </w:r>
    </w:p>
    <w:p w14:paraId="17E3F8F1" w14:textId="37CCCDD7" w:rsidR="00406691" w:rsidRDefault="0083026E">
      <w:r>
        <w:t xml:space="preserve">Funerary practices are depicted as a multi-day process. The extract speaks of Achilles giving a ceasefire for the funerary process of an individual “he would do us no hurt until the twelfth dawn </w:t>
      </w:r>
      <w:proofErr w:type="gramStart"/>
      <w:r>
        <w:t>comes”</w:t>
      </w:r>
      <w:r w:rsidR="0072400A">
        <w:t>(</w:t>
      </w:r>
      <w:proofErr w:type="gramEnd"/>
      <w:r w:rsidR="004E40F5">
        <w:t>Homer, 1924)</w:t>
      </w:r>
      <w:r>
        <w:t xml:space="preserve">. This means </w:t>
      </w:r>
      <w:r w:rsidR="001555CF">
        <w:t>that it is common knowledge th</w:t>
      </w:r>
      <w:r w:rsidR="00890FAF">
        <w:t xml:space="preserve">at, at least </w:t>
      </w:r>
      <w:r w:rsidR="006531F4">
        <w:t xml:space="preserve">for higher status </w:t>
      </w:r>
      <w:r w:rsidR="009D17F5">
        <w:t>funerals</w:t>
      </w:r>
      <w:r w:rsidR="006531F4">
        <w:t>, a multi-day process is an expected part of funerary customs</w:t>
      </w:r>
      <w:r w:rsidR="00B75A42">
        <w:t>.</w:t>
      </w:r>
      <w:r w:rsidR="007D2249">
        <w:t xml:space="preserve"> The fact</w:t>
      </w:r>
      <w:r w:rsidR="00031C62">
        <w:t xml:space="preserve"> that a</w:t>
      </w:r>
      <w:r w:rsidR="00406691">
        <w:t xml:space="preserve"> ceasefire was proposed indicates that</w:t>
      </w:r>
      <w:r w:rsidR="00174891">
        <w:t xml:space="preserve"> the </w:t>
      </w:r>
      <w:r w:rsidR="002C796E">
        <w:t xml:space="preserve">individual that </w:t>
      </w:r>
      <w:r w:rsidR="00710A68">
        <w:t>d</w:t>
      </w:r>
      <w:r w:rsidR="002C796E">
        <w:t xml:space="preserve">ied is </w:t>
      </w:r>
      <w:r w:rsidR="00586AF8">
        <w:t xml:space="preserve">significant enough to pause a war. </w:t>
      </w:r>
      <w:r w:rsidR="00F46567" w:rsidRPr="00F46567">
        <w:t xml:space="preserve">Numerous individuals will have been killed during this </w:t>
      </w:r>
      <w:proofErr w:type="gramStart"/>
      <w:r w:rsidR="00F46567" w:rsidRPr="00F46567">
        <w:t>time period</w:t>
      </w:r>
      <w:proofErr w:type="gramEnd"/>
      <w:r w:rsidR="00F46567" w:rsidRPr="00F46567">
        <w:t xml:space="preserve"> so to specifically pause a war for one individual indicates a specificity to the importance of this funeral ritual in comparison to the rest</w:t>
      </w:r>
      <w:r w:rsidR="00F46567">
        <w:t>.</w:t>
      </w:r>
    </w:p>
    <w:p w14:paraId="0F85E22B" w14:textId="37B1D514" w:rsidR="00A36A84" w:rsidRDefault="00A36A84">
      <w:r>
        <w:t xml:space="preserve">The </w:t>
      </w:r>
      <w:r w:rsidR="006531F4">
        <w:t>grieving</w:t>
      </w:r>
      <w:r>
        <w:t xml:space="preserve"> process is </w:t>
      </w:r>
      <w:r>
        <w:t xml:space="preserve">loud and expressive in the </w:t>
      </w:r>
      <w:r w:rsidR="009C5F32">
        <w:t>Iliad</w:t>
      </w:r>
      <w:r>
        <w:t>. Ther</w:t>
      </w:r>
      <w:r w:rsidR="007C65FC">
        <w:t>e</w:t>
      </w:r>
      <w:r>
        <w:t xml:space="preserve"> </w:t>
      </w:r>
      <w:r w:rsidR="004E40F5">
        <w:t xml:space="preserve">is a </w:t>
      </w:r>
      <w:r>
        <w:t>section</w:t>
      </w:r>
      <w:r w:rsidR="004E40F5">
        <w:t xml:space="preserve"> </w:t>
      </w:r>
      <w:r>
        <w:t>in this text which say</w:t>
      </w:r>
      <w:r w:rsidR="004E40F5">
        <w:t>s</w:t>
      </w:r>
      <w:r>
        <w:t xml:space="preserve"> ‘the countless throng made moan’</w:t>
      </w:r>
      <w:r w:rsidR="004E40F5">
        <w:t xml:space="preserve"> (Homer, 1924)</w:t>
      </w:r>
      <w:r>
        <w:t xml:space="preserve">. </w:t>
      </w:r>
      <w:r w:rsidR="000C5E4C">
        <w:t>The role of women in the grieving process is also described via this lo</w:t>
      </w:r>
      <w:r w:rsidR="000C5E4C">
        <w:t>u</w:t>
      </w:r>
      <w:r w:rsidR="000C5E4C">
        <w:t xml:space="preserve">d mourning process. The </w:t>
      </w:r>
      <w:r w:rsidR="0000644B">
        <w:t>few words towards the start of the extract ‘So she spoke wailing’ is an indicator</w:t>
      </w:r>
      <w:r w:rsidR="0045465E">
        <w:t xml:space="preserve"> </w:t>
      </w:r>
      <w:r w:rsidR="00373719">
        <w:t>of a style of mourning which is depicted in iconograp</w:t>
      </w:r>
      <w:r w:rsidR="006948EF">
        <w:t xml:space="preserve">hy of the </w:t>
      </w:r>
      <w:r w:rsidR="000C212D">
        <w:t>Mycenaean</w:t>
      </w:r>
      <w:r w:rsidR="006948EF">
        <w:t xml:space="preserve"> </w:t>
      </w:r>
      <w:r w:rsidR="00897458">
        <w:t>period</w:t>
      </w:r>
      <w:r w:rsidR="004F1B86">
        <w:t xml:space="preserve">. </w:t>
      </w:r>
      <w:r w:rsidR="00897458">
        <w:t xml:space="preserve">There are also a limited amount of pottery </w:t>
      </w:r>
      <w:r w:rsidR="00AD6062">
        <w:t xml:space="preserve">which also depicts a </w:t>
      </w:r>
      <w:r w:rsidR="00702648">
        <w:t>male group wailing, but t</w:t>
      </w:r>
      <w:r w:rsidR="00097858">
        <w:t>h</w:t>
      </w:r>
      <w:r w:rsidR="00702648">
        <w:t>is is noticeably less common</w:t>
      </w:r>
      <w:r w:rsidR="004F1B86">
        <w:fldChar w:fldCharType="begin"/>
      </w:r>
      <w:r w:rsidR="004F1B86">
        <w:instrText xml:space="preserve"> ADDIN ZOTERO_ITEM CSL_CITATION {"citationID":"efz2Klt7","properties":{"unsorted":false,"formattedCitation":"(Kramer-Hajos, 2015)","plainCitation":"(Kramer-Hajos, 2015)","noteIndex":0},"citationItems":[{"id":200,"uris":["http://zotero.org/users/18703416/items/6WBJCQA8"],"itemData":{"id":200,"type":"article-journal","abstract":"This article offers an iconographic and stylistic analysis of the published painted larnakes (clay sarcophagi) with funerary scenes from Late Bronze Age Tanagra in central Greece. Previous scholarship has failed to account fully for the existence of a small number of depictions that appear to show unexpected gender roles: wailing men and officiating women. The latter offer us an example of women holding official positions in Mycenaean Greece and accord them an unexpected prominence in the burial ritual, which may suggest that they were responsible for the production of some of the larnax burials at Tanagra. The imagery on the larnakes thus provides a rare example of female agency in Mycenaean Greece.","container-title":"Hesperia: The Journal of the American School of Classical Studies at Athens","DOI":"10.2972/hesperia.84.4.0627","ISSN":"0018-098X","issue":"4","page":"627-667","publisher":"The American School of Classical Studies at Athens","source":"JSTOR","title":"Mourning on the Larnakes at Tanagra: Gender and Agency in Late Bronze Age Greece","title-short":"Mourning on the Larnakes at Tanagra","volume":"84","author":[{"family":"Kramer-Hajos","given":"Margaretha"}],"issued":{"date-parts":[["2015"]]}}}],"schema":"https://github.com/citation-style-language/schema/raw/master/csl-citation.json"} </w:instrText>
      </w:r>
      <w:r w:rsidR="004F1B86">
        <w:fldChar w:fldCharType="separate"/>
      </w:r>
      <w:r w:rsidR="004F1B86" w:rsidRPr="004E40F5">
        <w:rPr>
          <w:rFonts w:ascii="Aptos" w:hAnsi="Aptos"/>
        </w:rPr>
        <w:t>(Kramer-</w:t>
      </w:r>
      <w:proofErr w:type="spellStart"/>
      <w:r w:rsidR="004F1B86" w:rsidRPr="004E40F5">
        <w:rPr>
          <w:rFonts w:ascii="Aptos" w:hAnsi="Aptos"/>
        </w:rPr>
        <w:t>Hajos</w:t>
      </w:r>
      <w:proofErr w:type="spellEnd"/>
      <w:r w:rsidR="004F1B86" w:rsidRPr="004E40F5">
        <w:rPr>
          <w:rFonts w:ascii="Aptos" w:hAnsi="Aptos"/>
        </w:rPr>
        <w:t>, 2015)</w:t>
      </w:r>
      <w:r w:rsidR="004F1B86">
        <w:fldChar w:fldCharType="end"/>
      </w:r>
      <w:r w:rsidR="00702648">
        <w:t xml:space="preserve">. </w:t>
      </w:r>
      <w:r>
        <w:t>This indicates a group level from the mourning process which</w:t>
      </w:r>
      <w:r>
        <w:t xml:space="preserve"> can be seen once again with the description of group feasting</w:t>
      </w:r>
      <w:r w:rsidR="00F93B2A">
        <w:t>, showing that the mo</w:t>
      </w:r>
      <w:r w:rsidR="006948EF">
        <w:t>u</w:t>
      </w:r>
      <w:r w:rsidR="00F93B2A">
        <w:t xml:space="preserve">rning process </w:t>
      </w:r>
      <w:r w:rsidR="004F1B86">
        <w:t>re</w:t>
      </w:r>
      <w:r w:rsidR="004037F7" w:rsidRPr="004037F7">
        <w:t>quires community involvement</w:t>
      </w:r>
      <w:r w:rsidR="004D0051">
        <w:t xml:space="preserve">. This is also a significant indicator for the motives of the ceasefire proposed by Achilles.  </w:t>
      </w:r>
    </w:p>
    <w:p w14:paraId="5C33542F" w14:textId="2FE2A215" w:rsidR="00BB780F" w:rsidRDefault="008D30D6" w:rsidP="00B56E46">
      <w:r>
        <w:t>T</w:t>
      </w:r>
      <w:r w:rsidR="008B042E">
        <w:t>he burial</w:t>
      </w:r>
      <w:r w:rsidR="00B75A42">
        <w:t xml:space="preserve"> process also helps us infer the status of the individual who died. The ceasefire for the individual implies a </w:t>
      </w:r>
      <w:r w:rsidR="009B258D">
        <w:t xml:space="preserve">significance to their status. This along with a gold urn, a purple cloth, and a group feast at the halls of </w:t>
      </w:r>
      <w:r w:rsidR="00E60781">
        <w:t>P</w:t>
      </w:r>
      <w:r w:rsidR="009B258D">
        <w:t xml:space="preserve">riam. This is a reminder of the fact that funerals are a social occasion which reinforce an individual and their family’s status. </w:t>
      </w:r>
      <w:r w:rsidR="0083026E">
        <w:t xml:space="preserve">The practicalities of the funerary process of an individual </w:t>
      </w:r>
      <w:r w:rsidR="00566BFD">
        <w:t>can be extrapolated form this text. “on the topmost pyre they laid the dead man and cast fire on it”, “they quenched with ruddy wine all the pyre”, “his brothers and his comrades</w:t>
      </w:r>
      <w:r w:rsidR="008D3FA5">
        <w:t xml:space="preserve"> gathered up the white bones”, “placed in a golden urn, covering them over with s</w:t>
      </w:r>
      <w:r w:rsidR="00150CDC">
        <w:t>o</w:t>
      </w:r>
      <w:r w:rsidR="008D3FA5">
        <w:t xml:space="preserve">ft purple robes, and </w:t>
      </w:r>
      <w:r w:rsidR="008D3FA5">
        <w:lastRenderedPageBreak/>
        <w:t xml:space="preserve">quickly </w:t>
      </w:r>
      <w:proofErr w:type="spellStart"/>
      <w:r w:rsidR="008D3FA5">
        <w:t>lsif</w:t>
      </w:r>
      <w:proofErr w:type="spellEnd"/>
      <w:r w:rsidR="008D3FA5">
        <w:t xml:space="preserve"> the urn in a hollow </w:t>
      </w:r>
      <w:proofErr w:type="gramStart"/>
      <w:r w:rsidR="008D3FA5">
        <w:t>grave”</w:t>
      </w:r>
      <w:r w:rsidR="00976317">
        <w:t>(</w:t>
      </w:r>
      <w:proofErr w:type="gramEnd"/>
      <w:r w:rsidR="00976317">
        <w:t>Homer, 1924)</w:t>
      </w:r>
      <w:r w:rsidR="008D3FA5">
        <w:t xml:space="preserve">. This tells us the process of a </w:t>
      </w:r>
      <w:r w:rsidR="003E2ACA">
        <w:t>high-status</w:t>
      </w:r>
      <w:r w:rsidR="008D3FA5">
        <w:t xml:space="preserve"> funeral.</w:t>
      </w:r>
      <w:r w:rsidR="00BE312A">
        <w:t xml:space="preserve"> </w:t>
      </w:r>
      <w:r w:rsidR="008D3FA5">
        <w:t xml:space="preserve"> </w:t>
      </w:r>
      <w:r w:rsidR="00BE312A">
        <w:t>Items such as golden urns would have been items reserved solely for higher status individuals</w:t>
      </w:r>
      <w:r w:rsidR="00994449">
        <w:t>, as gold is a rare mater</w:t>
      </w:r>
      <w:r w:rsidR="00610F98">
        <w:t>ial</w:t>
      </w:r>
      <w:r w:rsidR="00976317">
        <w:fldChar w:fldCharType="begin"/>
      </w:r>
      <w:r w:rsidR="00976317">
        <w:instrText xml:space="preserve"> ADDIN ZOTERO_ITEM CSL_CITATION {"citationID":"RDs5yg1k","properties":{"unsorted":false,"formattedCitation":"(Vavelidis and Andreou, 2008)","plainCitation":"(Vavelidis and Andreou, 2008)","noteIndex":0},"citationItems":[{"id":211,"uris":["http://zotero.org/users/18703416/items/8H8S3RRE"],"itemData":{"id":211,"type":"article-journal","abstract":"Numerous objects of gold displaying an impressive variety of types and manufacturing techniques are known from the Late Bronze Age (LBA) contexts of Mycenaean Greece, but very little is known about the origin and processing of gold during the second millennium b.c. Ancient literature and recent research indicate that northern Greece is probably the richest gold-bearing region in Greece, and yet, very little evidence exists regarding the exploitation of its deposits and the production as well as use of gold in the area during prehistory. The unusual find of a group of small stone crucibles at the prehistoric settlement of Thessaloniki Toumba, one with visible traces of gold melting, proves local production and offers a rare opportunity to examine the process of on-site gold working. Furthermore, the comparison of the chemical composition of prehistoric artefacts from two settlements with those of gold deposits in their immediate areas supports the local extraction of gold and opens up the prospect for some of the Mycenaean gold to have originated in northern Greece. The scarcity of gold items in northern Greek LBA contexts may not represent the actual amount of gold produced and consumed, but could be a result of the local social attitudes towards the circulation and deposition of artefacts from precious metals.","container-title":"Naturwissenschaften","DOI":"10.1007/s00114-007-0331-2","ISSN":"1432-1904","issue":"4","journalAbbreviation":"Naturwissenschaften","language":"en","page":"361-366","source":"Springer Link","title":"Gold and gold working in Late Bronze Age Northern Greece","volume":"95","author":[{"family":"Vavelidis","given":"M."},{"family":"Andreou","given":"S."}],"issued":{"date-parts":[["2008",4,1]]}}}],"schema":"https://github.com/citation-style-language/schema/raw/master/csl-citation.json"} </w:instrText>
      </w:r>
      <w:r w:rsidR="00976317">
        <w:fldChar w:fldCharType="separate"/>
      </w:r>
      <w:r w:rsidR="00976317" w:rsidRPr="00976317">
        <w:rPr>
          <w:rFonts w:ascii="Aptos" w:hAnsi="Aptos"/>
        </w:rPr>
        <w:t>(</w:t>
      </w:r>
      <w:proofErr w:type="spellStart"/>
      <w:r w:rsidR="00976317" w:rsidRPr="00976317">
        <w:rPr>
          <w:rFonts w:ascii="Aptos" w:hAnsi="Aptos"/>
        </w:rPr>
        <w:t>Vavelidis</w:t>
      </w:r>
      <w:proofErr w:type="spellEnd"/>
      <w:r w:rsidR="00976317" w:rsidRPr="00976317">
        <w:rPr>
          <w:rFonts w:ascii="Aptos" w:hAnsi="Aptos"/>
        </w:rPr>
        <w:t xml:space="preserve"> and Andreou, 2008)</w:t>
      </w:r>
      <w:r w:rsidR="00976317">
        <w:fldChar w:fldCharType="end"/>
      </w:r>
      <w:r w:rsidR="00610F98">
        <w:t>.</w:t>
      </w:r>
      <w:r w:rsidR="00F929F3">
        <w:t xml:space="preserve"> </w:t>
      </w:r>
      <w:r w:rsidR="008705C6">
        <w:t>Furthermore, a ‘glorious feast</w:t>
      </w:r>
      <w:r w:rsidR="00E9454E">
        <w:t xml:space="preserve">’ being held in a prominent public building indicates that the community placed a significant amount of value upon this individual. </w:t>
      </w:r>
      <w:r w:rsidR="00610F98">
        <w:t xml:space="preserve"> </w:t>
      </w:r>
    </w:p>
    <w:p w14:paraId="3DEAEF86" w14:textId="397E3E44" w:rsidR="008D3FA5" w:rsidRDefault="008D3FA5">
      <w:r>
        <w:t>The funeral process goes as such: group wailing, collection of wood for 9 days</w:t>
      </w:r>
      <w:r w:rsidR="003A29E3">
        <w:t>, building a pyre, burning the pyres with a largest one having a body atop it, placing wine on the fire, collecting the cleaned bones, placing them in an urn, covering them in a cloak, bur</w:t>
      </w:r>
      <w:r w:rsidR="008B042E">
        <w:t>y</w:t>
      </w:r>
      <w:r w:rsidR="003A29E3">
        <w:t xml:space="preserve">ing the bones in a </w:t>
      </w:r>
      <w:r w:rsidR="00B75A42">
        <w:t>shallow grave, then feasting as a group away from the burial</w:t>
      </w:r>
      <w:r w:rsidR="003C4ED2">
        <w:t xml:space="preserve"> (Homer, 1924)</w:t>
      </w:r>
      <w:r w:rsidR="00586AF8">
        <w:t xml:space="preserve">. </w:t>
      </w:r>
      <w:r w:rsidR="002A3695" w:rsidRPr="002A3695">
        <w:t>Iconographic evidence from th</w:t>
      </w:r>
      <w:r w:rsidR="002A3695">
        <w:t xml:space="preserve">e </w:t>
      </w:r>
      <w:r w:rsidR="002A3695" w:rsidRPr="002A3695">
        <w:t>time period of both the time in which this text is set and the time in which it was written do indicate feasting is a common aspect of</w:t>
      </w:r>
      <w:r w:rsidR="00C82317" w:rsidRPr="00C82317">
        <w:t xml:space="preserve"> </w:t>
      </w:r>
      <w:r w:rsidR="001F78AC" w:rsidRPr="00C82317">
        <w:t>fun</w:t>
      </w:r>
      <w:r w:rsidR="001F78AC">
        <w:t>erary</w:t>
      </w:r>
      <w:r w:rsidR="00C82317" w:rsidRPr="00C82317">
        <w:t xml:space="preserve"> rituals</w:t>
      </w:r>
      <w:r w:rsidR="00B2640D">
        <w:fldChar w:fldCharType="begin"/>
      </w:r>
      <w:r w:rsidR="00B2640D">
        <w:instrText xml:space="preserve"> ADDIN ZOTERO_ITEM CSL_CITATION {"citationID":"LmCkEbHj","properties":{"unsorted":false,"formattedCitation":"(Wright, 2004)","plainCitation":"(Wright, 2004)","noteIndex":0},"citationItems":[{"id":213,"uris":["http://zotero.org/users/18703416/items/C79UFER7"],"itemData":{"id":213,"type":"article-journal","container-title":"Hesperia: The Journal of the American School of Classical Studies at Athens","ISSN":"0018-098X","issue":"2","page":"121-132","publisher":"The American School of Classical Studies at Athens","source":"JSTOR","title":"The Mycenaean Feast: An Introduction","title-short":"The Mycenaean Feast","volume":"73","author":[{"family":"Wright","given":"James C."}],"issued":{"date-parts":[["2004"]]}}}],"schema":"https://github.com/citation-style-language/schema/raw/master/csl-citation.json"} </w:instrText>
      </w:r>
      <w:r w:rsidR="00B2640D">
        <w:fldChar w:fldCharType="separate"/>
      </w:r>
      <w:r w:rsidR="00B2640D" w:rsidRPr="00B2640D">
        <w:rPr>
          <w:rFonts w:ascii="Aptos" w:hAnsi="Aptos"/>
        </w:rPr>
        <w:t>(Wright, 2004)</w:t>
      </w:r>
      <w:r w:rsidR="00B2640D">
        <w:fldChar w:fldCharType="end"/>
      </w:r>
      <w:r w:rsidR="000F2E20">
        <w:t xml:space="preserve">. </w:t>
      </w:r>
      <w:r w:rsidR="00C45759">
        <w:t xml:space="preserve">This process also indicates the importance of the cremation. It seems to highlight the importance of the white bones which are collected after the cremation, indicating that </w:t>
      </w:r>
      <w:r w:rsidR="00F44150">
        <w:t xml:space="preserve">a purpose of the fire was to ‘clean’ the bones. This style of cremation, or burning of bodies with a preservation of bones, can also be seen in other </w:t>
      </w:r>
      <w:r w:rsidR="0057101F">
        <w:t xml:space="preserve">remains of the </w:t>
      </w:r>
      <w:proofErr w:type="gramStart"/>
      <w:r w:rsidR="0057101F">
        <w:t>time period</w:t>
      </w:r>
      <w:proofErr w:type="gramEnd"/>
      <w:r w:rsidR="0057101F">
        <w:t xml:space="preserve"> Homer is writing in such as with the ‘rich Athenian lady’ found in Athens</w:t>
      </w:r>
      <w:r w:rsidR="00807D3E">
        <w:t>.</w:t>
      </w:r>
      <w:r w:rsidR="003B1B73">
        <w:t xml:space="preserve"> This could be a practical aftereffect of the pyres only burning to a certain temperature, but </w:t>
      </w:r>
      <w:r w:rsidR="0046100F">
        <w:t>since</w:t>
      </w:r>
      <w:r w:rsidR="003B1B73">
        <w:t xml:space="preserve"> the funerary practice is already a multi-day process, it is more likely a cultural phenomenon of preservation, rather than a coincidence</w:t>
      </w:r>
      <w:r w:rsidR="005F50C9">
        <w:fldChar w:fldCharType="begin"/>
      </w:r>
      <w:r w:rsidR="005F50C9">
        <w:instrText xml:space="preserve"> ADDIN ZOTERO_ITEM CSL_CITATION {"citationID":"rmfiHZwg","properties":{"unsorted":false,"formattedCitation":"(Liston and Papadopoulos, 2004)","plainCitation":"(Liston and Papadopoulos, 2004)","noteIndex":0},"citationItems":[{"id":182,"uris":["http://zotero.org/users/18703416/items/GQIXLZMQ"],"itemData":{"id":182,"type":"article-journal","abstract":"Recent reexamination of the cremated remains in the celebrated tomb of the \"rich Athenian lady\" brought to light the presence of a fetus four to eight weeks short of full term and established that the adult female died during pregnancy or premature childbirth. The physical anthropology of mother and child is reviewed and a facial reconstruction of the deceased woman presented. Other examples of pregnancy and death in the Greek world are discussed. The discovery of a fetus together with the adult female fundamentally changes the interpretation of this tomb and highlights the importance of skeletal evidence in the study of demography and social structure.","container-title":"Hesperia: The Journal of the American School of Classical Studies at Athens","ISSN":"0018-098X","issue":"1","page":"7-38","publisher":"The American School of Classical Studies at Athens","source":"JSTOR","title":"The \"Rich Athenian Lady\" Was Pregnant: The Anthropology of a Geometric Tomb Reconsidered","title-short":"The \"Rich Athenian Lady\" Was Pregnant","volume":"73","author":[{"family":"Liston","given":"Maria A."},{"family":"Papadopoulos","given":"John K."}],"issued":{"date-parts":[["2004"]]}}}],"schema":"https://github.com/citation-style-language/schema/raw/master/csl-citation.json"} </w:instrText>
      </w:r>
      <w:r w:rsidR="005F50C9">
        <w:fldChar w:fldCharType="separate"/>
      </w:r>
      <w:r w:rsidR="005F50C9" w:rsidRPr="005F50C9">
        <w:rPr>
          <w:rFonts w:ascii="Aptos" w:hAnsi="Aptos"/>
        </w:rPr>
        <w:t>(Liston and Papadopoulos, 2004)</w:t>
      </w:r>
      <w:r w:rsidR="005F50C9">
        <w:fldChar w:fldCharType="end"/>
      </w:r>
      <w:r w:rsidR="003B1B73">
        <w:t xml:space="preserve">. </w:t>
      </w:r>
    </w:p>
    <w:p w14:paraId="0B4DE556" w14:textId="5FCF0354" w:rsidR="0057101F" w:rsidRDefault="0057101F">
      <w:r>
        <w:t xml:space="preserve">Overall, this text is significant in understanding the practicalities of cremation at this time, and </w:t>
      </w:r>
      <w:r w:rsidR="00807D3E">
        <w:t>inferring</w:t>
      </w:r>
      <w:r>
        <w:t xml:space="preserve"> the practices used especially for individuals of a high status, but it’s contents mainly coincide with the </w:t>
      </w:r>
      <w:r w:rsidR="00807D3E">
        <w:t xml:space="preserve">archaeological evidence of late geometric funerary practices, rather than the practices used within the Late Bronze age </w:t>
      </w:r>
      <w:r w:rsidR="005F4173">
        <w:t>Mycenaean</w:t>
      </w:r>
      <w:r w:rsidR="00807D3E">
        <w:t xml:space="preserve"> period, when the Iliad was supposedly set. </w:t>
      </w:r>
      <w:r w:rsidR="00991100">
        <w:t xml:space="preserve">Even so, it is obvious within the archaeology that </w:t>
      </w:r>
      <w:r w:rsidR="008D290D">
        <w:t>cremations are not inherently commonplace in all societies, often being limited to certain geographic locations, and individuals</w:t>
      </w:r>
      <w:r w:rsidR="005F50C9">
        <w:t xml:space="preserve"> </w:t>
      </w:r>
      <w:r w:rsidR="005F50C9">
        <w:fldChar w:fldCharType="begin"/>
      </w:r>
      <w:r w:rsidR="005F50C9">
        <w:instrText xml:space="preserve"> ADDIN ZOTERO_ITEM CSL_CITATION {"citationID":"FdtW4WRf","properties":{"unsorted":false,"formattedCitation":"(Alexandridou, 2020)","plainCitation":"(Alexandridou, 2020)","noteIndex":0},"citationItems":[{"id":197,"uris":["http://zotero.org/users/18703416/items/RTP7H533"],"itemData":{"id":197,"type":"chapter","container-title":"Mortuary Variability and Social Diversity in Ancient Greece: Studies on ancient Greek death and burial","ISBN":"ISBN 978-1-78969-442-0","publisher":"Archaeopress Publishing Ltd","title":"Funerary Variability in Late Geometric Attica and its Implications: A Closer Look at the Neglected Late 8th-century Cremations","author":[{"family":"Alexandridou","given":"Alexandra"}],"issued":{"date-parts":[["2020"]]}}}],"schema":"https://github.com/citation-style-language/schema/raw/master/csl-citation.json"} </w:instrText>
      </w:r>
      <w:r w:rsidR="005F50C9">
        <w:fldChar w:fldCharType="separate"/>
      </w:r>
      <w:r w:rsidR="005F50C9" w:rsidRPr="005F50C9">
        <w:rPr>
          <w:rFonts w:ascii="Aptos" w:hAnsi="Aptos"/>
        </w:rPr>
        <w:t>(Alexandridou, 2020)</w:t>
      </w:r>
      <w:r w:rsidR="005F50C9">
        <w:fldChar w:fldCharType="end"/>
      </w:r>
      <w:r w:rsidR="008D290D">
        <w:t xml:space="preserve">. Homer’s depiction of one could call into question the exact extent of how much </w:t>
      </w:r>
      <w:r w:rsidR="00696A8B">
        <w:t xml:space="preserve">status within a community (especially because the cremation and pyre burning practice is so </w:t>
      </w:r>
      <w:r w:rsidR="006E5E22">
        <w:t xml:space="preserve">reliant upon group participation) influences </w:t>
      </w:r>
      <w:r w:rsidR="0096245A">
        <w:t xml:space="preserve">the style of funerary practice used. </w:t>
      </w:r>
    </w:p>
    <w:p w14:paraId="3D5EC404" w14:textId="77777777" w:rsidR="008A4A2C" w:rsidRDefault="008A4A2C"/>
    <w:p w14:paraId="3E7E7C96" w14:textId="77777777" w:rsidR="008A4A2C" w:rsidRPr="008A4A2C" w:rsidRDefault="008A4A2C" w:rsidP="008A4A2C">
      <w:pPr>
        <w:pStyle w:val="Bibliography"/>
      </w:pPr>
      <w:r>
        <w:fldChar w:fldCharType="begin"/>
      </w:r>
      <w:r>
        <w:instrText xml:space="preserve"> ADDIN ZOTERO_BIBL {"uncited":[],"omitted":[],"custom":[]} CSL_BIBLIOGRAPHY </w:instrText>
      </w:r>
      <w:r>
        <w:fldChar w:fldCharType="separate"/>
      </w:r>
      <w:r w:rsidRPr="008A4A2C">
        <w:t xml:space="preserve">Alexandridou, A. (2020) ‘Funerary Variability in Late Geometric Attica and its Implications: A Closer Look at the Neglected Late 8th-century Cremations’, </w:t>
      </w:r>
      <w:r w:rsidRPr="008A4A2C">
        <w:rPr>
          <w:i/>
          <w:iCs/>
        </w:rPr>
        <w:t>Mortuary Variability and Social Diversity in Ancient Greece: Studies on ancient Greek death and burial</w:t>
      </w:r>
      <w:r w:rsidRPr="008A4A2C">
        <w:t xml:space="preserve">. </w:t>
      </w:r>
      <w:proofErr w:type="spellStart"/>
      <w:r w:rsidRPr="008A4A2C">
        <w:t>Archaeopress</w:t>
      </w:r>
      <w:proofErr w:type="spellEnd"/>
      <w:r w:rsidRPr="008A4A2C">
        <w:t xml:space="preserve"> Publishing Ltd.</w:t>
      </w:r>
    </w:p>
    <w:p w14:paraId="157E667A" w14:textId="77777777" w:rsidR="008A4A2C" w:rsidRPr="008A4A2C" w:rsidRDefault="008A4A2C" w:rsidP="008A4A2C">
      <w:pPr>
        <w:pStyle w:val="Bibliography"/>
      </w:pPr>
      <w:r w:rsidRPr="008A4A2C">
        <w:t xml:space="preserve">Burke, B. (2008) ‘Mycenaean Memory And Bronze Age Lament’, in A. Suter (ed.) </w:t>
      </w:r>
      <w:r w:rsidRPr="008A4A2C">
        <w:rPr>
          <w:i/>
          <w:iCs/>
        </w:rPr>
        <w:t>Lament: Studies in the Ancient Mediterranean and Beyond</w:t>
      </w:r>
      <w:r w:rsidRPr="008A4A2C">
        <w:t>. Oxford University Press, p. 0. Available at: https://doi.org/10.1093/oso/9780195336924.003.0004.</w:t>
      </w:r>
    </w:p>
    <w:p w14:paraId="644A142A" w14:textId="52CED4E3" w:rsidR="008A4A2C" w:rsidRPr="008A4A2C" w:rsidRDefault="00E12865" w:rsidP="008A4A2C">
      <w:r w:rsidRPr="00E12865">
        <w:lastRenderedPageBreak/>
        <w:t xml:space="preserve">Homer. </w:t>
      </w:r>
      <w:r w:rsidRPr="00E12865">
        <w:rPr>
          <w:i/>
          <w:iCs/>
        </w:rPr>
        <w:t xml:space="preserve">Iliad, Volume I: Books 1-12. </w:t>
      </w:r>
      <w:r w:rsidRPr="00E12865">
        <w:t>Translated by A. T. Murray. Revised by William F. Wyatt. Loeb Classical Library 170. Cambridge, MA: Harvard University Press, 1924.</w:t>
      </w:r>
    </w:p>
    <w:p w14:paraId="5E25DBA5" w14:textId="77777777" w:rsidR="008A4A2C" w:rsidRPr="008A4A2C" w:rsidRDefault="008A4A2C" w:rsidP="008A4A2C">
      <w:pPr>
        <w:pStyle w:val="Bibliography"/>
      </w:pPr>
      <w:r w:rsidRPr="008A4A2C">
        <w:t>Kramer-</w:t>
      </w:r>
      <w:proofErr w:type="spellStart"/>
      <w:r w:rsidRPr="008A4A2C">
        <w:t>Hajos</w:t>
      </w:r>
      <w:proofErr w:type="spellEnd"/>
      <w:r w:rsidRPr="008A4A2C">
        <w:t xml:space="preserve">, M. (2015) ‘Mourning on the Larnakes at Tanagra: Gender and Agency in Late Bronze Age Greece’, </w:t>
      </w:r>
      <w:r w:rsidRPr="008A4A2C">
        <w:rPr>
          <w:i/>
          <w:iCs/>
        </w:rPr>
        <w:t>Hesperia: The Journal of the American School of Classical Studies at Athens</w:t>
      </w:r>
      <w:r w:rsidRPr="008A4A2C">
        <w:t>, 84(4), pp. 627–667. Available at: https://doi.org/10.2972/hesperia.84.4.0627.</w:t>
      </w:r>
    </w:p>
    <w:p w14:paraId="6D6835E2" w14:textId="77777777" w:rsidR="008A4A2C" w:rsidRPr="008A4A2C" w:rsidRDefault="008A4A2C" w:rsidP="008A4A2C">
      <w:pPr>
        <w:pStyle w:val="Bibliography"/>
      </w:pPr>
      <w:r w:rsidRPr="008A4A2C">
        <w:t xml:space="preserve">Liston, M.A. and Papadopoulos, J.K. (2004) ‘The “Rich Athenian Lady” Was Pregnant: The Anthropology of a Geometric Tomb Reconsidered’, </w:t>
      </w:r>
      <w:r w:rsidRPr="008A4A2C">
        <w:rPr>
          <w:i/>
          <w:iCs/>
        </w:rPr>
        <w:t>Hesperia: The Journal of the American School of Classical Studies at Athens</w:t>
      </w:r>
      <w:r w:rsidRPr="008A4A2C">
        <w:t>, 73(1), pp. 7–38.</w:t>
      </w:r>
    </w:p>
    <w:p w14:paraId="51E82359" w14:textId="77777777" w:rsidR="008A4A2C" w:rsidRPr="008A4A2C" w:rsidRDefault="008A4A2C" w:rsidP="008A4A2C">
      <w:pPr>
        <w:pStyle w:val="Bibliography"/>
      </w:pPr>
      <w:proofErr w:type="spellStart"/>
      <w:r w:rsidRPr="008A4A2C">
        <w:t>Vavelidis</w:t>
      </w:r>
      <w:proofErr w:type="spellEnd"/>
      <w:r w:rsidRPr="008A4A2C">
        <w:t xml:space="preserve">, M. and Andreou, S. (2008) ‘Gold and gold working in Late Bronze Age Northern Greece’, </w:t>
      </w:r>
      <w:proofErr w:type="spellStart"/>
      <w:r w:rsidRPr="008A4A2C">
        <w:rPr>
          <w:i/>
          <w:iCs/>
        </w:rPr>
        <w:t>Naturwissenschaften</w:t>
      </w:r>
      <w:proofErr w:type="spellEnd"/>
      <w:r w:rsidRPr="008A4A2C">
        <w:t>, 95(4), pp. 361–366. Available at: https://doi.org/10.1007/s00114-007-0331-2.</w:t>
      </w:r>
    </w:p>
    <w:p w14:paraId="51A0FE19" w14:textId="77777777" w:rsidR="008A4A2C" w:rsidRPr="008A4A2C" w:rsidRDefault="008A4A2C" w:rsidP="008A4A2C">
      <w:pPr>
        <w:pStyle w:val="Bibliography"/>
      </w:pPr>
      <w:r w:rsidRPr="008A4A2C">
        <w:t xml:space="preserve">Wright, J.C. (2004) ‘The Mycenaean Feast: An Introduction’, </w:t>
      </w:r>
      <w:r w:rsidRPr="008A4A2C">
        <w:rPr>
          <w:i/>
          <w:iCs/>
        </w:rPr>
        <w:t>Hesperia: The Journal of the American School of Classical Studies at Athens</w:t>
      </w:r>
      <w:r w:rsidRPr="008A4A2C">
        <w:t>, 73(2), pp. 121–132.</w:t>
      </w:r>
    </w:p>
    <w:p w14:paraId="1E4BF2DD" w14:textId="2D67FD82" w:rsidR="00CC4EA6" w:rsidRDefault="008A4A2C">
      <w:r>
        <w:fldChar w:fldCharType="end"/>
      </w:r>
    </w:p>
    <w:sectPr w:rsidR="00CC4E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26E"/>
    <w:rsid w:val="0000230B"/>
    <w:rsid w:val="0000644B"/>
    <w:rsid w:val="00031C62"/>
    <w:rsid w:val="000955AC"/>
    <w:rsid w:val="00097858"/>
    <w:rsid w:val="000C212D"/>
    <w:rsid w:val="000C5E4C"/>
    <w:rsid w:val="000F2E20"/>
    <w:rsid w:val="00150CDC"/>
    <w:rsid w:val="001555CF"/>
    <w:rsid w:val="00174891"/>
    <w:rsid w:val="001A11C5"/>
    <w:rsid w:val="001B438B"/>
    <w:rsid w:val="001D4840"/>
    <w:rsid w:val="001F78AC"/>
    <w:rsid w:val="00212231"/>
    <w:rsid w:val="00226C68"/>
    <w:rsid w:val="00236A05"/>
    <w:rsid w:val="00256E27"/>
    <w:rsid w:val="00277F45"/>
    <w:rsid w:val="002A3695"/>
    <w:rsid w:val="002C796E"/>
    <w:rsid w:val="00373719"/>
    <w:rsid w:val="003A29E3"/>
    <w:rsid w:val="003B1B73"/>
    <w:rsid w:val="003C4ED2"/>
    <w:rsid w:val="003E2ACA"/>
    <w:rsid w:val="004037F7"/>
    <w:rsid w:val="00406691"/>
    <w:rsid w:val="0045465E"/>
    <w:rsid w:val="0046100F"/>
    <w:rsid w:val="00481808"/>
    <w:rsid w:val="004B323B"/>
    <w:rsid w:val="004D0051"/>
    <w:rsid w:val="004D57BC"/>
    <w:rsid w:val="004E40F5"/>
    <w:rsid w:val="004F1B86"/>
    <w:rsid w:val="0054307A"/>
    <w:rsid w:val="00566BFD"/>
    <w:rsid w:val="0057101F"/>
    <w:rsid w:val="00586AF8"/>
    <w:rsid w:val="005B4D0D"/>
    <w:rsid w:val="005F4173"/>
    <w:rsid w:val="005F50C9"/>
    <w:rsid w:val="00610F98"/>
    <w:rsid w:val="00611986"/>
    <w:rsid w:val="006531F4"/>
    <w:rsid w:val="006639E3"/>
    <w:rsid w:val="00684DBA"/>
    <w:rsid w:val="006948EF"/>
    <w:rsid w:val="00696A8B"/>
    <w:rsid w:val="006B3CED"/>
    <w:rsid w:val="006B5397"/>
    <w:rsid w:val="006E5E22"/>
    <w:rsid w:val="00702648"/>
    <w:rsid w:val="00710A68"/>
    <w:rsid w:val="0072400A"/>
    <w:rsid w:val="007422A3"/>
    <w:rsid w:val="00744786"/>
    <w:rsid w:val="0076287A"/>
    <w:rsid w:val="007C65FC"/>
    <w:rsid w:val="007D2249"/>
    <w:rsid w:val="008060D4"/>
    <w:rsid w:val="00807D3E"/>
    <w:rsid w:val="0083026E"/>
    <w:rsid w:val="008705C6"/>
    <w:rsid w:val="00890FAF"/>
    <w:rsid w:val="00897458"/>
    <w:rsid w:val="008A4A2C"/>
    <w:rsid w:val="008B005E"/>
    <w:rsid w:val="008B042E"/>
    <w:rsid w:val="008C53D6"/>
    <w:rsid w:val="008D1F80"/>
    <w:rsid w:val="008D290D"/>
    <w:rsid w:val="008D30D6"/>
    <w:rsid w:val="008D3FA5"/>
    <w:rsid w:val="008F6E14"/>
    <w:rsid w:val="0096245A"/>
    <w:rsid w:val="00976317"/>
    <w:rsid w:val="009850A2"/>
    <w:rsid w:val="00991100"/>
    <w:rsid w:val="00994449"/>
    <w:rsid w:val="009B258D"/>
    <w:rsid w:val="009C5F32"/>
    <w:rsid w:val="009C6EDC"/>
    <w:rsid w:val="009D17F5"/>
    <w:rsid w:val="00A07C1E"/>
    <w:rsid w:val="00A145F6"/>
    <w:rsid w:val="00A36A84"/>
    <w:rsid w:val="00A54728"/>
    <w:rsid w:val="00AD6062"/>
    <w:rsid w:val="00B2640D"/>
    <w:rsid w:val="00B56E46"/>
    <w:rsid w:val="00B75A42"/>
    <w:rsid w:val="00B81AE0"/>
    <w:rsid w:val="00BB780F"/>
    <w:rsid w:val="00BC64B9"/>
    <w:rsid w:val="00BE312A"/>
    <w:rsid w:val="00BF4019"/>
    <w:rsid w:val="00C170CC"/>
    <w:rsid w:val="00C45759"/>
    <w:rsid w:val="00C82317"/>
    <w:rsid w:val="00CC4EA6"/>
    <w:rsid w:val="00D90178"/>
    <w:rsid w:val="00DC72CA"/>
    <w:rsid w:val="00E12865"/>
    <w:rsid w:val="00E16BA8"/>
    <w:rsid w:val="00E2667F"/>
    <w:rsid w:val="00E60781"/>
    <w:rsid w:val="00E9454E"/>
    <w:rsid w:val="00F44150"/>
    <w:rsid w:val="00F46567"/>
    <w:rsid w:val="00F7213D"/>
    <w:rsid w:val="00F929F3"/>
    <w:rsid w:val="00F93B2A"/>
    <w:rsid w:val="00F9741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BD9FF"/>
  <w15:chartTrackingRefBased/>
  <w15:docId w15:val="{3AC18B4D-5733-4EE7-8E28-9EBE767B7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02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302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302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02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02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02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02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02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02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02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302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302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02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02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02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02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02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026E"/>
    <w:rPr>
      <w:rFonts w:eastAsiaTheme="majorEastAsia" w:cstheme="majorBidi"/>
      <w:color w:val="272727" w:themeColor="text1" w:themeTint="D8"/>
    </w:rPr>
  </w:style>
  <w:style w:type="paragraph" w:styleId="Title">
    <w:name w:val="Title"/>
    <w:basedOn w:val="Normal"/>
    <w:next w:val="Normal"/>
    <w:link w:val="TitleChar"/>
    <w:uiPriority w:val="10"/>
    <w:qFormat/>
    <w:rsid w:val="008302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02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02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02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026E"/>
    <w:pPr>
      <w:spacing w:before="160"/>
      <w:jc w:val="center"/>
    </w:pPr>
    <w:rPr>
      <w:i/>
      <w:iCs/>
      <w:color w:val="404040" w:themeColor="text1" w:themeTint="BF"/>
    </w:rPr>
  </w:style>
  <w:style w:type="character" w:customStyle="1" w:styleId="QuoteChar">
    <w:name w:val="Quote Char"/>
    <w:basedOn w:val="DefaultParagraphFont"/>
    <w:link w:val="Quote"/>
    <w:uiPriority w:val="29"/>
    <w:rsid w:val="0083026E"/>
    <w:rPr>
      <w:i/>
      <w:iCs/>
      <w:color w:val="404040" w:themeColor="text1" w:themeTint="BF"/>
    </w:rPr>
  </w:style>
  <w:style w:type="paragraph" w:styleId="ListParagraph">
    <w:name w:val="List Paragraph"/>
    <w:basedOn w:val="Normal"/>
    <w:uiPriority w:val="34"/>
    <w:qFormat/>
    <w:rsid w:val="0083026E"/>
    <w:pPr>
      <w:ind w:left="720"/>
      <w:contextualSpacing/>
    </w:pPr>
  </w:style>
  <w:style w:type="character" w:styleId="IntenseEmphasis">
    <w:name w:val="Intense Emphasis"/>
    <w:basedOn w:val="DefaultParagraphFont"/>
    <w:uiPriority w:val="21"/>
    <w:qFormat/>
    <w:rsid w:val="0083026E"/>
    <w:rPr>
      <w:i/>
      <w:iCs/>
      <w:color w:val="0F4761" w:themeColor="accent1" w:themeShade="BF"/>
    </w:rPr>
  </w:style>
  <w:style w:type="paragraph" w:styleId="IntenseQuote">
    <w:name w:val="Intense Quote"/>
    <w:basedOn w:val="Normal"/>
    <w:next w:val="Normal"/>
    <w:link w:val="IntenseQuoteChar"/>
    <w:uiPriority w:val="30"/>
    <w:qFormat/>
    <w:rsid w:val="008302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026E"/>
    <w:rPr>
      <w:i/>
      <w:iCs/>
      <w:color w:val="0F4761" w:themeColor="accent1" w:themeShade="BF"/>
    </w:rPr>
  </w:style>
  <w:style w:type="character" w:styleId="IntenseReference">
    <w:name w:val="Intense Reference"/>
    <w:basedOn w:val="DefaultParagraphFont"/>
    <w:uiPriority w:val="32"/>
    <w:qFormat/>
    <w:rsid w:val="0083026E"/>
    <w:rPr>
      <w:b/>
      <w:bCs/>
      <w:smallCaps/>
      <w:color w:val="0F4761" w:themeColor="accent1" w:themeShade="BF"/>
      <w:spacing w:val="5"/>
    </w:rPr>
  </w:style>
  <w:style w:type="paragraph" w:styleId="Bibliography">
    <w:name w:val="Bibliography"/>
    <w:basedOn w:val="Normal"/>
    <w:next w:val="Normal"/>
    <w:uiPriority w:val="37"/>
    <w:unhideWhenUsed/>
    <w:rsid w:val="008A4A2C"/>
    <w:pPr>
      <w:spacing w:after="24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3026</Words>
  <Characters>17250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Kip Williams (2400515)</dc:creator>
  <cp:keywords/>
  <dc:description/>
  <cp:lastModifiedBy>Kip Williams (2400515)</cp:lastModifiedBy>
  <cp:revision>2</cp:revision>
  <dcterms:created xsi:type="dcterms:W3CDTF">2026-10-23T22:51:00Z</dcterms:created>
  <dcterms:modified xsi:type="dcterms:W3CDTF">2026-10-23T22:51:00Z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zotero-version="9.0.6"&gt;&lt;session id="YMZBekW7"/&gt;&lt;style id="http://www.zotero.org/styles/harvard-cite-them-right" locale="en-GB" hasBibliography="1" bibliographyStyleHasBeenSet="1"/&gt;&lt;prefs&gt;&lt;pref name="fieldType" value="Field"/&gt;&lt;/prefs</vt:lpwstr>
  </property>
  <property fmtid="{D5CDD505-2E9C-101B-9397-08002B2CF9AE}" pid="3" name="ZOTERO_PREF_2">
    <vt:lpwstr>&gt;&lt;/data&gt;</vt:lpwstr>
  </property>
</Properties>
</file>