
<file path=[Content_Types].xml><?xml version="1.0" encoding="utf-8"?>
<Types xmlns="http://schemas.openxmlformats.org/package/2006/content-types">
  <Default Extension="jpeg" ContentType="image/jpeg"/>
  <Default Extension="jpg" ContentType="image/jpeg"/>
  <Default Extension="png" ContentType="image/png"/>
  <Default Extension="rels" ContentType="application/vnd.openxmlformats-package.relationships+xml"/>
  <Default Extension="svg" ContentType="image/svg+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31F12EDE" w14:textId="77777777" w:rsidR="006D766E" w:rsidRDefault="006D766E">
      <w:pPr>
        <w:pStyle w:val="Title"/>
        <w:rPr>
          <w:rFonts w:ascii="Arial" w:hAnsi="Arial" w:cs="Arial"/>
          <w:color w:val="000000"/>
          <w:sz w:val="36"/>
          <w:szCs w:val="36"/>
        </w:rPr>
      </w:pPr>
      <w:r w:rsidRPr="006D766E">
        <w:rPr>
          <w:rFonts w:ascii="Arial" w:hAnsi="Arial" w:cs="Arial"/>
          <w:color w:val="000000"/>
          <w:sz w:val="36"/>
          <w:szCs w:val="36"/>
        </w:rPr>
        <w:t>How effectively does the UK criminal justice system (CJS) support vulnerable victims?</w:t>
      </w:r>
    </w:p>
    <w:p w14:paraId="60D777FC" w14:textId="77777777" w:rsidR="006D766E" w:rsidRPr="006D766E" w:rsidRDefault="006D766E">
      <w:pPr>
        <w:pStyle w:val="Title"/>
        <w:rPr>
          <w:rFonts w:ascii="Arial" w:hAnsi="Arial" w:cs="Arial"/>
          <w:color w:val="000000"/>
          <w:sz w:val="36"/>
          <w:szCs w:val="36"/>
        </w:rPr>
      </w:pPr>
    </w:p>
    <w:p w14:paraId="265A44DB" w14:textId="77777777" w:rsidR="006D766E" w:rsidRPr="001C6E3F" w:rsidRDefault="006D766E" w:rsidP="006D766E">
      <w:pPr>
        <w:spacing w:before="100" w:beforeAutospacing="1" w:after="100" w:afterAutospacing="1" w:line="360" w:lineRule="auto"/>
        <w:rPr>
          <w:rFonts w:ascii="Arial" w:eastAsia="Times New Roman" w:hAnsi="Arial" w:cs="Arial"/>
          <w:i/>
          <w:iCs/>
          <w:color w:val="000000"/>
          <w:lang w:val="en-GB" w:eastAsia="en-GB"/>
        </w:rPr>
      </w:pPr>
      <w:r w:rsidRPr="001C6E3F">
        <w:rPr>
          <w:rFonts w:ascii="Arial" w:eastAsia="Times New Roman" w:hAnsi="Arial" w:cs="Arial"/>
          <w:i/>
          <w:iCs/>
          <w:color w:val="000000"/>
          <w:lang w:val="en-GB" w:eastAsia="en-GB"/>
        </w:rPr>
        <w:t>A Critical Evaluation of Current Provision and Future Reform</w:t>
      </w:r>
    </w:p>
    <w:p w14:paraId="244EB277" w14:textId="1441450A" w:rsidR="00F251B2" w:rsidRDefault="00F251B2">
      <w:pPr>
        <w:pStyle w:val="Author"/>
      </w:pPr>
    </w:p>
    <w:p w14:paraId="7A213912" w14:textId="5A84B99F" w:rsidR="00F251B2" w:rsidRDefault="0035419A">
      <w:r>
        <w:rPr>
          <w:noProof/>
        </w:rPr>
        <w:drawing>
          <wp:inline distT="0" distB="0" distL="0" distR="0" wp14:anchorId="30D1F4CF" wp14:editId="6E1D4B98">
            <wp:extent cx="5620512" cy="2810256"/>
            <wp:effectExtent l="0" t="0" r="5715" b="0"/>
            <wp:docPr id="130034857" name="Picture 1" descr="A person with a hand raised&#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0034857" name="Picture 1" descr="A person with a hand raised&#10;&#10;Description automatically generated"/>
                    <pic:cNvPicPr/>
                  </pic:nvPicPr>
                  <pic:blipFill>
                    <a:blip r:embed="rId8">
                      <a:extLst>
                        <a:ext uri="{28A0092B-C50C-407E-A947-70E740481C1C}">
                          <a14:useLocalDpi xmlns:a14="http://schemas.microsoft.com/office/drawing/2010/main" val="0"/>
                        </a:ext>
                      </a:extLst>
                    </a:blip>
                    <a:stretch>
                      <a:fillRect/>
                    </a:stretch>
                  </pic:blipFill>
                  <pic:spPr>
                    <a:xfrm>
                      <a:off x="0" y="0"/>
                      <a:ext cx="5663170" cy="2831585"/>
                    </a:xfrm>
                    <a:prstGeom prst="rect">
                      <a:avLst/>
                    </a:prstGeom>
                  </pic:spPr>
                </pic:pic>
              </a:graphicData>
            </a:graphic>
          </wp:inline>
        </w:drawing>
      </w:r>
    </w:p>
    <w:p w14:paraId="1DC805D8" w14:textId="43EC6769" w:rsidR="006D766E" w:rsidRPr="0035419A" w:rsidRDefault="0035419A">
      <w:pPr>
        <w:rPr>
          <w:sz w:val="21"/>
          <w:szCs w:val="21"/>
        </w:rPr>
      </w:pPr>
      <w:r w:rsidRPr="0035419A">
        <w:rPr>
          <w:rFonts w:ascii="-webkit-standard" w:hAnsi="-webkit-standard"/>
          <w:color w:val="000000"/>
          <w:sz w:val="20"/>
          <w:szCs w:val="21"/>
        </w:rPr>
        <w:t>(West Midlands Police and Crime Commissioner, 2020)</w:t>
      </w:r>
    </w:p>
    <w:p w14:paraId="372B041E" w14:textId="77777777" w:rsidR="006D766E" w:rsidRDefault="006D766E"/>
    <w:p w14:paraId="027A17A2" w14:textId="77777777" w:rsidR="006D766E" w:rsidRPr="001C6E3F" w:rsidRDefault="006D766E" w:rsidP="006D766E">
      <w:pPr>
        <w:spacing w:line="360" w:lineRule="auto"/>
        <w:rPr>
          <w:rFonts w:ascii="Arial" w:hAnsi="Arial" w:cs="Arial"/>
        </w:rPr>
      </w:pPr>
    </w:p>
    <w:p w14:paraId="47305760" w14:textId="77777777" w:rsidR="0035419A" w:rsidRDefault="0035419A" w:rsidP="0035419A">
      <w:pPr>
        <w:spacing w:line="360" w:lineRule="auto"/>
        <w:jc w:val="center"/>
        <w:rPr>
          <w:rFonts w:ascii="Arial" w:hAnsi="Arial" w:cs="Arial"/>
          <w:sz w:val="32"/>
          <w:szCs w:val="32"/>
        </w:rPr>
      </w:pPr>
    </w:p>
    <w:p w14:paraId="47582A2A" w14:textId="514F041B" w:rsidR="0035419A" w:rsidRDefault="0035419A" w:rsidP="0035419A">
      <w:pPr>
        <w:spacing w:line="360" w:lineRule="auto"/>
        <w:jc w:val="center"/>
        <w:rPr>
          <w:rFonts w:ascii="Arial" w:hAnsi="Arial" w:cs="Arial"/>
          <w:sz w:val="32"/>
          <w:szCs w:val="32"/>
        </w:rPr>
      </w:pPr>
      <w:r>
        <w:rPr>
          <w:rFonts w:ascii="Arial" w:hAnsi="Arial" w:cs="Arial"/>
          <w:sz w:val="32"/>
          <w:szCs w:val="32"/>
        </w:rPr>
        <w:t>Sadie May Mason</w:t>
      </w:r>
    </w:p>
    <w:p w14:paraId="08338FCB" w14:textId="26D7FED6" w:rsidR="0035419A" w:rsidRPr="0035419A" w:rsidRDefault="006D766E" w:rsidP="0035419A">
      <w:pPr>
        <w:spacing w:line="360" w:lineRule="auto"/>
        <w:jc w:val="center"/>
        <w:rPr>
          <w:rFonts w:ascii="Arial" w:hAnsi="Arial" w:cs="Arial"/>
          <w:sz w:val="32"/>
          <w:szCs w:val="32"/>
        </w:rPr>
      </w:pPr>
      <w:r w:rsidRPr="0035419A">
        <w:rPr>
          <w:rFonts w:ascii="Arial" w:hAnsi="Arial" w:cs="Arial"/>
          <w:sz w:val="32"/>
          <w:szCs w:val="32"/>
        </w:rPr>
        <w:t xml:space="preserve">Student number </w:t>
      </w:r>
      <w:r w:rsidR="0035419A">
        <w:rPr>
          <w:rFonts w:ascii="Arial" w:hAnsi="Arial" w:cs="Arial"/>
          <w:sz w:val="32"/>
          <w:szCs w:val="32"/>
        </w:rPr>
        <w:t>–</w:t>
      </w:r>
      <w:r w:rsidRPr="0035419A">
        <w:rPr>
          <w:rFonts w:ascii="Arial" w:hAnsi="Arial" w:cs="Arial"/>
          <w:sz w:val="32"/>
          <w:szCs w:val="32"/>
        </w:rPr>
        <w:t xml:space="preserve"> 2204171</w:t>
      </w:r>
    </w:p>
    <w:p w14:paraId="34A8F01A" w14:textId="77777777" w:rsidR="006D766E" w:rsidRDefault="006D766E" w:rsidP="0035419A">
      <w:pPr>
        <w:spacing w:line="360" w:lineRule="auto"/>
        <w:jc w:val="center"/>
        <w:rPr>
          <w:rFonts w:ascii="Arial" w:hAnsi="Arial" w:cs="Arial"/>
          <w:bCs/>
          <w:sz w:val="32"/>
          <w:szCs w:val="32"/>
        </w:rPr>
      </w:pPr>
      <w:r w:rsidRPr="0035419A">
        <w:rPr>
          <w:rFonts w:ascii="Arial" w:hAnsi="Arial" w:cs="Arial"/>
          <w:sz w:val="32"/>
          <w:szCs w:val="32"/>
        </w:rPr>
        <w:t xml:space="preserve">Module number – </w:t>
      </w:r>
      <w:r w:rsidRPr="0035419A">
        <w:rPr>
          <w:rFonts w:ascii="Arial" w:hAnsi="Arial" w:cs="Arial"/>
          <w:bCs/>
          <w:sz w:val="32"/>
          <w:szCs w:val="32"/>
        </w:rPr>
        <w:t>BMCJ7006D</w:t>
      </w:r>
    </w:p>
    <w:p w14:paraId="71FCD6A8" w14:textId="77777777" w:rsidR="0035419A" w:rsidRDefault="0035419A"/>
    <w:sdt>
      <w:sdtPr>
        <w:rPr>
          <w:rFonts w:asciiTheme="minorHAnsi" w:eastAsiaTheme="minorHAnsi" w:hAnsiTheme="minorHAnsi" w:cstheme="minorBidi"/>
          <w:sz w:val="24"/>
          <w:szCs w:val="24"/>
        </w:rPr>
        <w:id w:val="-529491150"/>
        <w:docPartObj>
          <w:docPartGallery w:val="Table of Contents"/>
          <w:docPartUnique/>
        </w:docPartObj>
      </w:sdtPr>
      <w:sdtEndPr>
        <w:rPr>
          <w:b/>
          <w:bCs/>
          <w:noProof/>
        </w:rPr>
      </w:sdtEndPr>
      <w:sdtContent>
        <w:p w14:paraId="0AA61CB6" w14:textId="207CD65F" w:rsidR="006D766E" w:rsidRDefault="006D766E">
          <w:pPr>
            <w:pStyle w:val="TOCHeading"/>
          </w:pPr>
          <w:r>
            <w:t>Table of Contents</w:t>
          </w:r>
        </w:p>
        <w:p w14:paraId="3A963448" w14:textId="1506901B" w:rsidR="001A4564" w:rsidRDefault="006D766E">
          <w:pPr>
            <w:pStyle w:val="TOC1"/>
            <w:tabs>
              <w:tab w:val="left" w:pos="480"/>
              <w:tab w:val="right" w:leader="dot" w:pos="9219"/>
            </w:tabs>
            <w:rPr>
              <w:rFonts w:eastAsiaTheme="minorEastAsia" w:cstheme="minorBidi"/>
              <w:b w:val="0"/>
              <w:bCs w:val="0"/>
              <w:i w:val="0"/>
              <w:iCs w:val="0"/>
              <w:noProof/>
              <w:color w:val="auto"/>
              <w:kern w:val="2"/>
              <w:lang w:val="en-GB" w:eastAsia="en-GB"/>
              <w14:ligatures w14:val="standardContextual"/>
            </w:rPr>
          </w:pPr>
          <w:r>
            <w:rPr>
              <w:b w:val="0"/>
              <w:bCs w:val="0"/>
            </w:rPr>
            <w:fldChar w:fldCharType="begin"/>
          </w:r>
          <w:r>
            <w:instrText xml:space="preserve"> TOC \o "1-3" \h \z \u </w:instrText>
          </w:r>
          <w:r>
            <w:rPr>
              <w:b w:val="0"/>
              <w:bCs w:val="0"/>
            </w:rPr>
            <w:fldChar w:fldCharType="separate"/>
          </w:r>
          <w:hyperlink w:anchor="_Toc218713253" w:history="1">
            <w:r w:rsidR="001A4564" w:rsidRPr="00B30D38">
              <w:rPr>
                <w:rStyle w:val="Hyperlink"/>
                <w:noProof/>
              </w:rPr>
              <w:t>1.</w:t>
            </w:r>
            <w:r w:rsidR="001A4564">
              <w:rPr>
                <w:rFonts w:eastAsiaTheme="minorEastAsia" w:cstheme="minorBidi"/>
                <w:b w:val="0"/>
                <w:bCs w:val="0"/>
                <w:i w:val="0"/>
                <w:iCs w:val="0"/>
                <w:noProof/>
                <w:color w:val="auto"/>
                <w:kern w:val="2"/>
                <w:lang w:val="en-GB" w:eastAsia="en-GB"/>
                <w14:ligatures w14:val="standardContextual"/>
              </w:rPr>
              <w:tab/>
            </w:r>
            <w:r w:rsidR="001A4564" w:rsidRPr="00B30D38">
              <w:rPr>
                <w:rStyle w:val="Hyperlink"/>
                <w:noProof/>
              </w:rPr>
              <w:t>Introduction</w:t>
            </w:r>
            <w:r w:rsidR="001A4564">
              <w:rPr>
                <w:noProof/>
                <w:webHidden/>
              </w:rPr>
              <w:tab/>
            </w:r>
            <w:r w:rsidR="001A4564">
              <w:rPr>
                <w:noProof/>
                <w:webHidden/>
              </w:rPr>
              <w:fldChar w:fldCharType="begin"/>
            </w:r>
            <w:r w:rsidR="001A4564">
              <w:rPr>
                <w:noProof/>
                <w:webHidden/>
              </w:rPr>
              <w:instrText xml:space="preserve"> PAGEREF _Toc218713253 \h </w:instrText>
            </w:r>
            <w:r w:rsidR="001A4564">
              <w:rPr>
                <w:noProof/>
                <w:webHidden/>
              </w:rPr>
            </w:r>
            <w:r w:rsidR="001A4564">
              <w:rPr>
                <w:noProof/>
                <w:webHidden/>
              </w:rPr>
              <w:fldChar w:fldCharType="separate"/>
            </w:r>
            <w:r w:rsidR="001A4564">
              <w:rPr>
                <w:noProof/>
                <w:webHidden/>
              </w:rPr>
              <w:t>3</w:t>
            </w:r>
            <w:r w:rsidR="001A4564">
              <w:rPr>
                <w:noProof/>
                <w:webHidden/>
              </w:rPr>
              <w:fldChar w:fldCharType="end"/>
            </w:r>
          </w:hyperlink>
        </w:p>
        <w:p w14:paraId="2F608633" w14:textId="2543CCDD" w:rsidR="001A4564" w:rsidRDefault="00000000">
          <w:pPr>
            <w:pStyle w:val="TOC1"/>
            <w:tabs>
              <w:tab w:val="right" w:leader="dot" w:pos="9219"/>
            </w:tabs>
            <w:rPr>
              <w:rFonts w:eastAsiaTheme="minorEastAsia" w:cstheme="minorBidi"/>
              <w:b w:val="0"/>
              <w:bCs w:val="0"/>
              <w:i w:val="0"/>
              <w:iCs w:val="0"/>
              <w:noProof/>
              <w:color w:val="auto"/>
              <w:kern w:val="2"/>
              <w:lang w:val="en-GB" w:eastAsia="en-GB"/>
              <w14:ligatures w14:val="standardContextual"/>
            </w:rPr>
          </w:pPr>
          <w:hyperlink w:anchor="_Toc218713254" w:history="1">
            <w:r w:rsidR="001A4564" w:rsidRPr="00B30D38">
              <w:rPr>
                <w:rStyle w:val="Hyperlink"/>
                <w:noProof/>
              </w:rPr>
              <w:t>2. Policy Rights and Legal Framework for vulnerable victims</w:t>
            </w:r>
            <w:r w:rsidR="001A4564">
              <w:rPr>
                <w:noProof/>
                <w:webHidden/>
              </w:rPr>
              <w:tab/>
            </w:r>
            <w:r w:rsidR="001A4564">
              <w:rPr>
                <w:noProof/>
                <w:webHidden/>
              </w:rPr>
              <w:fldChar w:fldCharType="begin"/>
            </w:r>
            <w:r w:rsidR="001A4564">
              <w:rPr>
                <w:noProof/>
                <w:webHidden/>
              </w:rPr>
              <w:instrText xml:space="preserve"> PAGEREF _Toc218713254 \h </w:instrText>
            </w:r>
            <w:r w:rsidR="001A4564">
              <w:rPr>
                <w:noProof/>
                <w:webHidden/>
              </w:rPr>
            </w:r>
            <w:r w:rsidR="001A4564">
              <w:rPr>
                <w:noProof/>
                <w:webHidden/>
              </w:rPr>
              <w:fldChar w:fldCharType="separate"/>
            </w:r>
            <w:r w:rsidR="001A4564">
              <w:rPr>
                <w:noProof/>
                <w:webHidden/>
              </w:rPr>
              <w:t>4</w:t>
            </w:r>
            <w:r w:rsidR="001A4564">
              <w:rPr>
                <w:noProof/>
                <w:webHidden/>
              </w:rPr>
              <w:fldChar w:fldCharType="end"/>
            </w:r>
          </w:hyperlink>
        </w:p>
        <w:p w14:paraId="2509166A" w14:textId="5E978238" w:rsidR="001A4564" w:rsidRDefault="00000000">
          <w:pPr>
            <w:pStyle w:val="TOC2"/>
            <w:tabs>
              <w:tab w:val="right" w:leader="dot" w:pos="9219"/>
            </w:tabs>
            <w:rPr>
              <w:rFonts w:eastAsiaTheme="minorEastAsia" w:cstheme="minorBidi"/>
              <w:b w:val="0"/>
              <w:bCs w:val="0"/>
              <w:noProof/>
              <w:color w:val="auto"/>
              <w:kern w:val="2"/>
              <w:sz w:val="24"/>
              <w:szCs w:val="24"/>
              <w:lang w:val="en-GB" w:eastAsia="en-GB"/>
              <w14:ligatures w14:val="standardContextual"/>
            </w:rPr>
          </w:pPr>
          <w:hyperlink w:anchor="_Toc218713255" w:history="1">
            <w:r w:rsidR="001A4564" w:rsidRPr="00B30D38">
              <w:rPr>
                <w:rStyle w:val="Hyperlink"/>
                <w:noProof/>
                <w:lang w:val="en-GB" w:eastAsia="en-GB"/>
              </w:rPr>
              <w:t>2.1- Key Policy and Legislative Frameworks</w:t>
            </w:r>
            <w:r w:rsidR="001A4564">
              <w:rPr>
                <w:noProof/>
                <w:webHidden/>
              </w:rPr>
              <w:tab/>
            </w:r>
            <w:r w:rsidR="001A4564">
              <w:rPr>
                <w:noProof/>
                <w:webHidden/>
              </w:rPr>
              <w:fldChar w:fldCharType="begin"/>
            </w:r>
            <w:r w:rsidR="001A4564">
              <w:rPr>
                <w:noProof/>
                <w:webHidden/>
              </w:rPr>
              <w:instrText xml:space="preserve"> PAGEREF _Toc218713255 \h </w:instrText>
            </w:r>
            <w:r w:rsidR="001A4564">
              <w:rPr>
                <w:noProof/>
                <w:webHidden/>
              </w:rPr>
            </w:r>
            <w:r w:rsidR="001A4564">
              <w:rPr>
                <w:noProof/>
                <w:webHidden/>
              </w:rPr>
              <w:fldChar w:fldCharType="separate"/>
            </w:r>
            <w:r w:rsidR="001A4564">
              <w:rPr>
                <w:noProof/>
                <w:webHidden/>
              </w:rPr>
              <w:t>6</w:t>
            </w:r>
            <w:r w:rsidR="001A4564">
              <w:rPr>
                <w:noProof/>
                <w:webHidden/>
              </w:rPr>
              <w:fldChar w:fldCharType="end"/>
            </w:r>
          </w:hyperlink>
        </w:p>
        <w:p w14:paraId="68ADA9B6" w14:textId="3F3948EA" w:rsidR="001A4564" w:rsidRDefault="00000000">
          <w:pPr>
            <w:pStyle w:val="TOC2"/>
            <w:tabs>
              <w:tab w:val="right" w:leader="dot" w:pos="9219"/>
            </w:tabs>
            <w:rPr>
              <w:rFonts w:eastAsiaTheme="minorEastAsia" w:cstheme="minorBidi"/>
              <w:b w:val="0"/>
              <w:bCs w:val="0"/>
              <w:noProof/>
              <w:color w:val="auto"/>
              <w:kern w:val="2"/>
              <w:sz w:val="24"/>
              <w:szCs w:val="24"/>
              <w:lang w:val="en-GB" w:eastAsia="en-GB"/>
              <w14:ligatures w14:val="standardContextual"/>
            </w:rPr>
          </w:pPr>
          <w:hyperlink w:anchor="_Toc218713256" w:history="1">
            <w:r w:rsidR="001A4564" w:rsidRPr="00B30D38">
              <w:rPr>
                <w:rStyle w:val="Hyperlink"/>
                <w:rFonts w:ascii="-webkit-standard" w:hAnsi="-webkit-standard"/>
                <w:noProof/>
              </w:rPr>
              <w:t>2.2 - Implementation and Accountability Challenges</w:t>
            </w:r>
            <w:r w:rsidR="001A4564">
              <w:rPr>
                <w:noProof/>
                <w:webHidden/>
              </w:rPr>
              <w:tab/>
            </w:r>
            <w:r w:rsidR="001A4564">
              <w:rPr>
                <w:noProof/>
                <w:webHidden/>
              </w:rPr>
              <w:fldChar w:fldCharType="begin"/>
            </w:r>
            <w:r w:rsidR="001A4564">
              <w:rPr>
                <w:noProof/>
                <w:webHidden/>
              </w:rPr>
              <w:instrText xml:space="preserve"> PAGEREF _Toc218713256 \h </w:instrText>
            </w:r>
            <w:r w:rsidR="001A4564">
              <w:rPr>
                <w:noProof/>
                <w:webHidden/>
              </w:rPr>
            </w:r>
            <w:r w:rsidR="001A4564">
              <w:rPr>
                <w:noProof/>
                <w:webHidden/>
              </w:rPr>
              <w:fldChar w:fldCharType="separate"/>
            </w:r>
            <w:r w:rsidR="001A4564">
              <w:rPr>
                <w:noProof/>
                <w:webHidden/>
              </w:rPr>
              <w:t>7</w:t>
            </w:r>
            <w:r w:rsidR="001A4564">
              <w:rPr>
                <w:noProof/>
                <w:webHidden/>
              </w:rPr>
              <w:fldChar w:fldCharType="end"/>
            </w:r>
          </w:hyperlink>
        </w:p>
        <w:p w14:paraId="695496B6" w14:textId="601475D4" w:rsidR="001A4564" w:rsidRDefault="00000000">
          <w:pPr>
            <w:pStyle w:val="TOC2"/>
            <w:tabs>
              <w:tab w:val="right" w:leader="dot" w:pos="9219"/>
            </w:tabs>
            <w:rPr>
              <w:rFonts w:eastAsiaTheme="minorEastAsia" w:cstheme="minorBidi"/>
              <w:b w:val="0"/>
              <w:bCs w:val="0"/>
              <w:noProof/>
              <w:color w:val="auto"/>
              <w:kern w:val="2"/>
              <w:sz w:val="24"/>
              <w:szCs w:val="24"/>
              <w:lang w:val="en-GB" w:eastAsia="en-GB"/>
              <w14:ligatures w14:val="standardContextual"/>
            </w:rPr>
          </w:pPr>
          <w:hyperlink w:anchor="_Toc218713257" w:history="1">
            <w:r w:rsidR="001A4564" w:rsidRPr="00B30D38">
              <w:rPr>
                <w:rStyle w:val="Hyperlink"/>
                <w:noProof/>
              </w:rPr>
              <w:t>2.3 - Vulnerability, Victimology and the Implementation Gap</w:t>
            </w:r>
            <w:r w:rsidR="001A4564">
              <w:rPr>
                <w:noProof/>
                <w:webHidden/>
              </w:rPr>
              <w:tab/>
            </w:r>
            <w:r w:rsidR="001A4564">
              <w:rPr>
                <w:noProof/>
                <w:webHidden/>
              </w:rPr>
              <w:fldChar w:fldCharType="begin"/>
            </w:r>
            <w:r w:rsidR="001A4564">
              <w:rPr>
                <w:noProof/>
                <w:webHidden/>
              </w:rPr>
              <w:instrText xml:space="preserve"> PAGEREF _Toc218713257 \h </w:instrText>
            </w:r>
            <w:r w:rsidR="001A4564">
              <w:rPr>
                <w:noProof/>
                <w:webHidden/>
              </w:rPr>
            </w:r>
            <w:r w:rsidR="001A4564">
              <w:rPr>
                <w:noProof/>
                <w:webHidden/>
              </w:rPr>
              <w:fldChar w:fldCharType="separate"/>
            </w:r>
            <w:r w:rsidR="001A4564">
              <w:rPr>
                <w:noProof/>
                <w:webHidden/>
              </w:rPr>
              <w:t>8</w:t>
            </w:r>
            <w:r w:rsidR="001A4564">
              <w:rPr>
                <w:noProof/>
                <w:webHidden/>
              </w:rPr>
              <w:fldChar w:fldCharType="end"/>
            </w:r>
          </w:hyperlink>
        </w:p>
        <w:p w14:paraId="6D26BE06" w14:textId="24666FAC" w:rsidR="001A4564" w:rsidRDefault="00000000">
          <w:pPr>
            <w:pStyle w:val="TOC1"/>
            <w:tabs>
              <w:tab w:val="right" w:leader="dot" w:pos="9219"/>
            </w:tabs>
            <w:rPr>
              <w:rFonts w:eastAsiaTheme="minorEastAsia" w:cstheme="minorBidi"/>
              <w:b w:val="0"/>
              <w:bCs w:val="0"/>
              <w:i w:val="0"/>
              <w:iCs w:val="0"/>
              <w:noProof/>
              <w:color w:val="auto"/>
              <w:kern w:val="2"/>
              <w:lang w:val="en-GB" w:eastAsia="en-GB"/>
              <w14:ligatures w14:val="standardContextual"/>
            </w:rPr>
          </w:pPr>
          <w:hyperlink w:anchor="_Toc218713258" w:history="1">
            <w:r w:rsidR="001A4564" w:rsidRPr="00B30D38">
              <w:rPr>
                <w:rStyle w:val="Hyperlink"/>
                <w:noProof/>
              </w:rPr>
              <w:t>3. First Contact with the Criminal Justice System: Police Engagement</w:t>
            </w:r>
            <w:r w:rsidR="001A4564">
              <w:rPr>
                <w:noProof/>
                <w:webHidden/>
              </w:rPr>
              <w:tab/>
            </w:r>
            <w:r w:rsidR="001A4564">
              <w:rPr>
                <w:noProof/>
                <w:webHidden/>
              </w:rPr>
              <w:fldChar w:fldCharType="begin"/>
            </w:r>
            <w:r w:rsidR="001A4564">
              <w:rPr>
                <w:noProof/>
                <w:webHidden/>
              </w:rPr>
              <w:instrText xml:space="preserve"> PAGEREF _Toc218713258 \h </w:instrText>
            </w:r>
            <w:r w:rsidR="001A4564">
              <w:rPr>
                <w:noProof/>
                <w:webHidden/>
              </w:rPr>
            </w:r>
            <w:r w:rsidR="001A4564">
              <w:rPr>
                <w:noProof/>
                <w:webHidden/>
              </w:rPr>
              <w:fldChar w:fldCharType="separate"/>
            </w:r>
            <w:r w:rsidR="001A4564">
              <w:rPr>
                <w:noProof/>
                <w:webHidden/>
              </w:rPr>
              <w:t>10</w:t>
            </w:r>
            <w:r w:rsidR="001A4564">
              <w:rPr>
                <w:noProof/>
                <w:webHidden/>
              </w:rPr>
              <w:fldChar w:fldCharType="end"/>
            </w:r>
          </w:hyperlink>
        </w:p>
        <w:p w14:paraId="0254DA54" w14:textId="6F425919" w:rsidR="001A4564" w:rsidRDefault="00000000">
          <w:pPr>
            <w:pStyle w:val="TOC2"/>
            <w:tabs>
              <w:tab w:val="right" w:leader="dot" w:pos="9219"/>
            </w:tabs>
            <w:rPr>
              <w:rFonts w:eastAsiaTheme="minorEastAsia" w:cstheme="minorBidi"/>
              <w:b w:val="0"/>
              <w:bCs w:val="0"/>
              <w:noProof/>
              <w:color w:val="auto"/>
              <w:kern w:val="2"/>
              <w:sz w:val="24"/>
              <w:szCs w:val="24"/>
              <w:lang w:val="en-GB" w:eastAsia="en-GB"/>
              <w14:ligatures w14:val="standardContextual"/>
            </w:rPr>
          </w:pPr>
          <w:hyperlink w:anchor="_Toc218713259" w:history="1">
            <w:r w:rsidR="001A4564" w:rsidRPr="00B30D38">
              <w:rPr>
                <w:rStyle w:val="Hyperlink"/>
                <w:rFonts w:cstheme="majorHAnsi"/>
                <w:noProof/>
                <w:lang w:val="en-GB" w:eastAsia="en-GB"/>
              </w:rPr>
              <w:t>3.1 Reporting Rates and Barriers</w:t>
            </w:r>
            <w:r w:rsidR="001A4564">
              <w:rPr>
                <w:noProof/>
                <w:webHidden/>
              </w:rPr>
              <w:tab/>
            </w:r>
            <w:r w:rsidR="001A4564">
              <w:rPr>
                <w:noProof/>
                <w:webHidden/>
              </w:rPr>
              <w:fldChar w:fldCharType="begin"/>
            </w:r>
            <w:r w:rsidR="001A4564">
              <w:rPr>
                <w:noProof/>
                <w:webHidden/>
              </w:rPr>
              <w:instrText xml:space="preserve"> PAGEREF _Toc218713259 \h </w:instrText>
            </w:r>
            <w:r w:rsidR="001A4564">
              <w:rPr>
                <w:noProof/>
                <w:webHidden/>
              </w:rPr>
            </w:r>
            <w:r w:rsidR="001A4564">
              <w:rPr>
                <w:noProof/>
                <w:webHidden/>
              </w:rPr>
              <w:fldChar w:fldCharType="separate"/>
            </w:r>
            <w:r w:rsidR="001A4564">
              <w:rPr>
                <w:noProof/>
                <w:webHidden/>
              </w:rPr>
              <w:t>10</w:t>
            </w:r>
            <w:r w:rsidR="001A4564">
              <w:rPr>
                <w:noProof/>
                <w:webHidden/>
              </w:rPr>
              <w:fldChar w:fldCharType="end"/>
            </w:r>
          </w:hyperlink>
        </w:p>
        <w:p w14:paraId="0C487C72" w14:textId="3E256771" w:rsidR="001A4564" w:rsidRDefault="00000000">
          <w:pPr>
            <w:pStyle w:val="TOC2"/>
            <w:tabs>
              <w:tab w:val="right" w:leader="dot" w:pos="9219"/>
            </w:tabs>
            <w:rPr>
              <w:rFonts w:eastAsiaTheme="minorEastAsia" w:cstheme="minorBidi"/>
              <w:b w:val="0"/>
              <w:bCs w:val="0"/>
              <w:noProof/>
              <w:color w:val="auto"/>
              <w:kern w:val="2"/>
              <w:sz w:val="24"/>
              <w:szCs w:val="24"/>
              <w:lang w:val="en-GB" w:eastAsia="en-GB"/>
              <w14:ligatures w14:val="standardContextual"/>
            </w:rPr>
          </w:pPr>
          <w:hyperlink w:anchor="_Toc218713260" w:history="1">
            <w:r w:rsidR="001A4564" w:rsidRPr="00B30D38">
              <w:rPr>
                <w:rStyle w:val="Hyperlink"/>
                <w:noProof/>
              </w:rPr>
              <w:t>3.2 Police Culture and Trauma-Informed Responses</w:t>
            </w:r>
            <w:r w:rsidR="001A4564">
              <w:rPr>
                <w:noProof/>
                <w:webHidden/>
              </w:rPr>
              <w:tab/>
            </w:r>
            <w:r w:rsidR="001A4564">
              <w:rPr>
                <w:noProof/>
                <w:webHidden/>
              </w:rPr>
              <w:fldChar w:fldCharType="begin"/>
            </w:r>
            <w:r w:rsidR="001A4564">
              <w:rPr>
                <w:noProof/>
                <w:webHidden/>
              </w:rPr>
              <w:instrText xml:space="preserve"> PAGEREF _Toc218713260 \h </w:instrText>
            </w:r>
            <w:r w:rsidR="001A4564">
              <w:rPr>
                <w:noProof/>
                <w:webHidden/>
              </w:rPr>
            </w:r>
            <w:r w:rsidR="001A4564">
              <w:rPr>
                <w:noProof/>
                <w:webHidden/>
              </w:rPr>
              <w:fldChar w:fldCharType="separate"/>
            </w:r>
            <w:r w:rsidR="001A4564">
              <w:rPr>
                <w:noProof/>
                <w:webHidden/>
              </w:rPr>
              <w:t>12</w:t>
            </w:r>
            <w:r w:rsidR="001A4564">
              <w:rPr>
                <w:noProof/>
                <w:webHidden/>
              </w:rPr>
              <w:fldChar w:fldCharType="end"/>
            </w:r>
          </w:hyperlink>
        </w:p>
        <w:p w14:paraId="53DAD02C" w14:textId="26C6CB2A" w:rsidR="001A4564" w:rsidRDefault="00000000">
          <w:pPr>
            <w:pStyle w:val="TOC2"/>
            <w:tabs>
              <w:tab w:val="right" w:leader="dot" w:pos="9219"/>
            </w:tabs>
            <w:rPr>
              <w:rFonts w:eastAsiaTheme="minorEastAsia" w:cstheme="minorBidi"/>
              <w:b w:val="0"/>
              <w:bCs w:val="0"/>
              <w:noProof/>
              <w:color w:val="auto"/>
              <w:kern w:val="2"/>
              <w:sz w:val="24"/>
              <w:szCs w:val="24"/>
              <w:lang w:val="en-GB" w:eastAsia="en-GB"/>
              <w14:ligatures w14:val="standardContextual"/>
            </w:rPr>
          </w:pPr>
          <w:hyperlink w:anchor="_Toc218713261" w:history="1">
            <w:r w:rsidR="001A4564" w:rsidRPr="00B30D38">
              <w:rPr>
                <w:rStyle w:val="Hyperlink"/>
                <w:rFonts w:cstheme="majorHAnsi"/>
                <w:noProof/>
              </w:rPr>
              <w:t>3.3 Young Victims and Specialist Practice</w:t>
            </w:r>
            <w:r w:rsidR="001A4564">
              <w:rPr>
                <w:noProof/>
                <w:webHidden/>
              </w:rPr>
              <w:tab/>
            </w:r>
            <w:r w:rsidR="001A4564">
              <w:rPr>
                <w:noProof/>
                <w:webHidden/>
              </w:rPr>
              <w:fldChar w:fldCharType="begin"/>
            </w:r>
            <w:r w:rsidR="001A4564">
              <w:rPr>
                <w:noProof/>
                <w:webHidden/>
              </w:rPr>
              <w:instrText xml:space="preserve"> PAGEREF _Toc218713261 \h </w:instrText>
            </w:r>
            <w:r w:rsidR="001A4564">
              <w:rPr>
                <w:noProof/>
                <w:webHidden/>
              </w:rPr>
            </w:r>
            <w:r w:rsidR="001A4564">
              <w:rPr>
                <w:noProof/>
                <w:webHidden/>
              </w:rPr>
              <w:fldChar w:fldCharType="separate"/>
            </w:r>
            <w:r w:rsidR="001A4564">
              <w:rPr>
                <w:noProof/>
                <w:webHidden/>
              </w:rPr>
              <w:t>13</w:t>
            </w:r>
            <w:r w:rsidR="001A4564">
              <w:rPr>
                <w:noProof/>
                <w:webHidden/>
              </w:rPr>
              <w:fldChar w:fldCharType="end"/>
            </w:r>
          </w:hyperlink>
        </w:p>
        <w:p w14:paraId="0C70FFA5" w14:textId="761769DA" w:rsidR="001A4564" w:rsidRDefault="00000000">
          <w:pPr>
            <w:pStyle w:val="TOC2"/>
            <w:tabs>
              <w:tab w:val="right" w:leader="dot" w:pos="9219"/>
            </w:tabs>
            <w:rPr>
              <w:rFonts w:eastAsiaTheme="minorEastAsia" w:cstheme="minorBidi"/>
              <w:b w:val="0"/>
              <w:bCs w:val="0"/>
              <w:noProof/>
              <w:color w:val="auto"/>
              <w:kern w:val="2"/>
              <w:sz w:val="24"/>
              <w:szCs w:val="24"/>
              <w:lang w:val="en-GB" w:eastAsia="en-GB"/>
              <w14:ligatures w14:val="standardContextual"/>
            </w:rPr>
          </w:pPr>
          <w:hyperlink w:anchor="_Toc218713262" w:history="1">
            <w:r w:rsidR="001A4564" w:rsidRPr="00B30D38">
              <w:rPr>
                <w:rStyle w:val="Hyperlink"/>
                <w:noProof/>
              </w:rPr>
              <w:t>3.4 Mental Health Vulnerabilities: Criminalisation Risks</w:t>
            </w:r>
            <w:r w:rsidR="001A4564">
              <w:rPr>
                <w:noProof/>
                <w:webHidden/>
              </w:rPr>
              <w:tab/>
            </w:r>
            <w:r w:rsidR="001A4564">
              <w:rPr>
                <w:noProof/>
                <w:webHidden/>
              </w:rPr>
              <w:fldChar w:fldCharType="begin"/>
            </w:r>
            <w:r w:rsidR="001A4564">
              <w:rPr>
                <w:noProof/>
                <w:webHidden/>
              </w:rPr>
              <w:instrText xml:space="preserve"> PAGEREF _Toc218713262 \h </w:instrText>
            </w:r>
            <w:r w:rsidR="001A4564">
              <w:rPr>
                <w:noProof/>
                <w:webHidden/>
              </w:rPr>
            </w:r>
            <w:r w:rsidR="001A4564">
              <w:rPr>
                <w:noProof/>
                <w:webHidden/>
              </w:rPr>
              <w:fldChar w:fldCharType="separate"/>
            </w:r>
            <w:r w:rsidR="001A4564">
              <w:rPr>
                <w:noProof/>
                <w:webHidden/>
              </w:rPr>
              <w:t>13</w:t>
            </w:r>
            <w:r w:rsidR="001A4564">
              <w:rPr>
                <w:noProof/>
                <w:webHidden/>
              </w:rPr>
              <w:fldChar w:fldCharType="end"/>
            </w:r>
          </w:hyperlink>
        </w:p>
        <w:p w14:paraId="660C1510" w14:textId="2A695FA5" w:rsidR="001A4564" w:rsidRDefault="00000000">
          <w:pPr>
            <w:pStyle w:val="TOC2"/>
            <w:tabs>
              <w:tab w:val="right" w:leader="dot" w:pos="9219"/>
            </w:tabs>
            <w:rPr>
              <w:rFonts w:eastAsiaTheme="minorEastAsia" w:cstheme="minorBidi"/>
              <w:b w:val="0"/>
              <w:bCs w:val="0"/>
              <w:noProof/>
              <w:color w:val="auto"/>
              <w:kern w:val="2"/>
              <w:sz w:val="24"/>
              <w:szCs w:val="24"/>
              <w:lang w:val="en-GB" w:eastAsia="en-GB"/>
              <w14:ligatures w14:val="standardContextual"/>
            </w:rPr>
          </w:pPr>
          <w:hyperlink w:anchor="_Toc218713263" w:history="1">
            <w:r w:rsidR="001A4564" w:rsidRPr="00B30D38">
              <w:rPr>
                <w:rStyle w:val="Hyperlink"/>
                <w:noProof/>
              </w:rPr>
              <w:t>3.5 Attrition and Procedural Outcomes</w:t>
            </w:r>
            <w:r w:rsidR="001A4564">
              <w:rPr>
                <w:noProof/>
                <w:webHidden/>
              </w:rPr>
              <w:tab/>
            </w:r>
            <w:r w:rsidR="001A4564">
              <w:rPr>
                <w:noProof/>
                <w:webHidden/>
              </w:rPr>
              <w:fldChar w:fldCharType="begin"/>
            </w:r>
            <w:r w:rsidR="001A4564">
              <w:rPr>
                <w:noProof/>
                <w:webHidden/>
              </w:rPr>
              <w:instrText xml:space="preserve"> PAGEREF _Toc218713263 \h </w:instrText>
            </w:r>
            <w:r w:rsidR="001A4564">
              <w:rPr>
                <w:noProof/>
                <w:webHidden/>
              </w:rPr>
            </w:r>
            <w:r w:rsidR="001A4564">
              <w:rPr>
                <w:noProof/>
                <w:webHidden/>
              </w:rPr>
              <w:fldChar w:fldCharType="separate"/>
            </w:r>
            <w:r w:rsidR="001A4564">
              <w:rPr>
                <w:noProof/>
                <w:webHidden/>
              </w:rPr>
              <w:t>14</w:t>
            </w:r>
            <w:r w:rsidR="001A4564">
              <w:rPr>
                <w:noProof/>
                <w:webHidden/>
              </w:rPr>
              <w:fldChar w:fldCharType="end"/>
            </w:r>
          </w:hyperlink>
        </w:p>
        <w:p w14:paraId="7890E286" w14:textId="14252272" w:rsidR="001A4564" w:rsidRDefault="00000000">
          <w:pPr>
            <w:pStyle w:val="TOC1"/>
            <w:tabs>
              <w:tab w:val="right" w:leader="dot" w:pos="9219"/>
            </w:tabs>
            <w:rPr>
              <w:rFonts w:eastAsiaTheme="minorEastAsia" w:cstheme="minorBidi"/>
              <w:b w:val="0"/>
              <w:bCs w:val="0"/>
              <w:i w:val="0"/>
              <w:iCs w:val="0"/>
              <w:noProof/>
              <w:color w:val="auto"/>
              <w:kern w:val="2"/>
              <w:lang w:val="en-GB" w:eastAsia="en-GB"/>
              <w14:ligatures w14:val="standardContextual"/>
            </w:rPr>
          </w:pPr>
          <w:hyperlink w:anchor="_Toc218713264" w:history="1">
            <w:r w:rsidR="001A4564" w:rsidRPr="00B30D38">
              <w:rPr>
                <w:rStyle w:val="Hyperlink"/>
                <w:noProof/>
              </w:rPr>
              <w:t>4. Court Processes: Special Measures and the Pursuit of Justice</w:t>
            </w:r>
            <w:r w:rsidR="001A4564">
              <w:rPr>
                <w:noProof/>
                <w:webHidden/>
              </w:rPr>
              <w:tab/>
            </w:r>
            <w:r w:rsidR="001A4564">
              <w:rPr>
                <w:noProof/>
                <w:webHidden/>
              </w:rPr>
              <w:fldChar w:fldCharType="begin"/>
            </w:r>
            <w:r w:rsidR="001A4564">
              <w:rPr>
                <w:noProof/>
                <w:webHidden/>
              </w:rPr>
              <w:instrText xml:space="preserve"> PAGEREF _Toc218713264 \h </w:instrText>
            </w:r>
            <w:r w:rsidR="001A4564">
              <w:rPr>
                <w:noProof/>
                <w:webHidden/>
              </w:rPr>
            </w:r>
            <w:r w:rsidR="001A4564">
              <w:rPr>
                <w:noProof/>
                <w:webHidden/>
              </w:rPr>
              <w:fldChar w:fldCharType="separate"/>
            </w:r>
            <w:r w:rsidR="001A4564">
              <w:rPr>
                <w:noProof/>
                <w:webHidden/>
              </w:rPr>
              <w:t>14</w:t>
            </w:r>
            <w:r w:rsidR="001A4564">
              <w:rPr>
                <w:noProof/>
                <w:webHidden/>
              </w:rPr>
              <w:fldChar w:fldCharType="end"/>
            </w:r>
          </w:hyperlink>
        </w:p>
        <w:p w14:paraId="694F151B" w14:textId="1F8DF1C5" w:rsidR="001A4564" w:rsidRDefault="00000000">
          <w:pPr>
            <w:pStyle w:val="TOC2"/>
            <w:tabs>
              <w:tab w:val="right" w:leader="dot" w:pos="9219"/>
            </w:tabs>
            <w:rPr>
              <w:rFonts w:eastAsiaTheme="minorEastAsia" w:cstheme="minorBidi"/>
              <w:b w:val="0"/>
              <w:bCs w:val="0"/>
              <w:noProof/>
              <w:color w:val="auto"/>
              <w:kern w:val="2"/>
              <w:sz w:val="24"/>
              <w:szCs w:val="24"/>
              <w:lang w:val="en-GB" w:eastAsia="en-GB"/>
              <w14:ligatures w14:val="standardContextual"/>
            </w:rPr>
          </w:pPr>
          <w:hyperlink w:anchor="_Toc218713265" w:history="1">
            <w:r w:rsidR="001A4564" w:rsidRPr="00B30D38">
              <w:rPr>
                <w:rStyle w:val="Hyperlink"/>
                <w:noProof/>
              </w:rPr>
              <w:t>4.1 Special Measures under the Youth Justice and Criminal Evidence Act 1999</w:t>
            </w:r>
            <w:r w:rsidR="001A4564">
              <w:rPr>
                <w:noProof/>
                <w:webHidden/>
              </w:rPr>
              <w:tab/>
            </w:r>
            <w:r w:rsidR="001A4564">
              <w:rPr>
                <w:noProof/>
                <w:webHidden/>
              </w:rPr>
              <w:fldChar w:fldCharType="begin"/>
            </w:r>
            <w:r w:rsidR="001A4564">
              <w:rPr>
                <w:noProof/>
                <w:webHidden/>
              </w:rPr>
              <w:instrText xml:space="preserve"> PAGEREF _Toc218713265 \h </w:instrText>
            </w:r>
            <w:r w:rsidR="001A4564">
              <w:rPr>
                <w:noProof/>
                <w:webHidden/>
              </w:rPr>
            </w:r>
            <w:r w:rsidR="001A4564">
              <w:rPr>
                <w:noProof/>
                <w:webHidden/>
              </w:rPr>
              <w:fldChar w:fldCharType="separate"/>
            </w:r>
            <w:r w:rsidR="001A4564">
              <w:rPr>
                <w:noProof/>
                <w:webHidden/>
              </w:rPr>
              <w:t>15</w:t>
            </w:r>
            <w:r w:rsidR="001A4564">
              <w:rPr>
                <w:noProof/>
                <w:webHidden/>
              </w:rPr>
              <w:fldChar w:fldCharType="end"/>
            </w:r>
          </w:hyperlink>
        </w:p>
        <w:p w14:paraId="19E99257" w14:textId="3B68441B" w:rsidR="001A4564" w:rsidRDefault="00000000">
          <w:pPr>
            <w:pStyle w:val="TOC2"/>
            <w:tabs>
              <w:tab w:val="right" w:leader="dot" w:pos="9219"/>
            </w:tabs>
            <w:rPr>
              <w:rFonts w:eastAsiaTheme="minorEastAsia" w:cstheme="minorBidi"/>
              <w:b w:val="0"/>
              <w:bCs w:val="0"/>
              <w:noProof/>
              <w:color w:val="auto"/>
              <w:kern w:val="2"/>
              <w:sz w:val="24"/>
              <w:szCs w:val="24"/>
              <w:lang w:val="en-GB" w:eastAsia="en-GB"/>
              <w14:ligatures w14:val="standardContextual"/>
            </w:rPr>
          </w:pPr>
          <w:hyperlink w:anchor="_Toc218713266" w:history="1">
            <w:r w:rsidR="001A4564" w:rsidRPr="00B30D38">
              <w:rPr>
                <w:rStyle w:val="Hyperlink"/>
                <w:noProof/>
              </w:rPr>
              <w:t>4.2 Delays and Secondary Trauma</w:t>
            </w:r>
            <w:r w:rsidR="001A4564">
              <w:rPr>
                <w:noProof/>
                <w:webHidden/>
              </w:rPr>
              <w:tab/>
            </w:r>
            <w:r w:rsidR="001A4564">
              <w:rPr>
                <w:noProof/>
                <w:webHidden/>
              </w:rPr>
              <w:fldChar w:fldCharType="begin"/>
            </w:r>
            <w:r w:rsidR="001A4564">
              <w:rPr>
                <w:noProof/>
                <w:webHidden/>
              </w:rPr>
              <w:instrText xml:space="preserve"> PAGEREF _Toc218713266 \h </w:instrText>
            </w:r>
            <w:r w:rsidR="001A4564">
              <w:rPr>
                <w:noProof/>
                <w:webHidden/>
              </w:rPr>
            </w:r>
            <w:r w:rsidR="001A4564">
              <w:rPr>
                <w:noProof/>
                <w:webHidden/>
              </w:rPr>
              <w:fldChar w:fldCharType="separate"/>
            </w:r>
            <w:r w:rsidR="001A4564">
              <w:rPr>
                <w:noProof/>
                <w:webHidden/>
              </w:rPr>
              <w:t>15</w:t>
            </w:r>
            <w:r w:rsidR="001A4564">
              <w:rPr>
                <w:noProof/>
                <w:webHidden/>
              </w:rPr>
              <w:fldChar w:fldCharType="end"/>
            </w:r>
          </w:hyperlink>
        </w:p>
        <w:p w14:paraId="309FCBCE" w14:textId="6C472121" w:rsidR="001A4564" w:rsidRDefault="00000000">
          <w:pPr>
            <w:pStyle w:val="TOC2"/>
            <w:tabs>
              <w:tab w:val="right" w:leader="dot" w:pos="9219"/>
            </w:tabs>
            <w:rPr>
              <w:rFonts w:eastAsiaTheme="minorEastAsia" w:cstheme="minorBidi"/>
              <w:b w:val="0"/>
              <w:bCs w:val="0"/>
              <w:noProof/>
              <w:color w:val="auto"/>
              <w:kern w:val="2"/>
              <w:sz w:val="24"/>
              <w:szCs w:val="24"/>
              <w:lang w:val="en-GB" w:eastAsia="en-GB"/>
              <w14:ligatures w14:val="standardContextual"/>
            </w:rPr>
          </w:pPr>
          <w:hyperlink w:anchor="_Toc218713267" w:history="1">
            <w:r w:rsidR="001A4564" w:rsidRPr="00B30D38">
              <w:rPr>
                <w:rStyle w:val="Hyperlink"/>
                <w:noProof/>
              </w:rPr>
              <w:t>4.3 Cross-Examination, Credibility and Rape Myths</w:t>
            </w:r>
            <w:r w:rsidR="001A4564">
              <w:rPr>
                <w:noProof/>
                <w:webHidden/>
              </w:rPr>
              <w:tab/>
            </w:r>
            <w:r w:rsidR="001A4564">
              <w:rPr>
                <w:noProof/>
                <w:webHidden/>
              </w:rPr>
              <w:fldChar w:fldCharType="begin"/>
            </w:r>
            <w:r w:rsidR="001A4564">
              <w:rPr>
                <w:noProof/>
                <w:webHidden/>
              </w:rPr>
              <w:instrText xml:space="preserve"> PAGEREF _Toc218713267 \h </w:instrText>
            </w:r>
            <w:r w:rsidR="001A4564">
              <w:rPr>
                <w:noProof/>
                <w:webHidden/>
              </w:rPr>
            </w:r>
            <w:r w:rsidR="001A4564">
              <w:rPr>
                <w:noProof/>
                <w:webHidden/>
              </w:rPr>
              <w:fldChar w:fldCharType="separate"/>
            </w:r>
            <w:r w:rsidR="001A4564">
              <w:rPr>
                <w:noProof/>
                <w:webHidden/>
              </w:rPr>
              <w:t>16</w:t>
            </w:r>
            <w:r w:rsidR="001A4564">
              <w:rPr>
                <w:noProof/>
                <w:webHidden/>
              </w:rPr>
              <w:fldChar w:fldCharType="end"/>
            </w:r>
          </w:hyperlink>
        </w:p>
        <w:p w14:paraId="7D5A5A26" w14:textId="2FF238D7" w:rsidR="001A4564" w:rsidRDefault="00000000">
          <w:pPr>
            <w:pStyle w:val="TOC2"/>
            <w:tabs>
              <w:tab w:val="right" w:leader="dot" w:pos="9219"/>
            </w:tabs>
            <w:rPr>
              <w:rFonts w:eastAsiaTheme="minorEastAsia" w:cstheme="minorBidi"/>
              <w:b w:val="0"/>
              <w:bCs w:val="0"/>
              <w:noProof/>
              <w:color w:val="auto"/>
              <w:kern w:val="2"/>
              <w:sz w:val="24"/>
              <w:szCs w:val="24"/>
              <w:lang w:val="en-GB" w:eastAsia="en-GB"/>
              <w14:ligatures w14:val="standardContextual"/>
            </w:rPr>
          </w:pPr>
          <w:hyperlink w:anchor="_Toc218713268" w:history="1">
            <w:r w:rsidR="001A4564" w:rsidRPr="00B30D38">
              <w:rPr>
                <w:rStyle w:val="Hyperlink"/>
                <w:noProof/>
                <w:lang w:val="en-GB" w:eastAsia="en-GB"/>
              </w:rPr>
              <w:t>4.4 Open Justice and Victim Safety</w:t>
            </w:r>
            <w:r w:rsidR="001A4564">
              <w:rPr>
                <w:noProof/>
                <w:webHidden/>
              </w:rPr>
              <w:tab/>
            </w:r>
            <w:r w:rsidR="001A4564">
              <w:rPr>
                <w:noProof/>
                <w:webHidden/>
              </w:rPr>
              <w:fldChar w:fldCharType="begin"/>
            </w:r>
            <w:r w:rsidR="001A4564">
              <w:rPr>
                <w:noProof/>
                <w:webHidden/>
              </w:rPr>
              <w:instrText xml:space="preserve"> PAGEREF _Toc218713268 \h </w:instrText>
            </w:r>
            <w:r w:rsidR="001A4564">
              <w:rPr>
                <w:noProof/>
                <w:webHidden/>
              </w:rPr>
            </w:r>
            <w:r w:rsidR="001A4564">
              <w:rPr>
                <w:noProof/>
                <w:webHidden/>
              </w:rPr>
              <w:fldChar w:fldCharType="separate"/>
            </w:r>
            <w:r w:rsidR="001A4564">
              <w:rPr>
                <w:noProof/>
                <w:webHidden/>
              </w:rPr>
              <w:t>16</w:t>
            </w:r>
            <w:r w:rsidR="001A4564">
              <w:rPr>
                <w:noProof/>
                <w:webHidden/>
              </w:rPr>
              <w:fldChar w:fldCharType="end"/>
            </w:r>
          </w:hyperlink>
        </w:p>
        <w:p w14:paraId="0E416C7A" w14:textId="3E073891" w:rsidR="001A4564" w:rsidRDefault="00000000">
          <w:pPr>
            <w:pStyle w:val="TOC1"/>
            <w:tabs>
              <w:tab w:val="right" w:leader="dot" w:pos="9219"/>
            </w:tabs>
            <w:rPr>
              <w:rFonts w:eastAsiaTheme="minorEastAsia" w:cstheme="minorBidi"/>
              <w:b w:val="0"/>
              <w:bCs w:val="0"/>
              <w:i w:val="0"/>
              <w:iCs w:val="0"/>
              <w:noProof/>
              <w:color w:val="auto"/>
              <w:kern w:val="2"/>
              <w:lang w:val="en-GB" w:eastAsia="en-GB"/>
              <w14:ligatures w14:val="standardContextual"/>
            </w:rPr>
          </w:pPr>
          <w:hyperlink w:anchor="_Toc218713269" w:history="1">
            <w:r w:rsidR="001A4564" w:rsidRPr="00B30D38">
              <w:rPr>
                <w:rStyle w:val="Hyperlink"/>
                <w:noProof/>
              </w:rPr>
              <w:t>5. Post-Trial and Long-Term Support</w:t>
            </w:r>
            <w:r w:rsidR="001A4564">
              <w:rPr>
                <w:noProof/>
                <w:webHidden/>
              </w:rPr>
              <w:tab/>
            </w:r>
            <w:r w:rsidR="001A4564">
              <w:rPr>
                <w:noProof/>
                <w:webHidden/>
              </w:rPr>
              <w:fldChar w:fldCharType="begin"/>
            </w:r>
            <w:r w:rsidR="001A4564">
              <w:rPr>
                <w:noProof/>
                <w:webHidden/>
              </w:rPr>
              <w:instrText xml:space="preserve"> PAGEREF _Toc218713269 \h </w:instrText>
            </w:r>
            <w:r w:rsidR="001A4564">
              <w:rPr>
                <w:noProof/>
                <w:webHidden/>
              </w:rPr>
            </w:r>
            <w:r w:rsidR="001A4564">
              <w:rPr>
                <w:noProof/>
                <w:webHidden/>
              </w:rPr>
              <w:fldChar w:fldCharType="separate"/>
            </w:r>
            <w:r w:rsidR="001A4564">
              <w:rPr>
                <w:noProof/>
                <w:webHidden/>
              </w:rPr>
              <w:t>16</w:t>
            </w:r>
            <w:r w:rsidR="001A4564">
              <w:rPr>
                <w:noProof/>
                <w:webHidden/>
              </w:rPr>
              <w:fldChar w:fldCharType="end"/>
            </w:r>
          </w:hyperlink>
        </w:p>
        <w:p w14:paraId="7EEB43C8" w14:textId="0DDB963D" w:rsidR="001A4564" w:rsidRDefault="00000000">
          <w:pPr>
            <w:pStyle w:val="TOC2"/>
            <w:tabs>
              <w:tab w:val="right" w:leader="dot" w:pos="9219"/>
            </w:tabs>
            <w:rPr>
              <w:rFonts w:eastAsiaTheme="minorEastAsia" w:cstheme="minorBidi"/>
              <w:b w:val="0"/>
              <w:bCs w:val="0"/>
              <w:noProof/>
              <w:color w:val="auto"/>
              <w:kern w:val="2"/>
              <w:sz w:val="24"/>
              <w:szCs w:val="24"/>
              <w:lang w:val="en-GB" w:eastAsia="en-GB"/>
              <w14:ligatures w14:val="standardContextual"/>
            </w:rPr>
          </w:pPr>
          <w:hyperlink w:anchor="_Toc218713270" w:history="1">
            <w:r w:rsidR="001A4564" w:rsidRPr="00B30D38">
              <w:rPr>
                <w:rStyle w:val="Hyperlink"/>
                <w:rFonts w:cstheme="majorHAnsi"/>
                <w:noProof/>
              </w:rPr>
              <w:t>5.2 Specialist Advocacy and Community Services</w:t>
            </w:r>
            <w:r w:rsidR="001A4564">
              <w:rPr>
                <w:noProof/>
                <w:webHidden/>
              </w:rPr>
              <w:tab/>
            </w:r>
            <w:r w:rsidR="001A4564">
              <w:rPr>
                <w:noProof/>
                <w:webHidden/>
              </w:rPr>
              <w:fldChar w:fldCharType="begin"/>
            </w:r>
            <w:r w:rsidR="001A4564">
              <w:rPr>
                <w:noProof/>
                <w:webHidden/>
              </w:rPr>
              <w:instrText xml:space="preserve"> PAGEREF _Toc218713270 \h </w:instrText>
            </w:r>
            <w:r w:rsidR="001A4564">
              <w:rPr>
                <w:noProof/>
                <w:webHidden/>
              </w:rPr>
            </w:r>
            <w:r w:rsidR="001A4564">
              <w:rPr>
                <w:noProof/>
                <w:webHidden/>
              </w:rPr>
              <w:fldChar w:fldCharType="separate"/>
            </w:r>
            <w:r w:rsidR="001A4564">
              <w:rPr>
                <w:noProof/>
                <w:webHidden/>
              </w:rPr>
              <w:t>17</w:t>
            </w:r>
            <w:r w:rsidR="001A4564">
              <w:rPr>
                <w:noProof/>
                <w:webHidden/>
              </w:rPr>
              <w:fldChar w:fldCharType="end"/>
            </w:r>
          </w:hyperlink>
        </w:p>
        <w:p w14:paraId="22944A17" w14:textId="70E96C69" w:rsidR="001A4564" w:rsidRDefault="00000000">
          <w:pPr>
            <w:pStyle w:val="TOC1"/>
            <w:tabs>
              <w:tab w:val="right" w:leader="dot" w:pos="9219"/>
            </w:tabs>
            <w:rPr>
              <w:rFonts w:eastAsiaTheme="minorEastAsia" w:cstheme="minorBidi"/>
              <w:b w:val="0"/>
              <w:bCs w:val="0"/>
              <w:i w:val="0"/>
              <w:iCs w:val="0"/>
              <w:noProof/>
              <w:color w:val="auto"/>
              <w:kern w:val="2"/>
              <w:lang w:val="en-GB" w:eastAsia="en-GB"/>
              <w14:ligatures w14:val="standardContextual"/>
            </w:rPr>
          </w:pPr>
          <w:hyperlink w:anchor="_Toc218713271" w:history="1">
            <w:r w:rsidR="001A4564" w:rsidRPr="00B30D38">
              <w:rPr>
                <w:rStyle w:val="Hyperlink"/>
                <w:noProof/>
              </w:rPr>
              <w:t>6. Comparative Experiences of Vulnerable Victim Groups</w:t>
            </w:r>
            <w:r w:rsidR="001A4564">
              <w:rPr>
                <w:noProof/>
                <w:webHidden/>
              </w:rPr>
              <w:tab/>
            </w:r>
            <w:r w:rsidR="001A4564">
              <w:rPr>
                <w:noProof/>
                <w:webHidden/>
              </w:rPr>
              <w:fldChar w:fldCharType="begin"/>
            </w:r>
            <w:r w:rsidR="001A4564">
              <w:rPr>
                <w:noProof/>
                <w:webHidden/>
              </w:rPr>
              <w:instrText xml:space="preserve"> PAGEREF _Toc218713271 \h </w:instrText>
            </w:r>
            <w:r w:rsidR="001A4564">
              <w:rPr>
                <w:noProof/>
                <w:webHidden/>
              </w:rPr>
            </w:r>
            <w:r w:rsidR="001A4564">
              <w:rPr>
                <w:noProof/>
                <w:webHidden/>
              </w:rPr>
              <w:fldChar w:fldCharType="separate"/>
            </w:r>
            <w:r w:rsidR="001A4564">
              <w:rPr>
                <w:noProof/>
                <w:webHidden/>
              </w:rPr>
              <w:t>17</w:t>
            </w:r>
            <w:r w:rsidR="001A4564">
              <w:rPr>
                <w:noProof/>
                <w:webHidden/>
              </w:rPr>
              <w:fldChar w:fldCharType="end"/>
            </w:r>
          </w:hyperlink>
        </w:p>
        <w:p w14:paraId="2DEB268E" w14:textId="36E3244F" w:rsidR="001A4564" w:rsidRDefault="00000000">
          <w:pPr>
            <w:pStyle w:val="TOC1"/>
            <w:tabs>
              <w:tab w:val="right" w:leader="dot" w:pos="9219"/>
            </w:tabs>
            <w:rPr>
              <w:rFonts w:eastAsiaTheme="minorEastAsia" w:cstheme="minorBidi"/>
              <w:b w:val="0"/>
              <w:bCs w:val="0"/>
              <w:i w:val="0"/>
              <w:iCs w:val="0"/>
              <w:noProof/>
              <w:color w:val="auto"/>
              <w:kern w:val="2"/>
              <w:lang w:val="en-GB" w:eastAsia="en-GB"/>
              <w14:ligatures w14:val="standardContextual"/>
            </w:rPr>
          </w:pPr>
          <w:hyperlink w:anchor="_Toc218713272" w:history="1">
            <w:r w:rsidR="001A4564" w:rsidRPr="00B30D38">
              <w:rPr>
                <w:rStyle w:val="Hyperlink"/>
                <w:noProof/>
                <w:lang w:val="en-GB" w:eastAsia="en-GB"/>
              </w:rPr>
              <w:t>7. Future Measures and Systemic Reform</w:t>
            </w:r>
            <w:r w:rsidR="001A4564">
              <w:rPr>
                <w:noProof/>
                <w:webHidden/>
              </w:rPr>
              <w:tab/>
            </w:r>
            <w:r w:rsidR="001A4564">
              <w:rPr>
                <w:noProof/>
                <w:webHidden/>
              </w:rPr>
              <w:fldChar w:fldCharType="begin"/>
            </w:r>
            <w:r w:rsidR="001A4564">
              <w:rPr>
                <w:noProof/>
                <w:webHidden/>
              </w:rPr>
              <w:instrText xml:space="preserve"> PAGEREF _Toc218713272 \h </w:instrText>
            </w:r>
            <w:r w:rsidR="001A4564">
              <w:rPr>
                <w:noProof/>
                <w:webHidden/>
              </w:rPr>
            </w:r>
            <w:r w:rsidR="001A4564">
              <w:rPr>
                <w:noProof/>
                <w:webHidden/>
              </w:rPr>
              <w:fldChar w:fldCharType="separate"/>
            </w:r>
            <w:r w:rsidR="001A4564">
              <w:rPr>
                <w:noProof/>
                <w:webHidden/>
              </w:rPr>
              <w:t>18</w:t>
            </w:r>
            <w:r w:rsidR="001A4564">
              <w:rPr>
                <w:noProof/>
                <w:webHidden/>
              </w:rPr>
              <w:fldChar w:fldCharType="end"/>
            </w:r>
          </w:hyperlink>
        </w:p>
        <w:p w14:paraId="3132D307" w14:textId="319BC19F" w:rsidR="001A4564" w:rsidRDefault="00000000">
          <w:pPr>
            <w:pStyle w:val="TOC2"/>
            <w:tabs>
              <w:tab w:val="right" w:leader="dot" w:pos="9219"/>
            </w:tabs>
            <w:rPr>
              <w:rFonts w:eastAsiaTheme="minorEastAsia" w:cstheme="minorBidi"/>
              <w:b w:val="0"/>
              <w:bCs w:val="0"/>
              <w:noProof/>
              <w:color w:val="auto"/>
              <w:kern w:val="2"/>
              <w:sz w:val="24"/>
              <w:szCs w:val="24"/>
              <w:lang w:val="en-GB" w:eastAsia="en-GB"/>
              <w14:ligatures w14:val="standardContextual"/>
            </w:rPr>
          </w:pPr>
          <w:hyperlink w:anchor="_Toc218713273" w:history="1">
            <w:r w:rsidR="001A4564" w:rsidRPr="00B30D38">
              <w:rPr>
                <w:rStyle w:val="Hyperlink"/>
                <w:noProof/>
              </w:rPr>
              <w:t>7.1 Critical Summary of Proposed Reforms-</w:t>
            </w:r>
            <w:r w:rsidR="001A4564">
              <w:rPr>
                <w:noProof/>
                <w:webHidden/>
              </w:rPr>
              <w:tab/>
            </w:r>
            <w:r w:rsidR="001A4564">
              <w:rPr>
                <w:noProof/>
                <w:webHidden/>
              </w:rPr>
              <w:fldChar w:fldCharType="begin"/>
            </w:r>
            <w:r w:rsidR="001A4564">
              <w:rPr>
                <w:noProof/>
                <w:webHidden/>
              </w:rPr>
              <w:instrText xml:space="preserve"> PAGEREF _Toc218713273 \h </w:instrText>
            </w:r>
            <w:r w:rsidR="001A4564">
              <w:rPr>
                <w:noProof/>
                <w:webHidden/>
              </w:rPr>
            </w:r>
            <w:r w:rsidR="001A4564">
              <w:rPr>
                <w:noProof/>
                <w:webHidden/>
              </w:rPr>
              <w:fldChar w:fldCharType="separate"/>
            </w:r>
            <w:r w:rsidR="001A4564">
              <w:rPr>
                <w:noProof/>
                <w:webHidden/>
              </w:rPr>
              <w:t>18</w:t>
            </w:r>
            <w:r w:rsidR="001A4564">
              <w:rPr>
                <w:noProof/>
                <w:webHidden/>
              </w:rPr>
              <w:fldChar w:fldCharType="end"/>
            </w:r>
          </w:hyperlink>
        </w:p>
        <w:p w14:paraId="05D68B4A" w14:textId="1B0A98C6" w:rsidR="001A4564" w:rsidRDefault="00000000">
          <w:pPr>
            <w:pStyle w:val="TOC1"/>
            <w:tabs>
              <w:tab w:val="right" w:leader="dot" w:pos="9219"/>
            </w:tabs>
            <w:rPr>
              <w:rFonts w:eastAsiaTheme="minorEastAsia" w:cstheme="minorBidi"/>
              <w:b w:val="0"/>
              <w:bCs w:val="0"/>
              <w:i w:val="0"/>
              <w:iCs w:val="0"/>
              <w:noProof/>
              <w:color w:val="auto"/>
              <w:kern w:val="2"/>
              <w:lang w:val="en-GB" w:eastAsia="en-GB"/>
              <w14:ligatures w14:val="standardContextual"/>
            </w:rPr>
          </w:pPr>
          <w:hyperlink w:anchor="_Toc218713274" w:history="1">
            <w:r w:rsidR="001A4564" w:rsidRPr="00B30D38">
              <w:rPr>
                <w:rStyle w:val="Hyperlink"/>
                <w:noProof/>
              </w:rPr>
              <w:t>8. Conclusion</w:t>
            </w:r>
            <w:r w:rsidR="001A4564">
              <w:rPr>
                <w:noProof/>
                <w:webHidden/>
              </w:rPr>
              <w:tab/>
            </w:r>
            <w:r w:rsidR="001A4564">
              <w:rPr>
                <w:noProof/>
                <w:webHidden/>
              </w:rPr>
              <w:fldChar w:fldCharType="begin"/>
            </w:r>
            <w:r w:rsidR="001A4564">
              <w:rPr>
                <w:noProof/>
                <w:webHidden/>
              </w:rPr>
              <w:instrText xml:space="preserve"> PAGEREF _Toc218713274 \h </w:instrText>
            </w:r>
            <w:r w:rsidR="001A4564">
              <w:rPr>
                <w:noProof/>
                <w:webHidden/>
              </w:rPr>
            </w:r>
            <w:r w:rsidR="001A4564">
              <w:rPr>
                <w:noProof/>
                <w:webHidden/>
              </w:rPr>
              <w:fldChar w:fldCharType="separate"/>
            </w:r>
            <w:r w:rsidR="001A4564">
              <w:rPr>
                <w:noProof/>
                <w:webHidden/>
              </w:rPr>
              <w:t>19</w:t>
            </w:r>
            <w:r w:rsidR="001A4564">
              <w:rPr>
                <w:noProof/>
                <w:webHidden/>
              </w:rPr>
              <w:fldChar w:fldCharType="end"/>
            </w:r>
          </w:hyperlink>
        </w:p>
        <w:p w14:paraId="12AA3DE6" w14:textId="24E7436C" w:rsidR="001A4564" w:rsidRDefault="00000000">
          <w:pPr>
            <w:pStyle w:val="TOC1"/>
            <w:tabs>
              <w:tab w:val="right" w:leader="dot" w:pos="9219"/>
            </w:tabs>
            <w:rPr>
              <w:rFonts w:eastAsiaTheme="minorEastAsia" w:cstheme="minorBidi"/>
              <w:b w:val="0"/>
              <w:bCs w:val="0"/>
              <w:i w:val="0"/>
              <w:iCs w:val="0"/>
              <w:noProof/>
              <w:color w:val="auto"/>
              <w:kern w:val="2"/>
              <w:lang w:val="en-GB" w:eastAsia="en-GB"/>
              <w14:ligatures w14:val="standardContextual"/>
            </w:rPr>
          </w:pPr>
          <w:hyperlink w:anchor="_Toc218713275" w:history="1">
            <w:r w:rsidR="001A4564" w:rsidRPr="00B30D38">
              <w:rPr>
                <w:rStyle w:val="Hyperlink"/>
                <w:noProof/>
              </w:rPr>
              <w:t>Acknowledgement</w:t>
            </w:r>
            <w:r w:rsidR="001A4564">
              <w:rPr>
                <w:noProof/>
                <w:webHidden/>
              </w:rPr>
              <w:tab/>
            </w:r>
            <w:r w:rsidR="001A4564">
              <w:rPr>
                <w:noProof/>
                <w:webHidden/>
              </w:rPr>
              <w:fldChar w:fldCharType="begin"/>
            </w:r>
            <w:r w:rsidR="001A4564">
              <w:rPr>
                <w:noProof/>
                <w:webHidden/>
              </w:rPr>
              <w:instrText xml:space="preserve"> PAGEREF _Toc218713275 \h </w:instrText>
            </w:r>
            <w:r w:rsidR="001A4564">
              <w:rPr>
                <w:noProof/>
                <w:webHidden/>
              </w:rPr>
            </w:r>
            <w:r w:rsidR="001A4564">
              <w:rPr>
                <w:noProof/>
                <w:webHidden/>
              </w:rPr>
              <w:fldChar w:fldCharType="separate"/>
            </w:r>
            <w:r w:rsidR="001A4564">
              <w:rPr>
                <w:noProof/>
                <w:webHidden/>
              </w:rPr>
              <w:t>20</w:t>
            </w:r>
            <w:r w:rsidR="001A4564">
              <w:rPr>
                <w:noProof/>
                <w:webHidden/>
              </w:rPr>
              <w:fldChar w:fldCharType="end"/>
            </w:r>
          </w:hyperlink>
        </w:p>
        <w:p w14:paraId="281553E2" w14:textId="3E96545E" w:rsidR="001A4564" w:rsidRDefault="00000000">
          <w:pPr>
            <w:pStyle w:val="TOC1"/>
            <w:tabs>
              <w:tab w:val="right" w:leader="dot" w:pos="9219"/>
            </w:tabs>
            <w:rPr>
              <w:rFonts w:eastAsiaTheme="minorEastAsia" w:cstheme="minorBidi"/>
              <w:b w:val="0"/>
              <w:bCs w:val="0"/>
              <w:i w:val="0"/>
              <w:iCs w:val="0"/>
              <w:noProof/>
              <w:color w:val="auto"/>
              <w:kern w:val="2"/>
              <w:lang w:val="en-GB" w:eastAsia="en-GB"/>
              <w14:ligatures w14:val="standardContextual"/>
            </w:rPr>
          </w:pPr>
          <w:hyperlink w:anchor="_Toc218713276" w:history="1">
            <w:r w:rsidR="001A4564" w:rsidRPr="00B30D38">
              <w:rPr>
                <w:rStyle w:val="Hyperlink"/>
                <w:noProof/>
              </w:rPr>
              <w:t>References</w:t>
            </w:r>
            <w:r w:rsidR="001A4564">
              <w:rPr>
                <w:noProof/>
                <w:webHidden/>
              </w:rPr>
              <w:tab/>
            </w:r>
            <w:r w:rsidR="001A4564">
              <w:rPr>
                <w:noProof/>
                <w:webHidden/>
              </w:rPr>
              <w:fldChar w:fldCharType="begin"/>
            </w:r>
            <w:r w:rsidR="001A4564">
              <w:rPr>
                <w:noProof/>
                <w:webHidden/>
              </w:rPr>
              <w:instrText xml:space="preserve"> PAGEREF _Toc218713276 \h </w:instrText>
            </w:r>
            <w:r w:rsidR="001A4564">
              <w:rPr>
                <w:noProof/>
                <w:webHidden/>
              </w:rPr>
            </w:r>
            <w:r w:rsidR="001A4564">
              <w:rPr>
                <w:noProof/>
                <w:webHidden/>
              </w:rPr>
              <w:fldChar w:fldCharType="separate"/>
            </w:r>
            <w:r w:rsidR="001A4564">
              <w:rPr>
                <w:noProof/>
                <w:webHidden/>
              </w:rPr>
              <w:t>21</w:t>
            </w:r>
            <w:r w:rsidR="001A4564">
              <w:rPr>
                <w:noProof/>
                <w:webHidden/>
              </w:rPr>
              <w:fldChar w:fldCharType="end"/>
            </w:r>
          </w:hyperlink>
        </w:p>
        <w:p w14:paraId="553FC8D6" w14:textId="72613454" w:rsidR="001A4564" w:rsidRDefault="00000000">
          <w:pPr>
            <w:pStyle w:val="TOC1"/>
            <w:tabs>
              <w:tab w:val="right" w:leader="dot" w:pos="9219"/>
            </w:tabs>
            <w:rPr>
              <w:rFonts w:eastAsiaTheme="minorEastAsia" w:cstheme="minorBidi"/>
              <w:b w:val="0"/>
              <w:bCs w:val="0"/>
              <w:i w:val="0"/>
              <w:iCs w:val="0"/>
              <w:noProof/>
              <w:color w:val="auto"/>
              <w:kern w:val="2"/>
              <w:lang w:val="en-GB" w:eastAsia="en-GB"/>
              <w14:ligatures w14:val="standardContextual"/>
            </w:rPr>
          </w:pPr>
          <w:hyperlink w:anchor="_Toc218713277" w:history="1">
            <w:r w:rsidR="001A4564" w:rsidRPr="00B30D38">
              <w:rPr>
                <w:rStyle w:val="Hyperlink"/>
                <w:noProof/>
              </w:rPr>
              <w:t>Appendices</w:t>
            </w:r>
            <w:r w:rsidR="001A4564">
              <w:rPr>
                <w:noProof/>
                <w:webHidden/>
              </w:rPr>
              <w:tab/>
            </w:r>
            <w:r w:rsidR="001A4564">
              <w:rPr>
                <w:noProof/>
                <w:webHidden/>
              </w:rPr>
              <w:fldChar w:fldCharType="begin"/>
            </w:r>
            <w:r w:rsidR="001A4564">
              <w:rPr>
                <w:noProof/>
                <w:webHidden/>
              </w:rPr>
              <w:instrText xml:space="preserve"> PAGEREF _Toc218713277 \h </w:instrText>
            </w:r>
            <w:r w:rsidR="001A4564">
              <w:rPr>
                <w:noProof/>
                <w:webHidden/>
              </w:rPr>
            </w:r>
            <w:r w:rsidR="001A4564">
              <w:rPr>
                <w:noProof/>
                <w:webHidden/>
              </w:rPr>
              <w:fldChar w:fldCharType="separate"/>
            </w:r>
            <w:r w:rsidR="001A4564">
              <w:rPr>
                <w:noProof/>
                <w:webHidden/>
              </w:rPr>
              <w:t>33</w:t>
            </w:r>
            <w:r w:rsidR="001A4564">
              <w:rPr>
                <w:noProof/>
                <w:webHidden/>
              </w:rPr>
              <w:fldChar w:fldCharType="end"/>
            </w:r>
          </w:hyperlink>
        </w:p>
        <w:p w14:paraId="0B089B61" w14:textId="0BDAA259" w:rsidR="001A4564" w:rsidRDefault="00000000">
          <w:pPr>
            <w:pStyle w:val="TOC2"/>
            <w:tabs>
              <w:tab w:val="right" w:leader="dot" w:pos="9219"/>
            </w:tabs>
            <w:rPr>
              <w:rFonts w:eastAsiaTheme="minorEastAsia" w:cstheme="minorBidi"/>
              <w:b w:val="0"/>
              <w:bCs w:val="0"/>
              <w:noProof/>
              <w:color w:val="auto"/>
              <w:kern w:val="2"/>
              <w:sz w:val="24"/>
              <w:szCs w:val="24"/>
              <w:lang w:val="en-GB" w:eastAsia="en-GB"/>
              <w14:ligatures w14:val="standardContextual"/>
            </w:rPr>
          </w:pPr>
          <w:hyperlink w:anchor="_Toc218713278" w:history="1">
            <w:r w:rsidR="001A4564" w:rsidRPr="00B30D38">
              <w:rPr>
                <w:rStyle w:val="Hyperlink"/>
                <w:noProof/>
              </w:rPr>
              <w:t>Appendix A – Police Engagement and Victim Communication</w:t>
            </w:r>
            <w:r w:rsidR="001A4564">
              <w:rPr>
                <w:noProof/>
                <w:webHidden/>
              </w:rPr>
              <w:tab/>
            </w:r>
            <w:r w:rsidR="001A4564">
              <w:rPr>
                <w:noProof/>
                <w:webHidden/>
              </w:rPr>
              <w:fldChar w:fldCharType="begin"/>
            </w:r>
            <w:r w:rsidR="001A4564">
              <w:rPr>
                <w:noProof/>
                <w:webHidden/>
              </w:rPr>
              <w:instrText xml:space="preserve"> PAGEREF _Toc218713278 \h </w:instrText>
            </w:r>
            <w:r w:rsidR="001A4564">
              <w:rPr>
                <w:noProof/>
                <w:webHidden/>
              </w:rPr>
            </w:r>
            <w:r w:rsidR="001A4564">
              <w:rPr>
                <w:noProof/>
                <w:webHidden/>
              </w:rPr>
              <w:fldChar w:fldCharType="separate"/>
            </w:r>
            <w:r w:rsidR="001A4564">
              <w:rPr>
                <w:noProof/>
                <w:webHidden/>
              </w:rPr>
              <w:t>33</w:t>
            </w:r>
            <w:r w:rsidR="001A4564">
              <w:rPr>
                <w:noProof/>
                <w:webHidden/>
              </w:rPr>
              <w:fldChar w:fldCharType="end"/>
            </w:r>
          </w:hyperlink>
        </w:p>
        <w:p w14:paraId="643D7F59" w14:textId="03BDAF70" w:rsidR="001A4564" w:rsidRDefault="00000000">
          <w:pPr>
            <w:pStyle w:val="TOC3"/>
            <w:tabs>
              <w:tab w:val="right" w:leader="dot" w:pos="9219"/>
            </w:tabs>
            <w:rPr>
              <w:rFonts w:eastAsiaTheme="minorEastAsia" w:cstheme="minorBidi"/>
              <w:noProof/>
              <w:color w:val="auto"/>
              <w:kern w:val="2"/>
              <w:sz w:val="24"/>
              <w:szCs w:val="24"/>
              <w:lang w:val="en-GB" w:eastAsia="en-GB"/>
              <w14:ligatures w14:val="standardContextual"/>
            </w:rPr>
          </w:pPr>
          <w:hyperlink w:anchor="_Toc218713279" w:history="1">
            <w:r w:rsidR="001A4564" w:rsidRPr="00B30D38">
              <w:rPr>
                <w:rStyle w:val="Hyperlink"/>
                <w:rFonts w:ascii="Arial" w:hAnsi="Arial" w:cs="Arial"/>
                <w:noProof/>
              </w:rPr>
              <w:t>Figure 1: Trauma-Informed Investigative Interviewing Principles</w:t>
            </w:r>
            <w:r w:rsidR="001A4564">
              <w:rPr>
                <w:noProof/>
                <w:webHidden/>
              </w:rPr>
              <w:tab/>
            </w:r>
            <w:r w:rsidR="001A4564">
              <w:rPr>
                <w:noProof/>
                <w:webHidden/>
              </w:rPr>
              <w:fldChar w:fldCharType="begin"/>
            </w:r>
            <w:r w:rsidR="001A4564">
              <w:rPr>
                <w:noProof/>
                <w:webHidden/>
              </w:rPr>
              <w:instrText xml:space="preserve"> PAGEREF _Toc218713279 \h </w:instrText>
            </w:r>
            <w:r w:rsidR="001A4564">
              <w:rPr>
                <w:noProof/>
                <w:webHidden/>
              </w:rPr>
            </w:r>
            <w:r w:rsidR="001A4564">
              <w:rPr>
                <w:noProof/>
                <w:webHidden/>
              </w:rPr>
              <w:fldChar w:fldCharType="separate"/>
            </w:r>
            <w:r w:rsidR="001A4564">
              <w:rPr>
                <w:noProof/>
                <w:webHidden/>
              </w:rPr>
              <w:t>33</w:t>
            </w:r>
            <w:r w:rsidR="001A4564">
              <w:rPr>
                <w:noProof/>
                <w:webHidden/>
              </w:rPr>
              <w:fldChar w:fldCharType="end"/>
            </w:r>
          </w:hyperlink>
        </w:p>
        <w:p w14:paraId="264B727E" w14:textId="5A8793F5" w:rsidR="001A4564" w:rsidRDefault="00000000">
          <w:pPr>
            <w:pStyle w:val="TOC3"/>
            <w:tabs>
              <w:tab w:val="right" w:leader="dot" w:pos="9219"/>
            </w:tabs>
            <w:rPr>
              <w:rFonts w:eastAsiaTheme="minorEastAsia" w:cstheme="minorBidi"/>
              <w:noProof/>
              <w:color w:val="auto"/>
              <w:kern w:val="2"/>
              <w:sz w:val="24"/>
              <w:szCs w:val="24"/>
              <w:lang w:val="en-GB" w:eastAsia="en-GB"/>
              <w14:ligatures w14:val="standardContextual"/>
            </w:rPr>
          </w:pPr>
          <w:hyperlink w:anchor="_Toc218713280" w:history="1">
            <w:r w:rsidR="001A4564" w:rsidRPr="00B30D38">
              <w:rPr>
                <w:rStyle w:val="Hyperlink"/>
                <w:rFonts w:ascii="Arial" w:hAnsi="Arial" w:cs="Arial"/>
                <w:noProof/>
              </w:rPr>
              <w:t>Figure 2: Victim Information and Support Pathways at First Police Contact</w:t>
            </w:r>
            <w:r w:rsidR="001A4564">
              <w:rPr>
                <w:noProof/>
                <w:webHidden/>
              </w:rPr>
              <w:tab/>
            </w:r>
            <w:r w:rsidR="001A4564">
              <w:rPr>
                <w:noProof/>
                <w:webHidden/>
              </w:rPr>
              <w:fldChar w:fldCharType="begin"/>
            </w:r>
            <w:r w:rsidR="001A4564">
              <w:rPr>
                <w:noProof/>
                <w:webHidden/>
              </w:rPr>
              <w:instrText xml:space="preserve"> PAGEREF _Toc218713280 \h </w:instrText>
            </w:r>
            <w:r w:rsidR="001A4564">
              <w:rPr>
                <w:noProof/>
                <w:webHidden/>
              </w:rPr>
            </w:r>
            <w:r w:rsidR="001A4564">
              <w:rPr>
                <w:noProof/>
                <w:webHidden/>
              </w:rPr>
              <w:fldChar w:fldCharType="separate"/>
            </w:r>
            <w:r w:rsidR="001A4564">
              <w:rPr>
                <w:noProof/>
                <w:webHidden/>
              </w:rPr>
              <w:t>34</w:t>
            </w:r>
            <w:r w:rsidR="001A4564">
              <w:rPr>
                <w:noProof/>
                <w:webHidden/>
              </w:rPr>
              <w:fldChar w:fldCharType="end"/>
            </w:r>
          </w:hyperlink>
        </w:p>
        <w:p w14:paraId="37741A99" w14:textId="3221D9F8" w:rsidR="001A4564" w:rsidRDefault="00000000">
          <w:pPr>
            <w:pStyle w:val="TOC1"/>
            <w:tabs>
              <w:tab w:val="right" w:leader="dot" w:pos="9219"/>
            </w:tabs>
            <w:rPr>
              <w:rFonts w:eastAsiaTheme="minorEastAsia" w:cstheme="minorBidi"/>
              <w:b w:val="0"/>
              <w:bCs w:val="0"/>
              <w:i w:val="0"/>
              <w:iCs w:val="0"/>
              <w:noProof/>
              <w:color w:val="auto"/>
              <w:kern w:val="2"/>
              <w:lang w:val="en-GB" w:eastAsia="en-GB"/>
              <w14:ligatures w14:val="standardContextual"/>
            </w:rPr>
          </w:pPr>
          <w:hyperlink w:anchor="_Toc218713281" w:history="1">
            <w:r w:rsidR="001A4564" w:rsidRPr="00B30D38">
              <w:rPr>
                <w:rStyle w:val="Hyperlink"/>
                <w:noProof/>
              </w:rPr>
              <w:t>Appendix B – Procedural Delays and Case Outcomes</w:t>
            </w:r>
            <w:r w:rsidR="001A4564">
              <w:rPr>
                <w:noProof/>
                <w:webHidden/>
              </w:rPr>
              <w:tab/>
            </w:r>
            <w:r w:rsidR="001A4564">
              <w:rPr>
                <w:noProof/>
                <w:webHidden/>
              </w:rPr>
              <w:fldChar w:fldCharType="begin"/>
            </w:r>
            <w:r w:rsidR="001A4564">
              <w:rPr>
                <w:noProof/>
                <w:webHidden/>
              </w:rPr>
              <w:instrText xml:space="preserve"> PAGEREF _Toc218713281 \h </w:instrText>
            </w:r>
            <w:r w:rsidR="001A4564">
              <w:rPr>
                <w:noProof/>
                <w:webHidden/>
              </w:rPr>
            </w:r>
            <w:r w:rsidR="001A4564">
              <w:rPr>
                <w:noProof/>
                <w:webHidden/>
              </w:rPr>
              <w:fldChar w:fldCharType="separate"/>
            </w:r>
            <w:r w:rsidR="001A4564">
              <w:rPr>
                <w:noProof/>
                <w:webHidden/>
              </w:rPr>
              <w:t>34</w:t>
            </w:r>
            <w:r w:rsidR="001A4564">
              <w:rPr>
                <w:noProof/>
                <w:webHidden/>
              </w:rPr>
              <w:fldChar w:fldCharType="end"/>
            </w:r>
          </w:hyperlink>
        </w:p>
        <w:p w14:paraId="7C2D3CB7" w14:textId="25E364FB" w:rsidR="001A4564" w:rsidRDefault="00000000">
          <w:pPr>
            <w:pStyle w:val="TOC3"/>
            <w:tabs>
              <w:tab w:val="right" w:leader="dot" w:pos="9219"/>
            </w:tabs>
            <w:rPr>
              <w:rFonts w:eastAsiaTheme="minorEastAsia" w:cstheme="minorBidi"/>
              <w:noProof/>
              <w:color w:val="auto"/>
              <w:kern w:val="2"/>
              <w:sz w:val="24"/>
              <w:szCs w:val="24"/>
              <w:lang w:val="en-GB" w:eastAsia="en-GB"/>
              <w14:ligatures w14:val="standardContextual"/>
            </w:rPr>
          </w:pPr>
          <w:hyperlink w:anchor="_Toc218713282" w:history="1">
            <w:r w:rsidR="001A4564" w:rsidRPr="00B30D38">
              <w:rPr>
                <w:rStyle w:val="Hyperlink"/>
                <w:rFonts w:ascii="Arial" w:hAnsi="Arial" w:cs="Arial"/>
                <w:i/>
                <w:iCs/>
                <w:noProof/>
              </w:rPr>
              <w:t>Figure 3: Time Taken (Median Days) for Sexual Offences to Receive an Outcome, by Outcome Type, Years Ending March 2023 and 2024, England and Wales</w:t>
            </w:r>
            <w:r w:rsidR="001A4564">
              <w:rPr>
                <w:noProof/>
                <w:webHidden/>
              </w:rPr>
              <w:tab/>
            </w:r>
            <w:r w:rsidR="001A4564">
              <w:rPr>
                <w:noProof/>
                <w:webHidden/>
              </w:rPr>
              <w:fldChar w:fldCharType="begin"/>
            </w:r>
            <w:r w:rsidR="001A4564">
              <w:rPr>
                <w:noProof/>
                <w:webHidden/>
              </w:rPr>
              <w:instrText xml:space="preserve"> PAGEREF _Toc218713282 \h </w:instrText>
            </w:r>
            <w:r w:rsidR="001A4564">
              <w:rPr>
                <w:noProof/>
                <w:webHidden/>
              </w:rPr>
            </w:r>
            <w:r w:rsidR="001A4564">
              <w:rPr>
                <w:noProof/>
                <w:webHidden/>
              </w:rPr>
              <w:fldChar w:fldCharType="separate"/>
            </w:r>
            <w:r w:rsidR="001A4564">
              <w:rPr>
                <w:noProof/>
                <w:webHidden/>
              </w:rPr>
              <w:t>34</w:t>
            </w:r>
            <w:r w:rsidR="001A4564">
              <w:rPr>
                <w:noProof/>
                <w:webHidden/>
              </w:rPr>
              <w:fldChar w:fldCharType="end"/>
            </w:r>
          </w:hyperlink>
        </w:p>
        <w:p w14:paraId="6E7F3037" w14:textId="2D9C9CCD" w:rsidR="001A4564" w:rsidRDefault="00000000">
          <w:pPr>
            <w:pStyle w:val="TOC1"/>
            <w:tabs>
              <w:tab w:val="right" w:leader="dot" w:pos="9219"/>
            </w:tabs>
            <w:rPr>
              <w:rFonts w:eastAsiaTheme="minorEastAsia" w:cstheme="minorBidi"/>
              <w:b w:val="0"/>
              <w:bCs w:val="0"/>
              <w:i w:val="0"/>
              <w:iCs w:val="0"/>
              <w:noProof/>
              <w:color w:val="auto"/>
              <w:kern w:val="2"/>
              <w:lang w:val="en-GB" w:eastAsia="en-GB"/>
              <w14:ligatures w14:val="standardContextual"/>
            </w:rPr>
          </w:pPr>
          <w:hyperlink w:anchor="_Toc218713283" w:history="1">
            <w:r w:rsidR="001A4564" w:rsidRPr="00B30D38">
              <w:rPr>
                <w:rStyle w:val="Hyperlink"/>
                <w:noProof/>
              </w:rPr>
              <w:t>Appendix C – Use of Special Measures (Section 28)</w:t>
            </w:r>
            <w:r w:rsidR="001A4564">
              <w:rPr>
                <w:noProof/>
                <w:webHidden/>
              </w:rPr>
              <w:tab/>
            </w:r>
            <w:r w:rsidR="001A4564">
              <w:rPr>
                <w:noProof/>
                <w:webHidden/>
              </w:rPr>
              <w:fldChar w:fldCharType="begin"/>
            </w:r>
            <w:r w:rsidR="001A4564">
              <w:rPr>
                <w:noProof/>
                <w:webHidden/>
              </w:rPr>
              <w:instrText xml:space="preserve"> PAGEREF _Toc218713283 \h </w:instrText>
            </w:r>
            <w:r w:rsidR="001A4564">
              <w:rPr>
                <w:noProof/>
                <w:webHidden/>
              </w:rPr>
            </w:r>
            <w:r w:rsidR="001A4564">
              <w:rPr>
                <w:noProof/>
                <w:webHidden/>
              </w:rPr>
              <w:fldChar w:fldCharType="separate"/>
            </w:r>
            <w:r w:rsidR="001A4564">
              <w:rPr>
                <w:noProof/>
                <w:webHidden/>
              </w:rPr>
              <w:t>35</w:t>
            </w:r>
            <w:r w:rsidR="001A4564">
              <w:rPr>
                <w:noProof/>
                <w:webHidden/>
              </w:rPr>
              <w:fldChar w:fldCharType="end"/>
            </w:r>
          </w:hyperlink>
        </w:p>
        <w:p w14:paraId="206991DD" w14:textId="2B1757CC" w:rsidR="001A4564" w:rsidRDefault="00000000">
          <w:pPr>
            <w:pStyle w:val="TOC2"/>
            <w:tabs>
              <w:tab w:val="right" w:leader="dot" w:pos="9219"/>
            </w:tabs>
            <w:rPr>
              <w:rFonts w:eastAsiaTheme="minorEastAsia" w:cstheme="minorBidi"/>
              <w:b w:val="0"/>
              <w:bCs w:val="0"/>
              <w:noProof/>
              <w:color w:val="auto"/>
              <w:kern w:val="2"/>
              <w:sz w:val="24"/>
              <w:szCs w:val="24"/>
              <w:lang w:val="en-GB" w:eastAsia="en-GB"/>
              <w14:ligatures w14:val="standardContextual"/>
            </w:rPr>
          </w:pPr>
          <w:hyperlink w:anchor="_Toc218713284" w:history="1">
            <w:r w:rsidR="001A4564" w:rsidRPr="00B30D38">
              <w:rPr>
                <w:rStyle w:val="Hyperlink"/>
                <w:rFonts w:ascii="Arial" w:hAnsi="Arial" w:cs="Arial"/>
                <w:noProof/>
              </w:rPr>
              <w:t>Figure 4: Use of Section 28 Pre-Recorded Cross-Examination by Offence Type, January 2019–August 2023</w:t>
            </w:r>
            <w:r w:rsidR="001A4564">
              <w:rPr>
                <w:noProof/>
                <w:webHidden/>
              </w:rPr>
              <w:tab/>
            </w:r>
            <w:r w:rsidR="001A4564">
              <w:rPr>
                <w:noProof/>
                <w:webHidden/>
              </w:rPr>
              <w:fldChar w:fldCharType="begin"/>
            </w:r>
            <w:r w:rsidR="001A4564">
              <w:rPr>
                <w:noProof/>
                <w:webHidden/>
              </w:rPr>
              <w:instrText xml:space="preserve"> PAGEREF _Toc218713284 \h </w:instrText>
            </w:r>
            <w:r w:rsidR="001A4564">
              <w:rPr>
                <w:noProof/>
                <w:webHidden/>
              </w:rPr>
            </w:r>
            <w:r w:rsidR="001A4564">
              <w:rPr>
                <w:noProof/>
                <w:webHidden/>
              </w:rPr>
              <w:fldChar w:fldCharType="separate"/>
            </w:r>
            <w:r w:rsidR="001A4564">
              <w:rPr>
                <w:noProof/>
                <w:webHidden/>
              </w:rPr>
              <w:t>35</w:t>
            </w:r>
            <w:r w:rsidR="001A4564">
              <w:rPr>
                <w:noProof/>
                <w:webHidden/>
              </w:rPr>
              <w:fldChar w:fldCharType="end"/>
            </w:r>
          </w:hyperlink>
        </w:p>
        <w:p w14:paraId="21A82F69" w14:textId="0D0D83B6" w:rsidR="006D766E" w:rsidRDefault="006D766E">
          <w:r>
            <w:rPr>
              <w:b/>
              <w:bCs/>
              <w:noProof/>
            </w:rPr>
            <w:fldChar w:fldCharType="end"/>
          </w:r>
        </w:p>
      </w:sdtContent>
    </w:sdt>
    <w:p w14:paraId="160EC61B" w14:textId="77777777" w:rsidR="00B60DB2" w:rsidRDefault="00B60DB2" w:rsidP="0035419A"/>
    <w:p w14:paraId="6BC879AD" w14:textId="29D81D73" w:rsidR="00DF672B" w:rsidRPr="001A4564" w:rsidRDefault="006D766E" w:rsidP="001A4564">
      <w:pPr>
        <w:pStyle w:val="Heading1"/>
        <w:numPr>
          <w:ilvl w:val="0"/>
          <w:numId w:val="22"/>
        </w:numPr>
      </w:pPr>
      <w:bookmarkStart w:id="0" w:name="_Toc218713253"/>
      <w:r w:rsidRPr="0035419A">
        <w:t>Introduction</w:t>
      </w:r>
      <w:bookmarkEnd w:id="0"/>
      <w:r w:rsidRPr="0035419A">
        <w:t xml:space="preserve"> </w:t>
      </w:r>
    </w:p>
    <w:p w14:paraId="0866F333" w14:textId="3468257C" w:rsidR="00C22A36" w:rsidRPr="00C22A36" w:rsidRDefault="00C22A36" w:rsidP="00C22A36">
      <w:pPr>
        <w:pStyle w:val="NormalWeb"/>
        <w:spacing w:line="360" w:lineRule="auto"/>
        <w:rPr>
          <w:rFonts w:ascii="Arial" w:hAnsi="Arial" w:cs="Arial"/>
          <w:color w:val="000000"/>
        </w:rPr>
      </w:pPr>
      <w:r w:rsidRPr="00C22A36">
        <w:rPr>
          <w:rFonts w:ascii="Arial" w:hAnsi="Arial" w:cs="Arial"/>
          <w:color w:val="000000"/>
        </w:rPr>
        <w:t>The Ministry of Justice (2025) identifies the protection and inclusion of vulnerable victims as a central strategic priority within the criminal justice system (CJS) of England and Wales. Vulnerability within the CJS is not fixed or homogenous but shaped by intersecting factors including age, disability, mental health needs, trauma histories, socio-economic disadvantage and perceived risk of intimidation or reprisals (Crown Office and Procurator Fiscal Service, 2024). Empirical research demonstrates that such factors can significantly impair victims’ capacity to engage with criminal justice processes, from initial reporting through to trial participation and post-case recovery (</w:t>
      </w:r>
      <w:proofErr w:type="spellStart"/>
      <w:r w:rsidRPr="00C22A36">
        <w:rPr>
          <w:rFonts w:ascii="Arial" w:hAnsi="Arial" w:cs="Arial"/>
          <w:color w:val="000000"/>
        </w:rPr>
        <w:t>Wieberneit</w:t>
      </w:r>
      <w:proofErr w:type="spellEnd"/>
      <w:r w:rsidRPr="00C22A36">
        <w:rPr>
          <w:rFonts w:ascii="Arial" w:hAnsi="Arial" w:cs="Arial"/>
          <w:color w:val="000000"/>
        </w:rPr>
        <w:t xml:space="preserve"> et al, 2024). As a result, vulnerability is now formally recognised within policing, prosecution and court frameworks as requiring enhanced safeguards and differentiated responses (College of Policing, 2021).</w:t>
      </w:r>
    </w:p>
    <w:p w14:paraId="7A3A4AA7" w14:textId="4077CF51" w:rsidR="00C22A36" w:rsidRPr="00C22A36" w:rsidRDefault="00C22A36" w:rsidP="00C22A36">
      <w:pPr>
        <w:pStyle w:val="NormalWeb"/>
        <w:spacing w:line="360" w:lineRule="auto"/>
        <w:rPr>
          <w:rFonts w:ascii="Arial" w:hAnsi="Arial" w:cs="Arial"/>
          <w:color w:val="000000"/>
        </w:rPr>
      </w:pPr>
      <w:r w:rsidRPr="00C22A36">
        <w:rPr>
          <w:rFonts w:ascii="Arial" w:hAnsi="Arial" w:cs="Arial"/>
          <w:color w:val="000000"/>
        </w:rPr>
        <w:t xml:space="preserve">This report focuses on three victim groups widely recognised as facing persistent and structural barriers to justice: victims of rape and serious sexual offences, children and young people and victims with mental health vulnerabilities. These groups experience disproportionate levels of secondary victimisation, procedural </w:t>
      </w:r>
      <w:proofErr w:type="gramStart"/>
      <w:r w:rsidRPr="00C22A36">
        <w:rPr>
          <w:rFonts w:ascii="Arial" w:hAnsi="Arial" w:cs="Arial"/>
          <w:color w:val="000000"/>
        </w:rPr>
        <w:t>attrition</w:t>
      </w:r>
      <w:proofErr w:type="gramEnd"/>
      <w:r w:rsidRPr="00C22A36">
        <w:rPr>
          <w:rFonts w:ascii="Arial" w:hAnsi="Arial" w:cs="Arial"/>
          <w:color w:val="000000"/>
        </w:rPr>
        <w:t xml:space="preserve"> and systemic exclusion, contributing to low reporting confidence, case withdrawal and reduced access to meaningful justice outcomes (HMICFRS, HMCPSI and HMIP, 2023). For sexual violence </w:t>
      </w:r>
      <w:r w:rsidR="00893DDA" w:rsidRPr="00C22A36">
        <w:rPr>
          <w:rFonts w:ascii="Arial" w:hAnsi="Arial" w:cs="Arial"/>
          <w:color w:val="000000"/>
        </w:rPr>
        <w:t>survivors, adversarial</w:t>
      </w:r>
      <w:r w:rsidRPr="00C22A36">
        <w:rPr>
          <w:rFonts w:ascii="Arial" w:hAnsi="Arial" w:cs="Arial"/>
          <w:color w:val="000000"/>
        </w:rPr>
        <w:t xml:space="preserve"> evidential practices, high thresholds of proof and prolonged delays continue to undermine confidence in the system, while children and mentally vulnerable victims are frequently required to navigate environments ill-suited to their developmental or psychological needs (End Violence Against Women Coalition, 2023).</w:t>
      </w:r>
    </w:p>
    <w:p w14:paraId="624A0D14" w14:textId="6AA92D7E" w:rsidR="00C22A36" w:rsidRPr="00C22A36" w:rsidRDefault="00C22A36" w:rsidP="00C22A36">
      <w:pPr>
        <w:pStyle w:val="NormalWeb"/>
        <w:spacing w:line="360" w:lineRule="auto"/>
        <w:rPr>
          <w:rFonts w:ascii="Arial" w:hAnsi="Arial" w:cs="Arial"/>
          <w:color w:val="000000"/>
        </w:rPr>
      </w:pPr>
      <w:r w:rsidRPr="00C22A36">
        <w:rPr>
          <w:rFonts w:ascii="Arial" w:hAnsi="Arial" w:cs="Arial"/>
          <w:color w:val="000000"/>
        </w:rPr>
        <w:t xml:space="preserve">In response to longstanding critiques, reforms such as the revised Victims’ Code (Ministry of Justice, 2020) and the Victims and Prisoners Bill seek to strengthen statutory rights, improve </w:t>
      </w:r>
      <w:proofErr w:type="gramStart"/>
      <w:r w:rsidRPr="00C22A36">
        <w:rPr>
          <w:rFonts w:ascii="Arial" w:hAnsi="Arial" w:cs="Arial"/>
          <w:color w:val="000000"/>
        </w:rPr>
        <w:t>accountability</w:t>
      </w:r>
      <w:proofErr w:type="gramEnd"/>
      <w:r w:rsidRPr="00C22A36">
        <w:rPr>
          <w:rFonts w:ascii="Arial" w:hAnsi="Arial" w:cs="Arial"/>
          <w:color w:val="000000"/>
        </w:rPr>
        <w:t xml:space="preserve"> and enhance access to support services across </w:t>
      </w:r>
      <w:r w:rsidRPr="00C22A36">
        <w:rPr>
          <w:rFonts w:ascii="Arial" w:hAnsi="Arial" w:cs="Arial"/>
          <w:color w:val="000000"/>
        </w:rPr>
        <w:lastRenderedPageBreak/>
        <w:t>criminal justice agencies (</w:t>
      </w:r>
      <w:proofErr w:type="spellStart"/>
      <w:r w:rsidRPr="00C22A36">
        <w:rPr>
          <w:rFonts w:ascii="Arial" w:hAnsi="Arial" w:cs="Arial"/>
          <w:color w:val="000000"/>
        </w:rPr>
        <w:t>Nickolls</w:t>
      </w:r>
      <w:proofErr w:type="spellEnd"/>
      <w:r w:rsidRPr="00C22A36">
        <w:rPr>
          <w:rFonts w:ascii="Arial" w:hAnsi="Arial" w:cs="Arial"/>
          <w:color w:val="000000"/>
        </w:rPr>
        <w:t xml:space="preserve"> et al, 2023). While these reforms signal a shift towards victim-centred justice, significant concerns persist regarding implementation, </w:t>
      </w:r>
      <w:proofErr w:type="gramStart"/>
      <w:r w:rsidRPr="00C22A36">
        <w:rPr>
          <w:rFonts w:ascii="Arial" w:hAnsi="Arial" w:cs="Arial"/>
          <w:color w:val="000000"/>
        </w:rPr>
        <w:t>awareness</w:t>
      </w:r>
      <w:proofErr w:type="gramEnd"/>
      <w:r w:rsidRPr="00C22A36">
        <w:rPr>
          <w:rFonts w:ascii="Arial" w:hAnsi="Arial" w:cs="Arial"/>
          <w:color w:val="000000"/>
        </w:rPr>
        <w:t xml:space="preserve"> and enforceability. Evidence indicates wide regional variation in compliance and continuing resource constraints, limiting the practical impact of formal entitlements (</w:t>
      </w:r>
      <w:proofErr w:type="spellStart"/>
      <w:r w:rsidRPr="00C22A36">
        <w:rPr>
          <w:rFonts w:ascii="Arial" w:hAnsi="Arial" w:cs="Arial"/>
          <w:color w:val="000000"/>
        </w:rPr>
        <w:t>Moroz</w:t>
      </w:r>
      <w:proofErr w:type="spellEnd"/>
      <w:r w:rsidRPr="00C22A36">
        <w:rPr>
          <w:rFonts w:ascii="Arial" w:hAnsi="Arial" w:cs="Arial"/>
          <w:color w:val="000000"/>
        </w:rPr>
        <w:t xml:space="preserve"> and </w:t>
      </w:r>
      <w:proofErr w:type="spellStart"/>
      <w:r w:rsidRPr="00C22A36">
        <w:rPr>
          <w:rFonts w:ascii="Arial" w:hAnsi="Arial" w:cs="Arial"/>
          <w:color w:val="000000"/>
        </w:rPr>
        <w:t>Dinisman</w:t>
      </w:r>
      <w:proofErr w:type="spellEnd"/>
      <w:r w:rsidRPr="00C22A36">
        <w:rPr>
          <w:rFonts w:ascii="Arial" w:hAnsi="Arial" w:cs="Arial"/>
          <w:color w:val="000000"/>
        </w:rPr>
        <w:t>, 2024). Consequently, outcomes for vulnerable victims remain uneven and</w:t>
      </w:r>
      <w:r>
        <w:rPr>
          <w:rFonts w:ascii="Arial" w:hAnsi="Arial" w:cs="Arial"/>
          <w:color w:val="000000"/>
        </w:rPr>
        <w:t xml:space="preserve"> </w:t>
      </w:r>
      <w:r w:rsidRPr="00C22A36">
        <w:rPr>
          <w:rFonts w:ascii="Arial" w:hAnsi="Arial" w:cs="Arial"/>
          <w:color w:val="000000"/>
        </w:rPr>
        <w:t>in some areas, have deteriorated, most notably in cases of rape and serious sexual offences where prosecution and conviction rates continue to decline (Rape Crisis England and Wales, 2025).</w:t>
      </w:r>
    </w:p>
    <w:p w14:paraId="36F62858" w14:textId="77777777" w:rsidR="00656B0C" w:rsidRPr="00656B0C" w:rsidRDefault="00656B0C" w:rsidP="00656B0C">
      <w:pPr>
        <w:pStyle w:val="NormalWeb"/>
        <w:spacing w:line="360" w:lineRule="auto"/>
        <w:rPr>
          <w:rFonts w:ascii="Arial" w:hAnsi="Arial" w:cs="Arial"/>
          <w:b/>
          <w:bCs/>
          <w:color w:val="000000"/>
        </w:rPr>
      </w:pPr>
      <w:bookmarkStart w:id="1" w:name="_Toc218713254"/>
      <w:r w:rsidRPr="00656B0C">
        <w:rPr>
          <w:rStyle w:val="Strong"/>
          <w:rFonts w:ascii="Arial" w:hAnsi="Arial" w:cs="Arial"/>
          <w:b w:val="0"/>
          <w:bCs w:val="0"/>
          <w:color w:val="000000"/>
        </w:rPr>
        <w:t>This report aims to critically evaluate how effectively the criminal justice system (CJS) of England and Wales supports vulnerable victims.</w:t>
      </w:r>
      <w:r w:rsidRPr="00656B0C">
        <w:rPr>
          <w:rStyle w:val="apple-converted-space"/>
          <w:rFonts w:ascii="Arial" w:eastAsiaTheme="majorEastAsia" w:hAnsi="Arial" w:cs="Arial"/>
          <w:color w:val="000000"/>
        </w:rPr>
        <w:t> </w:t>
      </w:r>
      <w:r w:rsidRPr="00656B0C">
        <w:rPr>
          <w:rFonts w:ascii="Arial" w:hAnsi="Arial" w:cs="Arial"/>
          <w:color w:val="000000"/>
        </w:rPr>
        <w:t>It evaluates this across three key stages: early police engagement, court processes and post-trial or community-based support. The analysis draws on victimological and socio-legal theory, including Christie’s (1986) concept of the “ideal victim”, procedural justice theory (Tyler, 2006a) and trauma-informed justice frameworks, to explore the gap between policy aspiration and lived experience. It argues that despite expanded formal recognition, the CJS continues to prioritise evidential efficiency and institutional risk management over victim wellbeing.</w:t>
      </w:r>
      <w:r w:rsidRPr="00656B0C">
        <w:rPr>
          <w:rStyle w:val="apple-converted-space"/>
          <w:rFonts w:ascii="Arial" w:eastAsiaTheme="majorEastAsia" w:hAnsi="Arial" w:cs="Arial"/>
          <w:color w:val="000000"/>
        </w:rPr>
        <w:t> </w:t>
      </w:r>
      <w:r w:rsidRPr="00656B0C">
        <w:rPr>
          <w:rStyle w:val="Strong"/>
          <w:rFonts w:ascii="Arial" w:hAnsi="Arial" w:cs="Arial"/>
          <w:b w:val="0"/>
          <w:bCs w:val="0"/>
          <w:color w:val="000000"/>
        </w:rPr>
        <w:t xml:space="preserve">The report identifies reforms necessary to ensure justice is not only legally effective but also accessible, </w:t>
      </w:r>
      <w:proofErr w:type="gramStart"/>
      <w:r w:rsidRPr="00656B0C">
        <w:rPr>
          <w:rStyle w:val="Strong"/>
          <w:rFonts w:ascii="Arial" w:hAnsi="Arial" w:cs="Arial"/>
          <w:b w:val="0"/>
          <w:bCs w:val="0"/>
          <w:color w:val="000000"/>
        </w:rPr>
        <w:t>fair</w:t>
      </w:r>
      <w:proofErr w:type="gramEnd"/>
      <w:r w:rsidRPr="00656B0C">
        <w:rPr>
          <w:rStyle w:val="Strong"/>
          <w:rFonts w:ascii="Arial" w:hAnsi="Arial" w:cs="Arial"/>
          <w:b w:val="0"/>
          <w:bCs w:val="0"/>
          <w:color w:val="000000"/>
        </w:rPr>
        <w:t xml:space="preserve"> and psychologically safe for vulnerable victims.</w:t>
      </w:r>
    </w:p>
    <w:p w14:paraId="2E6EDAA7" w14:textId="0C883BCE" w:rsidR="0035419A" w:rsidRDefault="0035419A" w:rsidP="0035419A">
      <w:pPr>
        <w:pStyle w:val="Heading1"/>
      </w:pPr>
      <w:r>
        <w:t>2. Policy Rights and Legal Framework for vulnerable victims</w:t>
      </w:r>
      <w:bookmarkEnd w:id="1"/>
      <w:r>
        <w:t xml:space="preserve"> </w:t>
      </w:r>
    </w:p>
    <w:p w14:paraId="0A6AB03D" w14:textId="77777777" w:rsidR="00C22A36" w:rsidRPr="00C22A36" w:rsidRDefault="00C22A36" w:rsidP="00C22A36">
      <w:pPr>
        <w:pStyle w:val="NormalWeb"/>
        <w:spacing w:line="360" w:lineRule="auto"/>
        <w:rPr>
          <w:rFonts w:ascii="Arial" w:hAnsi="Arial" w:cs="Arial"/>
          <w:color w:val="000000"/>
        </w:rPr>
      </w:pPr>
      <w:r w:rsidRPr="00C22A36">
        <w:rPr>
          <w:rFonts w:ascii="Arial" w:hAnsi="Arial" w:cs="Arial"/>
          <w:color w:val="000000"/>
        </w:rPr>
        <w:t xml:space="preserve">Over the past decade, the UK criminal justice system (CJS) has introduced a series of legislative and policy reforms aimed at strengthening the recognition, </w:t>
      </w:r>
      <w:proofErr w:type="gramStart"/>
      <w:r w:rsidRPr="00C22A36">
        <w:rPr>
          <w:rFonts w:ascii="Arial" w:hAnsi="Arial" w:cs="Arial"/>
          <w:color w:val="000000"/>
        </w:rPr>
        <w:t>protection</w:t>
      </w:r>
      <w:proofErr w:type="gramEnd"/>
      <w:r w:rsidRPr="00C22A36">
        <w:rPr>
          <w:rFonts w:ascii="Arial" w:hAnsi="Arial" w:cs="Arial"/>
          <w:color w:val="000000"/>
        </w:rPr>
        <w:t xml:space="preserve"> and support of vulnerable victims (Victims and Prisoners Act 2024). These developments have been driven by sustained evidence from inspections, advocacy organisations and academic research demonstrating that traditional criminal justice processes often fail to meet the needs of victims who experience heightened vulnerability. This is reinforced by the Domestic Abuse Commissioner for England and Wales (2025), who identifies systemic delays, inconsistent support and procedural practices that undermine victim safety, </w:t>
      </w:r>
      <w:proofErr w:type="gramStart"/>
      <w:r w:rsidRPr="00C22A36">
        <w:rPr>
          <w:rFonts w:ascii="Arial" w:hAnsi="Arial" w:cs="Arial"/>
          <w:color w:val="000000"/>
        </w:rPr>
        <w:t>confidence</w:t>
      </w:r>
      <w:proofErr w:type="gramEnd"/>
      <w:r w:rsidRPr="00C22A36">
        <w:rPr>
          <w:rFonts w:ascii="Arial" w:hAnsi="Arial" w:cs="Arial"/>
          <w:color w:val="000000"/>
        </w:rPr>
        <w:t xml:space="preserve"> and engagement. In response, policymakers have increasingly acknowledged that a uniform approach to victim engagement is insufficient, emphasising differentiated, needs-based responses, as reflected in the </w:t>
      </w:r>
      <w:r w:rsidRPr="00C22A36">
        <w:rPr>
          <w:rFonts w:ascii="Arial" w:hAnsi="Arial" w:cs="Arial"/>
          <w:color w:val="000000"/>
        </w:rPr>
        <w:lastRenderedPageBreak/>
        <w:t>Crown Prosecution Service Violence Against Women and Girls Strategy, which promotes trauma-informed and victim-centred practice tailored to individual needs (Crown Prosecution Service, 2025).</w:t>
      </w:r>
    </w:p>
    <w:p w14:paraId="59E96D65" w14:textId="77777777" w:rsidR="00C22A36" w:rsidRPr="00C22A36" w:rsidRDefault="00C22A36" w:rsidP="00C22A36">
      <w:pPr>
        <w:pStyle w:val="NormalWeb"/>
        <w:spacing w:line="360" w:lineRule="auto"/>
        <w:rPr>
          <w:rFonts w:ascii="Arial" w:hAnsi="Arial" w:cs="Arial"/>
          <w:color w:val="000000"/>
        </w:rPr>
      </w:pPr>
      <w:r w:rsidRPr="00C22A36">
        <w:rPr>
          <w:rFonts w:ascii="Arial" w:hAnsi="Arial" w:cs="Arial"/>
          <w:color w:val="000000"/>
        </w:rPr>
        <w:t xml:space="preserve">These reforms reflect growing recognition that vulnerability significantly shapes how individuals experience criminal justice processes, influencing their willingness and ability to report offences, engage with investigations and participate effectively in court proceedings. Research demonstrates that adversarial practices can intensify trauma, impair </w:t>
      </w:r>
      <w:proofErr w:type="gramStart"/>
      <w:r w:rsidRPr="00C22A36">
        <w:rPr>
          <w:rFonts w:ascii="Arial" w:hAnsi="Arial" w:cs="Arial"/>
          <w:color w:val="000000"/>
        </w:rPr>
        <w:t>communication</w:t>
      </w:r>
      <w:proofErr w:type="gramEnd"/>
      <w:r w:rsidRPr="00C22A36">
        <w:rPr>
          <w:rFonts w:ascii="Arial" w:hAnsi="Arial" w:cs="Arial"/>
          <w:color w:val="000000"/>
        </w:rPr>
        <w:t xml:space="preserve"> and undermine meaningful participation where emotional and psychological safety is not prioritised (Ellison, 2017). Evidence from survivors of domestic abuse and sexual violence further indicates that court processes and professional responses can be retraumatising, generating fear, confusion and distress that discourage continued engagement (Domestic Abuse Commissioner, 2021). National survey data also suggest that low confidence in criminal justice outcomes contributes to victim disengagement and attrition, increasing the risk of secondary victimisation and withdrawal from the justice process (Victims’ Commissioner, 2025).</w:t>
      </w:r>
    </w:p>
    <w:p w14:paraId="6F2CD4BE" w14:textId="4380A1D6" w:rsidR="00C22A36" w:rsidRPr="00C22A36" w:rsidRDefault="00C22A36" w:rsidP="00C22A36">
      <w:pPr>
        <w:pStyle w:val="NormalWeb"/>
        <w:spacing w:line="360" w:lineRule="auto"/>
        <w:rPr>
          <w:rFonts w:ascii="Arial" w:hAnsi="Arial" w:cs="Arial"/>
          <w:color w:val="000000"/>
        </w:rPr>
      </w:pPr>
      <w:r w:rsidRPr="00C22A36">
        <w:rPr>
          <w:rFonts w:ascii="Arial" w:hAnsi="Arial" w:cs="Arial"/>
          <w:color w:val="000000"/>
        </w:rPr>
        <w:t xml:space="preserve">Vulnerability may arise from personal characteristics including age, disability, learning difficulties or mental health conditions, which can affect communication, </w:t>
      </w:r>
      <w:proofErr w:type="gramStart"/>
      <w:r w:rsidRPr="00C22A36">
        <w:rPr>
          <w:rFonts w:ascii="Arial" w:hAnsi="Arial" w:cs="Arial"/>
          <w:color w:val="000000"/>
        </w:rPr>
        <w:t>comprehension</w:t>
      </w:r>
      <w:proofErr w:type="gramEnd"/>
      <w:r w:rsidRPr="00C22A36">
        <w:rPr>
          <w:rFonts w:ascii="Arial" w:hAnsi="Arial" w:cs="Arial"/>
          <w:color w:val="000000"/>
        </w:rPr>
        <w:t xml:space="preserve"> and resilience under stress (</w:t>
      </w:r>
      <w:proofErr w:type="spellStart"/>
      <w:r w:rsidRPr="00C22A36">
        <w:rPr>
          <w:rFonts w:ascii="Arial" w:hAnsi="Arial" w:cs="Arial"/>
          <w:color w:val="000000"/>
        </w:rPr>
        <w:t>Amborski</w:t>
      </w:r>
      <w:proofErr w:type="spellEnd"/>
      <w:r w:rsidRPr="00C22A36">
        <w:rPr>
          <w:rFonts w:ascii="Arial" w:hAnsi="Arial" w:cs="Arial"/>
          <w:color w:val="000000"/>
        </w:rPr>
        <w:t xml:space="preserve"> et al, 2021; </w:t>
      </w:r>
      <w:proofErr w:type="spellStart"/>
      <w:r w:rsidRPr="00C22A36">
        <w:rPr>
          <w:rFonts w:ascii="Arial" w:hAnsi="Arial" w:cs="Arial"/>
          <w:color w:val="000000"/>
        </w:rPr>
        <w:t>Aihio</w:t>
      </w:r>
      <w:proofErr w:type="spellEnd"/>
      <w:r w:rsidRPr="00C22A36">
        <w:rPr>
          <w:rFonts w:ascii="Arial" w:hAnsi="Arial" w:cs="Arial"/>
          <w:color w:val="000000"/>
        </w:rPr>
        <w:t xml:space="preserve">, 2016). It may also stem from the nature and context of the offence. Crimes such as sexual violence, domestic abuse and exploitation frequently involve power imbalances, </w:t>
      </w:r>
      <w:proofErr w:type="gramStart"/>
      <w:r w:rsidRPr="00C22A36">
        <w:rPr>
          <w:rFonts w:ascii="Arial" w:hAnsi="Arial" w:cs="Arial"/>
          <w:color w:val="000000"/>
        </w:rPr>
        <w:t>coercion</w:t>
      </w:r>
      <w:proofErr w:type="gramEnd"/>
      <w:r w:rsidRPr="00C22A36">
        <w:rPr>
          <w:rFonts w:ascii="Arial" w:hAnsi="Arial" w:cs="Arial"/>
          <w:color w:val="000000"/>
        </w:rPr>
        <w:t xml:space="preserve"> and ongoing risk, creating complex barriers to disclosure and participation (McPhee et al, 2021). In many cases, vulnerability is cumulative, shaped by intersecting factors such as trauma history, social isolation and dependence on the perpetrator, further compounding barriers to engagement (End Violence Against Women Coalition, 2020).</w:t>
      </w:r>
    </w:p>
    <w:p w14:paraId="36295D23" w14:textId="07F07E01" w:rsidR="0035419A" w:rsidRPr="00893DDA" w:rsidRDefault="00C22A36" w:rsidP="00893DDA">
      <w:pPr>
        <w:pStyle w:val="NormalWeb"/>
        <w:spacing w:line="360" w:lineRule="auto"/>
        <w:rPr>
          <w:rFonts w:ascii="Arial" w:hAnsi="Arial" w:cs="Arial"/>
          <w:color w:val="000000"/>
        </w:rPr>
      </w:pPr>
      <w:r w:rsidRPr="00C22A36">
        <w:rPr>
          <w:rFonts w:ascii="Arial" w:hAnsi="Arial" w:cs="Arial"/>
          <w:color w:val="000000"/>
        </w:rPr>
        <w:t xml:space="preserve">Recognising these dynamics, recent reforms have sought to embed vulnerability awareness across the criminal justice process, emphasising early identification, tailored procedural adjustments and access to specialist support (Ministry of Justice, 2020; College of Policing, 2021). Measures such as enhanced rights under the Victims’ Code, trauma-informed guidance for frontline professionals and expanded access to special measures signal a shift towards more inclusive justice. However, inspection evidence consistently highlights inconsistent identification of vulnerability, uneven application of safeguards and variable access to specialist services, indicating </w:t>
      </w:r>
      <w:r w:rsidRPr="00C22A36">
        <w:rPr>
          <w:rFonts w:ascii="Arial" w:hAnsi="Arial" w:cs="Arial"/>
          <w:color w:val="000000"/>
        </w:rPr>
        <w:lastRenderedPageBreak/>
        <w:t>that policy commitments have not been implemented uniformly in practice (HMICFRS, 2021; HMCPSI, 2022). As a result, significant questions remain regarding the extent to which these reforms have produced sustained and meaningful improvements in outcomes for vulnerable victims.</w:t>
      </w:r>
    </w:p>
    <w:p w14:paraId="7BE5E204" w14:textId="2B9C2EEE" w:rsidR="0035419A" w:rsidRPr="0035419A" w:rsidRDefault="0035419A" w:rsidP="0035419A">
      <w:pPr>
        <w:pStyle w:val="Heading2"/>
        <w:rPr>
          <w:sz w:val="28"/>
          <w:szCs w:val="28"/>
          <w:u w:val="single"/>
          <w:lang w:val="en-GB" w:eastAsia="en-GB"/>
        </w:rPr>
      </w:pPr>
      <w:bookmarkStart w:id="2" w:name="_Toc218713255"/>
      <w:r w:rsidRPr="0035419A">
        <w:rPr>
          <w:sz w:val="28"/>
          <w:szCs w:val="28"/>
          <w:u w:val="single"/>
          <w:lang w:val="en-GB" w:eastAsia="en-GB"/>
        </w:rPr>
        <w:t>2.1- Key Policy and Legislative Frameworks</w:t>
      </w:r>
      <w:bookmarkEnd w:id="2"/>
      <w:r w:rsidR="00892C3C">
        <w:rPr>
          <w:sz w:val="28"/>
          <w:szCs w:val="28"/>
          <w:u w:val="single"/>
          <w:lang w:val="en-GB" w:eastAsia="en-GB"/>
        </w:rPr>
        <w:t xml:space="preserve"> </w:t>
      </w:r>
    </w:p>
    <w:p w14:paraId="581197AF" w14:textId="6415D5B9" w:rsidR="00C22A36" w:rsidRPr="00C22A36" w:rsidRDefault="00C22A36" w:rsidP="00C22A36">
      <w:pPr>
        <w:pStyle w:val="NormalWeb"/>
        <w:spacing w:line="360" w:lineRule="auto"/>
        <w:rPr>
          <w:rFonts w:ascii="Arial" w:hAnsi="Arial" w:cs="Arial"/>
          <w:color w:val="000000"/>
        </w:rPr>
      </w:pPr>
      <w:r w:rsidRPr="00C22A36">
        <w:rPr>
          <w:rFonts w:ascii="Arial" w:hAnsi="Arial" w:cs="Arial"/>
          <w:color w:val="000000"/>
        </w:rPr>
        <w:t>A central component of the current framework is the Victims’ Code (2020), which sets out minimum standards of service that victims should receive from criminal justice agencies (Ministry of Justice, 2020). The Code establishes enhanced rights for victims assessed as vulnerable or intimidated, including priority access to special measures, improved communication, protection from unnecessary contact with the accused and referral to specialist support services. While the Code represents an important step in formalising victim entitlements across policing, prosecution and the courts, its provisions remain largely procedural and are not legally enforceable (Victims’ Commissioner for England and Wales, 2023).</w:t>
      </w:r>
    </w:p>
    <w:p w14:paraId="60178154" w14:textId="77777777" w:rsidR="00C22A36" w:rsidRPr="00C22A36" w:rsidRDefault="00C22A36" w:rsidP="00C22A36">
      <w:pPr>
        <w:pStyle w:val="NormalWeb"/>
        <w:spacing w:line="360" w:lineRule="auto"/>
        <w:rPr>
          <w:rFonts w:ascii="Arial" w:hAnsi="Arial" w:cs="Arial"/>
          <w:color w:val="000000"/>
        </w:rPr>
      </w:pPr>
      <w:r w:rsidRPr="00C22A36">
        <w:rPr>
          <w:rFonts w:ascii="Arial" w:hAnsi="Arial" w:cs="Arial"/>
          <w:color w:val="000000"/>
        </w:rPr>
        <w:t>The Victims and Prisoners Bill (2023–24) seeks to address long-standing concerns regarding weak compliance with the Victims’ Code by placing it on a statutory footing and strengthening monitoring and accountability mechanisms, including oversight by Police and Crime Commissioners and improved data collection across criminal justice agencies (House of Commons Library, 2023). However, critics argue that the Bill does not introduce direct legal remedies when rights are breached, limiting its capacity to drive consistent and systemic change (Victims’ Commissioner for England and Wales, 2023).</w:t>
      </w:r>
    </w:p>
    <w:p w14:paraId="617432C7" w14:textId="77777777" w:rsidR="00C22A36" w:rsidRPr="00C22A36" w:rsidRDefault="00C22A36" w:rsidP="00C22A36">
      <w:pPr>
        <w:pStyle w:val="NormalWeb"/>
        <w:spacing w:line="360" w:lineRule="auto"/>
        <w:rPr>
          <w:rFonts w:ascii="Arial" w:hAnsi="Arial" w:cs="Arial"/>
          <w:color w:val="000000"/>
        </w:rPr>
      </w:pPr>
      <w:r w:rsidRPr="00C22A36">
        <w:rPr>
          <w:rFonts w:ascii="Arial" w:hAnsi="Arial" w:cs="Arial"/>
          <w:color w:val="000000"/>
        </w:rPr>
        <w:t xml:space="preserve">Court-based protections for vulnerable victims are primarily underpinned by the Youth Justice and Criminal Evidence Act (YJCEA) 1999, which provides the statutory basis for special measures such as live video links, screens, </w:t>
      </w:r>
      <w:proofErr w:type="gramStart"/>
      <w:r w:rsidRPr="00C22A36">
        <w:rPr>
          <w:rFonts w:ascii="Arial" w:hAnsi="Arial" w:cs="Arial"/>
          <w:color w:val="000000"/>
        </w:rPr>
        <w:t>intermediaries</w:t>
      </w:r>
      <w:proofErr w:type="gramEnd"/>
      <w:r w:rsidRPr="00C22A36">
        <w:rPr>
          <w:rFonts w:ascii="Arial" w:hAnsi="Arial" w:cs="Arial"/>
          <w:color w:val="000000"/>
        </w:rPr>
        <w:t xml:space="preserve"> and pre-recorded evidence. These measures are intended to reduce distress and </w:t>
      </w:r>
      <w:proofErr w:type="spellStart"/>
      <w:r w:rsidRPr="00C22A36">
        <w:rPr>
          <w:rFonts w:ascii="Arial" w:hAnsi="Arial" w:cs="Arial"/>
          <w:color w:val="000000"/>
        </w:rPr>
        <w:t>retraumatisation</w:t>
      </w:r>
      <w:proofErr w:type="spellEnd"/>
      <w:r w:rsidRPr="00C22A36">
        <w:rPr>
          <w:rFonts w:ascii="Arial" w:hAnsi="Arial" w:cs="Arial"/>
          <w:color w:val="000000"/>
        </w:rPr>
        <w:t xml:space="preserve"> during trial proceedings, particularly for children, victims of sexual offences and individuals with communication or mental health difficulties (Ministry of Justice, 2020). Despite their availability in law, inspection evidence continues to highlight inconsistent identification of vulnerability and uneven access to special measures in practice (HMICFRS, 2021).</w:t>
      </w:r>
    </w:p>
    <w:p w14:paraId="33E8370F" w14:textId="77777777" w:rsidR="00C22A36" w:rsidRPr="00C22A36" w:rsidRDefault="00C22A36" w:rsidP="00C22A36">
      <w:pPr>
        <w:pStyle w:val="NormalWeb"/>
        <w:spacing w:line="360" w:lineRule="auto"/>
        <w:rPr>
          <w:rFonts w:ascii="Arial" w:hAnsi="Arial" w:cs="Arial"/>
          <w:color w:val="000000"/>
        </w:rPr>
      </w:pPr>
      <w:r w:rsidRPr="00C22A36">
        <w:rPr>
          <w:rFonts w:ascii="Arial" w:hAnsi="Arial" w:cs="Arial"/>
          <w:color w:val="000000"/>
        </w:rPr>
        <w:lastRenderedPageBreak/>
        <w:t>Additional legislation addresses vulnerability in the context of specific offence types. The Domestic Abuse Act 2021 introduced a statutory definition of domestic abuse, strengthened the role of Independent Domestic Violence Advocates (IDVAs) and prohibited perpetrators from directly cross-examining victims in court, aiming to reduce intimidation and further harm within adversarial proceedings (Domestic Abuse Commissioner for England and Wales, 2025). Similarly, the Modern Slavery Act 2015 establishes a framework for identifying and supporting victims of trafficking and exploitation, although concerns persist regarding delays and inconsistencies in victim identification and access to support (Home Office, 2023).</w:t>
      </w:r>
    </w:p>
    <w:p w14:paraId="547A2F0F" w14:textId="66B4C12E" w:rsidR="0035419A" w:rsidRPr="00C22A36" w:rsidRDefault="00C22A36" w:rsidP="00C22A36">
      <w:pPr>
        <w:pStyle w:val="NormalWeb"/>
        <w:spacing w:line="360" w:lineRule="auto"/>
        <w:rPr>
          <w:rFonts w:ascii="Arial" w:hAnsi="Arial" w:cs="Arial"/>
          <w:color w:val="000000"/>
        </w:rPr>
      </w:pPr>
      <w:r w:rsidRPr="00C22A36">
        <w:rPr>
          <w:rFonts w:ascii="Arial" w:hAnsi="Arial" w:cs="Arial"/>
          <w:color w:val="000000"/>
        </w:rPr>
        <w:t>Wider equality and human rights frameworks also impose obligations on criminal justice agencies to accommodate vulnerability. The Equality Act 2010 requires public bodies to make reasonable adjustments for individuals with disabilities, including mental health conditions, while the European Convention on Human Rights places positive duties on the state to protect individuals from inhuman or degrading treatment (Article 3) and to respect private and family life, including psychological integrity (Article 8). Failures to adequately support vulnerable victims may therefore engage both equality and human rights considerations (European Court of Human Rights, 2020).</w:t>
      </w:r>
    </w:p>
    <w:p w14:paraId="32EB7155" w14:textId="68E470E2" w:rsidR="0035419A" w:rsidRPr="0035419A" w:rsidRDefault="0035419A" w:rsidP="0035419A">
      <w:pPr>
        <w:pStyle w:val="Heading2"/>
        <w:rPr>
          <w:sz w:val="28"/>
          <w:szCs w:val="28"/>
          <w:u w:val="single"/>
          <w:lang w:val="en-GB" w:eastAsia="en-GB"/>
        </w:rPr>
      </w:pPr>
      <w:bookmarkStart w:id="3" w:name="_Toc218713256"/>
      <w:r w:rsidRPr="00892C3C">
        <w:rPr>
          <w:rFonts w:ascii="-webkit-standard" w:hAnsi="-webkit-standard"/>
          <w:color w:val="000000"/>
          <w:sz w:val="28"/>
          <w:szCs w:val="28"/>
          <w:u w:val="single"/>
        </w:rPr>
        <w:t>2.2 - Implementation and Accountability Challenges</w:t>
      </w:r>
      <w:bookmarkEnd w:id="3"/>
      <w:r w:rsidR="00892C3C">
        <w:rPr>
          <w:rFonts w:ascii="-webkit-standard" w:hAnsi="-webkit-standard"/>
          <w:color w:val="000000"/>
          <w:sz w:val="28"/>
          <w:szCs w:val="28"/>
          <w:u w:val="single"/>
        </w:rPr>
        <w:t xml:space="preserve"> </w:t>
      </w:r>
    </w:p>
    <w:p w14:paraId="441562AC" w14:textId="0DFF49BE" w:rsidR="00892C3C" w:rsidRPr="00892C3C" w:rsidRDefault="00892C3C" w:rsidP="00892C3C">
      <w:pPr>
        <w:pStyle w:val="NormalWeb"/>
        <w:spacing w:line="360" w:lineRule="auto"/>
        <w:rPr>
          <w:rFonts w:ascii="Arial" w:hAnsi="Arial" w:cs="Arial"/>
          <w:color w:val="000000"/>
        </w:rPr>
      </w:pPr>
      <w:r w:rsidRPr="00892C3C">
        <w:rPr>
          <w:rFonts w:ascii="Arial" w:hAnsi="Arial" w:cs="Arial"/>
          <w:color w:val="000000"/>
        </w:rPr>
        <w:t>While the U</w:t>
      </w:r>
      <w:r w:rsidR="00893DDA">
        <w:rPr>
          <w:rFonts w:ascii="Arial" w:hAnsi="Arial" w:cs="Arial"/>
          <w:color w:val="000000"/>
        </w:rPr>
        <w:t xml:space="preserve">nited </w:t>
      </w:r>
      <w:r w:rsidRPr="00892C3C">
        <w:rPr>
          <w:rFonts w:ascii="Arial" w:hAnsi="Arial" w:cs="Arial"/>
          <w:color w:val="000000"/>
        </w:rPr>
        <w:t>K</w:t>
      </w:r>
      <w:r w:rsidR="00893DDA">
        <w:rPr>
          <w:rFonts w:ascii="Arial" w:hAnsi="Arial" w:cs="Arial"/>
          <w:color w:val="000000"/>
        </w:rPr>
        <w:t>ingdom</w:t>
      </w:r>
      <w:r w:rsidRPr="00892C3C">
        <w:rPr>
          <w:rFonts w:ascii="Arial" w:hAnsi="Arial" w:cs="Arial"/>
          <w:color w:val="000000"/>
        </w:rPr>
        <w:t xml:space="preserve"> legal framework demonstrates a clear commitment to recognising and addressing vulnerability significant challenges remain in relation to implementation and enforcement (HMICFRS, 2021). The Victims’ Code outlines approximately 30 rights</w:t>
      </w:r>
      <w:r w:rsidR="00893DDA">
        <w:rPr>
          <w:rFonts w:ascii="Arial" w:hAnsi="Arial" w:cs="Arial"/>
          <w:color w:val="000000"/>
        </w:rPr>
        <w:t>,</w:t>
      </w:r>
      <w:r w:rsidRPr="00892C3C">
        <w:rPr>
          <w:rFonts w:ascii="Arial" w:hAnsi="Arial" w:cs="Arial"/>
          <w:color w:val="000000"/>
        </w:rPr>
        <w:t xml:space="preserve"> however victims currently have no direct legal mechanism to enforce these rights when breaches occur relying instead on complaints procedures within criminal justice agencies which have been criticised for their lack of transparency and effectiveness (Victims’ Commissioner for England and Wales, 2023). The Victims and Prisoners Bill seeks to strengthen </w:t>
      </w:r>
      <w:proofErr w:type="gramStart"/>
      <w:r w:rsidRPr="00892C3C">
        <w:rPr>
          <w:rFonts w:ascii="Arial" w:hAnsi="Arial" w:cs="Arial"/>
          <w:color w:val="000000"/>
        </w:rPr>
        <w:t>accountability</w:t>
      </w:r>
      <w:proofErr w:type="gramEnd"/>
      <w:r w:rsidRPr="00892C3C">
        <w:rPr>
          <w:rFonts w:ascii="Arial" w:hAnsi="Arial" w:cs="Arial"/>
          <w:color w:val="000000"/>
        </w:rPr>
        <w:t xml:space="preserve"> yet critics argue that reliance on existing oversight structures may be insufficient to ensure consistent improvement across policing the Crown Prosecution Service and court services (House of Commons Library, 2024).</w:t>
      </w:r>
    </w:p>
    <w:p w14:paraId="037735AF" w14:textId="77777777" w:rsidR="00892C3C" w:rsidRPr="00892C3C" w:rsidRDefault="00892C3C" w:rsidP="00892C3C">
      <w:pPr>
        <w:pStyle w:val="NormalWeb"/>
        <w:spacing w:line="360" w:lineRule="auto"/>
        <w:rPr>
          <w:rFonts w:ascii="Arial" w:hAnsi="Arial" w:cs="Arial"/>
          <w:color w:val="000000"/>
        </w:rPr>
      </w:pPr>
      <w:r w:rsidRPr="00892C3C">
        <w:rPr>
          <w:rFonts w:ascii="Arial" w:hAnsi="Arial" w:cs="Arial"/>
          <w:color w:val="000000"/>
        </w:rPr>
        <w:lastRenderedPageBreak/>
        <w:t>Overall although the policy and legal framework for vulnerable victims has expanded considerably evidence suggests that practical delivery remains uneven across the criminal justice system (HMCPSI, 2022). The absence of enforceable remedies combined with variability in resources training and organisational culture continues to limit the extent to which legislative intent translates into meaningful improvements in victim experience (HMICFRS, 2021; Victims’ Commissioner for England and Wales, 2023). As such the gap between formal rights and lived reality remains a defining challenge within the current criminal justice response to vulnerable victims.</w:t>
      </w:r>
    </w:p>
    <w:p w14:paraId="0CB2A3B7" w14:textId="01E414B9" w:rsidR="0035419A" w:rsidRPr="0035419A" w:rsidRDefault="0035419A" w:rsidP="0035419A">
      <w:pPr>
        <w:pStyle w:val="Heading2"/>
        <w:rPr>
          <w:sz w:val="28"/>
          <w:szCs w:val="28"/>
          <w:u w:val="single"/>
        </w:rPr>
      </w:pPr>
      <w:bookmarkStart w:id="4" w:name="_Toc218713257"/>
      <w:r w:rsidRPr="0035419A">
        <w:rPr>
          <w:sz w:val="28"/>
          <w:szCs w:val="28"/>
          <w:u w:val="single"/>
        </w:rPr>
        <w:t xml:space="preserve">2.3 - Vulnerability, </w:t>
      </w:r>
      <w:proofErr w:type="gramStart"/>
      <w:r w:rsidRPr="0035419A">
        <w:rPr>
          <w:sz w:val="28"/>
          <w:szCs w:val="28"/>
          <w:u w:val="single"/>
        </w:rPr>
        <w:t>Victimology</w:t>
      </w:r>
      <w:proofErr w:type="gramEnd"/>
      <w:r w:rsidRPr="0035419A">
        <w:rPr>
          <w:sz w:val="28"/>
          <w:szCs w:val="28"/>
          <w:u w:val="single"/>
        </w:rPr>
        <w:t xml:space="preserve"> and the Implementation Gap</w:t>
      </w:r>
      <w:bookmarkEnd w:id="4"/>
      <w:r w:rsidR="00892C3C">
        <w:rPr>
          <w:sz w:val="28"/>
          <w:szCs w:val="28"/>
          <w:u w:val="single"/>
        </w:rPr>
        <w:t xml:space="preserve"> </w:t>
      </w:r>
    </w:p>
    <w:p w14:paraId="02E8D5C9" w14:textId="1E7A7543" w:rsidR="00C22A36" w:rsidRPr="00C22A36" w:rsidRDefault="00C22A36" w:rsidP="00C22A36">
      <w:pPr>
        <w:pStyle w:val="NormalWeb"/>
        <w:spacing w:line="360" w:lineRule="auto"/>
        <w:rPr>
          <w:rFonts w:ascii="Arial" w:hAnsi="Arial" w:cs="Arial"/>
          <w:color w:val="000000"/>
        </w:rPr>
      </w:pPr>
      <w:r w:rsidRPr="00C22A36">
        <w:rPr>
          <w:rFonts w:ascii="Arial" w:hAnsi="Arial" w:cs="Arial"/>
          <w:color w:val="000000"/>
        </w:rPr>
        <w:t xml:space="preserve">Despite the expansion of legislative protections and policy commitments outlined in Section 2, contemporary research continues to demonstrate a significant gap between formal rights and the lived experiences of vulnerable victims within the criminal justice system (McGlynn, </w:t>
      </w:r>
      <w:proofErr w:type="spellStart"/>
      <w:r w:rsidRPr="00C22A36">
        <w:rPr>
          <w:rFonts w:ascii="Arial" w:hAnsi="Arial" w:cs="Arial"/>
          <w:color w:val="000000"/>
        </w:rPr>
        <w:t>Westmarland</w:t>
      </w:r>
      <w:proofErr w:type="spellEnd"/>
      <w:r w:rsidRPr="00C22A36">
        <w:rPr>
          <w:rFonts w:ascii="Arial" w:hAnsi="Arial" w:cs="Arial"/>
          <w:color w:val="000000"/>
        </w:rPr>
        <w:t xml:space="preserve"> and Godden, 2021</w:t>
      </w:r>
      <w:r w:rsidR="001A4564">
        <w:rPr>
          <w:rFonts w:ascii="Arial" w:hAnsi="Arial" w:cs="Arial"/>
          <w:color w:val="000000"/>
        </w:rPr>
        <w:t>a</w:t>
      </w:r>
      <w:r w:rsidRPr="00C22A36">
        <w:rPr>
          <w:rFonts w:ascii="Arial" w:hAnsi="Arial" w:cs="Arial"/>
          <w:color w:val="000000"/>
        </w:rPr>
        <w:t xml:space="preserve">; </w:t>
      </w:r>
      <w:proofErr w:type="spellStart"/>
      <w:r w:rsidRPr="00C22A36">
        <w:rPr>
          <w:rFonts w:ascii="Arial" w:hAnsi="Arial" w:cs="Arial"/>
          <w:color w:val="000000"/>
        </w:rPr>
        <w:t>Walklate</w:t>
      </w:r>
      <w:proofErr w:type="spellEnd"/>
      <w:r w:rsidRPr="00C22A36">
        <w:rPr>
          <w:rFonts w:ascii="Arial" w:hAnsi="Arial" w:cs="Arial"/>
          <w:color w:val="000000"/>
        </w:rPr>
        <w:t xml:space="preserve">, </w:t>
      </w:r>
      <w:proofErr w:type="gramStart"/>
      <w:r w:rsidRPr="00C22A36">
        <w:rPr>
          <w:rFonts w:ascii="Arial" w:hAnsi="Arial" w:cs="Arial"/>
          <w:color w:val="000000"/>
        </w:rPr>
        <w:t>Fitz-Gibbon</w:t>
      </w:r>
      <w:proofErr w:type="gramEnd"/>
      <w:r w:rsidRPr="00C22A36">
        <w:rPr>
          <w:rFonts w:ascii="Arial" w:hAnsi="Arial" w:cs="Arial"/>
          <w:color w:val="000000"/>
        </w:rPr>
        <w:t xml:space="preserve"> and McCulloch, 2022). Victimological and procedural justice perspectives help to explain why these gaps persist and how institutional practices continue to disadvantage </w:t>
      </w:r>
      <w:proofErr w:type="gramStart"/>
      <w:r w:rsidRPr="00C22A36">
        <w:rPr>
          <w:rFonts w:ascii="Arial" w:hAnsi="Arial" w:cs="Arial"/>
          <w:color w:val="000000"/>
        </w:rPr>
        <w:t>particular groups</w:t>
      </w:r>
      <w:proofErr w:type="gramEnd"/>
      <w:r w:rsidRPr="00C22A36">
        <w:rPr>
          <w:rFonts w:ascii="Arial" w:hAnsi="Arial" w:cs="Arial"/>
          <w:color w:val="000000"/>
        </w:rPr>
        <w:t xml:space="preserve"> of victims.</w:t>
      </w:r>
    </w:p>
    <w:p w14:paraId="1C7959B0" w14:textId="5C50774E" w:rsidR="00C22A36" w:rsidRPr="00C22A36" w:rsidRDefault="00C22A36" w:rsidP="00C22A36">
      <w:pPr>
        <w:pStyle w:val="NormalWeb"/>
        <w:spacing w:line="360" w:lineRule="auto"/>
        <w:rPr>
          <w:rFonts w:ascii="Arial" w:hAnsi="Arial" w:cs="Arial"/>
          <w:color w:val="000000"/>
        </w:rPr>
      </w:pPr>
      <w:r w:rsidRPr="00C22A36">
        <w:rPr>
          <w:rFonts w:ascii="Arial" w:hAnsi="Arial" w:cs="Arial"/>
          <w:color w:val="000000"/>
        </w:rPr>
        <w:t xml:space="preserve">Christie’s (1986) concept of the “ideal victim” remains a useful framework for understanding how credibility, innocence and vulnerability are socially constructed within criminal justice processes. Victims who align with normative expectations are more readily afforded legitimacy, while survivors of sexual violence, individuals with mental health difficulties and those whose behaviour or circumstances deviate from these expectations are more likely to encounter scepticism and implicit victim-blaming. Empirical analysis of police and prosecutorial decision-making confirms that these dynamics remain embedded within criminal justice practice and continue to shape case progression and outcomes in rape and serious sexual offence cases (Ellison, Munro and </w:t>
      </w:r>
      <w:proofErr w:type="spellStart"/>
      <w:r w:rsidRPr="00C22A36">
        <w:rPr>
          <w:rFonts w:ascii="Arial" w:hAnsi="Arial" w:cs="Arial"/>
          <w:color w:val="000000"/>
        </w:rPr>
        <w:t>Hohl</w:t>
      </w:r>
      <w:proofErr w:type="spellEnd"/>
      <w:r w:rsidRPr="00C22A36">
        <w:rPr>
          <w:rFonts w:ascii="Arial" w:hAnsi="Arial" w:cs="Arial"/>
          <w:color w:val="000000"/>
        </w:rPr>
        <w:t>, 2023).</w:t>
      </w:r>
    </w:p>
    <w:p w14:paraId="12FCC1EF" w14:textId="38CD72D9" w:rsidR="00C22A36" w:rsidRPr="00C22A36" w:rsidRDefault="00C22A36" w:rsidP="00C22A36">
      <w:pPr>
        <w:pStyle w:val="NormalWeb"/>
        <w:spacing w:line="360" w:lineRule="auto"/>
        <w:rPr>
          <w:rFonts w:ascii="Arial" w:hAnsi="Arial" w:cs="Arial"/>
          <w:color w:val="000000"/>
        </w:rPr>
      </w:pPr>
      <w:r w:rsidRPr="00C22A36">
        <w:rPr>
          <w:rFonts w:ascii="Arial" w:hAnsi="Arial" w:cs="Arial"/>
          <w:color w:val="000000"/>
        </w:rPr>
        <w:t xml:space="preserve">Procedural justice research further demonstrates that victims’ willingness to engage with the criminal justice system is strongly influenced by perceptions of fairness, </w:t>
      </w:r>
      <w:proofErr w:type="gramStart"/>
      <w:r w:rsidRPr="00C22A36">
        <w:rPr>
          <w:rFonts w:ascii="Arial" w:hAnsi="Arial" w:cs="Arial"/>
          <w:color w:val="000000"/>
        </w:rPr>
        <w:t>voice</w:t>
      </w:r>
      <w:proofErr w:type="gramEnd"/>
      <w:r w:rsidRPr="00C22A36">
        <w:rPr>
          <w:rFonts w:ascii="Arial" w:hAnsi="Arial" w:cs="Arial"/>
          <w:color w:val="000000"/>
        </w:rPr>
        <w:t xml:space="preserve"> and respect (Tyler, 2006</w:t>
      </w:r>
      <w:r w:rsidR="001A4564">
        <w:rPr>
          <w:rFonts w:ascii="Arial" w:hAnsi="Arial" w:cs="Arial"/>
          <w:color w:val="000000"/>
        </w:rPr>
        <w:t>a</w:t>
      </w:r>
      <w:r w:rsidRPr="00C22A36">
        <w:rPr>
          <w:rFonts w:ascii="Arial" w:hAnsi="Arial" w:cs="Arial"/>
          <w:color w:val="000000"/>
        </w:rPr>
        <w:t xml:space="preserve">). When victims experience poor communication, limited explanation of decisions or dismissive responses during early stages, </w:t>
      </w:r>
      <w:proofErr w:type="gramStart"/>
      <w:r w:rsidRPr="00C22A36">
        <w:rPr>
          <w:rFonts w:ascii="Arial" w:hAnsi="Arial" w:cs="Arial"/>
          <w:color w:val="000000"/>
        </w:rPr>
        <w:t>confidence</w:t>
      </w:r>
      <w:proofErr w:type="gramEnd"/>
      <w:r w:rsidRPr="00C22A36">
        <w:rPr>
          <w:rFonts w:ascii="Arial" w:hAnsi="Arial" w:cs="Arial"/>
          <w:color w:val="000000"/>
        </w:rPr>
        <w:t xml:space="preserve"> and engagement decline, increasing the risk of withdrawal and attrition (McGlynn, </w:t>
      </w:r>
      <w:proofErr w:type="spellStart"/>
      <w:r w:rsidRPr="00C22A36">
        <w:rPr>
          <w:rFonts w:ascii="Arial" w:hAnsi="Arial" w:cs="Arial"/>
          <w:color w:val="000000"/>
        </w:rPr>
        <w:lastRenderedPageBreak/>
        <w:t>Westmarland</w:t>
      </w:r>
      <w:proofErr w:type="spellEnd"/>
      <w:r w:rsidRPr="00C22A36">
        <w:rPr>
          <w:rFonts w:ascii="Arial" w:hAnsi="Arial" w:cs="Arial"/>
          <w:color w:val="000000"/>
        </w:rPr>
        <w:t xml:space="preserve"> and Godden, 2021</w:t>
      </w:r>
      <w:r w:rsidR="001A4564">
        <w:rPr>
          <w:rFonts w:ascii="Arial" w:hAnsi="Arial" w:cs="Arial"/>
          <w:color w:val="000000"/>
        </w:rPr>
        <w:t>b</w:t>
      </w:r>
      <w:r w:rsidRPr="00C22A36">
        <w:rPr>
          <w:rFonts w:ascii="Arial" w:hAnsi="Arial" w:cs="Arial"/>
          <w:color w:val="000000"/>
        </w:rPr>
        <w:t xml:space="preserve">). For vulnerable victims, adversarial practices, </w:t>
      </w:r>
      <w:proofErr w:type="gramStart"/>
      <w:r w:rsidRPr="00C22A36">
        <w:rPr>
          <w:rFonts w:ascii="Arial" w:hAnsi="Arial" w:cs="Arial"/>
          <w:color w:val="000000"/>
        </w:rPr>
        <w:t>delays</w:t>
      </w:r>
      <w:proofErr w:type="gramEnd"/>
      <w:r w:rsidRPr="00C22A36">
        <w:rPr>
          <w:rFonts w:ascii="Arial" w:hAnsi="Arial" w:cs="Arial"/>
          <w:color w:val="000000"/>
        </w:rPr>
        <w:t xml:space="preserve"> and insufficient emotional support can exacerbate trauma and undermine trust in criminal justice authorities (</w:t>
      </w:r>
      <w:proofErr w:type="spellStart"/>
      <w:r w:rsidRPr="00C22A36">
        <w:rPr>
          <w:rFonts w:ascii="Arial" w:hAnsi="Arial" w:cs="Arial"/>
          <w:color w:val="000000"/>
        </w:rPr>
        <w:t>Walklate</w:t>
      </w:r>
      <w:proofErr w:type="spellEnd"/>
      <w:r w:rsidRPr="00C22A36">
        <w:rPr>
          <w:rFonts w:ascii="Arial" w:hAnsi="Arial" w:cs="Arial"/>
          <w:color w:val="000000"/>
        </w:rPr>
        <w:t xml:space="preserve"> et al, 2022).</w:t>
      </w:r>
    </w:p>
    <w:p w14:paraId="05395BC1" w14:textId="77777777" w:rsidR="00C22A36" w:rsidRPr="00C22A36" w:rsidRDefault="00C22A36" w:rsidP="00C22A36">
      <w:pPr>
        <w:pStyle w:val="NormalWeb"/>
        <w:spacing w:line="360" w:lineRule="auto"/>
        <w:rPr>
          <w:rFonts w:ascii="Arial" w:hAnsi="Arial" w:cs="Arial"/>
          <w:color w:val="000000"/>
        </w:rPr>
      </w:pPr>
      <w:r w:rsidRPr="00C22A36">
        <w:rPr>
          <w:rFonts w:ascii="Arial" w:hAnsi="Arial" w:cs="Arial"/>
          <w:color w:val="000000"/>
        </w:rPr>
        <w:t xml:space="preserve">Inspection and policy evaluations reinforce the scale of this implementation gap. Despite extensive reform, criminal justice processes continue to prioritise evidential efficiency over victim participation and psychological safety, resulting in inconsistent application of safeguards and uneven support for vulnerable victims (HMCPSI, 2022; Ministry of Justice, 2024). Legislative reform alone has therefore proved insufficient without sustained changes in organisational culture, </w:t>
      </w:r>
      <w:proofErr w:type="gramStart"/>
      <w:r w:rsidRPr="00C22A36">
        <w:rPr>
          <w:rFonts w:ascii="Arial" w:hAnsi="Arial" w:cs="Arial"/>
          <w:color w:val="000000"/>
        </w:rPr>
        <w:t>training</w:t>
      </w:r>
      <w:proofErr w:type="gramEnd"/>
      <w:r w:rsidRPr="00C22A36">
        <w:rPr>
          <w:rFonts w:ascii="Arial" w:hAnsi="Arial" w:cs="Arial"/>
          <w:color w:val="000000"/>
        </w:rPr>
        <w:t xml:space="preserve"> and frontline practice.</w:t>
      </w:r>
    </w:p>
    <w:p w14:paraId="0D0B80F6" w14:textId="77D7E8FF" w:rsidR="00892C3C" w:rsidRPr="00C22A36" w:rsidRDefault="00892C3C" w:rsidP="00C22A36">
      <w:pPr>
        <w:pStyle w:val="NormalWeb"/>
        <w:tabs>
          <w:tab w:val="left" w:pos="5722"/>
        </w:tabs>
        <w:spacing w:line="360" w:lineRule="auto"/>
        <w:rPr>
          <w:rFonts w:ascii="Arial" w:hAnsi="Arial" w:cs="Arial"/>
          <w:color w:val="000000"/>
        </w:rPr>
      </w:pPr>
      <w:r w:rsidRPr="00C22A36">
        <w:rPr>
          <w:rFonts w:ascii="Arial" w:hAnsi="Arial" w:cs="Arial"/>
          <w:color w:val="000000"/>
        </w:rPr>
        <w:t>Key challenges contributing to this gap include:</w:t>
      </w:r>
      <w:r w:rsidRPr="00C22A36">
        <w:rPr>
          <w:rFonts w:ascii="Arial" w:hAnsi="Arial" w:cs="Arial"/>
          <w:color w:val="000000"/>
        </w:rPr>
        <w:tab/>
      </w:r>
      <w:r w:rsidRPr="00C22A36">
        <w:rPr>
          <w:rFonts w:ascii="Arial" w:hAnsi="Arial" w:cs="Arial"/>
          <w:color w:val="000000"/>
        </w:rPr>
        <w:br/>
        <w:t>• Inconsistent identification of vulnerability at early stages;</w:t>
      </w:r>
      <w:r w:rsidRPr="00C22A36">
        <w:rPr>
          <w:rFonts w:ascii="Arial" w:hAnsi="Arial" w:cs="Arial"/>
          <w:color w:val="000000"/>
        </w:rPr>
        <w:br/>
        <w:t>• Limited specialist training on trauma-informed practice;</w:t>
      </w:r>
      <w:r w:rsidRPr="00C22A36">
        <w:rPr>
          <w:rFonts w:ascii="Arial" w:hAnsi="Arial" w:cs="Arial"/>
          <w:color w:val="000000"/>
        </w:rPr>
        <w:br/>
        <w:t>• Fragmented provision of specialist advocacy services;</w:t>
      </w:r>
      <w:r w:rsidRPr="00C22A36">
        <w:rPr>
          <w:rFonts w:ascii="Arial" w:hAnsi="Arial" w:cs="Arial"/>
          <w:color w:val="000000"/>
        </w:rPr>
        <w:br/>
        <w:t>• Prolonged investigative and court delays; and</w:t>
      </w:r>
      <w:r w:rsidRPr="00C22A36">
        <w:rPr>
          <w:rFonts w:ascii="Arial" w:hAnsi="Arial" w:cs="Arial"/>
          <w:color w:val="000000"/>
        </w:rPr>
        <w:br/>
        <w:t>• Uneven implementation of victim-centred approaches across agencies (McGlynn et al, 2021</w:t>
      </w:r>
      <w:r w:rsidR="001A4564">
        <w:rPr>
          <w:rFonts w:ascii="Arial" w:hAnsi="Arial" w:cs="Arial"/>
          <w:color w:val="000000"/>
        </w:rPr>
        <w:t>a</w:t>
      </w:r>
      <w:r w:rsidRPr="00C22A36">
        <w:rPr>
          <w:rFonts w:ascii="Arial" w:hAnsi="Arial" w:cs="Arial"/>
          <w:color w:val="000000"/>
        </w:rPr>
        <w:t>; HMCPSI, 2022).</w:t>
      </w:r>
    </w:p>
    <w:p w14:paraId="648C325B" w14:textId="77777777" w:rsidR="00C22A36" w:rsidRPr="00C22A36" w:rsidRDefault="00C22A36" w:rsidP="00C22A36">
      <w:pPr>
        <w:pStyle w:val="NormalWeb"/>
        <w:spacing w:line="360" w:lineRule="auto"/>
        <w:rPr>
          <w:rFonts w:ascii="Arial" w:hAnsi="Arial" w:cs="Arial"/>
          <w:color w:val="000000"/>
        </w:rPr>
      </w:pPr>
      <w:r w:rsidRPr="00C22A36">
        <w:rPr>
          <w:rFonts w:ascii="Arial" w:hAnsi="Arial" w:cs="Arial"/>
          <w:color w:val="000000"/>
        </w:rPr>
        <w:t>Overall, while the current policy and legal framework provides a strong foundation for supporting vulnerable victims, its effectiveness in practice remains constrained by institutional and resource limitations. These constraints help to explain why formal recognition of vulnerability has not prevented widespread case attrition across the criminal justice system, a pattern examined in the following section through analysis of systemic attrition and the policy–practice gap.</w:t>
      </w:r>
    </w:p>
    <w:p w14:paraId="04392123" w14:textId="62EC1C7E" w:rsidR="0035419A" w:rsidRPr="00892C3C" w:rsidRDefault="0035419A" w:rsidP="00892C3C">
      <w:pPr>
        <w:pStyle w:val="NormalWeb"/>
        <w:rPr>
          <w:color w:val="000000"/>
        </w:rPr>
      </w:pPr>
      <w:r w:rsidRPr="0035419A">
        <w:rPr>
          <w:sz w:val="28"/>
          <w:szCs w:val="28"/>
          <w:u w:val="single"/>
        </w:rPr>
        <w:t>2.4 - Systemic Attrition and the Policy–Practice Gap</w:t>
      </w:r>
      <w:r w:rsidR="00892C3C">
        <w:rPr>
          <w:sz w:val="28"/>
          <w:szCs w:val="28"/>
          <w:u w:val="single"/>
        </w:rPr>
        <w:t xml:space="preserve"> </w:t>
      </w:r>
    </w:p>
    <w:p w14:paraId="21267920" w14:textId="77777777" w:rsidR="00892C3C" w:rsidRDefault="0035419A" w:rsidP="00892C3C">
      <w:pPr>
        <w:pStyle w:val="NormalWeb"/>
        <w:spacing w:line="360" w:lineRule="auto"/>
        <w:rPr>
          <w:rFonts w:ascii="Arial" w:hAnsi="Arial" w:cs="Arial"/>
          <w:color w:val="000000"/>
        </w:rPr>
      </w:pPr>
      <w:r w:rsidRPr="0035419A">
        <w:rPr>
          <w:rFonts w:ascii="Arial" w:hAnsi="Arial" w:cs="Arial"/>
          <w:color w:val="000000"/>
        </w:rPr>
        <w:t>Despite extensive legislative reform and expanded victim rights, outcomes for vulnerable victims remain poor across key offence types, particularly rape and serious sexual offences. One of the clearest indicators of this implementation gap is the high level of attrition observed at each stage of the criminal justice process.</w:t>
      </w:r>
    </w:p>
    <w:p w14:paraId="789770B1" w14:textId="2D074AF3" w:rsidR="0035419A" w:rsidRDefault="0035419A" w:rsidP="00892C3C">
      <w:pPr>
        <w:jc w:val="right"/>
        <w:rPr>
          <w:rFonts w:ascii="Arial" w:hAnsi="Arial" w:cs="Arial"/>
          <w:color w:val="000000"/>
          <w:sz w:val="20"/>
          <w:szCs w:val="20"/>
        </w:rPr>
      </w:pPr>
    </w:p>
    <w:p w14:paraId="63CCE4E7" w14:textId="21380880" w:rsidR="0035419A" w:rsidRPr="0035419A" w:rsidRDefault="0035419A" w:rsidP="0035419A">
      <w:pPr>
        <w:pStyle w:val="Heading1"/>
      </w:pPr>
      <w:bookmarkStart w:id="5" w:name="_Toc215238097"/>
      <w:bookmarkStart w:id="6" w:name="_Toc218713258"/>
      <w:r w:rsidRPr="0035419A">
        <w:lastRenderedPageBreak/>
        <w:t>3. First Contact with the Criminal Justice System: Police Engagement</w:t>
      </w:r>
      <w:bookmarkEnd w:id="5"/>
      <w:bookmarkEnd w:id="6"/>
      <w:r w:rsidR="00892C3C">
        <w:t xml:space="preserve"> </w:t>
      </w:r>
    </w:p>
    <w:p w14:paraId="73DCC77E" w14:textId="4816EC41" w:rsidR="00892C3C" w:rsidRPr="00892C3C" w:rsidRDefault="00892C3C" w:rsidP="00892C3C">
      <w:pPr>
        <w:pStyle w:val="NormalWeb"/>
        <w:spacing w:line="360" w:lineRule="auto"/>
        <w:rPr>
          <w:rFonts w:ascii="Arial" w:hAnsi="Arial" w:cs="Arial"/>
          <w:b/>
          <w:bCs/>
          <w:color w:val="000000"/>
        </w:rPr>
      </w:pPr>
      <w:r w:rsidRPr="00892C3C">
        <w:rPr>
          <w:rStyle w:val="Strong"/>
          <w:rFonts w:ascii="Arial" w:hAnsi="Arial" w:cs="Arial"/>
          <w:b w:val="0"/>
          <w:bCs w:val="0"/>
          <w:color w:val="000000"/>
        </w:rPr>
        <w:t xml:space="preserve">Victims’ first interaction with policing is crucial in shaping trust and long-term cooperation, as procedural justice theory highlights the central role of fair treatment, respectful </w:t>
      </w:r>
      <w:proofErr w:type="gramStart"/>
      <w:r w:rsidRPr="00892C3C">
        <w:rPr>
          <w:rStyle w:val="Strong"/>
          <w:rFonts w:ascii="Arial" w:hAnsi="Arial" w:cs="Arial"/>
          <w:b w:val="0"/>
          <w:bCs w:val="0"/>
          <w:color w:val="000000"/>
        </w:rPr>
        <w:t>engagement</w:t>
      </w:r>
      <w:proofErr w:type="gramEnd"/>
      <w:r>
        <w:rPr>
          <w:rStyle w:val="Strong"/>
          <w:rFonts w:ascii="Arial" w:hAnsi="Arial" w:cs="Arial"/>
          <w:b w:val="0"/>
          <w:bCs w:val="0"/>
          <w:color w:val="000000"/>
        </w:rPr>
        <w:t xml:space="preserve"> </w:t>
      </w:r>
      <w:r w:rsidRPr="00892C3C">
        <w:rPr>
          <w:rStyle w:val="Strong"/>
          <w:rFonts w:ascii="Arial" w:hAnsi="Arial" w:cs="Arial"/>
          <w:b w:val="0"/>
          <w:bCs w:val="0"/>
          <w:color w:val="000000"/>
        </w:rPr>
        <w:t>and perceived legitimacy in legal decision-making (Tyler, 2006</w:t>
      </w:r>
      <w:r w:rsidR="001A4564">
        <w:rPr>
          <w:rStyle w:val="Strong"/>
          <w:rFonts w:ascii="Arial" w:hAnsi="Arial" w:cs="Arial"/>
          <w:b w:val="0"/>
          <w:bCs w:val="0"/>
          <w:color w:val="000000"/>
        </w:rPr>
        <w:t>b</w:t>
      </w:r>
      <w:r w:rsidRPr="00892C3C">
        <w:rPr>
          <w:rStyle w:val="Strong"/>
          <w:rFonts w:ascii="Arial" w:hAnsi="Arial" w:cs="Arial"/>
          <w:b w:val="0"/>
          <w:bCs w:val="0"/>
          <w:color w:val="000000"/>
        </w:rPr>
        <w:t>).</w:t>
      </w:r>
    </w:p>
    <w:p w14:paraId="6852E135" w14:textId="07BB456F" w:rsidR="00892C3C" w:rsidRPr="00892C3C" w:rsidRDefault="00892C3C" w:rsidP="00892C3C">
      <w:pPr>
        <w:pStyle w:val="Heading2"/>
        <w:rPr>
          <w:rFonts w:cstheme="majorHAnsi"/>
          <w:sz w:val="28"/>
          <w:szCs w:val="28"/>
          <w:u w:val="single"/>
          <w:lang w:val="en-GB" w:eastAsia="en-GB"/>
        </w:rPr>
      </w:pPr>
      <w:bookmarkStart w:id="7" w:name="_Toc215238098"/>
      <w:bookmarkStart w:id="8" w:name="_Toc218713259"/>
      <w:r w:rsidRPr="00892C3C">
        <w:rPr>
          <w:rFonts w:cstheme="majorHAnsi"/>
          <w:sz w:val="28"/>
          <w:szCs w:val="28"/>
          <w:u w:val="single"/>
          <w:lang w:val="en-GB" w:eastAsia="en-GB"/>
        </w:rPr>
        <w:t>3.1 Reporting Rates and Barriers</w:t>
      </w:r>
      <w:bookmarkEnd w:id="7"/>
      <w:bookmarkEnd w:id="8"/>
      <w:r>
        <w:rPr>
          <w:rFonts w:cstheme="majorHAnsi"/>
          <w:sz w:val="28"/>
          <w:szCs w:val="28"/>
          <w:u w:val="single"/>
          <w:lang w:val="en-GB" w:eastAsia="en-GB"/>
        </w:rPr>
        <w:t xml:space="preserve"> </w:t>
      </w:r>
    </w:p>
    <w:p w14:paraId="5E8953F0" w14:textId="14CF832C" w:rsidR="00892C3C" w:rsidRPr="00892C3C" w:rsidRDefault="00892C3C" w:rsidP="00892C3C">
      <w:pPr>
        <w:pStyle w:val="NormalWeb"/>
        <w:spacing w:line="360" w:lineRule="auto"/>
        <w:rPr>
          <w:rFonts w:ascii="Arial" w:hAnsi="Arial" w:cs="Arial"/>
          <w:color w:val="000000"/>
        </w:rPr>
      </w:pPr>
      <w:r w:rsidRPr="00892C3C">
        <w:rPr>
          <w:rFonts w:ascii="Arial" w:hAnsi="Arial" w:cs="Arial"/>
          <w:color w:val="000000"/>
        </w:rPr>
        <w:t>Most victims of serious crimes, particularly those with vulnerabilities, do not disclose the offence to authorities (Rights of Women, 2022). Vulnerable victims face a range of barriers that impede reporting to the police and engagement with criminal justice processes. A key obstacle is a lack of trust and confidence that reporting will lead to justice, with survey evidence indicating that a substantial proportion of victims would not report a crime again based on previous experiences, and many fear that police responses will be ineffective or dismissive (College of Policing, 2024; Victims’ Commissioner, 2025). Systematic reviews of under-reporting also identify internal psychological barriers such as shame, fear of not being believed, self-blame, and concern about negative societal reactions, all of which disproportionately affect survivors of sexual violence and other trauma-related crimes (</w:t>
      </w:r>
      <w:proofErr w:type="spellStart"/>
      <w:r w:rsidRPr="00892C3C">
        <w:rPr>
          <w:rFonts w:ascii="Arial" w:hAnsi="Arial" w:cs="Arial"/>
          <w:color w:val="000000"/>
        </w:rPr>
        <w:t>Wieberneit</w:t>
      </w:r>
      <w:proofErr w:type="spellEnd"/>
      <w:r w:rsidRPr="00892C3C">
        <w:rPr>
          <w:rFonts w:ascii="Arial" w:hAnsi="Arial" w:cs="Arial"/>
          <w:color w:val="000000"/>
        </w:rPr>
        <w:t>, 2024). Additional structural barriers include the perceived normalisation of abuse, uncertainty about what constitutes a reportable offence, fear of repercussions from perpetrators</w:t>
      </w:r>
      <w:r w:rsidR="008F6F28">
        <w:rPr>
          <w:rFonts w:ascii="Arial" w:hAnsi="Arial" w:cs="Arial"/>
          <w:color w:val="000000"/>
        </w:rPr>
        <w:t xml:space="preserve"> </w:t>
      </w:r>
      <w:r w:rsidRPr="00892C3C">
        <w:rPr>
          <w:rFonts w:ascii="Arial" w:hAnsi="Arial" w:cs="Arial"/>
          <w:color w:val="000000"/>
        </w:rPr>
        <w:t xml:space="preserve">and sociocultural norms that discourage disclosure, particularly in cases involving intimate partners or known offenders (Domestic Abuse Commissioner, 2025; </w:t>
      </w:r>
      <w:proofErr w:type="spellStart"/>
      <w:r w:rsidRPr="00892C3C">
        <w:rPr>
          <w:rFonts w:ascii="Arial" w:hAnsi="Arial" w:cs="Arial"/>
          <w:color w:val="000000"/>
        </w:rPr>
        <w:t>Fohring</w:t>
      </w:r>
      <w:proofErr w:type="spellEnd"/>
      <w:r w:rsidRPr="00892C3C">
        <w:rPr>
          <w:rFonts w:ascii="Arial" w:hAnsi="Arial" w:cs="Arial"/>
          <w:color w:val="000000"/>
        </w:rPr>
        <w:t>, 2024). Together, these intersecting barriers contribute to persistently low reporting rates among vulnerable victims, undermining access to justice and reinforcing systemic patterns of under-reporting and attrition within the criminal justice system.</w:t>
      </w:r>
    </w:p>
    <w:p w14:paraId="26825A57" w14:textId="77777777" w:rsidR="00892C3C" w:rsidRDefault="00892C3C" w:rsidP="0035419A">
      <w:pPr>
        <w:spacing w:line="360" w:lineRule="auto"/>
        <w:rPr>
          <w:rFonts w:ascii="Arial" w:hAnsi="Arial" w:cs="Arial"/>
          <w:color w:val="000000"/>
        </w:rPr>
      </w:pPr>
    </w:p>
    <w:p w14:paraId="38A7C2DA" w14:textId="77777777" w:rsidR="00892C3C" w:rsidRPr="00892C3C" w:rsidRDefault="00892C3C" w:rsidP="00892C3C">
      <w:pPr>
        <w:spacing w:line="360" w:lineRule="auto"/>
        <w:rPr>
          <w:rFonts w:ascii="Arial" w:hAnsi="Arial" w:cs="Arial"/>
          <w:i/>
          <w:iCs/>
          <w:color w:val="000000"/>
          <w:u w:val="single"/>
        </w:rPr>
      </w:pPr>
      <w:r w:rsidRPr="00892C3C">
        <w:rPr>
          <w:rFonts w:ascii="Arial" w:hAnsi="Arial" w:cs="Arial"/>
          <w:i/>
          <w:iCs/>
          <w:color w:val="000000"/>
          <w:u w:val="single"/>
        </w:rPr>
        <w:t xml:space="preserve">Rape and Sexual Assault: </w:t>
      </w:r>
    </w:p>
    <w:p w14:paraId="0B5F8D49" w14:textId="34B4FB3D" w:rsidR="00892C3C" w:rsidRDefault="00892C3C" w:rsidP="00892C3C">
      <w:pPr>
        <w:pStyle w:val="ListParagraph"/>
        <w:numPr>
          <w:ilvl w:val="0"/>
          <w:numId w:val="24"/>
        </w:numPr>
        <w:spacing w:line="360" w:lineRule="auto"/>
        <w:rPr>
          <w:rFonts w:ascii="Arial" w:hAnsi="Arial" w:cs="Arial"/>
          <w:color w:val="000000"/>
        </w:rPr>
      </w:pPr>
      <w:r w:rsidRPr="00892C3C">
        <w:rPr>
          <w:rFonts w:ascii="Arial" w:hAnsi="Arial" w:cs="Arial"/>
          <w:color w:val="000000"/>
        </w:rPr>
        <w:t>Less than 20% of rape victims report the police, with one research finding that only 1.6% of reported rapes resulted in a charge (Ministry of Justice, 2020).</w:t>
      </w:r>
    </w:p>
    <w:p w14:paraId="0ECD7A7D" w14:textId="77777777" w:rsidR="00892C3C" w:rsidRDefault="00892C3C" w:rsidP="00892C3C">
      <w:pPr>
        <w:pStyle w:val="ListParagraph"/>
        <w:spacing w:line="360" w:lineRule="auto"/>
        <w:rPr>
          <w:rFonts w:ascii="Arial" w:hAnsi="Arial" w:cs="Arial"/>
          <w:color w:val="000000"/>
        </w:rPr>
      </w:pPr>
    </w:p>
    <w:p w14:paraId="1352956C" w14:textId="2CB8194E" w:rsidR="00892C3C" w:rsidRDefault="00892C3C" w:rsidP="00892C3C">
      <w:pPr>
        <w:pStyle w:val="ListParagraph"/>
        <w:numPr>
          <w:ilvl w:val="0"/>
          <w:numId w:val="24"/>
        </w:numPr>
        <w:spacing w:line="360" w:lineRule="auto"/>
        <w:rPr>
          <w:rFonts w:ascii="Arial" w:hAnsi="Arial" w:cs="Arial"/>
          <w:color w:val="000000"/>
        </w:rPr>
      </w:pPr>
      <w:r w:rsidRPr="00892C3C">
        <w:rPr>
          <w:rFonts w:ascii="Arial" w:hAnsi="Arial" w:cs="Arial"/>
          <w:color w:val="000000"/>
        </w:rPr>
        <w:lastRenderedPageBreak/>
        <w:t>Around 14.7% of victims of rape or assault by penetration since the age of 16 have reported the occurrence to authorities. This figure is comparable for women, with approximately one in every six reporting</w:t>
      </w:r>
      <w:r>
        <w:rPr>
          <w:rFonts w:ascii="Arial" w:hAnsi="Arial" w:cs="Arial"/>
          <w:color w:val="000000"/>
        </w:rPr>
        <w:t xml:space="preserve"> </w:t>
      </w:r>
      <w:r w:rsidRPr="00892C3C">
        <w:rPr>
          <w:rFonts w:ascii="Arial" w:hAnsi="Arial" w:cs="Arial"/>
          <w:color w:val="000000"/>
        </w:rPr>
        <w:t>(Ministry of Justice, 2020)</w:t>
      </w:r>
    </w:p>
    <w:p w14:paraId="592EF5D7" w14:textId="77777777" w:rsidR="00892C3C" w:rsidRDefault="00892C3C" w:rsidP="00892C3C">
      <w:pPr>
        <w:spacing w:line="360" w:lineRule="auto"/>
        <w:rPr>
          <w:rFonts w:ascii="Arial" w:hAnsi="Arial" w:cs="Arial"/>
          <w:i/>
          <w:iCs/>
          <w:color w:val="000000"/>
          <w:u w:val="single"/>
        </w:rPr>
      </w:pPr>
    </w:p>
    <w:p w14:paraId="6EAB9BE0" w14:textId="3E631F80" w:rsidR="00892C3C" w:rsidRPr="00892C3C" w:rsidRDefault="00892C3C" w:rsidP="00892C3C">
      <w:pPr>
        <w:spacing w:line="360" w:lineRule="auto"/>
        <w:rPr>
          <w:rFonts w:ascii="Arial" w:hAnsi="Arial" w:cs="Arial"/>
          <w:i/>
          <w:iCs/>
          <w:color w:val="000000"/>
          <w:u w:val="single"/>
        </w:rPr>
      </w:pPr>
      <w:r w:rsidRPr="00892C3C">
        <w:rPr>
          <w:rFonts w:ascii="Arial" w:hAnsi="Arial" w:cs="Arial"/>
          <w:i/>
          <w:iCs/>
          <w:color w:val="000000"/>
          <w:u w:val="single"/>
        </w:rPr>
        <w:t xml:space="preserve">Domestic violence: </w:t>
      </w:r>
    </w:p>
    <w:p w14:paraId="41277919" w14:textId="77C14AE5" w:rsidR="00892C3C" w:rsidRPr="00892C3C" w:rsidRDefault="00892C3C" w:rsidP="00892C3C">
      <w:pPr>
        <w:pStyle w:val="ListParagraph"/>
        <w:numPr>
          <w:ilvl w:val="0"/>
          <w:numId w:val="24"/>
        </w:numPr>
        <w:spacing w:line="360" w:lineRule="auto"/>
        <w:rPr>
          <w:rFonts w:ascii="Arial" w:hAnsi="Arial" w:cs="Arial"/>
          <w:color w:val="000000"/>
        </w:rPr>
      </w:pPr>
      <w:r w:rsidRPr="00892C3C">
        <w:rPr>
          <w:rFonts w:ascii="Arial" w:hAnsi="Arial" w:cs="Arial"/>
          <w:color w:val="1F1F1F"/>
          <w:shd w:val="clear" w:color="auto" w:fill="FFFFFF"/>
        </w:rPr>
        <w:t>March 2023, only 18.9% of women who had experienced partner abuse in the last 12 months reported the abuse to the police</w:t>
      </w:r>
      <w:r>
        <w:rPr>
          <w:rFonts w:ascii="Arial" w:hAnsi="Arial" w:cs="Arial"/>
          <w:color w:val="1F1F1F"/>
          <w:shd w:val="clear" w:color="auto" w:fill="FFFFFF"/>
        </w:rPr>
        <w:t xml:space="preserve"> </w:t>
      </w:r>
      <w:r w:rsidRPr="00892C3C">
        <w:rPr>
          <w:rFonts w:ascii="Arial" w:hAnsi="Arial" w:cs="Arial"/>
          <w:color w:val="000000"/>
        </w:rPr>
        <w:t>(Office for National Statistics, 2024</w:t>
      </w:r>
      <w:r>
        <w:rPr>
          <w:rFonts w:ascii="Arial" w:hAnsi="Arial" w:cs="Arial"/>
          <w:color w:val="000000"/>
        </w:rPr>
        <w:t>a</w:t>
      </w:r>
      <w:proofErr w:type="gramStart"/>
      <w:r w:rsidRPr="00892C3C">
        <w:rPr>
          <w:rFonts w:ascii="Arial" w:hAnsi="Arial" w:cs="Arial"/>
          <w:color w:val="000000"/>
        </w:rPr>
        <w:t>).</w:t>
      </w:r>
      <w:r w:rsidRPr="00892C3C">
        <w:rPr>
          <w:rFonts w:ascii="Arial" w:hAnsi="Arial" w:cs="Arial"/>
          <w:color w:val="1F1F1F"/>
          <w:shd w:val="clear" w:color="auto" w:fill="FFFFFF"/>
        </w:rPr>
        <w:t>.</w:t>
      </w:r>
      <w:proofErr w:type="gramEnd"/>
    </w:p>
    <w:p w14:paraId="6A2C8607" w14:textId="77777777" w:rsidR="00892C3C" w:rsidRPr="00892C3C" w:rsidRDefault="00892C3C" w:rsidP="00892C3C">
      <w:pPr>
        <w:pStyle w:val="ListParagraph"/>
        <w:rPr>
          <w:rFonts w:ascii="Arial" w:hAnsi="Arial" w:cs="Arial"/>
          <w:color w:val="000000"/>
        </w:rPr>
      </w:pPr>
    </w:p>
    <w:p w14:paraId="7C91385F" w14:textId="77777777" w:rsidR="00892C3C" w:rsidRPr="00892C3C" w:rsidRDefault="00892C3C" w:rsidP="00892C3C">
      <w:pPr>
        <w:pStyle w:val="ListParagraph"/>
        <w:spacing w:line="360" w:lineRule="auto"/>
        <w:rPr>
          <w:rFonts w:ascii="Arial" w:hAnsi="Arial" w:cs="Arial"/>
          <w:color w:val="000000"/>
        </w:rPr>
      </w:pPr>
    </w:p>
    <w:p w14:paraId="2332A970" w14:textId="4EEACA59" w:rsidR="00892C3C" w:rsidRPr="00892C3C" w:rsidRDefault="00892C3C" w:rsidP="00892C3C">
      <w:pPr>
        <w:spacing w:line="360" w:lineRule="auto"/>
        <w:rPr>
          <w:rFonts w:ascii="Arial" w:hAnsi="Arial" w:cs="Arial"/>
          <w:i/>
          <w:iCs/>
          <w:color w:val="000000"/>
          <w:u w:val="single"/>
        </w:rPr>
      </w:pPr>
      <w:r w:rsidRPr="00892C3C">
        <w:rPr>
          <w:rFonts w:ascii="Arial" w:hAnsi="Arial" w:cs="Arial"/>
          <w:i/>
          <w:iCs/>
          <w:color w:val="000000"/>
          <w:u w:val="single"/>
        </w:rPr>
        <w:t xml:space="preserve">Child abuse: </w:t>
      </w:r>
    </w:p>
    <w:p w14:paraId="4B956347" w14:textId="6FA3B349" w:rsidR="00892C3C" w:rsidRDefault="00892C3C" w:rsidP="00892C3C">
      <w:pPr>
        <w:pStyle w:val="ListParagraph"/>
        <w:numPr>
          <w:ilvl w:val="0"/>
          <w:numId w:val="25"/>
        </w:numPr>
        <w:spacing w:line="360" w:lineRule="auto"/>
        <w:rPr>
          <w:rFonts w:ascii="Arial" w:hAnsi="Arial" w:cs="Arial"/>
          <w:color w:val="000000"/>
        </w:rPr>
      </w:pPr>
      <w:r w:rsidRPr="00892C3C">
        <w:rPr>
          <w:rFonts w:ascii="Arial" w:hAnsi="Arial" w:cs="Arial"/>
          <w:color w:val="000000"/>
        </w:rPr>
        <w:t>Estimated 29.0% of people aged 18 and over (13.6 million people) reported experiencing some form of abuse or neglect before the age of 18 in the year ending March 2024 (Office for National Statistics, 2024</w:t>
      </w:r>
      <w:r>
        <w:rPr>
          <w:rFonts w:ascii="Arial" w:hAnsi="Arial" w:cs="Arial"/>
          <w:color w:val="000000"/>
        </w:rPr>
        <w:t>b</w:t>
      </w:r>
      <w:r w:rsidRPr="00892C3C">
        <w:rPr>
          <w:rFonts w:ascii="Arial" w:hAnsi="Arial" w:cs="Arial"/>
          <w:color w:val="000000"/>
        </w:rPr>
        <w:t>).</w:t>
      </w:r>
    </w:p>
    <w:p w14:paraId="452C1568" w14:textId="77777777" w:rsidR="00892C3C" w:rsidRDefault="00892C3C" w:rsidP="00892C3C">
      <w:pPr>
        <w:spacing w:line="360" w:lineRule="auto"/>
        <w:rPr>
          <w:rFonts w:ascii="Arial" w:hAnsi="Arial" w:cs="Arial"/>
          <w:color w:val="000000"/>
        </w:rPr>
      </w:pPr>
    </w:p>
    <w:p w14:paraId="2FF55021" w14:textId="7AFA279E" w:rsidR="00892C3C" w:rsidRDefault="00892C3C" w:rsidP="00892C3C">
      <w:pPr>
        <w:spacing w:line="360" w:lineRule="auto"/>
        <w:rPr>
          <w:rFonts w:ascii="Arial" w:hAnsi="Arial" w:cs="Arial"/>
          <w:i/>
          <w:iCs/>
          <w:color w:val="000000"/>
          <w:u w:val="single"/>
        </w:rPr>
      </w:pPr>
      <w:r w:rsidRPr="00892C3C">
        <w:rPr>
          <w:rFonts w:ascii="Arial" w:hAnsi="Arial" w:cs="Arial"/>
          <w:i/>
          <w:iCs/>
          <w:color w:val="000000"/>
          <w:u w:val="single"/>
        </w:rPr>
        <w:t>Mental illness:</w:t>
      </w:r>
    </w:p>
    <w:p w14:paraId="520D9154" w14:textId="46A93DF0" w:rsidR="00892C3C" w:rsidRPr="00892C3C" w:rsidRDefault="00892C3C" w:rsidP="00892C3C">
      <w:pPr>
        <w:pStyle w:val="ListParagraph"/>
        <w:numPr>
          <w:ilvl w:val="0"/>
          <w:numId w:val="25"/>
        </w:numPr>
        <w:spacing w:line="360" w:lineRule="auto"/>
        <w:rPr>
          <w:rFonts w:ascii="Arial" w:hAnsi="Arial" w:cs="Arial"/>
          <w:i/>
          <w:iCs/>
          <w:color w:val="000000"/>
          <w:u w:val="single"/>
        </w:rPr>
      </w:pPr>
      <w:r w:rsidRPr="00892C3C">
        <w:rPr>
          <w:rFonts w:ascii="Arial" w:hAnsi="Arial" w:cs="Arial"/>
          <w:color w:val="000000"/>
        </w:rPr>
        <w:t xml:space="preserve">CSEW data indicate that adults reporting poor mental health are less likely to report offences to the police compared with those reporting good health, suggesting that mental health impacts reporting </w:t>
      </w:r>
      <w:proofErr w:type="spellStart"/>
      <w:r w:rsidRPr="00892C3C">
        <w:rPr>
          <w:rFonts w:ascii="Arial" w:hAnsi="Arial" w:cs="Arial"/>
          <w:color w:val="000000"/>
        </w:rPr>
        <w:t>behaviour</w:t>
      </w:r>
      <w:proofErr w:type="spellEnd"/>
      <w:r w:rsidRPr="00892C3C">
        <w:rPr>
          <w:rFonts w:ascii="Arial" w:hAnsi="Arial" w:cs="Arial"/>
          <w:color w:val="000000"/>
        </w:rPr>
        <w:t xml:space="preserve"> (Office for National Statistics, 2024</w:t>
      </w:r>
      <w:r>
        <w:rPr>
          <w:rFonts w:ascii="Arial" w:hAnsi="Arial" w:cs="Arial"/>
          <w:color w:val="000000"/>
        </w:rPr>
        <w:t>c</w:t>
      </w:r>
      <w:r w:rsidRPr="00892C3C">
        <w:rPr>
          <w:rFonts w:ascii="Arial" w:hAnsi="Arial" w:cs="Arial"/>
          <w:color w:val="000000"/>
        </w:rPr>
        <w:t>).</w:t>
      </w:r>
    </w:p>
    <w:p w14:paraId="59411555" w14:textId="77777777" w:rsidR="00892C3C" w:rsidRDefault="00892C3C" w:rsidP="00892C3C">
      <w:pPr>
        <w:spacing w:line="360" w:lineRule="auto"/>
        <w:rPr>
          <w:rFonts w:ascii="Arial" w:hAnsi="Arial" w:cs="Arial"/>
          <w:i/>
          <w:iCs/>
          <w:color w:val="000000"/>
          <w:u w:val="single"/>
        </w:rPr>
      </w:pPr>
    </w:p>
    <w:p w14:paraId="5A4E9E51" w14:textId="77777777" w:rsidR="00892C3C" w:rsidRPr="00892C3C" w:rsidRDefault="00892C3C" w:rsidP="00892C3C">
      <w:pPr>
        <w:pStyle w:val="NormalWeb"/>
        <w:spacing w:line="360" w:lineRule="auto"/>
        <w:rPr>
          <w:rFonts w:ascii="Arial" w:hAnsi="Arial" w:cs="Arial"/>
          <w:color w:val="000000"/>
        </w:rPr>
      </w:pPr>
      <w:r w:rsidRPr="00892C3C">
        <w:rPr>
          <w:rFonts w:ascii="Arial" w:hAnsi="Arial" w:cs="Arial"/>
          <w:color w:val="000000"/>
        </w:rPr>
        <w:t xml:space="preserve">Taken together, the barriers outlined above help to explain the persistent gap between the prevalence of victimisation and the comparatively low levels of reporting observed across official data (Office for National Statistics, 2025; Victims’ Commissioner, 2025). Fear of disbelief, anticipated stigma, and limited confidence in police responses operate to suppress disclosure, particularly among vulnerable victims whose experiences or identities fall outside dominant expectations of credibility. As a result, recorded crime figures capture only a fraction of victimisation, masking the true scale </w:t>
      </w:r>
      <w:r w:rsidRPr="00892C3C">
        <w:rPr>
          <w:rFonts w:ascii="Arial" w:hAnsi="Arial" w:cs="Arial"/>
          <w:color w:val="000000"/>
        </w:rPr>
        <w:lastRenderedPageBreak/>
        <w:t>of harm and reinforcing structural inequalities in access to justice (Ministry of Justice, 2020). These patterns of under-reporting contribute directly to systemic attrition, as cases are lost before they enter the criminal justice process, while those that do progress are shaped by early disengagement and reduced evidential opportunities. Consequently, barriers at the point of reporting function not merely as individual obstacles, but as structural mechanisms through which vulnerability is reproduced within the criminal justice system (HMICFRS, 2021).</w:t>
      </w:r>
    </w:p>
    <w:p w14:paraId="5D5C3CAB" w14:textId="77777777" w:rsidR="00892C3C" w:rsidRPr="00892C3C" w:rsidRDefault="00892C3C" w:rsidP="00892C3C">
      <w:pPr>
        <w:pStyle w:val="NormalWeb"/>
        <w:spacing w:line="360" w:lineRule="auto"/>
        <w:rPr>
          <w:rFonts w:ascii="Arial" w:hAnsi="Arial" w:cs="Arial"/>
          <w:color w:val="000000"/>
        </w:rPr>
      </w:pPr>
      <w:r w:rsidRPr="00892C3C">
        <w:rPr>
          <w:rFonts w:ascii="Arial" w:hAnsi="Arial" w:cs="Arial"/>
          <w:color w:val="000000"/>
        </w:rPr>
        <w:t>These dynamics underline that reporting decisions are shaped not only by individual circumstances, but by victims’ expectations of how they will be treated by criminal justice professionals. Given the central role of policing at the point of first disclosure, attention must therefore turn to the influence of police culture, training, and frontline practice on victim experiences. The following section examines the extent to which trauma-informed approaches are embedded within policing and how organisational norms and responses can either mitigate or exacerbate barriers faced by vulnerable victims.</w:t>
      </w:r>
    </w:p>
    <w:p w14:paraId="1FBE02EA" w14:textId="2C300247" w:rsidR="00892C3C" w:rsidRPr="00892C3C" w:rsidRDefault="00892C3C" w:rsidP="00892C3C">
      <w:pPr>
        <w:pStyle w:val="Heading2"/>
        <w:rPr>
          <w:sz w:val="28"/>
          <w:szCs w:val="28"/>
          <w:u w:val="single"/>
        </w:rPr>
      </w:pPr>
      <w:bookmarkStart w:id="9" w:name="_Toc215238099"/>
      <w:bookmarkStart w:id="10" w:name="_Toc218713260"/>
      <w:r w:rsidRPr="00892C3C">
        <w:rPr>
          <w:sz w:val="28"/>
          <w:szCs w:val="28"/>
          <w:u w:val="single"/>
        </w:rPr>
        <w:t>3.2 Police Culture and Trauma-Informed Responses</w:t>
      </w:r>
      <w:bookmarkEnd w:id="9"/>
      <w:bookmarkEnd w:id="10"/>
      <w:r>
        <w:rPr>
          <w:sz w:val="28"/>
          <w:szCs w:val="28"/>
          <w:u w:val="single"/>
        </w:rPr>
        <w:t xml:space="preserve"> </w:t>
      </w:r>
    </w:p>
    <w:p w14:paraId="1BEC516C" w14:textId="795E5ECF" w:rsidR="00892C3C" w:rsidRDefault="00C22A36" w:rsidP="00892C3C">
      <w:pPr>
        <w:pStyle w:val="NormalWeb"/>
        <w:spacing w:line="360" w:lineRule="auto"/>
        <w:rPr>
          <w:rFonts w:ascii="Arial" w:hAnsi="Arial" w:cs="Arial"/>
          <w:color w:val="000000"/>
        </w:rPr>
      </w:pPr>
      <w:r w:rsidRPr="00C22A36">
        <w:rPr>
          <w:rFonts w:ascii="Arial" w:hAnsi="Arial" w:cs="Arial"/>
          <w:color w:val="000000"/>
        </w:rPr>
        <w:t>Despite improvements in policy and training, inspection evidence continues to highlight shortcomings in police responses to vulnerable victims, particularly at first contact. Trauma-informed principles emphasising rapport-building, open-ended questioning and victim control are embedded within national investigative interviewing guidance (see</w:t>
      </w:r>
      <w:r w:rsidRPr="00C22A36">
        <w:rPr>
          <w:rStyle w:val="apple-converted-space"/>
          <w:rFonts w:ascii="Arial" w:hAnsi="Arial" w:cs="Arial"/>
          <w:color w:val="000000"/>
        </w:rPr>
        <w:t> </w:t>
      </w:r>
      <w:r w:rsidRPr="00C22A36">
        <w:rPr>
          <w:rStyle w:val="Strong"/>
          <w:rFonts w:ascii="Arial" w:eastAsiaTheme="majorEastAsia" w:hAnsi="Arial" w:cs="Arial"/>
          <w:color w:val="000000"/>
        </w:rPr>
        <w:t>Figure 1, Appendix A</w:t>
      </w:r>
      <w:r w:rsidRPr="00C22A36">
        <w:rPr>
          <w:rFonts w:ascii="Arial" w:hAnsi="Arial" w:cs="Arial"/>
          <w:color w:val="000000"/>
        </w:rPr>
        <w:t xml:space="preserve">); however, HMICFRS (2021) reports that these principles are not applied consistently in practice. Trauma-related responses such as fragmented memory, emotional numbing or delayed disclosure continue to be misinterpreted as indicators of unreliability, undermining </w:t>
      </w:r>
      <w:proofErr w:type="gramStart"/>
      <w:r w:rsidRPr="00C22A36">
        <w:rPr>
          <w:rFonts w:ascii="Arial" w:hAnsi="Arial" w:cs="Arial"/>
          <w:color w:val="000000"/>
        </w:rPr>
        <w:t>confidence</w:t>
      </w:r>
      <w:proofErr w:type="gramEnd"/>
      <w:r w:rsidRPr="00C22A36">
        <w:rPr>
          <w:rFonts w:ascii="Arial" w:hAnsi="Arial" w:cs="Arial"/>
          <w:color w:val="000000"/>
        </w:rPr>
        <w:t xml:space="preserve"> and increasing the risk of withdrawal. While police forces increasingly provide information on support pathways at the point of reporting (see</w:t>
      </w:r>
      <w:r w:rsidRPr="00C22A36">
        <w:rPr>
          <w:rStyle w:val="apple-converted-space"/>
          <w:rFonts w:ascii="Arial" w:hAnsi="Arial" w:cs="Arial"/>
          <w:color w:val="000000"/>
        </w:rPr>
        <w:t> </w:t>
      </w:r>
      <w:r w:rsidRPr="00C22A36">
        <w:rPr>
          <w:rStyle w:val="Strong"/>
          <w:rFonts w:ascii="Arial" w:eastAsiaTheme="majorEastAsia" w:hAnsi="Arial" w:cs="Arial"/>
          <w:color w:val="000000"/>
        </w:rPr>
        <w:t>Figure 2, Appendix A</w:t>
      </w:r>
      <w:r w:rsidRPr="00C22A36">
        <w:rPr>
          <w:rFonts w:ascii="Arial" w:hAnsi="Arial" w:cs="Arial"/>
          <w:color w:val="000000"/>
        </w:rPr>
        <w:t xml:space="preserve">), the quality of initial engagement remains critical, as early credibility assessments shape investigative direction and case progression. Operation </w:t>
      </w:r>
      <w:proofErr w:type="spellStart"/>
      <w:r w:rsidRPr="00C22A36">
        <w:rPr>
          <w:rFonts w:ascii="Arial" w:hAnsi="Arial" w:cs="Arial"/>
          <w:color w:val="000000"/>
        </w:rPr>
        <w:t>Soteria</w:t>
      </w:r>
      <w:proofErr w:type="spellEnd"/>
      <w:r w:rsidRPr="00C22A36">
        <w:rPr>
          <w:rFonts w:ascii="Arial" w:hAnsi="Arial" w:cs="Arial"/>
          <w:color w:val="000000"/>
        </w:rPr>
        <w:t xml:space="preserve"> represents a significant reform aimed at shifting rape investigations away from victim-focused scrutiny towards suspect-centred analysis, with early evaluations indicating improved victim engagement and evidence-led decision-making in pilot forces; however, uneven national implementation limits its wider impact (Home Office, 2023)</w:t>
      </w:r>
    </w:p>
    <w:p w14:paraId="519DB163" w14:textId="12ED1574" w:rsidR="00892C3C" w:rsidRPr="00892C3C" w:rsidRDefault="00892C3C" w:rsidP="00892C3C">
      <w:pPr>
        <w:pStyle w:val="Heading2"/>
        <w:rPr>
          <w:rFonts w:cstheme="majorHAnsi"/>
          <w:sz w:val="28"/>
          <w:szCs w:val="28"/>
          <w:u w:val="single"/>
        </w:rPr>
      </w:pPr>
      <w:bookmarkStart w:id="11" w:name="_Toc218713261"/>
      <w:r w:rsidRPr="00892C3C">
        <w:rPr>
          <w:rFonts w:cstheme="majorHAnsi"/>
          <w:sz w:val="28"/>
          <w:szCs w:val="28"/>
          <w:u w:val="single"/>
        </w:rPr>
        <w:lastRenderedPageBreak/>
        <w:t>3.3 Young Victims and Specialist Practice</w:t>
      </w:r>
      <w:bookmarkEnd w:id="11"/>
      <w:r>
        <w:rPr>
          <w:rFonts w:cstheme="majorHAnsi"/>
          <w:sz w:val="28"/>
          <w:szCs w:val="28"/>
          <w:u w:val="single"/>
        </w:rPr>
        <w:t xml:space="preserve"> </w:t>
      </w:r>
    </w:p>
    <w:p w14:paraId="38F014C2" w14:textId="77777777" w:rsidR="00C22A36" w:rsidRPr="00C22A36" w:rsidRDefault="00C22A36" w:rsidP="00C22A36">
      <w:pPr>
        <w:pStyle w:val="NormalWeb"/>
        <w:spacing w:line="360" w:lineRule="auto"/>
        <w:rPr>
          <w:rFonts w:ascii="Arial" w:hAnsi="Arial" w:cs="Arial"/>
          <w:color w:val="000000"/>
        </w:rPr>
      </w:pPr>
      <w:r w:rsidRPr="00C22A36">
        <w:rPr>
          <w:rFonts w:ascii="Arial" w:hAnsi="Arial" w:cs="Arial"/>
          <w:color w:val="000000"/>
        </w:rPr>
        <w:t xml:space="preserve">Children and young people are formally recognised as inherently vulnerable within criminal justice processes, with enhanced protections intended to minimise distress and maximise evidential quality. Achieving Best Evidence (ABE) guidance provides the primary framework for interviewing child victims and witnesses, emphasising early interviews, limited </w:t>
      </w:r>
      <w:proofErr w:type="gramStart"/>
      <w:r w:rsidRPr="00C22A36">
        <w:rPr>
          <w:rFonts w:ascii="Arial" w:hAnsi="Arial" w:cs="Arial"/>
          <w:color w:val="000000"/>
        </w:rPr>
        <w:t>repetition</w:t>
      </w:r>
      <w:proofErr w:type="gramEnd"/>
      <w:r w:rsidRPr="00C22A36">
        <w:rPr>
          <w:rFonts w:ascii="Arial" w:hAnsi="Arial" w:cs="Arial"/>
          <w:color w:val="000000"/>
        </w:rPr>
        <w:t xml:space="preserve"> and the use of intermediaries where communication needs are identified. Despite this, inspection evidence continues to identify significant implementation shortcomings.</w:t>
      </w:r>
    </w:p>
    <w:p w14:paraId="2873BB83" w14:textId="77777777" w:rsidR="00C22A36" w:rsidRPr="00C22A36" w:rsidRDefault="00C22A36" w:rsidP="00C22A36">
      <w:pPr>
        <w:pStyle w:val="NormalWeb"/>
        <w:spacing w:line="360" w:lineRule="auto"/>
        <w:rPr>
          <w:rFonts w:ascii="Arial" w:hAnsi="Arial" w:cs="Arial"/>
          <w:color w:val="000000"/>
        </w:rPr>
      </w:pPr>
      <w:r w:rsidRPr="00C22A36">
        <w:rPr>
          <w:rFonts w:ascii="Arial" w:hAnsi="Arial" w:cs="Arial"/>
          <w:color w:val="000000"/>
        </w:rPr>
        <w:t xml:space="preserve">HMICFRS (2022) reports delays in scheduling ABE interviews, inconsistent access to registered intermediaries and limited availability of child-appropriate environments. In practice, some children are still required to recount traumatic experiences multiple times across policing and court stages, increasing distress and the risk of </w:t>
      </w:r>
      <w:proofErr w:type="spellStart"/>
      <w:r w:rsidRPr="00C22A36">
        <w:rPr>
          <w:rFonts w:ascii="Arial" w:hAnsi="Arial" w:cs="Arial"/>
          <w:color w:val="000000"/>
        </w:rPr>
        <w:t>retraumatisation</w:t>
      </w:r>
      <w:proofErr w:type="spellEnd"/>
      <w:r w:rsidRPr="00C22A36">
        <w:rPr>
          <w:rFonts w:ascii="Arial" w:hAnsi="Arial" w:cs="Arial"/>
          <w:color w:val="000000"/>
        </w:rPr>
        <w:t>. Psychological research further indicates that repeated interviewing and prolonged investigative timelines can undermine wellbeing and affect memory recall, highlighting a persistent gap between formal protections and the delivery of child-centred justice (Eastwood and Snook, 2020).</w:t>
      </w:r>
    </w:p>
    <w:p w14:paraId="159B3C88" w14:textId="25FA6B24" w:rsidR="00892C3C" w:rsidRPr="00892C3C" w:rsidRDefault="00892C3C" w:rsidP="00892C3C">
      <w:pPr>
        <w:pStyle w:val="Heading2"/>
        <w:rPr>
          <w:sz w:val="28"/>
          <w:szCs w:val="28"/>
          <w:u w:val="single"/>
        </w:rPr>
      </w:pPr>
      <w:bookmarkStart w:id="12" w:name="_Toc218713262"/>
      <w:r w:rsidRPr="00892C3C">
        <w:rPr>
          <w:rStyle w:val="Strong"/>
          <w:b w:val="0"/>
          <w:bCs w:val="0"/>
          <w:sz w:val="28"/>
          <w:szCs w:val="28"/>
          <w:u w:val="single"/>
        </w:rPr>
        <w:t>3.4 Mental Health Vulnerabilities: Criminalisation Risks</w:t>
      </w:r>
      <w:bookmarkEnd w:id="12"/>
      <w:r>
        <w:rPr>
          <w:rStyle w:val="Strong"/>
          <w:b w:val="0"/>
          <w:bCs w:val="0"/>
          <w:sz w:val="28"/>
          <w:szCs w:val="28"/>
          <w:u w:val="single"/>
        </w:rPr>
        <w:t xml:space="preserve"> </w:t>
      </w:r>
    </w:p>
    <w:p w14:paraId="10920A2B" w14:textId="77777777" w:rsidR="00892C3C" w:rsidRPr="00892C3C" w:rsidRDefault="00892C3C" w:rsidP="00892C3C">
      <w:pPr>
        <w:pStyle w:val="NormalWeb"/>
        <w:spacing w:line="360" w:lineRule="auto"/>
        <w:rPr>
          <w:rFonts w:ascii="Arial" w:hAnsi="Arial" w:cs="Arial"/>
          <w:color w:val="000000"/>
        </w:rPr>
      </w:pPr>
      <w:r w:rsidRPr="00892C3C">
        <w:rPr>
          <w:rFonts w:ascii="Arial" w:hAnsi="Arial" w:cs="Arial"/>
          <w:color w:val="000000"/>
        </w:rPr>
        <w:t>Victims with mental health vulnerabilities face distinct risks during police engagement, particularly where trauma-related behaviours are misinterpreted as indicators of unreliability or culpability. Responses such as dissociation, agitation, emotional withdrawal, or inconsistent recall may be viewed through a behavioural rather than trauma-informed lens, increasing the likelihood of inappropriate criminalisation.</w:t>
      </w:r>
    </w:p>
    <w:p w14:paraId="013815E7" w14:textId="77777777" w:rsidR="00892C3C" w:rsidRDefault="00892C3C" w:rsidP="00892C3C">
      <w:pPr>
        <w:pStyle w:val="NormalWeb"/>
        <w:spacing w:line="360" w:lineRule="auto"/>
        <w:rPr>
          <w:rFonts w:ascii="Arial" w:hAnsi="Arial" w:cs="Arial"/>
          <w:color w:val="000000"/>
        </w:rPr>
      </w:pPr>
      <w:r w:rsidRPr="00892C3C">
        <w:rPr>
          <w:rFonts w:ascii="Arial" w:hAnsi="Arial" w:cs="Arial"/>
          <w:color w:val="000000"/>
        </w:rPr>
        <w:t>Evidence suggests that victims with mental health conditions are sometimes wrongly assessed as perpetrators or managed through enforcement-led responses rather than safeguarding pathways (Mind, 2021). Crisis intervention and co-responder models remain inconsistently implemented across police forces, contributing to uneven outcomes. These practices risk compounding harm and reinforcing disengagement among victims whose needs are least well accommodated by adversarial and compliance-focused systems.</w:t>
      </w:r>
    </w:p>
    <w:p w14:paraId="0BEA55E4" w14:textId="2AD0C3F6" w:rsidR="00892C3C" w:rsidRPr="00892C3C" w:rsidRDefault="00892C3C" w:rsidP="00892C3C">
      <w:pPr>
        <w:pStyle w:val="Heading2"/>
        <w:rPr>
          <w:sz w:val="28"/>
          <w:szCs w:val="28"/>
          <w:u w:val="single"/>
        </w:rPr>
      </w:pPr>
      <w:bookmarkStart w:id="13" w:name="_Toc218713263"/>
      <w:r w:rsidRPr="00892C3C">
        <w:rPr>
          <w:rStyle w:val="Strong"/>
          <w:b w:val="0"/>
          <w:bCs w:val="0"/>
          <w:sz w:val="28"/>
          <w:szCs w:val="28"/>
          <w:u w:val="single"/>
        </w:rPr>
        <w:lastRenderedPageBreak/>
        <w:t>3.5 Attrition and Procedural Outcomes</w:t>
      </w:r>
      <w:bookmarkEnd w:id="13"/>
      <w:r>
        <w:rPr>
          <w:rStyle w:val="Strong"/>
          <w:b w:val="0"/>
          <w:bCs w:val="0"/>
          <w:sz w:val="28"/>
          <w:szCs w:val="28"/>
          <w:u w:val="single"/>
        </w:rPr>
        <w:t xml:space="preserve"> </w:t>
      </w:r>
    </w:p>
    <w:p w14:paraId="25A1F31C" w14:textId="77777777" w:rsidR="00C22A36" w:rsidRPr="00C22A36" w:rsidRDefault="00C22A36" w:rsidP="00C22A36">
      <w:pPr>
        <w:pStyle w:val="NormalWeb"/>
        <w:spacing w:line="360" w:lineRule="auto"/>
        <w:rPr>
          <w:rFonts w:ascii="Arial" w:hAnsi="Arial" w:cs="Arial"/>
          <w:color w:val="000000"/>
        </w:rPr>
      </w:pPr>
      <w:r w:rsidRPr="00C22A36">
        <w:rPr>
          <w:rFonts w:ascii="Arial" w:hAnsi="Arial" w:cs="Arial"/>
          <w:color w:val="000000"/>
        </w:rPr>
        <w:t>Victim disengagement during police investigation remains the most significant driver of attrition in rape and serious sexual offence cases. Crown Prosecution Service data indicate that over 60 per cent of cases are closed without charge due to victim withdrawal at the investigative stage, reflecting not only individual decision-making but structural pressures within early criminal justice processes that erode victim confidence (CPS, 2023).</w:t>
      </w:r>
    </w:p>
    <w:p w14:paraId="1BBB3034" w14:textId="77777777" w:rsidR="00C22A36" w:rsidRPr="00C22A36" w:rsidRDefault="00C22A36" w:rsidP="00C22A36">
      <w:pPr>
        <w:pStyle w:val="NormalWeb"/>
        <w:spacing w:line="360" w:lineRule="auto"/>
        <w:rPr>
          <w:rFonts w:ascii="Arial" w:hAnsi="Arial" w:cs="Arial"/>
          <w:color w:val="000000"/>
        </w:rPr>
      </w:pPr>
      <w:r w:rsidRPr="00C22A36">
        <w:rPr>
          <w:rFonts w:ascii="Arial" w:hAnsi="Arial" w:cs="Arial"/>
          <w:color w:val="000000"/>
        </w:rPr>
        <w:t>Extended procedural timelines further compound this attrition. Median timeframes for sexual offence cases to reach an outcome frequently exceed one year, particularly where cases progress beyond initial investigation (see</w:t>
      </w:r>
      <w:r w:rsidRPr="00C22A36">
        <w:rPr>
          <w:rStyle w:val="apple-converted-space"/>
          <w:rFonts w:ascii="Arial" w:hAnsi="Arial" w:cs="Arial"/>
          <w:color w:val="000000"/>
        </w:rPr>
        <w:t> </w:t>
      </w:r>
      <w:r w:rsidRPr="00C22A36">
        <w:rPr>
          <w:rStyle w:val="Strong"/>
          <w:rFonts w:ascii="Arial" w:eastAsiaTheme="majorEastAsia" w:hAnsi="Arial" w:cs="Arial"/>
          <w:color w:val="000000"/>
        </w:rPr>
        <w:t>Figure 3, Appendix B</w:t>
      </w:r>
      <w:r w:rsidRPr="00C22A36">
        <w:rPr>
          <w:rFonts w:ascii="Arial" w:hAnsi="Arial" w:cs="Arial"/>
          <w:color w:val="000000"/>
        </w:rPr>
        <w:t>). For vulnerable victims, prolonged delays intensify emotional strain and uncertainty, increasing the likelihood of disengagement before charge or trial. These patterns suggest that attrition is often structurally produced, rather than solely the result of individual victim choice.</w:t>
      </w:r>
    </w:p>
    <w:p w14:paraId="044924B6" w14:textId="3A09F38A" w:rsidR="00892C3C" w:rsidRDefault="00892C3C" w:rsidP="00892C3C">
      <w:pPr>
        <w:pStyle w:val="Heading1"/>
        <w:rPr>
          <w:rStyle w:val="Strong"/>
          <w:b w:val="0"/>
          <w:bCs w:val="0"/>
          <w:color w:val="000000"/>
        </w:rPr>
      </w:pPr>
      <w:bookmarkStart w:id="14" w:name="_Toc218713264"/>
      <w:r>
        <w:rPr>
          <w:rStyle w:val="Strong"/>
          <w:b w:val="0"/>
          <w:bCs w:val="0"/>
          <w:color w:val="000000"/>
        </w:rPr>
        <w:t>4. Court Processes: Special Measures and the Pursuit of Justice</w:t>
      </w:r>
      <w:bookmarkEnd w:id="14"/>
      <w:r w:rsidR="00C22A36">
        <w:rPr>
          <w:rStyle w:val="Strong"/>
          <w:b w:val="0"/>
          <w:bCs w:val="0"/>
          <w:color w:val="000000"/>
        </w:rPr>
        <w:t xml:space="preserve"> </w:t>
      </w:r>
    </w:p>
    <w:p w14:paraId="320FBD72" w14:textId="741D3B13" w:rsidR="00892C3C" w:rsidRDefault="00892C3C" w:rsidP="00892C3C">
      <w:pPr>
        <w:pStyle w:val="NormalWeb"/>
        <w:spacing w:line="360" w:lineRule="auto"/>
        <w:rPr>
          <w:rFonts w:ascii="Arial" w:hAnsi="Arial" w:cs="Arial"/>
          <w:color w:val="000000"/>
        </w:rPr>
      </w:pPr>
      <w:r w:rsidRPr="00892C3C">
        <w:rPr>
          <w:rFonts w:ascii="Arial" w:hAnsi="Arial" w:cs="Arial"/>
          <w:color w:val="000000"/>
        </w:rPr>
        <w:t>For victims who progress beyond the investigative stage, court processes introduce further trauma and systemic barriers. The adversarial structure of the criminal courts prioritises evidential scrutiny and defence rights, often marginalising victim wellbeing. For vulnerable victims, this can result in re-traumatisation, loss of agency and withdrawal from proceedings.</w:t>
      </w:r>
    </w:p>
    <w:p w14:paraId="78C096B0" w14:textId="77777777" w:rsidR="00892C3C" w:rsidRPr="00892C3C" w:rsidRDefault="00892C3C" w:rsidP="00892C3C">
      <w:pPr>
        <w:pStyle w:val="NormalWeb"/>
        <w:spacing w:line="360" w:lineRule="auto"/>
        <w:rPr>
          <w:rFonts w:ascii="Arial" w:hAnsi="Arial" w:cs="Arial"/>
          <w:color w:val="000000"/>
        </w:rPr>
      </w:pPr>
    </w:p>
    <w:p w14:paraId="74305F8E" w14:textId="0E825BD7" w:rsidR="00892C3C" w:rsidRPr="00892C3C" w:rsidRDefault="00892C3C" w:rsidP="00892C3C">
      <w:pPr>
        <w:pStyle w:val="Heading2"/>
        <w:rPr>
          <w:sz w:val="28"/>
          <w:szCs w:val="28"/>
          <w:u w:val="single"/>
        </w:rPr>
      </w:pPr>
      <w:bookmarkStart w:id="15" w:name="_Toc218713265"/>
      <w:r w:rsidRPr="00892C3C">
        <w:rPr>
          <w:sz w:val="28"/>
          <w:szCs w:val="28"/>
          <w:u w:val="single"/>
        </w:rPr>
        <w:t>4.1 Special Measures under the Youth Justice and Criminal Evidence Act 1999</w:t>
      </w:r>
      <w:bookmarkEnd w:id="15"/>
      <w:r w:rsidR="00C22A36">
        <w:rPr>
          <w:sz w:val="28"/>
          <w:szCs w:val="28"/>
          <w:u w:val="single"/>
        </w:rPr>
        <w:t xml:space="preserve">  </w:t>
      </w:r>
    </w:p>
    <w:p w14:paraId="3C471227" w14:textId="610341E6" w:rsidR="00C22A36" w:rsidRPr="00C22A36" w:rsidRDefault="00C22A36" w:rsidP="00C22A36">
      <w:pPr>
        <w:pStyle w:val="NormalWeb"/>
        <w:spacing w:line="360" w:lineRule="auto"/>
        <w:rPr>
          <w:rFonts w:ascii="Arial" w:hAnsi="Arial" w:cs="Arial"/>
          <w:color w:val="000000"/>
        </w:rPr>
      </w:pPr>
      <w:r w:rsidRPr="00C22A36">
        <w:rPr>
          <w:rFonts w:ascii="Arial" w:hAnsi="Arial" w:cs="Arial"/>
          <w:color w:val="000000"/>
        </w:rPr>
        <w:t>Special measures under the Youth Justice and Criminal Evidence Act (YJCEA) 1999 are intended to enable vulnerable and intimidated victims to give their best evidence while minimising distress and re-traumatisation. These include screens, live video links, registered intermediaries, pre-recorded evidence-in-chief</w:t>
      </w:r>
      <w:r>
        <w:rPr>
          <w:rFonts w:ascii="Arial" w:hAnsi="Arial" w:cs="Arial"/>
          <w:color w:val="000000"/>
        </w:rPr>
        <w:t xml:space="preserve"> </w:t>
      </w:r>
      <w:r w:rsidRPr="00C22A36">
        <w:rPr>
          <w:rFonts w:ascii="Arial" w:hAnsi="Arial" w:cs="Arial"/>
          <w:color w:val="000000"/>
        </w:rPr>
        <w:t xml:space="preserve">and pre-recorded cross-examination under Section 28. Children and victims of sexual offences are </w:t>
      </w:r>
      <w:r w:rsidRPr="00C22A36">
        <w:rPr>
          <w:rFonts w:ascii="Arial" w:hAnsi="Arial" w:cs="Arial"/>
          <w:color w:val="000000"/>
        </w:rPr>
        <w:lastRenderedPageBreak/>
        <w:t>automatically eligible for consideration, while other vulnerable victims may qualify following assessment.</w:t>
      </w:r>
    </w:p>
    <w:p w14:paraId="61E55F6B" w14:textId="60B60D02" w:rsidR="000B3BCC" w:rsidRPr="00C22A36" w:rsidRDefault="00C22A36" w:rsidP="00C22A36">
      <w:pPr>
        <w:pStyle w:val="NormalWeb"/>
        <w:spacing w:line="360" w:lineRule="auto"/>
        <w:rPr>
          <w:rFonts w:ascii="Arial" w:hAnsi="Arial" w:cs="Arial"/>
          <w:color w:val="000000"/>
        </w:rPr>
      </w:pPr>
      <w:r w:rsidRPr="00C22A36">
        <w:rPr>
          <w:rFonts w:ascii="Arial" w:hAnsi="Arial" w:cs="Arial"/>
          <w:color w:val="000000"/>
        </w:rPr>
        <w:t>Despite this statutory framework, access to special measures remains inconsistent in practice. Inspection evidence indicates that vulnerability is not always identified at an early stage, resulting in delayed or absent applications for measures that could mitigate harm (HMCPSI, 2022). Judicial discretion and limited court capacity further contribute to uneven provision, particularly in relation to intermediaries and Section 28 facilities. Evidence of uneven Section 28 use across offence types highlights a persistent gap between eligibility and access (see</w:t>
      </w:r>
      <w:r w:rsidRPr="00C22A36">
        <w:rPr>
          <w:rStyle w:val="apple-converted-space"/>
          <w:rFonts w:ascii="Arial" w:hAnsi="Arial" w:cs="Arial"/>
          <w:color w:val="000000"/>
        </w:rPr>
        <w:t> </w:t>
      </w:r>
      <w:r w:rsidRPr="00C22A36">
        <w:rPr>
          <w:rStyle w:val="Strong"/>
          <w:rFonts w:ascii="Arial" w:eastAsiaTheme="majorEastAsia" w:hAnsi="Arial" w:cs="Arial"/>
          <w:color w:val="000000"/>
        </w:rPr>
        <w:t>Figure 4, Appendix C</w:t>
      </w:r>
      <w:r w:rsidRPr="00C22A36">
        <w:rPr>
          <w:rFonts w:ascii="Arial" w:hAnsi="Arial" w:cs="Arial"/>
          <w:color w:val="000000"/>
        </w:rPr>
        <w:t>), disproportionately affecting victims with communication needs or mental health vulnerabilities.</w:t>
      </w:r>
    </w:p>
    <w:p w14:paraId="475E3BA0" w14:textId="6E42AA0B" w:rsidR="000B3BCC" w:rsidRPr="000B3BCC" w:rsidRDefault="000B3BCC" w:rsidP="000B3BCC">
      <w:pPr>
        <w:pStyle w:val="Heading2"/>
        <w:rPr>
          <w:sz w:val="28"/>
          <w:szCs w:val="28"/>
          <w:u w:val="single"/>
        </w:rPr>
      </w:pPr>
      <w:bookmarkStart w:id="16" w:name="_Toc218713266"/>
      <w:r w:rsidRPr="000B3BCC">
        <w:rPr>
          <w:sz w:val="28"/>
          <w:szCs w:val="28"/>
          <w:u w:val="single"/>
        </w:rPr>
        <w:t>4.2 Delays and Secondary Trauma</w:t>
      </w:r>
      <w:bookmarkEnd w:id="16"/>
      <w:r w:rsidRPr="000B3BCC">
        <w:rPr>
          <w:sz w:val="28"/>
          <w:szCs w:val="28"/>
          <w:u w:val="single"/>
        </w:rPr>
        <w:t xml:space="preserve"> </w:t>
      </w:r>
    </w:p>
    <w:p w14:paraId="1EEEBEFF" w14:textId="77777777" w:rsidR="00C22A36" w:rsidRPr="00C22A36" w:rsidRDefault="00C22A36" w:rsidP="00C22A36">
      <w:pPr>
        <w:pStyle w:val="NormalWeb"/>
        <w:spacing w:line="360" w:lineRule="auto"/>
        <w:rPr>
          <w:rFonts w:ascii="Arial" w:hAnsi="Arial" w:cs="Arial"/>
          <w:color w:val="000000"/>
        </w:rPr>
      </w:pPr>
      <w:r w:rsidRPr="00C22A36">
        <w:rPr>
          <w:rFonts w:ascii="Arial" w:hAnsi="Arial" w:cs="Arial"/>
          <w:color w:val="000000"/>
        </w:rPr>
        <w:t>Delays within the criminal courts represent one of the most significant systemic barriers faced by vulnerable victims. As of 2024, the Crown Court backlog exceeded 65,000 cases, with sexual offence trials among those experiencing the longest waiting times (Ministry of Justice, 2024). For many victims, particularly survivors of sexual violence, children, and individuals with mental health vulnerabilities, delays of two to three years between reporting and trial are not uncommon.</w:t>
      </w:r>
    </w:p>
    <w:p w14:paraId="14B010E9" w14:textId="673C7550" w:rsidR="00C22A36" w:rsidRPr="00C22A36" w:rsidRDefault="00C22A36" w:rsidP="00C22A36">
      <w:pPr>
        <w:pStyle w:val="NormalWeb"/>
        <w:spacing w:line="360" w:lineRule="auto"/>
        <w:rPr>
          <w:rFonts w:ascii="Arial" w:hAnsi="Arial" w:cs="Arial"/>
          <w:color w:val="000000"/>
        </w:rPr>
      </w:pPr>
      <w:r w:rsidRPr="00C22A36">
        <w:rPr>
          <w:rFonts w:ascii="Arial" w:hAnsi="Arial" w:cs="Arial"/>
          <w:color w:val="000000"/>
        </w:rPr>
        <w:t xml:space="preserve">Prolonged delays have profound psychological consequences. Extended periods of uncertainty exacerbate anxiety, disrupt recovery, and can undermine memory recall, particularly where victims are required to repeatedly re-engage with traumatic events. From a trauma-informed perspective, such delays compromise core principles of safety, </w:t>
      </w:r>
      <w:proofErr w:type="gramStart"/>
      <w:r w:rsidRPr="00C22A36">
        <w:rPr>
          <w:rFonts w:ascii="Arial" w:hAnsi="Arial" w:cs="Arial"/>
          <w:color w:val="000000"/>
        </w:rPr>
        <w:t>agenc</w:t>
      </w:r>
      <w:r>
        <w:rPr>
          <w:rFonts w:ascii="Arial" w:hAnsi="Arial" w:cs="Arial"/>
          <w:color w:val="000000"/>
        </w:rPr>
        <w:t>y</w:t>
      </w:r>
      <w:proofErr w:type="gramEnd"/>
      <w:r w:rsidRPr="00C22A36">
        <w:rPr>
          <w:rFonts w:ascii="Arial" w:hAnsi="Arial" w:cs="Arial"/>
          <w:color w:val="000000"/>
        </w:rPr>
        <w:t xml:space="preserve"> and trust, increasing the likelihood of victim withdrawal prior to trial. Evidence </w:t>
      </w:r>
      <w:r>
        <w:rPr>
          <w:rFonts w:ascii="Arial" w:hAnsi="Arial" w:cs="Arial"/>
          <w:color w:val="000000"/>
        </w:rPr>
        <w:t xml:space="preserve">from Public Accounts committee (2025), </w:t>
      </w:r>
      <w:r w:rsidRPr="00C22A36">
        <w:rPr>
          <w:rFonts w:ascii="Arial" w:hAnsi="Arial" w:cs="Arial"/>
          <w:color w:val="000000"/>
        </w:rPr>
        <w:t>suggests that delay-related disengagement is a key contributor to attrition, reinforcing the argument that withdrawal is often structurally produced rather than an expression of victim choice (Victims’ Commissioner, 2025).</w:t>
      </w:r>
    </w:p>
    <w:p w14:paraId="5AC57B56" w14:textId="13A64F73" w:rsidR="00C22A36" w:rsidRPr="00C22A36" w:rsidRDefault="00C22A36" w:rsidP="00C22A36">
      <w:pPr>
        <w:pStyle w:val="Heading2"/>
        <w:rPr>
          <w:sz w:val="28"/>
          <w:szCs w:val="28"/>
          <w:u w:val="single"/>
        </w:rPr>
      </w:pPr>
      <w:bookmarkStart w:id="17" w:name="_Toc218713267"/>
      <w:r w:rsidRPr="00C22A36">
        <w:rPr>
          <w:rStyle w:val="Strong"/>
          <w:b w:val="0"/>
          <w:bCs w:val="0"/>
          <w:sz w:val="28"/>
          <w:szCs w:val="28"/>
          <w:u w:val="single"/>
        </w:rPr>
        <w:t>4.3 Cross-Examination, Credibility and Rape Myths</w:t>
      </w:r>
      <w:bookmarkEnd w:id="17"/>
      <w:r>
        <w:rPr>
          <w:rStyle w:val="Strong"/>
          <w:b w:val="0"/>
          <w:bCs w:val="0"/>
          <w:sz w:val="28"/>
          <w:szCs w:val="28"/>
          <w:u w:val="single"/>
        </w:rPr>
        <w:t xml:space="preserve"> </w:t>
      </w:r>
    </w:p>
    <w:p w14:paraId="1502F3E5" w14:textId="77777777" w:rsidR="00C22A36" w:rsidRPr="00C22A36" w:rsidRDefault="00C22A36" w:rsidP="00C22A36">
      <w:pPr>
        <w:pStyle w:val="NormalWeb"/>
        <w:spacing w:line="360" w:lineRule="auto"/>
        <w:rPr>
          <w:rFonts w:ascii="Arial" w:hAnsi="Arial" w:cs="Arial"/>
          <w:color w:val="000000"/>
        </w:rPr>
      </w:pPr>
      <w:r w:rsidRPr="00C22A36">
        <w:rPr>
          <w:rFonts w:ascii="Arial" w:hAnsi="Arial" w:cs="Arial"/>
          <w:color w:val="000000"/>
        </w:rPr>
        <w:t xml:space="preserve">Despite legislative safeguards, adversarial cross-examination in sexual offence cases continues to rely on rape myths and credibility challenges. Survivors may be </w:t>
      </w:r>
      <w:r w:rsidRPr="00C22A36">
        <w:rPr>
          <w:rFonts w:ascii="Arial" w:hAnsi="Arial" w:cs="Arial"/>
          <w:color w:val="000000"/>
        </w:rPr>
        <w:lastRenderedPageBreak/>
        <w:t xml:space="preserve">questioned on resistance, </w:t>
      </w:r>
      <w:proofErr w:type="gramStart"/>
      <w:r w:rsidRPr="00C22A36">
        <w:rPr>
          <w:rFonts w:ascii="Arial" w:hAnsi="Arial" w:cs="Arial"/>
          <w:color w:val="000000"/>
        </w:rPr>
        <w:t>intoxication</w:t>
      </w:r>
      <w:proofErr w:type="gramEnd"/>
      <w:r w:rsidRPr="00C22A36">
        <w:rPr>
          <w:rFonts w:ascii="Arial" w:hAnsi="Arial" w:cs="Arial"/>
          <w:color w:val="000000"/>
        </w:rPr>
        <w:t xml:space="preserve"> and delayed reporting, while mental health diagnoses are frequently used to undermine credibility, despite section 41 restrictions. This reflects Christie’s (1986) “non-ideal victim” framework, whereby trauma responses that deviate from normative expectations are penalised rather than accommodated.</w:t>
      </w:r>
    </w:p>
    <w:p w14:paraId="2237065F" w14:textId="77777777" w:rsidR="00C22A36" w:rsidRPr="00C22A36" w:rsidRDefault="00C22A36" w:rsidP="00C22A36">
      <w:pPr>
        <w:pStyle w:val="NormalWeb"/>
        <w:spacing w:line="360" w:lineRule="auto"/>
        <w:rPr>
          <w:rFonts w:ascii="Arial" w:hAnsi="Arial" w:cs="Arial"/>
          <w:color w:val="000000"/>
        </w:rPr>
      </w:pPr>
      <w:r w:rsidRPr="00C22A36">
        <w:rPr>
          <w:rFonts w:ascii="Arial" w:hAnsi="Arial" w:cs="Arial"/>
          <w:color w:val="000000"/>
        </w:rPr>
        <w:t>Children are particularly vulnerable to questioning that exceeds developmental capacity, especially in child sexual abuse cases. Although intermediaries and Section 28 pre-recorded cross-examination are intended to reduce harm, access remains inconsistent and under-resourced, limiting their protective impact (</w:t>
      </w:r>
      <w:proofErr w:type="spellStart"/>
      <w:r w:rsidRPr="00C22A36">
        <w:rPr>
          <w:rFonts w:ascii="Arial" w:hAnsi="Arial" w:cs="Arial"/>
          <w:color w:val="000000"/>
        </w:rPr>
        <w:t>Plotnikoff</w:t>
      </w:r>
      <w:proofErr w:type="spellEnd"/>
      <w:r w:rsidRPr="00C22A36">
        <w:rPr>
          <w:rFonts w:ascii="Arial" w:hAnsi="Arial" w:cs="Arial"/>
          <w:color w:val="000000"/>
        </w:rPr>
        <w:t xml:space="preserve"> and </w:t>
      </w:r>
      <w:proofErr w:type="spellStart"/>
      <w:r w:rsidRPr="00C22A36">
        <w:rPr>
          <w:rFonts w:ascii="Arial" w:hAnsi="Arial" w:cs="Arial"/>
          <w:color w:val="000000"/>
        </w:rPr>
        <w:t>Woolfson</w:t>
      </w:r>
      <w:proofErr w:type="spellEnd"/>
      <w:r w:rsidRPr="00C22A36">
        <w:rPr>
          <w:rFonts w:ascii="Arial" w:hAnsi="Arial" w:cs="Arial"/>
          <w:color w:val="000000"/>
        </w:rPr>
        <w:t>, 2019).</w:t>
      </w:r>
    </w:p>
    <w:p w14:paraId="6AC26A5D" w14:textId="4584D32D" w:rsidR="00C22A36" w:rsidRPr="00C22A36" w:rsidRDefault="00C22A36" w:rsidP="00C22A36">
      <w:pPr>
        <w:pStyle w:val="Heading2"/>
        <w:rPr>
          <w:sz w:val="28"/>
          <w:szCs w:val="28"/>
          <w:u w:val="single"/>
          <w:lang w:val="en-GB" w:eastAsia="en-GB"/>
        </w:rPr>
      </w:pPr>
      <w:bookmarkStart w:id="18" w:name="_Toc218713268"/>
      <w:r w:rsidRPr="00C22A36">
        <w:rPr>
          <w:sz w:val="28"/>
          <w:szCs w:val="28"/>
          <w:u w:val="single"/>
          <w:lang w:val="en-GB" w:eastAsia="en-GB"/>
        </w:rPr>
        <w:t>4.4 Open Justice and Victim Safety</w:t>
      </w:r>
      <w:bookmarkEnd w:id="18"/>
      <w:r>
        <w:rPr>
          <w:sz w:val="28"/>
          <w:szCs w:val="28"/>
          <w:u w:val="single"/>
          <w:lang w:val="en-GB" w:eastAsia="en-GB"/>
        </w:rPr>
        <w:t xml:space="preserve"> </w:t>
      </w:r>
    </w:p>
    <w:p w14:paraId="6EA928B1" w14:textId="0566CDB9" w:rsidR="00C22A36" w:rsidRPr="00C22A36" w:rsidRDefault="00C22A36" w:rsidP="00C22A36">
      <w:pPr>
        <w:pStyle w:val="NormalWeb"/>
        <w:spacing w:line="360" w:lineRule="auto"/>
        <w:rPr>
          <w:rFonts w:ascii="Arial" w:hAnsi="Arial" w:cs="Arial"/>
          <w:color w:val="000000"/>
        </w:rPr>
      </w:pPr>
      <w:r w:rsidRPr="00C22A36">
        <w:rPr>
          <w:rFonts w:ascii="Arial" w:hAnsi="Arial" w:cs="Arial"/>
          <w:color w:val="000000"/>
        </w:rPr>
        <w:t>While open justice remains a core legal principle, media reporting of sexual offence trials can still enable community identification, even where anonymity is preserved. This creates fear of stigma and reputational harm, particularly for children and victims with mental health vulnerabilities</w:t>
      </w:r>
      <w:r>
        <w:rPr>
          <w:rFonts w:ascii="Arial" w:hAnsi="Arial" w:cs="Arial"/>
          <w:color w:val="000000"/>
        </w:rPr>
        <w:t xml:space="preserve"> </w:t>
      </w:r>
      <w:r w:rsidRPr="00C22A36">
        <w:rPr>
          <w:rFonts w:ascii="Arial" w:hAnsi="Arial" w:cs="Arial"/>
          <w:color w:val="000000"/>
        </w:rPr>
        <w:t>and may discourage reporting and continued participation in proceedings</w:t>
      </w:r>
      <w:r>
        <w:rPr>
          <w:rFonts w:ascii="Arial" w:hAnsi="Arial" w:cs="Arial"/>
          <w:color w:val="000000"/>
        </w:rPr>
        <w:t xml:space="preserve"> </w:t>
      </w:r>
      <w:r w:rsidRPr="00C22A36">
        <w:rPr>
          <w:rFonts w:ascii="Arial" w:hAnsi="Arial" w:cs="Arial"/>
          <w:color w:val="000000"/>
        </w:rPr>
        <w:t>(Judiciary of England and Wales, 2022).</w:t>
      </w:r>
    </w:p>
    <w:p w14:paraId="7E6A1CB4" w14:textId="78CB0D05" w:rsidR="00C22A36" w:rsidRPr="00C22A36" w:rsidRDefault="00C22A36" w:rsidP="00C22A36">
      <w:pPr>
        <w:pStyle w:val="Heading1"/>
      </w:pPr>
      <w:bookmarkStart w:id="19" w:name="_Toc218713269"/>
      <w:r w:rsidRPr="00C22A36">
        <w:t>5. Post-Trial and Long-Term Support</w:t>
      </w:r>
      <w:bookmarkEnd w:id="19"/>
      <w:r>
        <w:t xml:space="preserve"> </w:t>
      </w:r>
    </w:p>
    <w:p w14:paraId="2920BC61" w14:textId="77777777" w:rsidR="00C22A36" w:rsidRPr="00C22A36" w:rsidRDefault="00C22A36" w:rsidP="00C22A36">
      <w:pPr>
        <w:pStyle w:val="NormalWeb"/>
        <w:spacing w:line="360" w:lineRule="auto"/>
        <w:rPr>
          <w:rFonts w:ascii="Arial" w:hAnsi="Arial" w:cs="Arial"/>
          <w:color w:val="000000"/>
        </w:rPr>
      </w:pPr>
      <w:r w:rsidRPr="00C22A36">
        <w:rPr>
          <w:rFonts w:ascii="Arial" w:hAnsi="Arial" w:cs="Arial"/>
          <w:color w:val="000000"/>
        </w:rPr>
        <w:t>Post-trial support is often the point at which vulnerable victims feel most “dropped” by the system, despite ongoing risk and psychological impact. Evidence from victim-survivor research indicates that court processes and outcomes can be re-traumatising, with distress persisting after proceedings end and support frequently fragmented (Victim Support, 2024). Within the prison/probation interface, the Victim Contact Scheme and related victim notification processes are intended to provide information and a route to input on release conditions, but process evaluation findings highlight variability in delivery and the importance of consistent communication and case ownership for victim confidence (Tapley, 2025).</w:t>
      </w:r>
    </w:p>
    <w:p w14:paraId="6AE4F792" w14:textId="0A85BFE8" w:rsidR="00C22A36" w:rsidRPr="00C22A36" w:rsidRDefault="00C22A36" w:rsidP="00C22A36">
      <w:pPr>
        <w:pStyle w:val="NormalWeb"/>
        <w:spacing w:line="360" w:lineRule="auto"/>
        <w:rPr>
          <w:rFonts w:ascii="Arial" w:hAnsi="Arial" w:cs="Arial"/>
          <w:color w:val="000000"/>
        </w:rPr>
      </w:pPr>
      <w:r w:rsidRPr="00C22A36">
        <w:rPr>
          <w:rFonts w:ascii="Arial" w:hAnsi="Arial" w:cs="Arial"/>
          <w:color w:val="000000"/>
        </w:rPr>
        <w:t>Compensation can also operate as a barrier rather than a remedy, with parliamentary scrutiny highlighting concerns about timeliness, eligibility thresholds</w:t>
      </w:r>
      <w:r>
        <w:rPr>
          <w:rFonts w:ascii="Arial" w:hAnsi="Arial" w:cs="Arial"/>
          <w:color w:val="000000"/>
        </w:rPr>
        <w:t xml:space="preserve"> </w:t>
      </w:r>
      <w:r w:rsidRPr="00C22A36">
        <w:rPr>
          <w:rFonts w:ascii="Arial" w:hAnsi="Arial" w:cs="Arial"/>
          <w:color w:val="000000"/>
        </w:rPr>
        <w:t>and accessibility for complex trauma and exploitation survivors (UK Parliament, 2023).</w:t>
      </w:r>
    </w:p>
    <w:p w14:paraId="22876302" w14:textId="73AE2198" w:rsidR="00C22A36" w:rsidRPr="00C22A36" w:rsidRDefault="00C22A36" w:rsidP="00C22A36">
      <w:pPr>
        <w:pStyle w:val="Heading2"/>
        <w:rPr>
          <w:rFonts w:cstheme="majorHAnsi"/>
          <w:sz w:val="28"/>
          <w:szCs w:val="28"/>
          <w:u w:val="single"/>
        </w:rPr>
      </w:pPr>
      <w:bookmarkStart w:id="20" w:name="_Toc218713270"/>
      <w:bookmarkStart w:id="21" w:name="_Toc215238112"/>
      <w:r w:rsidRPr="00C22A36">
        <w:rPr>
          <w:rFonts w:cstheme="majorHAnsi"/>
          <w:sz w:val="28"/>
          <w:szCs w:val="28"/>
          <w:u w:val="single"/>
        </w:rPr>
        <w:lastRenderedPageBreak/>
        <w:t>5.2 Specialist Advocacy and Community Services</w:t>
      </w:r>
      <w:bookmarkEnd w:id="20"/>
      <w:r w:rsidRPr="00C22A36">
        <w:rPr>
          <w:rFonts w:cstheme="majorHAnsi"/>
          <w:sz w:val="28"/>
          <w:szCs w:val="28"/>
          <w:u w:val="single"/>
        </w:rPr>
        <w:t xml:space="preserve"> </w:t>
      </w:r>
      <w:bookmarkEnd w:id="21"/>
    </w:p>
    <w:tbl>
      <w:tblPr>
        <w:tblStyle w:val="TableGrid"/>
        <w:tblW w:w="0" w:type="auto"/>
        <w:tblLook w:val="04A0" w:firstRow="1" w:lastRow="0" w:firstColumn="1" w:lastColumn="0" w:noHBand="0" w:noVBand="1"/>
      </w:tblPr>
      <w:tblGrid>
        <w:gridCol w:w="3072"/>
        <w:gridCol w:w="3073"/>
        <w:gridCol w:w="3074"/>
      </w:tblGrid>
      <w:tr w:rsidR="00C22A36" w14:paraId="6CF3E570" w14:textId="77777777" w:rsidTr="00C22A36">
        <w:tc>
          <w:tcPr>
            <w:tcW w:w="3072" w:type="dxa"/>
            <w:vAlign w:val="center"/>
          </w:tcPr>
          <w:p w14:paraId="538C128E" w14:textId="1A37A847" w:rsidR="00C22A36" w:rsidRPr="00C22A36" w:rsidRDefault="00C22A36" w:rsidP="00C22A36">
            <w:pPr>
              <w:spacing w:line="360" w:lineRule="auto"/>
              <w:rPr>
                <w:rFonts w:ascii="-webkit-standard" w:hAnsi="-webkit-standard"/>
                <w:color w:val="000000"/>
                <w:sz w:val="27"/>
                <w:szCs w:val="27"/>
              </w:rPr>
            </w:pPr>
            <w:r w:rsidRPr="00C22A36">
              <w:rPr>
                <w:rFonts w:ascii="Arial" w:hAnsi="Arial" w:cs="Arial"/>
                <w:b/>
                <w:bCs/>
              </w:rPr>
              <w:t>Support Type</w:t>
            </w:r>
          </w:p>
        </w:tc>
        <w:tc>
          <w:tcPr>
            <w:tcW w:w="3073" w:type="dxa"/>
          </w:tcPr>
          <w:p w14:paraId="3FB0AAC0" w14:textId="4A881A3E" w:rsidR="00C22A36" w:rsidRPr="00C22A36" w:rsidRDefault="00C22A36" w:rsidP="00C22A36">
            <w:pPr>
              <w:spacing w:line="360" w:lineRule="auto"/>
              <w:rPr>
                <w:rFonts w:ascii="-webkit-standard" w:hAnsi="-webkit-standard"/>
                <w:color w:val="000000"/>
                <w:sz w:val="27"/>
                <w:szCs w:val="27"/>
              </w:rPr>
            </w:pPr>
            <w:r w:rsidRPr="00C22A36">
              <w:rPr>
                <w:rFonts w:ascii="Arial" w:hAnsi="Arial" w:cs="Arial"/>
                <w:b/>
                <w:bCs/>
              </w:rPr>
              <w:t>Benefit</w:t>
            </w:r>
          </w:p>
        </w:tc>
        <w:tc>
          <w:tcPr>
            <w:tcW w:w="3074" w:type="dxa"/>
          </w:tcPr>
          <w:p w14:paraId="7793676E" w14:textId="4F5C3E7B" w:rsidR="00C22A36" w:rsidRPr="00C22A36" w:rsidRDefault="00C22A36" w:rsidP="00C22A36">
            <w:pPr>
              <w:spacing w:line="360" w:lineRule="auto"/>
              <w:rPr>
                <w:rFonts w:ascii="-webkit-standard" w:hAnsi="-webkit-standard"/>
                <w:color w:val="000000"/>
                <w:sz w:val="27"/>
                <w:szCs w:val="27"/>
              </w:rPr>
            </w:pPr>
            <w:r w:rsidRPr="00C22A36">
              <w:rPr>
                <w:rFonts w:ascii="Arial" w:hAnsi="Arial" w:cs="Arial"/>
                <w:b/>
                <w:bCs/>
              </w:rPr>
              <w:t>Limitation</w:t>
            </w:r>
          </w:p>
        </w:tc>
      </w:tr>
      <w:tr w:rsidR="00C22A36" w14:paraId="7588FE63" w14:textId="77777777" w:rsidTr="00C22A36">
        <w:tc>
          <w:tcPr>
            <w:tcW w:w="3072" w:type="dxa"/>
          </w:tcPr>
          <w:p w14:paraId="63B5EAE7" w14:textId="4D46CFC8" w:rsidR="00C22A36" w:rsidRDefault="00C22A36" w:rsidP="00C22A36">
            <w:pPr>
              <w:spacing w:line="360" w:lineRule="auto"/>
              <w:rPr>
                <w:rFonts w:ascii="-webkit-standard" w:hAnsi="-webkit-standard"/>
                <w:color w:val="000000"/>
                <w:sz w:val="27"/>
                <w:szCs w:val="27"/>
              </w:rPr>
            </w:pPr>
            <w:r>
              <w:rPr>
                <w:rFonts w:ascii="-webkit-standard" w:hAnsi="-webkit-standard"/>
                <w:color w:val="000000"/>
                <w:sz w:val="27"/>
                <w:szCs w:val="27"/>
              </w:rPr>
              <w:t>ISVA/IDVA</w:t>
            </w:r>
          </w:p>
        </w:tc>
        <w:tc>
          <w:tcPr>
            <w:tcW w:w="3073" w:type="dxa"/>
          </w:tcPr>
          <w:p w14:paraId="55018B70" w14:textId="56061167" w:rsidR="00C22A36" w:rsidRPr="00C22A36" w:rsidRDefault="00C22A36" w:rsidP="00C22A36">
            <w:pPr>
              <w:spacing w:line="360" w:lineRule="auto"/>
              <w:rPr>
                <w:rFonts w:ascii="-webkit-standard" w:hAnsi="-webkit-standard"/>
                <w:color w:val="000000"/>
                <w:sz w:val="27"/>
                <w:szCs w:val="27"/>
              </w:rPr>
            </w:pPr>
            <w:r w:rsidRPr="00C22A36">
              <w:rPr>
                <w:rFonts w:ascii="Arial" w:hAnsi="Arial" w:cs="Arial"/>
              </w:rPr>
              <w:t>Holistic guidance and emotional support</w:t>
            </w:r>
          </w:p>
        </w:tc>
        <w:tc>
          <w:tcPr>
            <w:tcW w:w="3074" w:type="dxa"/>
          </w:tcPr>
          <w:p w14:paraId="374F3AA1" w14:textId="49E35B33" w:rsidR="00C22A36" w:rsidRPr="00C22A36" w:rsidRDefault="00C22A36" w:rsidP="00C22A36">
            <w:pPr>
              <w:spacing w:line="360" w:lineRule="auto"/>
              <w:rPr>
                <w:rFonts w:ascii="-webkit-standard" w:hAnsi="-webkit-standard"/>
                <w:color w:val="000000"/>
                <w:sz w:val="27"/>
                <w:szCs w:val="27"/>
              </w:rPr>
            </w:pPr>
            <w:r w:rsidRPr="00C22A36">
              <w:rPr>
                <w:rFonts w:ascii="Arial" w:hAnsi="Arial" w:cs="Arial"/>
              </w:rPr>
              <w:t>Patchy provision; long waiting lists</w:t>
            </w:r>
          </w:p>
        </w:tc>
      </w:tr>
      <w:tr w:rsidR="00C22A36" w14:paraId="7CD0B0A4" w14:textId="77777777" w:rsidTr="00F50DD5">
        <w:tc>
          <w:tcPr>
            <w:tcW w:w="3072" w:type="dxa"/>
          </w:tcPr>
          <w:p w14:paraId="23941C3E" w14:textId="578872D9" w:rsidR="00C22A36" w:rsidRDefault="00C22A36" w:rsidP="00C22A36">
            <w:pPr>
              <w:spacing w:line="360" w:lineRule="auto"/>
              <w:rPr>
                <w:rFonts w:ascii="-webkit-standard" w:hAnsi="-webkit-standard"/>
                <w:color w:val="000000"/>
                <w:sz w:val="27"/>
                <w:szCs w:val="27"/>
              </w:rPr>
            </w:pPr>
            <w:r>
              <w:rPr>
                <w:rFonts w:ascii="-webkit-standard" w:hAnsi="-webkit-standard"/>
                <w:color w:val="000000"/>
                <w:sz w:val="27"/>
                <w:szCs w:val="27"/>
              </w:rPr>
              <w:t>NHS Mental Health Service</w:t>
            </w:r>
          </w:p>
        </w:tc>
        <w:tc>
          <w:tcPr>
            <w:tcW w:w="3073" w:type="dxa"/>
            <w:vAlign w:val="center"/>
          </w:tcPr>
          <w:p w14:paraId="040C4F2B" w14:textId="60FDA530" w:rsidR="00C22A36" w:rsidRPr="00C22A36" w:rsidRDefault="00C22A36" w:rsidP="00C22A36">
            <w:pPr>
              <w:spacing w:line="360" w:lineRule="auto"/>
              <w:rPr>
                <w:rFonts w:ascii="-webkit-standard" w:hAnsi="-webkit-standard"/>
                <w:color w:val="000000"/>
                <w:sz w:val="27"/>
                <w:szCs w:val="27"/>
              </w:rPr>
            </w:pPr>
            <w:r w:rsidRPr="00C22A36">
              <w:rPr>
                <w:rFonts w:ascii="Arial" w:hAnsi="Arial" w:cs="Arial"/>
              </w:rPr>
              <w:t>Psychological recovery support</w:t>
            </w:r>
          </w:p>
        </w:tc>
        <w:tc>
          <w:tcPr>
            <w:tcW w:w="3074" w:type="dxa"/>
            <w:vAlign w:val="center"/>
          </w:tcPr>
          <w:p w14:paraId="6745D386" w14:textId="69798D3E" w:rsidR="00C22A36" w:rsidRPr="00C22A36" w:rsidRDefault="00C22A36" w:rsidP="00C22A36">
            <w:pPr>
              <w:spacing w:line="360" w:lineRule="auto"/>
              <w:rPr>
                <w:rFonts w:ascii="-webkit-standard" w:hAnsi="-webkit-standard"/>
                <w:color w:val="000000"/>
                <w:sz w:val="27"/>
                <w:szCs w:val="27"/>
              </w:rPr>
            </w:pPr>
            <w:r w:rsidRPr="00C22A36">
              <w:rPr>
                <w:rFonts w:ascii="Arial" w:hAnsi="Arial" w:cs="Arial"/>
              </w:rPr>
              <w:t>Not trauma-</w:t>
            </w:r>
            <w:proofErr w:type="spellStart"/>
            <w:r w:rsidRPr="00C22A36">
              <w:rPr>
                <w:rFonts w:ascii="Arial" w:hAnsi="Arial" w:cs="Arial"/>
              </w:rPr>
              <w:t>specialised</w:t>
            </w:r>
            <w:proofErr w:type="spellEnd"/>
            <w:r w:rsidRPr="00C22A36">
              <w:rPr>
                <w:rFonts w:ascii="Arial" w:hAnsi="Arial" w:cs="Arial"/>
              </w:rPr>
              <w:t>, severe delays</w:t>
            </w:r>
          </w:p>
        </w:tc>
      </w:tr>
      <w:tr w:rsidR="00C22A36" w14:paraId="3D5A4ECD" w14:textId="77777777" w:rsidTr="00D56320">
        <w:tc>
          <w:tcPr>
            <w:tcW w:w="3072" w:type="dxa"/>
            <w:vAlign w:val="center"/>
          </w:tcPr>
          <w:p w14:paraId="6D15722B" w14:textId="12FEE3AA" w:rsidR="00C22A36" w:rsidRDefault="00C22A36" w:rsidP="00C22A36">
            <w:pPr>
              <w:spacing w:line="360" w:lineRule="auto"/>
              <w:rPr>
                <w:rFonts w:ascii="-webkit-standard" w:hAnsi="-webkit-standard"/>
                <w:color w:val="000000"/>
                <w:sz w:val="27"/>
                <w:szCs w:val="27"/>
              </w:rPr>
            </w:pPr>
            <w:r w:rsidRPr="00C22A36">
              <w:rPr>
                <w:rFonts w:ascii="Arial" w:hAnsi="Arial" w:cs="Arial"/>
              </w:rPr>
              <w:t>Child advocacy services</w:t>
            </w:r>
          </w:p>
        </w:tc>
        <w:tc>
          <w:tcPr>
            <w:tcW w:w="3073" w:type="dxa"/>
            <w:vAlign w:val="center"/>
          </w:tcPr>
          <w:p w14:paraId="6AC9DFB8" w14:textId="50C75BE4" w:rsidR="00C22A36" w:rsidRPr="00C22A36" w:rsidRDefault="00C22A36" w:rsidP="00C22A36">
            <w:pPr>
              <w:spacing w:line="360" w:lineRule="auto"/>
              <w:rPr>
                <w:rFonts w:ascii="-webkit-standard" w:hAnsi="-webkit-standard"/>
                <w:color w:val="000000"/>
                <w:sz w:val="27"/>
                <w:szCs w:val="27"/>
              </w:rPr>
            </w:pPr>
            <w:r w:rsidRPr="00C22A36">
              <w:rPr>
                <w:rFonts w:ascii="Arial" w:hAnsi="Arial" w:cs="Arial"/>
              </w:rPr>
              <w:t>Reduce institutional harm</w:t>
            </w:r>
          </w:p>
        </w:tc>
        <w:tc>
          <w:tcPr>
            <w:tcW w:w="3074" w:type="dxa"/>
            <w:vAlign w:val="center"/>
          </w:tcPr>
          <w:p w14:paraId="5D9878AC" w14:textId="1C1E7C9B" w:rsidR="00C22A36" w:rsidRPr="00C22A36" w:rsidRDefault="00C22A36" w:rsidP="00C22A36">
            <w:pPr>
              <w:spacing w:line="360" w:lineRule="auto"/>
              <w:rPr>
                <w:rFonts w:ascii="-webkit-standard" w:hAnsi="-webkit-standard"/>
                <w:color w:val="000000"/>
                <w:sz w:val="27"/>
                <w:szCs w:val="27"/>
              </w:rPr>
            </w:pPr>
            <w:r w:rsidRPr="00C22A36">
              <w:rPr>
                <w:rFonts w:ascii="Arial" w:hAnsi="Arial" w:cs="Arial"/>
              </w:rPr>
              <w:t>Lack of nationwide funding consistency</w:t>
            </w:r>
          </w:p>
        </w:tc>
      </w:tr>
    </w:tbl>
    <w:p w14:paraId="17717B63" w14:textId="3A73EFE6" w:rsidR="00892C3C" w:rsidRPr="00C22A36" w:rsidRDefault="00C22A36" w:rsidP="00892C3C">
      <w:pPr>
        <w:spacing w:line="360" w:lineRule="auto"/>
        <w:rPr>
          <w:rFonts w:ascii="Arial" w:hAnsi="Arial" w:cs="Arial"/>
          <w:color w:val="000000"/>
        </w:rPr>
      </w:pPr>
      <w:r w:rsidRPr="00C22A36">
        <w:rPr>
          <w:rFonts w:ascii="Arial" w:hAnsi="Arial" w:cs="Arial"/>
          <w:color w:val="000000"/>
        </w:rPr>
        <w:t>(Victim Support, 2024)</w:t>
      </w:r>
    </w:p>
    <w:p w14:paraId="3BA14FA7" w14:textId="47B92E0F" w:rsidR="00C22A36" w:rsidRPr="00C22A36" w:rsidRDefault="00C22A36" w:rsidP="00892C3C">
      <w:pPr>
        <w:spacing w:line="360" w:lineRule="auto"/>
        <w:rPr>
          <w:rFonts w:ascii="Arial" w:hAnsi="Arial" w:cs="Arial"/>
          <w:color w:val="000000"/>
        </w:rPr>
      </w:pPr>
      <w:r w:rsidRPr="00C22A36">
        <w:rPr>
          <w:rFonts w:ascii="Arial" w:hAnsi="Arial" w:cs="Arial"/>
          <w:color w:val="000000"/>
        </w:rPr>
        <w:t>*ISVA/IDVA</w:t>
      </w:r>
      <w:r>
        <w:rPr>
          <w:rFonts w:ascii="Arial" w:hAnsi="Arial" w:cs="Arial"/>
          <w:color w:val="000000"/>
        </w:rPr>
        <w:t xml:space="preserve"> </w:t>
      </w:r>
      <w:r w:rsidRPr="00C22A36">
        <w:rPr>
          <w:rFonts w:ascii="Arial" w:hAnsi="Arial" w:cs="Arial"/>
          <w:color w:val="000000"/>
        </w:rPr>
        <w:t xml:space="preserve">- </w:t>
      </w:r>
      <w:r w:rsidRPr="00C22A36">
        <w:rPr>
          <w:rFonts w:ascii="Arial" w:hAnsi="Arial" w:cs="Arial"/>
          <w:color w:val="0A0A0A"/>
          <w:shd w:val="clear" w:color="auto" w:fill="FFFFFF"/>
        </w:rPr>
        <w:t>Independent Sexual Violence Advisor/ Independent Domestic Violence Advisor</w:t>
      </w:r>
    </w:p>
    <w:p w14:paraId="213C94AC" w14:textId="23F7E9A4" w:rsidR="00C22A36" w:rsidRDefault="00C22A36" w:rsidP="00C22A36">
      <w:pPr>
        <w:pStyle w:val="Heading1"/>
        <w:rPr>
          <w:rStyle w:val="Strong"/>
          <w:b w:val="0"/>
          <w:bCs w:val="0"/>
          <w:color w:val="000000"/>
        </w:rPr>
      </w:pPr>
      <w:bookmarkStart w:id="22" w:name="_Toc218713271"/>
      <w:r>
        <w:rPr>
          <w:rStyle w:val="Strong"/>
          <w:b w:val="0"/>
          <w:bCs w:val="0"/>
          <w:color w:val="000000"/>
        </w:rPr>
        <w:t>6. Comparative Experiences of Vulnerable Victim Groups</w:t>
      </w:r>
      <w:bookmarkEnd w:id="22"/>
      <w:r>
        <w:rPr>
          <w:rStyle w:val="Strong"/>
          <w:b w:val="0"/>
          <w:bCs w:val="0"/>
          <w:color w:val="000000"/>
        </w:rPr>
        <w:t xml:space="preserve"> </w:t>
      </w:r>
    </w:p>
    <w:p w14:paraId="7623B1A7" w14:textId="2F8CBB09" w:rsidR="00C22A36" w:rsidRPr="00C22A36" w:rsidRDefault="00C22A36" w:rsidP="00C22A36">
      <w:pPr>
        <w:pStyle w:val="NormalWeb"/>
        <w:spacing w:line="360" w:lineRule="auto"/>
        <w:rPr>
          <w:rFonts w:ascii="Arial" w:hAnsi="Arial" w:cs="Arial"/>
          <w:color w:val="000000"/>
        </w:rPr>
      </w:pPr>
      <w:r w:rsidRPr="00C22A36">
        <w:rPr>
          <w:rFonts w:ascii="Arial" w:hAnsi="Arial" w:cs="Arial"/>
          <w:color w:val="000000"/>
        </w:rPr>
        <w:t>Sexual violence survivors experience the most severe systemic disadvantage, with high attrition, low conviction rates and invasive credibility testing. Children benefit from stronger formal protections, yet inconsistent implementation and delays frequently undermine welfare priorities</w:t>
      </w:r>
      <w:r>
        <w:rPr>
          <w:rFonts w:ascii="Arial" w:hAnsi="Arial" w:cs="Arial"/>
          <w:color w:val="000000"/>
        </w:rPr>
        <w:t xml:space="preserve"> (Bond and Davis, 2025)</w:t>
      </w:r>
      <w:r w:rsidRPr="00C22A36">
        <w:rPr>
          <w:rFonts w:ascii="Arial" w:hAnsi="Arial" w:cs="Arial"/>
          <w:color w:val="000000"/>
        </w:rPr>
        <w:t>. Victims with mental health vulnerabilities remain the most marginalised group, facing stigma, misinterpretation of trauma responses and heightened risks of disengagement</w:t>
      </w:r>
      <w:r>
        <w:rPr>
          <w:rFonts w:ascii="Arial" w:hAnsi="Arial" w:cs="Arial"/>
          <w:color w:val="000000"/>
        </w:rPr>
        <w:t xml:space="preserve"> </w:t>
      </w:r>
      <w:r w:rsidRPr="00C22A36">
        <w:rPr>
          <w:rFonts w:ascii="Arial" w:hAnsi="Arial" w:cs="Arial"/>
          <w:color w:val="000000"/>
        </w:rPr>
        <w:t>(Pacheco, 2025)</w:t>
      </w:r>
    </w:p>
    <w:p w14:paraId="0BFC14F6" w14:textId="06C6F4DF" w:rsidR="00C22A36" w:rsidRDefault="00C22A36" w:rsidP="00C22A36">
      <w:pPr>
        <w:pStyle w:val="NormalWeb"/>
        <w:spacing w:line="360" w:lineRule="auto"/>
        <w:rPr>
          <w:rFonts w:ascii="Arial" w:hAnsi="Arial" w:cs="Arial"/>
          <w:color w:val="000000"/>
        </w:rPr>
      </w:pPr>
      <w:proofErr w:type="spellStart"/>
      <w:r w:rsidRPr="00C22A36">
        <w:rPr>
          <w:rFonts w:ascii="Arial" w:hAnsi="Arial" w:cs="Arial"/>
          <w:color w:val="000000"/>
        </w:rPr>
        <w:t>Upadrasta</w:t>
      </w:r>
      <w:proofErr w:type="spellEnd"/>
      <w:r w:rsidRPr="00C22A36">
        <w:rPr>
          <w:rFonts w:ascii="Arial" w:hAnsi="Arial" w:cs="Arial"/>
          <w:color w:val="000000"/>
        </w:rPr>
        <w:t xml:space="preserve"> (2025</w:t>
      </w:r>
      <w:r w:rsidR="008F6F28" w:rsidRPr="00C22A36">
        <w:rPr>
          <w:rFonts w:ascii="Arial" w:hAnsi="Arial" w:cs="Arial"/>
          <w:color w:val="000000"/>
        </w:rPr>
        <w:t>)</w:t>
      </w:r>
      <w:r w:rsidR="008F6F28" w:rsidRPr="00C22A36">
        <w:rPr>
          <w:rStyle w:val="apple-converted-space"/>
          <w:rFonts w:ascii="Arial" w:eastAsiaTheme="minorEastAsia" w:hAnsi="Arial" w:cs="Arial"/>
          <w:color w:val="000000"/>
        </w:rPr>
        <w:t xml:space="preserve"> argues</w:t>
      </w:r>
      <w:r w:rsidRPr="00C22A36">
        <w:rPr>
          <w:rStyle w:val="apple-converted-space"/>
          <w:rFonts w:ascii="Arial" w:eastAsiaTheme="minorEastAsia" w:hAnsi="Arial" w:cs="Arial"/>
          <w:color w:val="000000"/>
        </w:rPr>
        <w:t xml:space="preserve"> </w:t>
      </w:r>
      <w:proofErr w:type="gramStart"/>
      <w:r w:rsidRPr="00C22A36">
        <w:rPr>
          <w:rStyle w:val="apple-converted-space"/>
          <w:rFonts w:ascii="Arial" w:eastAsiaTheme="minorEastAsia" w:hAnsi="Arial" w:cs="Arial"/>
          <w:color w:val="000000"/>
        </w:rPr>
        <w:t>that,</w:t>
      </w:r>
      <w:proofErr w:type="gramEnd"/>
      <w:r>
        <w:rPr>
          <w:rStyle w:val="apple-converted-space"/>
          <w:rFonts w:ascii="-webkit-standard" w:eastAsiaTheme="minorEastAsia" w:hAnsi="-webkit-standard"/>
          <w:color w:val="000000"/>
          <w:sz w:val="27"/>
          <w:szCs w:val="27"/>
        </w:rPr>
        <w:t xml:space="preserve"> </w:t>
      </w:r>
      <w:r w:rsidRPr="00C22A36">
        <w:rPr>
          <w:rFonts w:ascii="Arial" w:hAnsi="Arial" w:cs="Arial"/>
          <w:color w:val="000000"/>
        </w:rPr>
        <w:t>Intersectionality compounds these barriers, with individuals belonging to multiple vulnerable groups experiencing layered disadvantage that current systems are poorly equipped to address.</w:t>
      </w:r>
    </w:p>
    <w:p w14:paraId="25F53BF4" w14:textId="77777777" w:rsidR="00C22A36" w:rsidRPr="00C22A36" w:rsidRDefault="00C22A36" w:rsidP="00C22A36">
      <w:pPr>
        <w:pStyle w:val="NormalWeb"/>
        <w:spacing w:line="360" w:lineRule="auto"/>
        <w:rPr>
          <w:rFonts w:ascii="Arial" w:hAnsi="Arial" w:cs="Arial"/>
          <w:color w:val="000000"/>
        </w:rPr>
      </w:pPr>
    </w:p>
    <w:p w14:paraId="7A0D22D8" w14:textId="64D6EABB" w:rsidR="00C22A36" w:rsidRPr="00C22A36" w:rsidRDefault="00C22A36" w:rsidP="00C22A36">
      <w:pPr>
        <w:pStyle w:val="Heading1"/>
        <w:rPr>
          <w:lang w:val="en-GB" w:eastAsia="en-GB"/>
        </w:rPr>
      </w:pPr>
      <w:bookmarkStart w:id="23" w:name="_Toc218713272"/>
      <w:r w:rsidRPr="00C22A36">
        <w:rPr>
          <w:lang w:val="en-GB" w:eastAsia="en-GB"/>
        </w:rPr>
        <w:t>7. Future Measures and Systemic Reform</w:t>
      </w:r>
      <w:bookmarkEnd w:id="23"/>
      <w:r>
        <w:rPr>
          <w:lang w:val="en-GB" w:eastAsia="en-GB"/>
        </w:rPr>
        <w:t xml:space="preserve"> </w:t>
      </w:r>
    </w:p>
    <w:p w14:paraId="4E207BEB" w14:textId="39D3D426" w:rsidR="00C22A36" w:rsidRDefault="00C22A36" w:rsidP="00C22A36">
      <w:pPr>
        <w:pStyle w:val="NormalWeb"/>
        <w:spacing w:line="360" w:lineRule="auto"/>
        <w:rPr>
          <w:rFonts w:ascii="Arial" w:hAnsi="Arial" w:cs="Arial"/>
          <w:color w:val="000000"/>
        </w:rPr>
      </w:pPr>
      <w:r w:rsidRPr="00C22A36">
        <w:rPr>
          <w:rFonts w:ascii="Arial" w:hAnsi="Arial" w:cs="Arial"/>
          <w:color w:val="000000"/>
        </w:rPr>
        <w:t>Reform priorities should focus on</w:t>
      </w:r>
      <w:r w:rsidRPr="00C22A36">
        <w:rPr>
          <w:rStyle w:val="apple-converted-space"/>
          <w:rFonts w:ascii="Arial" w:hAnsi="Arial" w:cs="Arial"/>
          <w:b/>
          <w:bCs/>
          <w:color w:val="000000"/>
        </w:rPr>
        <w:t> </w:t>
      </w:r>
      <w:r w:rsidRPr="00C22A36">
        <w:rPr>
          <w:rStyle w:val="Strong"/>
          <w:rFonts w:ascii="Arial" w:eastAsiaTheme="majorEastAsia" w:hAnsi="Arial" w:cs="Arial"/>
          <w:b w:val="0"/>
          <w:bCs w:val="0"/>
          <w:color w:val="000000"/>
        </w:rPr>
        <w:t>enforceability, capability, and continuity</w:t>
      </w:r>
      <w:r w:rsidRPr="00C22A36">
        <w:rPr>
          <w:rFonts w:ascii="Arial" w:hAnsi="Arial" w:cs="Arial"/>
          <w:color w:val="000000"/>
        </w:rPr>
        <w:t xml:space="preserve">: (1) enforceable victim rights and remedies; (2) system-wide trauma-informed capability and supervision; (3) scaled access to specialist advocacy and therapeutic support; and (4) transparent performance data on special measures, </w:t>
      </w:r>
      <w:proofErr w:type="gramStart"/>
      <w:r w:rsidRPr="00C22A36">
        <w:rPr>
          <w:rFonts w:ascii="Arial" w:hAnsi="Arial" w:cs="Arial"/>
          <w:color w:val="000000"/>
        </w:rPr>
        <w:t>delays</w:t>
      </w:r>
      <w:proofErr w:type="gramEnd"/>
      <w:r w:rsidRPr="00C22A36">
        <w:rPr>
          <w:rFonts w:ascii="Arial" w:hAnsi="Arial" w:cs="Arial"/>
          <w:color w:val="000000"/>
        </w:rPr>
        <w:t xml:space="preserve"> and victim experience. </w:t>
      </w:r>
      <w:r w:rsidRPr="00C22A36">
        <w:rPr>
          <w:rFonts w:ascii="Arial" w:hAnsi="Arial" w:cs="Arial"/>
          <w:color w:val="000000"/>
        </w:rPr>
        <w:lastRenderedPageBreak/>
        <w:t>Evidence synthesis on domestic/sexual violence service evaluation supports the case for better-resourced specialist provision and consistent outcome monitoring rather than short-term commissioning cycles (Carlisle, 2024). In parallel, probation-linked victim notification processes require standardisation and clearer expectations on communications and responsiveness (Tapley, 2025).</w:t>
      </w:r>
    </w:p>
    <w:p w14:paraId="40FC3014" w14:textId="183B7702" w:rsidR="00C22A36" w:rsidRPr="00C22A36" w:rsidRDefault="00C22A36" w:rsidP="00C22A36">
      <w:pPr>
        <w:pStyle w:val="Heading2"/>
        <w:rPr>
          <w:sz w:val="28"/>
          <w:szCs w:val="28"/>
          <w:u w:val="single"/>
        </w:rPr>
      </w:pPr>
      <w:bookmarkStart w:id="24" w:name="_Toc218713273"/>
      <w:bookmarkStart w:id="25" w:name="_Toc215238128"/>
      <w:r w:rsidRPr="00C22A36">
        <w:rPr>
          <w:rStyle w:val="Strong"/>
          <w:b w:val="0"/>
          <w:bCs w:val="0"/>
          <w:sz w:val="28"/>
          <w:szCs w:val="28"/>
          <w:u w:val="single"/>
        </w:rPr>
        <w:t>7.1 Critical Summary of Proposed Reforms-</w:t>
      </w:r>
      <w:bookmarkEnd w:id="24"/>
      <w:r w:rsidRPr="00C22A36">
        <w:rPr>
          <w:rStyle w:val="Strong"/>
          <w:b w:val="0"/>
          <w:bCs w:val="0"/>
          <w:sz w:val="28"/>
          <w:szCs w:val="28"/>
          <w:u w:val="single"/>
        </w:rPr>
        <w:t xml:space="preserve"> </w:t>
      </w:r>
      <w:bookmarkEnd w:id="25"/>
    </w:p>
    <w:tbl>
      <w:tblPr>
        <w:tblStyle w:val="TableGrid"/>
        <w:tblW w:w="0" w:type="auto"/>
        <w:tblLook w:val="04A0" w:firstRow="1" w:lastRow="0" w:firstColumn="1" w:lastColumn="0" w:noHBand="0" w:noVBand="1"/>
      </w:tblPr>
      <w:tblGrid>
        <w:gridCol w:w="3072"/>
        <w:gridCol w:w="3073"/>
        <w:gridCol w:w="3074"/>
      </w:tblGrid>
      <w:tr w:rsidR="00C22A36" w14:paraId="33E94803" w14:textId="77777777" w:rsidTr="00C22A36">
        <w:tc>
          <w:tcPr>
            <w:tcW w:w="3072" w:type="dxa"/>
          </w:tcPr>
          <w:p w14:paraId="49379574" w14:textId="2A6E430C" w:rsidR="00C22A36" w:rsidRPr="00C22A36" w:rsidRDefault="00C22A36" w:rsidP="00C22A36">
            <w:pPr>
              <w:pStyle w:val="NormalWeb"/>
              <w:spacing w:line="360" w:lineRule="auto"/>
              <w:rPr>
                <w:rFonts w:ascii="Arial" w:hAnsi="Arial" w:cs="Arial"/>
                <w:b/>
                <w:bCs/>
                <w:color w:val="000000"/>
              </w:rPr>
            </w:pPr>
            <w:r w:rsidRPr="00C22A36">
              <w:rPr>
                <w:rFonts w:ascii="Arial" w:hAnsi="Arial" w:cs="Arial"/>
                <w:b/>
                <w:bCs/>
                <w:color w:val="000000"/>
              </w:rPr>
              <w:t xml:space="preserve">Problem </w:t>
            </w:r>
          </w:p>
        </w:tc>
        <w:tc>
          <w:tcPr>
            <w:tcW w:w="3073" w:type="dxa"/>
          </w:tcPr>
          <w:p w14:paraId="746D5AE1" w14:textId="14D47A5A" w:rsidR="00C22A36" w:rsidRPr="00C22A36" w:rsidRDefault="00C22A36" w:rsidP="00C22A36">
            <w:pPr>
              <w:pStyle w:val="NormalWeb"/>
              <w:spacing w:line="360" w:lineRule="auto"/>
              <w:rPr>
                <w:rFonts w:ascii="Arial" w:hAnsi="Arial" w:cs="Arial"/>
                <w:b/>
                <w:bCs/>
                <w:color w:val="000000"/>
              </w:rPr>
            </w:pPr>
            <w:r w:rsidRPr="00C22A36">
              <w:rPr>
                <w:rFonts w:ascii="Arial" w:hAnsi="Arial" w:cs="Arial"/>
                <w:b/>
                <w:bCs/>
                <w:color w:val="000000"/>
              </w:rPr>
              <w:t xml:space="preserve">Reform Solution </w:t>
            </w:r>
          </w:p>
        </w:tc>
        <w:tc>
          <w:tcPr>
            <w:tcW w:w="3074" w:type="dxa"/>
          </w:tcPr>
          <w:p w14:paraId="22445E7B" w14:textId="3D34FA7C" w:rsidR="00C22A36" w:rsidRPr="00C22A36" w:rsidRDefault="00C22A36" w:rsidP="00C22A36">
            <w:pPr>
              <w:pStyle w:val="NormalWeb"/>
              <w:spacing w:line="360" w:lineRule="auto"/>
              <w:rPr>
                <w:rFonts w:ascii="Arial" w:hAnsi="Arial" w:cs="Arial"/>
                <w:b/>
                <w:bCs/>
                <w:color w:val="000000"/>
              </w:rPr>
            </w:pPr>
            <w:r w:rsidRPr="00C22A36">
              <w:rPr>
                <w:rFonts w:ascii="Arial" w:hAnsi="Arial" w:cs="Arial"/>
                <w:b/>
                <w:bCs/>
                <w:color w:val="000000"/>
              </w:rPr>
              <w:t xml:space="preserve">Expected Benefit </w:t>
            </w:r>
          </w:p>
        </w:tc>
      </w:tr>
      <w:tr w:rsidR="00C22A36" w14:paraId="422F086F" w14:textId="77777777" w:rsidTr="005C1C53">
        <w:tc>
          <w:tcPr>
            <w:tcW w:w="3072" w:type="dxa"/>
          </w:tcPr>
          <w:p w14:paraId="177C5ED4" w14:textId="12E2B9F0" w:rsidR="00C22A36" w:rsidRDefault="00C22A36" w:rsidP="00C22A36">
            <w:pPr>
              <w:pStyle w:val="NormalWeb"/>
              <w:spacing w:line="360" w:lineRule="auto"/>
              <w:rPr>
                <w:rFonts w:ascii="Arial" w:hAnsi="Arial" w:cs="Arial"/>
                <w:color w:val="000000"/>
              </w:rPr>
            </w:pPr>
            <w:r w:rsidRPr="001C6E3F">
              <w:rPr>
                <w:rFonts w:ascii="Arial" w:hAnsi="Arial" w:cs="Arial"/>
              </w:rPr>
              <w:t>Rights breaches with no remedy</w:t>
            </w:r>
          </w:p>
        </w:tc>
        <w:tc>
          <w:tcPr>
            <w:tcW w:w="3073" w:type="dxa"/>
            <w:vAlign w:val="center"/>
          </w:tcPr>
          <w:p w14:paraId="194EA649" w14:textId="103962B7" w:rsidR="00C22A36" w:rsidRDefault="00C22A36" w:rsidP="00C22A36">
            <w:pPr>
              <w:pStyle w:val="NormalWeb"/>
              <w:spacing w:line="360" w:lineRule="auto"/>
              <w:rPr>
                <w:rFonts w:ascii="Arial" w:hAnsi="Arial" w:cs="Arial"/>
                <w:color w:val="000000"/>
              </w:rPr>
            </w:pPr>
            <w:r w:rsidRPr="001C6E3F">
              <w:rPr>
                <w:rFonts w:ascii="Arial" w:hAnsi="Arial" w:cs="Arial"/>
              </w:rPr>
              <w:t>Enforceable victims’ rights</w:t>
            </w:r>
          </w:p>
        </w:tc>
        <w:tc>
          <w:tcPr>
            <w:tcW w:w="3074" w:type="dxa"/>
          </w:tcPr>
          <w:p w14:paraId="794E0BFE" w14:textId="39F5CBF8" w:rsidR="00C22A36" w:rsidRDefault="00C22A36" w:rsidP="00C22A36">
            <w:pPr>
              <w:pStyle w:val="NormalWeb"/>
              <w:spacing w:line="360" w:lineRule="auto"/>
              <w:jc w:val="center"/>
              <w:rPr>
                <w:rFonts w:ascii="Arial" w:hAnsi="Arial" w:cs="Arial"/>
                <w:color w:val="000000"/>
              </w:rPr>
            </w:pPr>
            <w:r w:rsidRPr="001C6E3F">
              <w:rPr>
                <w:rFonts w:ascii="Arial" w:hAnsi="Arial" w:cs="Arial"/>
              </w:rPr>
              <w:t>Accountability</w:t>
            </w:r>
          </w:p>
        </w:tc>
      </w:tr>
      <w:tr w:rsidR="00C22A36" w14:paraId="487742E4" w14:textId="77777777" w:rsidTr="00B31BAE">
        <w:tc>
          <w:tcPr>
            <w:tcW w:w="3072" w:type="dxa"/>
            <w:vAlign w:val="center"/>
          </w:tcPr>
          <w:p w14:paraId="2163593A" w14:textId="421FBAC8" w:rsidR="00C22A36" w:rsidRDefault="00C22A36" w:rsidP="00C22A36">
            <w:pPr>
              <w:pStyle w:val="NormalWeb"/>
              <w:spacing w:line="360" w:lineRule="auto"/>
              <w:rPr>
                <w:rFonts w:ascii="Arial" w:hAnsi="Arial" w:cs="Arial"/>
                <w:color w:val="000000"/>
              </w:rPr>
            </w:pPr>
            <w:r w:rsidRPr="001C6E3F">
              <w:rPr>
                <w:rFonts w:ascii="Arial" w:hAnsi="Arial" w:cs="Arial"/>
              </w:rPr>
              <w:t>Secondary trauma in courts</w:t>
            </w:r>
          </w:p>
        </w:tc>
        <w:tc>
          <w:tcPr>
            <w:tcW w:w="3073" w:type="dxa"/>
            <w:vAlign w:val="center"/>
          </w:tcPr>
          <w:p w14:paraId="7B62C3CF" w14:textId="5B3CCDEF" w:rsidR="00C22A36" w:rsidRDefault="00C22A36" w:rsidP="00C22A36">
            <w:pPr>
              <w:pStyle w:val="NormalWeb"/>
              <w:spacing w:line="360" w:lineRule="auto"/>
              <w:rPr>
                <w:rFonts w:ascii="Arial" w:hAnsi="Arial" w:cs="Arial"/>
                <w:color w:val="000000"/>
              </w:rPr>
            </w:pPr>
            <w:r w:rsidRPr="001C6E3F">
              <w:rPr>
                <w:rFonts w:ascii="Arial" w:hAnsi="Arial" w:cs="Arial"/>
              </w:rPr>
              <w:t>Trauma-informed training</w:t>
            </w:r>
          </w:p>
        </w:tc>
        <w:tc>
          <w:tcPr>
            <w:tcW w:w="3074" w:type="dxa"/>
            <w:vAlign w:val="center"/>
          </w:tcPr>
          <w:p w14:paraId="16FECFD1" w14:textId="334416FD" w:rsidR="00C22A36" w:rsidRDefault="00C22A36" w:rsidP="00C22A36">
            <w:pPr>
              <w:pStyle w:val="NormalWeb"/>
              <w:spacing w:line="360" w:lineRule="auto"/>
              <w:rPr>
                <w:rFonts w:ascii="Arial" w:hAnsi="Arial" w:cs="Arial"/>
                <w:color w:val="000000"/>
              </w:rPr>
            </w:pPr>
            <w:r w:rsidRPr="001C6E3F">
              <w:rPr>
                <w:rFonts w:ascii="Arial" w:hAnsi="Arial" w:cs="Arial"/>
              </w:rPr>
              <w:t>Improved cooperation &amp; wellbeing</w:t>
            </w:r>
          </w:p>
        </w:tc>
      </w:tr>
      <w:tr w:rsidR="00C22A36" w14:paraId="49B09372" w14:textId="77777777" w:rsidTr="003572B9">
        <w:tc>
          <w:tcPr>
            <w:tcW w:w="3072" w:type="dxa"/>
            <w:vAlign w:val="center"/>
          </w:tcPr>
          <w:p w14:paraId="224E06FC" w14:textId="71B67B48" w:rsidR="00C22A36" w:rsidRDefault="00C22A36" w:rsidP="00C22A36">
            <w:pPr>
              <w:pStyle w:val="NormalWeb"/>
              <w:spacing w:line="360" w:lineRule="auto"/>
              <w:rPr>
                <w:rFonts w:ascii="Arial" w:hAnsi="Arial" w:cs="Arial"/>
                <w:color w:val="000000"/>
              </w:rPr>
            </w:pPr>
            <w:r w:rsidRPr="001C6E3F">
              <w:rPr>
                <w:rFonts w:ascii="Arial" w:hAnsi="Arial" w:cs="Arial"/>
              </w:rPr>
              <w:t>Long delays</w:t>
            </w:r>
          </w:p>
        </w:tc>
        <w:tc>
          <w:tcPr>
            <w:tcW w:w="3073" w:type="dxa"/>
            <w:vAlign w:val="center"/>
          </w:tcPr>
          <w:p w14:paraId="266EC971" w14:textId="7EE9D32D" w:rsidR="00C22A36" w:rsidRDefault="00C22A36" w:rsidP="00C22A36">
            <w:pPr>
              <w:pStyle w:val="NormalWeb"/>
              <w:spacing w:line="360" w:lineRule="auto"/>
              <w:rPr>
                <w:rFonts w:ascii="Arial" w:hAnsi="Arial" w:cs="Arial"/>
                <w:color w:val="000000"/>
              </w:rPr>
            </w:pPr>
            <w:r w:rsidRPr="001C6E3F">
              <w:rPr>
                <w:rFonts w:ascii="Arial" w:hAnsi="Arial" w:cs="Arial"/>
              </w:rPr>
              <w:t>Universal Section 28</w:t>
            </w:r>
          </w:p>
        </w:tc>
        <w:tc>
          <w:tcPr>
            <w:tcW w:w="3074" w:type="dxa"/>
            <w:vAlign w:val="center"/>
          </w:tcPr>
          <w:p w14:paraId="0332AA01" w14:textId="26FD70E2" w:rsidR="00C22A36" w:rsidRDefault="00C22A36" w:rsidP="00C22A36">
            <w:pPr>
              <w:pStyle w:val="NormalWeb"/>
              <w:spacing w:line="360" w:lineRule="auto"/>
              <w:rPr>
                <w:rFonts w:ascii="Arial" w:hAnsi="Arial" w:cs="Arial"/>
                <w:color w:val="000000"/>
              </w:rPr>
            </w:pPr>
            <w:r w:rsidRPr="001C6E3F">
              <w:rPr>
                <w:rFonts w:ascii="Arial" w:hAnsi="Arial" w:cs="Arial"/>
              </w:rPr>
              <w:t>Faster, safer evidence</w:t>
            </w:r>
          </w:p>
        </w:tc>
      </w:tr>
      <w:tr w:rsidR="00C22A36" w14:paraId="3EA9CD55" w14:textId="77777777" w:rsidTr="002338B5">
        <w:tc>
          <w:tcPr>
            <w:tcW w:w="3072" w:type="dxa"/>
            <w:vAlign w:val="center"/>
          </w:tcPr>
          <w:p w14:paraId="16156744" w14:textId="20F1EEB1" w:rsidR="00C22A36" w:rsidRDefault="00C22A36" w:rsidP="00C22A36">
            <w:pPr>
              <w:pStyle w:val="NormalWeb"/>
              <w:spacing w:line="360" w:lineRule="auto"/>
              <w:rPr>
                <w:rFonts w:ascii="Arial" w:hAnsi="Arial" w:cs="Arial"/>
                <w:color w:val="000000"/>
              </w:rPr>
            </w:pPr>
            <w:r w:rsidRPr="001C6E3F">
              <w:rPr>
                <w:rFonts w:ascii="Arial" w:hAnsi="Arial" w:cs="Arial"/>
              </w:rPr>
              <w:t>Invasive credibility testing</w:t>
            </w:r>
          </w:p>
        </w:tc>
        <w:tc>
          <w:tcPr>
            <w:tcW w:w="3073" w:type="dxa"/>
            <w:vAlign w:val="center"/>
          </w:tcPr>
          <w:p w14:paraId="4E2766EE" w14:textId="4E9D895F" w:rsidR="00C22A36" w:rsidRDefault="00C22A36" w:rsidP="00C22A36">
            <w:pPr>
              <w:pStyle w:val="NormalWeb"/>
              <w:spacing w:line="360" w:lineRule="auto"/>
              <w:rPr>
                <w:rFonts w:ascii="Arial" w:hAnsi="Arial" w:cs="Arial"/>
                <w:color w:val="000000"/>
              </w:rPr>
            </w:pPr>
            <w:r w:rsidRPr="001C6E3F">
              <w:rPr>
                <w:rFonts w:ascii="Arial" w:hAnsi="Arial" w:cs="Arial"/>
              </w:rPr>
              <w:t>Digital privacy protections</w:t>
            </w:r>
          </w:p>
        </w:tc>
        <w:tc>
          <w:tcPr>
            <w:tcW w:w="3074" w:type="dxa"/>
            <w:vAlign w:val="center"/>
          </w:tcPr>
          <w:p w14:paraId="58A4A063" w14:textId="631E566E" w:rsidR="00C22A36" w:rsidRDefault="00C22A36" w:rsidP="00C22A36">
            <w:pPr>
              <w:pStyle w:val="NormalWeb"/>
              <w:spacing w:line="360" w:lineRule="auto"/>
              <w:rPr>
                <w:rFonts w:ascii="Arial" w:hAnsi="Arial" w:cs="Arial"/>
                <w:color w:val="000000"/>
              </w:rPr>
            </w:pPr>
            <w:r w:rsidRPr="001C6E3F">
              <w:rPr>
                <w:rFonts w:ascii="Arial" w:hAnsi="Arial" w:cs="Arial"/>
              </w:rPr>
              <w:t>Fairer trials</w:t>
            </w:r>
          </w:p>
        </w:tc>
      </w:tr>
      <w:tr w:rsidR="00C22A36" w14:paraId="719714B3" w14:textId="77777777" w:rsidTr="00553878">
        <w:tc>
          <w:tcPr>
            <w:tcW w:w="3072" w:type="dxa"/>
            <w:vAlign w:val="center"/>
          </w:tcPr>
          <w:p w14:paraId="133707C7" w14:textId="4B61884E" w:rsidR="00C22A36" w:rsidRDefault="00C22A36" w:rsidP="00C22A36">
            <w:pPr>
              <w:pStyle w:val="NormalWeb"/>
              <w:spacing w:line="360" w:lineRule="auto"/>
              <w:rPr>
                <w:rFonts w:ascii="Arial" w:hAnsi="Arial" w:cs="Arial"/>
                <w:color w:val="000000"/>
              </w:rPr>
            </w:pPr>
            <w:r w:rsidRPr="001C6E3F">
              <w:rPr>
                <w:rFonts w:ascii="Arial" w:hAnsi="Arial" w:cs="Arial"/>
              </w:rPr>
              <w:t>Inconsistent support</w:t>
            </w:r>
          </w:p>
        </w:tc>
        <w:tc>
          <w:tcPr>
            <w:tcW w:w="3073" w:type="dxa"/>
            <w:vAlign w:val="center"/>
          </w:tcPr>
          <w:p w14:paraId="41322539" w14:textId="49CC61E7" w:rsidR="00C22A36" w:rsidRDefault="00C22A36" w:rsidP="00C22A36">
            <w:pPr>
              <w:pStyle w:val="NormalWeb"/>
              <w:spacing w:line="360" w:lineRule="auto"/>
              <w:rPr>
                <w:rFonts w:ascii="Arial" w:hAnsi="Arial" w:cs="Arial"/>
                <w:color w:val="000000"/>
              </w:rPr>
            </w:pPr>
            <w:r w:rsidRPr="001C6E3F">
              <w:rPr>
                <w:rFonts w:ascii="Arial" w:hAnsi="Arial" w:cs="Arial"/>
              </w:rPr>
              <w:t>Sustainable specialist funding</w:t>
            </w:r>
          </w:p>
        </w:tc>
        <w:tc>
          <w:tcPr>
            <w:tcW w:w="3074" w:type="dxa"/>
            <w:vAlign w:val="center"/>
          </w:tcPr>
          <w:p w14:paraId="3BCAE3EF" w14:textId="3F03272C" w:rsidR="00C22A36" w:rsidRDefault="00C22A36" w:rsidP="00C22A36">
            <w:pPr>
              <w:pStyle w:val="NormalWeb"/>
              <w:spacing w:line="360" w:lineRule="auto"/>
              <w:rPr>
                <w:rFonts w:ascii="Arial" w:hAnsi="Arial" w:cs="Arial"/>
                <w:color w:val="000000"/>
              </w:rPr>
            </w:pPr>
            <w:r w:rsidRPr="001C6E3F">
              <w:rPr>
                <w:rFonts w:ascii="Arial" w:hAnsi="Arial" w:cs="Arial"/>
              </w:rPr>
              <w:t>Equal access</w:t>
            </w:r>
          </w:p>
        </w:tc>
      </w:tr>
      <w:tr w:rsidR="00C22A36" w14:paraId="19170F8B" w14:textId="77777777" w:rsidTr="00BC27EE">
        <w:tc>
          <w:tcPr>
            <w:tcW w:w="3072" w:type="dxa"/>
            <w:vAlign w:val="center"/>
          </w:tcPr>
          <w:p w14:paraId="4C01FECD" w14:textId="5692408D" w:rsidR="00C22A36" w:rsidRDefault="00C22A36" w:rsidP="00C22A36">
            <w:pPr>
              <w:pStyle w:val="NormalWeb"/>
              <w:spacing w:line="360" w:lineRule="auto"/>
              <w:rPr>
                <w:rFonts w:ascii="Arial" w:hAnsi="Arial" w:cs="Arial"/>
                <w:color w:val="000000"/>
              </w:rPr>
            </w:pPr>
            <w:r w:rsidRPr="001C6E3F">
              <w:rPr>
                <w:rFonts w:ascii="Arial" w:hAnsi="Arial" w:cs="Arial"/>
              </w:rPr>
              <w:t>Perceived injustice</w:t>
            </w:r>
          </w:p>
        </w:tc>
        <w:tc>
          <w:tcPr>
            <w:tcW w:w="3073" w:type="dxa"/>
            <w:vAlign w:val="center"/>
          </w:tcPr>
          <w:p w14:paraId="0398EE58" w14:textId="458EE620" w:rsidR="00C22A36" w:rsidRDefault="00C22A36" w:rsidP="00C22A36">
            <w:pPr>
              <w:pStyle w:val="NormalWeb"/>
              <w:spacing w:line="360" w:lineRule="auto"/>
              <w:rPr>
                <w:rFonts w:ascii="Arial" w:hAnsi="Arial" w:cs="Arial"/>
                <w:color w:val="000000"/>
              </w:rPr>
            </w:pPr>
            <w:r w:rsidRPr="001C6E3F">
              <w:rPr>
                <w:rFonts w:ascii="Arial" w:hAnsi="Arial" w:cs="Arial"/>
              </w:rPr>
              <w:t>Procedural justice practices</w:t>
            </w:r>
          </w:p>
        </w:tc>
        <w:tc>
          <w:tcPr>
            <w:tcW w:w="3074" w:type="dxa"/>
            <w:vAlign w:val="center"/>
          </w:tcPr>
          <w:p w14:paraId="1CFC60B7" w14:textId="0F693569" w:rsidR="00C22A36" w:rsidRDefault="00C22A36" w:rsidP="00C22A36">
            <w:pPr>
              <w:pStyle w:val="NormalWeb"/>
              <w:spacing w:line="360" w:lineRule="auto"/>
              <w:rPr>
                <w:rFonts w:ascii="Arial" w:hAnsi="Arial" w:cs="Arial"/>
                <w:color w:val="000000"/>
              </w:rPr>
            </w:pPr>
            <w:r w:rsidRPr="001C6E3F">
              <w:rPr>
                <w:rFonts w:ascii="Arial" w:hAnsi="Arial" w:cs="Arial"/>
              </w:rPr>
              <w:t>Legitimacy &amp; trust</w:t>
            </w:r>
          </w:p>
        </w:tc>
      </w:tr>
      <w:tr w:rsidR="00C22A36" w14:paraId="30E5D578" w14:textId="77777777" w:rsidTr="00B6763B">
        <w:tc>
          <w:tcPr>
            <w:tcW w:w="3072" w:type="dxa"/>
            <w:vAlign w:val="center"/>
          </w:tcPr>
          <w:p w14:paraId="24BC10C7" w14:textId="653D13EE" w:rsidR="00C22A36" w:rsidRDefault="00C22A36" w:rsidP="00C22A36">
            <w:pPr>
              <w:pStyle w:val="NormalWeb"/>
              <w:spacing w:line="360" w:lineRule="auto"/>
              <w:rPr>
                <w:rFonts w:ascii="Arial" w:hAnsi="Arial" w:cs="Arial"/>
                <w:color w:val="000000"/>
              </w:rPr>
            </w:pPr>
            <w:r w:rsidRPr="001C6E3F">
              <w:rPr>
                <w:rFonts w:ascii="Arial" w:hAnsi="Arial" w:cs="Arial"/>
              </w:rPr>
              <w:t>Poor oversight</w:t>
            </w:r>
          </w:p>
        </w:tc>
        <w:tc>
          <w:tcPr>
            <w:tcW w:w="3073" w:type="dxa"/>
            <w:vAlign w:val="center"/>
          </w:tcPr>
          <w:p w14:paraId="5DDC6E7E" w14:textId="593DC0E8" w:rsidR="00C22A36" w:rsidRDefault="00C22A36" w:rsidP="00C22A36">
            <w:pPr>
              <w:pStyle w:val="NormalWeb"/>
              <w:spacing w:line="360" w:lineRule="auto"/>
              <w:rPr>
                <w:rFonts w:ascii="Arial" w:hAnsi="Arial" w:cs="Arial"/>
                <w:color w:val="000000"/>
              </w:rPr>
            </w:pPr>
            <w:r w:rsidRPr="001C6E3F">
              <w:rPr>
                <w:rFonts w:ascii="Arial" w:hAnsi="Arial" w:cs="Arial"/>
              </w:rPr>
              <w:t>Better data sharing</w:t>
            </w:r>
          </w:p>
        </w:tc>
        <w:tc>
          <w:tcPr>
            <w:tcW w:w="3074" w:type="dxa"/>
            <w:vAlign w:val="center"/>
          </w:tcPr>
          <w:p w14:paraId="6C87CD8F" w14:textId="32275FFA" w:rsidR="00C22A36" w:rsidRDefault="00C22A36" w:rsidP="00C22A36">
            <w:pPr>
              <w:pStyle w:val="NormalWeb"/>
              <w:spacing w:line="360" w:lineRule="auto"/>
              <w:ind w:firstLine="720"/>
              <w:rPr>
                <w:rFonts w:ascii="Arial" w:hAnsi="Arial" w:cs="Arial"/>
                <w:color w:val="000000"/>
              </w:rPr>
            </w:pPr>
            <w:r w:rsidRPr="001C6E3F">
              <w:rPr>
                <w:rFonts w:ascii="Arial" w:hAnsi="Arial" w:cs="Arial"/>
              </w:rPr>
              <w:t>Performance improvement</w:t>
            </w:r>
          </w:p>
        </w:tc>
      </w:tr>
    </w:tbl>
    <w:p w14:paraId="33723F89" w14:textId="77777777" w:rsidR="00C22A36" w:rsidRDefault="00C22A36" w:rsidP="00C22A36">
      <w:pPr>
        <w:pStyle w:val="NormalWeb"/>
        <w:spacing w:line="360" w:lineRule="auto"/>
        <w:rPr>
          <w:rFonts w:ascii="Arial" w:hAnsi="Arial" w:cs="Arial"/>
          <w:color w:val="000000"/>
        </w:rPr>
      </w:pPr>
    </w:p>
    <w:p w14:paraId="29CFC574" w14:textId="753BD0C9" w:rsidR="00C22A36" w:rsidRDefault="00C22A36" w:rsidP="00C22A36">
      <w:pPr>
        <w:pStyle w:val="Heading1"/>
      </w:pPr>
      <w:bookmarkStart w:id="26" w:name="_Toc218713274"/>
      <w:r>
        <w:t>8. Conclusion</w:t>
      </w:r>
      <w:bookmarkEnd w:id="26"/>
      <w:r>
        <w:t xml:space="preserve"> </w:t>
      </w:r>
    </w:p>
    <w:p w14:paraId="358FC68C" w14:textId="0A48A000" w:rsidR="00C22A36" w:rsidRPr="00C22A36" w:rsidRDefault="00C22A36" w:rsidP="00C22A36">
      <w:pPr>
        <w:pStyle w:val="NormalWeb"/>
        <w:spacing w:line="360" w:lineRule="auto"/>
        <w:rPr>
          <w:rFonts w:ascii="Arial" w:hAnsi="Arial" w:cs="Arial"/>
          <w:color w:val="000000"/>
        </w:rPr>
      </w:pPr>
      <w:r w:rsidRPr="00C22A36">
        <w:rPr>
          <w:rFonts w:ascii="Arial" w:hAnsi="Arial" w:cs="Arial"/>
          <w:color w:val="000000"/>
        </w:rPr>
        <w:t xml:space="preserve">Overall, the CJS has expanded formal recognition of vulnerability, but support remains inconsistent across policing, </w:t>
      </w:r>
      <w:proofErr w:type="gramStart"/>
      <w:r w:rsidRPr="00C22A36">
        <w:rPr>
          <w:rFonts w:ascii="Arial" w:hAnsi="Arial" w:cs="Arial"/>
          <w:color w:val="000000"/>
        </w:rPr>
        <w:t>courts</w:t>
      </w:r>
      <w:proofErr w:type="gramEnd"/>
      <w:r>
        <w:rPr>
          <w:rFonts w:ascii="Arial" w:hAnsi="Arial" w:cs="Arial"/>
          <w:color w:val="000000"/>
        </w:rPr>
        <w:t xml:space="preserve"> </w:t>
      </w:r>
      <w:r w:rsidRPr="00C22A36">
        <w:rPr>
          <w:rFonts w:ascii="Arial" w:hAnsi="Arial" w:cs="Arial"/>
          <w:color w:val="000000"/>
        </w:rPr>
        <w:t>and post-trial/prison-linked processes. The evidence indicates a persistent gap between rights and delivery, with compounded disadvantage for sexual violence survivors, children, and victims with mental health vulnerabilities. Bridging this gap requires enforceable entitlements, trauma-informed practice at scale, reliable specialist provision and transparent accountability that follows victims beyond verdict into the post-trial phase.</w:t>
      </w:r>
    </w:p>
    <w:p w14:paraId="021C7D27" w14:textId="77777777" w:rsidR="00C22A36" w:rsidRPr="00C22A36" w:rsidRDefault="00C22A36" w:rsidP="00C22A36"/>
    <w:p w14:paraId="5B4CC98B" w14:textId="77777777" w:rsidR="00C22A36" w:rsidRPr="00C22A36" w:rsidRDefault="00C22A36" w:rsidP="00C22A36">
      <w:pPr>
        <w:pStyle w:val="NormalWeb"/>
        <w:spacing w:line="360" w:lineRule="auto"/>
        <w:rPr>
          <w:rFonts w:ascii="Arial" w:hAnsi="Arial" w:cs="Arial"/>
          <w:color w:val="000000"/>
        </w:rPr>
      </w:pPr>
    </w:p>
    <w:p w14:paraId="7355980A" w14:textId="77777777" w:rsidR="00C22A36" w:rsidRPr="00C22A36" w:rsidRDefault="00C22A36" w:rsidP="00C22A36"/>
    <w:p w14:paraId="02C6F169" w14:textId="77777777" w:rsidR="00892C3C" w:rsidRDefault="00892C3C" w:rsidP="00892C3C">
      <w:pPr>
        <w:spacing w:line="360" w:lineRule="auto"/>
        <w:rPr>
          <w:rFonts w:ascii="-webkit-standard" w:hAnsi="-webkit-standard"/>
          <w:color w:val="000000"/>
          <w:sz w:val="27"/>
          <w:szCs w:val="27"/>
        </w:rPr>
      </w:pPr>
    </w:p>
    <w:p w14:paraId="0BFBDB74" w14:textId="77777777" w:rsidR="00892C3C" w:rsidRDefault="00892C3C" w:rsidP="00892C3C">
      <w:pPr>
        <w:spacing w:line="360" w:lineRule="auto"/>
        <w:rPr>
          <w:rFonts w:ascii="-webkit-standard" w:hAnsi="-webkit-standard"/>
          <w:color w:val="000000"/>
          <w:sz w:val="27"/>
          <w:szCs w:val="27"/>
        </w:rPr>
      </w:pPr>
    </w:p>
    <w:p w14:paraId="2C7E1D79" w14:textId="77777777" w:rsidR="00892C3C" w:rsidRDefault="00892C3C" w:rsidP="00892C3C">
      <w:pPr>
        <w:spacing w:line="360" w:lineRule="auto"/>
        <w:rPr>
          <w:rFonts w:ascii="-webkit-standard" w:hAnsi="-webkit-standard"/>
          <w:color w:val="000000"/>
          <w:sz w:val="27"/>
          <w:szCs w:val="27"/>
        </w:rPr>
      </w:pPr>
    </w:p>
    <w:p w14:paraId="3C64348C" w14:textId="77777777" w:rsidR="00892C3C" w:rsidRDefault="00892C3C" w:rsidP="00892C3C">
      <w:pPr>
        <w:spacing w:line="360" w:lineRule="auto"/>
        <w:rPr>
          <w:rFonts w:ascii="-webkit-standard" w:hAnsi="-webkit-standard"/>
          <w:color w:val="000000"/>
          <w:sz w:val="27"/>
          <w:szCs w:val="27"/>
        </w:rPr>
      </w:pPr>
    </w:p>
    <w:p w14:paraId="2EBAE887" w14:textId="77777777" w:rsidR="00892C3C" w:rsidRDefault="00892C3C" w:rsidP="00892C3C">
      <w:pPr>
        <w:spacing w:line="360" w:lineRule="auto"/>
        <w:rPr>
          <w:rFonts w:ascii="-webkit-standard" w:hAnsi="-webkit-standard"/>
          <w:color w:val="000000"/>
          <w:sz w:val="27"/>
          <w:szCs w:val="27"/>
        </w:rPr>
      </w:pPr>
    </w:p>
    <w:p w14:paraId="20C68EBB" w14:textId="77777777" w:rsidR="00892C3C" w:rsidRDefault="00892C3C" w:rsidP="00892C3C">
      <w:pPr>
        <w:spacing w:line="360" w:lineRule="auto"/>
        <w:rPr>
          <w:rFonts w:ascii="-webkit-standard" w:hAnsi="-webkit-standard"/>
          <w:color w:val="000000"/>
          <w:sz w:val="27"/>
          <w:szCs w:val="27"/>
        </w:rPr>
      </w:pPr>
    </w:p>
    <w:p w14:paraId="4AE52C20" w14:textId="77777777" w:rsidR="00892C3C" w:rsidRDefault="00892C3C" w:rsidP="00892C3C">
      <w:pPr>
        <w:spacing w:line="360" w:lineRule="auto"/>
        <w:rPr>
          <w:rFonts w:ascii="-webkit-standard" w:hAnsi="-webkit-standard"/>
          <w:color w:val="000000"/>
          <w:sz w:val="27"/>
          <w:szCs w:val="27"/>
        </w:rPr>
      </w:pPr>
    </w:p>
    <w:p w14:paraId="49F4AE43" w14:textId="77777777" w:rsidR="001A4564" w:rsidRDefault="001A4564">
      <w:pPr>
        <w:rPr>
          <w:rFonts w:ascii="-webkit-standard" w:hAnsi="-webkit-standard"/>
          <w:color w:val="000000"/>
          <w:sz w:val="27"/>
          <w:szCs w:val="27"/>
        </w:rPr>
      </w:pPr>
      <w:r>
        <w:rPr>
          <w:rFonts w:ascii="-webkit-standard" w:hAnsi="-webkit-standard"/>
          <w:color w:val="000000"/>
          <w:sz w:val="27"/>
          <w:szCs w:val="27"/>
        </w:rPr>
        <w:br w:type="page"/>
      </w:r>
    </w:p>
    <w:p w14:paraId="156EF67D" w14:textId="62F98912" w:rsidR="001A4564" w:rsidRDefault="001A4564" w:rsidP="001A4564">
      <w:pPr>
        <w:pStyle w:val="Heading1"/>
      </w:pPr>
      <w:bookmarkStart w:id="27" w:name="_Toc218713275"/>
      <w:r>
        <w:lastRenderedPageBreak/>
        <w:t>Acknowledgement</w:t>
      </w:r>
      <w:bookmarkEnd w:id="27"/>
      <w:r>
        <w:t xml:space="preserve"> </w:t>
      </w:r>
    </w:p>
    <w:p w14:paraId="510A79C4" w14:textId="0BD13DC8" w:rsidR="001A4564" w:rsidRPr="000A4DDA" w:rsidRDefault="001A4564" w:rsidP="001A4564">
      <w:pPr>
        <w:pStyle w:val="NormalWeb"/>
        <w:spacing w:line="360" w:lineRule="auto"/>
        <w:rPr>
          <w:rFonts w:ascii="Arial" w:hAnsi="Arial" w:cs="Arial"/>
        </w:rPr>
      </w:pPr>
      <w:r w:rsidRPr="000A4DDA">
        <w:rPr>
          <w:rFonts w:ascii="Arial" w:hAnsi="Arial" w:cs="Arial"/>
        </w:rPr>
        <w:t xml:space="preserve">I acknowledge the use of cite this for me and chat GPT on </w:t>
      </w:r>
      <w:r>
        <w:rPr>
          <w:rFonts w:ascii="Arial" w:hAnsi="Arial" w:cs="Arial"/>
        </w:rPr>
        <w:t>7</w:t>
      </w:r>
      <w:r w:rsidRPr="000A4DDA">
        <w:rPr>
          <w:rFonts w:ascii="Arial" w:hAnsi="Arial" w:cs="Arial"/>
        </w:rPr>
        <w:t>/</w:t>
      </w:r>
      <w:r>
        <w:rPr>
          <w:rFonts w:ascii="Arial" w:hAnsi="Arial" w:cs="Arial"/>
        </w:rPr>
        <w:t>1</w:t>
      </w:r>
      <w:r w:rsidRPr="000A4DDA">
        <w:rPr>
          <w:rFonts w:ascii="Arial" w:hAnsi="Arial" w:cs="Arial"/>
        </w:rPr>
        <w:t>/</w:t>
      </w:r>
      <w:r>
        <w:rPr>
          <w:rFonts w:ascii="Arial" w:hAnsi="Arial" w:cs="Arial"/>
        </w:rPr>
        <w:t>26</w:t>
      </w:r>
      <w:r w:rsidRPr="000A4DDA">
        <w:rPr>
          <w:rFonts w:ascii="Arial" w:hAnsi="Arial" w:cs="Arial"/>
        </w:rPr>
        <w:t xml:space="preserve"> to arrange my reference list. I used the prompt(s): </w:t>
      </w:r>
    </w:p>
    <w:p w14:paraId="19EE27FA" w14:textId="77777777" w:rsidR="001A4564" w:rsidRPr="000A4DDA" w:rsidRDefault="001A4564" w:rsidP="001A4564">
      <w:pPr>
        <w:pStyle w:val="NormalWeb"/>
        <w:numPr>
          <w:ilvl w:val="0"/>
          <w:numId w:val="26"/>
        </w:numPr>
        <w:spacing w:line="360" w:lineRule="auto"/>
        <w:rPr>
          <w:rFonts w:ascii="Arial" w:hAnsi="Arial" w:cs="Arial"/>
        </w:rPr>
      </w:pPr>
      <w:r w:rsidRPr="000A4DDA">
        <w:rPr>
          <w:rFonts w:ascii="Arial" w:hAnsi="Arial" w:cs="Arial"/>
        </w:rPr>
        <w:t xml:space="preserve">Please arrange my reference list into alphabetical order </w:t>
      </w:r>
    </w:p>
    <w:p w14:paraId="60805824" w14:textId="77777777" w:rsidR="001A4564" w:rsidRPr="000A4DDA" w:rsidRDefault="001A4564" w:rsidP="001A4564">
      <w:pPr>
        <w:pStyle w:val="NormalWeb"/>
        <w:numPr>
          <w:ilvl w:val="0"/>
          <w:numId w:val="26"/>
        </w:numPr>
        <w:spacing w:line="360" w:lineRule="auto"/>
        <w:rPr>
          <w:rFonts w:ascii="Arial" w:hAnsi="Arial" w:cs="Arial"/>
        </w:rPr>
      </w:pPr>
      <w:r>
        <w:rPr>
          <w:rFonts w:ascii="Arial" w:hAnsi="Arial" w:cs="Arial"/>
          <w:color w:val="000000"/>
        </w:rPr>
        <w:t>If</w:t>
      </w:r>
      <w:r w:rsidRPr="000A4DDA">
        <w:rPr>
          <w:rFonts w:ascii="Arial" w:hAnsi="Arial" w:cs="Arial"/>
          <w:color w:val="000000"/>
        </w:rPr>
        <w:t xml:space="preserve"> there are any repeat </w:t>
      </w:r>
      <w:r>
        <w:rPr>
          <w:rFonts w:ascii="Arial" w:hAnsi="Arial" w:cs="Arial"/>
          <w:color w:val="000000"/>
        </w:rPr>
        <w:t>citations</w:t>
      </w:r>
      <w:r w:rsidRPr="000A4DDA">
        <w:rPr>
          <w:rFonts w:ascii="Arial" w:hAnsi="Arial" w:cs="Arial"/>
          <w:color w:val="000000"/>
        </w:rPr>
        <w:t xml:space="preserve"> with the same dates also, please label them a, b, c etc after the dates that are given.</w:t>
      </w:r>
    </w:p>
    <w:p w14:paraId="36C2515E" w14:textId="77777777" w:rsidR="001A4564" w:rsidRPr="000A4DDA" w:rsidRDefault="001A4564" w:rsidP="001A4564">
      <w:pPr>
        <w:pStyle w:val="NormalWeb"/>
        <w:numPr>
          <w:ilvl w:val="0"/>
          <w:numId w:val="26"/>
        </w:numPr>
        <w:spacing w:line="360" w:lineRule="auto"/>
        <w:rPr>
          <w:rFonts w:ascii="Arial" w:hAnsi="Arial" w:cs="Arial"/>
        </w:rPr>
      </w:pPr>
      <w:r w:rsidRPr="000A4DDA">
        <w:rPr>
          <w:rFonts w:ascii="Arial" w:hAnsi="Arial" w:cs="Arial"/>
          <w:color w:val="000000"/>
        </w:rPr>
        <w:t>Just provide it here, thank you</w:t>
      </w:r>
      <w:r>
        <w:rPr>
          <w:rFonts w:ascii="Arial" w:hAnsi="Arial" w:cs="Arial"/>
          <w:color w:val="000000"/>
        </w:rPr>
        <w:t>.</w:t>
      </w:r>
    </w:p>
    <w:p w14:paraId="57B85964" w14:textId="77777777" w:rsidR="001A4564" w:rsidRPr="000A4DDA" w:rsidRDefault="001A4564" w:rsidP="001A4564">
      <w:pPr>
        <w:pStyle w:val="NormalWeb"/>
        <w:spacing w:line="360" w:lineRule="auto"/>
        <w:rPr>
          <w:rFonts w:ascii="Arial" w:hAnsi="Arial" w:cs="Arial"/>
        </w:rPr>
      </w:pPr>
      <w:r w:rsidRPr="000A4DDA">
        <w:rPr>
          <w:rFonts w:ascii="Arial" w:hAnsi="Arial" w:cs="Arial"/>
        </w:rPr>
        <w:t xml:space="preserve">I confirm that I have not presented any AI generated text as my own work. I confirm I have copies of my drafts, notes, and other resources I used before, and after the use of AI tools which I may be asked to provide in evidence. </w:t>
      </w:r>
    </w:p>
    <w:p w14:paraId="16E64DBD" w14:textId="1CE64BBF" w:rsidR="001A4564" w:rsidRPr="001A4564" w:rsidRDefault="000B3BCC" w:rsidP="000B3BCC">
      <w:pPr>
        <w:rPr>
          <w:rFonts w:ascii="-webkit-standard" w:hAnsi="-webkit-standard"/>
          <w:color w:val="000000"/>
          <w:sz w:val="27"/>
          <w:szCs w:val="27"/>
        </w:rPr>
      </w:pPr>
      <w:r>
        <w:rPr>
          <w:rFonts w:ascii="-webkit-standard" w:hAnsi="-webkit-standard"/>
          <w:color w:val="000000"/>
          <w:sz w:val="27"/>
          <w:szCs w:val="27"/>
        </w:rPr>
        <w:br w:type="page"/>
      </w:r>
    </w:p>
    <w:p w14:paraId="72350F30" w14:textId="6151095E" w:rsidR="001A4564" w:rsidRDefault="000B3BCC" w:rsidP="001A4564">
      <w:pPr>
        <w:pStyle w:val="Heading1"/>
      </w:pPr>
      <w:bookmarkStart w:id="28" w:name="_Toc218713276"/>
      <w:r>
        <w:lastRenderedPageBreak/>
        <w:t>References</w:t>
      </w:r>
      <w:bookmarkEnd w:id="28"/>
    </w:p>
    <w:p w14:paraId="789499C6" w14:textId="77777777" w:rsidR="001A4564" w:rsidRDefault="001A4564" w:rsidP="001A4564">
      <w:pPr>
        <w:spacing w:line="360" w:lineRule="auto"/>
        <w:rPr>
          <w:rFonts w:ascii="Arial" w:hAnsi="Arial" w:cs="Arial"/>
        </w:rPr>
      </w:pPr>
      <w:proofErr w:type="spellStart"/>
      <w:r w:rsidRPr="001A4564">
        <w:rPr>
          <w:rFonts w:ascii="Arial" w:hAnsi="Arial" w:cs="Arial"/>
        </w:rPr>
        <w:t>Aihio</w:t>
      </w:r>
      <w:proofErr w:type="spellEnd"/>
      <w:r w:rsidRPr="001A4564">
        <w:rPr>
          <w:rFonts w:ascii="Arial" w:hAnsi="Arial" w:cs="Arial"/>
        </w:rPr>
        <w:t>, N. (2016) ‘Crime victims’ demographics inconsistently relate to self-reported vulnerability in criminal justice surveys’, *Journal of Interpersonal Violence*, 31(12), pp. 2101–2126. Available at: [</w:t>
      </w:r>
      <w:proofErr w:type="gramStart"/>
      <w:r w:rsidRPr="001A4564">
        <w:rPr>
          <w:rFonts w:ascii="Arial" w:hAnsi="Arial" w:cs="Arial"/>
        </w:rPr>
        <w:t>https://www.ncbi.nlm.nih.gov/pmc/articles/PMC6818235/](</w:t>
      </w:r>
      <w:proofErr w:type="gramEnd"/>
      <w:r w:rsidRPr="001A4564">
        <w:rPr>
          <w:rFonts w:ascii="Arial" w:hAnsi="Arial" w:cs="Arial"/>
        </w:rPr>
        <w:t>https://www.ncbi.nlm.nih.gov/pmc/articles/PMC6818235/) (Accessed: 6 January 2026).</w:t>
      </w:r>
    </w:p>
    <w:p w14:paraId="57D612C2" w14:textId="77777777" w:rsidR="001A4564" w:rsidRPr="001A4564" w:rsidRDefault="001A4564" w:rsidP="001A4564">
      <w:pPr>
        <w:spacing w:line="360" w:lineRule="auto"/>
        <w:rPr>
          <w:rFonts w:ascii="Arial" w:hAnsi="Arial" w:cs="Arial"/>
        </w:rPr>
      </w:pPr>
    </w:p>
    <w:p w14:paraId="56AA0559" w14:textId="5589061F" w:rsidR="001A4564" w:rsidRDefault="001A4564" w:rsidP="001A4564">
      <w:pPr>
        <w:spacing w:line="360" w:lineRule="auto"/>
        <w:rPr>
          <w:rFonts w:ascii="Arial" w:hAnsi="Arial" w:cs="Arial"/>
          <w:color w:val="000000"/>
        </w:rPr>
      </w:pPr>
      <w:proofErr w:type="spellStart"/>
      <w:r w:rsidRPr="001A4564">
        <w:rPr>
          <w:rStyle w:val="Strong"/>
          <w:rFonts w:ascii="Arial" w:hAnsi="Arial" w:cs="Arial"/>
          <w:b w:val="0"/>
          <w:bCs w:val="0"/>
          <w:color w:val="000000"/>
        </w:rPr>
        <w:t>Amborski</w:t>
      </w:r>
      <w:proofErr w:type="spellEnd"/>
      <w:r w:rsidRPr="001A4564">
        <w:rPr>
          <w:rStyle w:val="Strong"/>
          <w:rFonts w:ascii="Arial" w:hAnsi="Arial" w:cs="Arial"/>
          <w:color w:val="000000"/>
        </w:rPr>
        <w:t>,</w:t>
      </w:r>
      <w:r w:rsidRPr="001A4564">
        <w:rPr>
          <w:rStyle w:val="Strong"/>
          <w:rFonts w:ascii="Arial" w:hAnsi="Arial" w:cs="Arial"/>
          <w:b w:val="0"/>
          <w:bCs w:val="0"/>
          <w:color w:val="000000"/>
        </w:rPr>
        <w:t xml:space="preserve"> A.M., </w:t>
      </w:r>
      <w:proofErr w:type="spellStart"/>
      <w:r w:rsidRPr="001A4564">
        <w:rPr>
          <w:rStyle w:val="Strong"/>
          <w:rFonts w:ascii="Arial" w:hAnsi="Arial" w:cs="Arial"/>
          <w:b w:val="0"/>
          <w:bCs w:val="0"/>
          <w:color w:val="000000"/>
        </w:rPr>
        <w:t>Bussières</w:t>
      </w:r>
      <w:proofErr w:type="spellEnd"/>
      <w:r w:rsidRPr="001A4564">
        <w:rPr>
          <w:rStyle w:val="Strong"/>
          <w:rFonts w:ascii="Arial" w:hAnsi="Arial" w:cs="Arial"/>
          <w:b w:val="0"/>
          <w:bCs w:val="0"/>
          <w:color w:val="000000"/>
        </w:rPr>
        <w:t xml:space="preserve">, E.-L., Vaillancourt-Morel, M.-P. and </w:t>
      </w:r>
      <w:proofErr w:type="spellStart"/>
      <w:r w:rsidRPr="001A4564">
        <w:rPr>
          <w:rStyle w:val="Strong"/>
          <w:rFonts w:ascii="Arial" w:hAnsi="Arial" w:cs="Arial"/>
          <w:b w:val="0"/>
          <w:bCs w:val="0"/>
          <w:color w:val="000000"/>
        </w:rPr>
        <w:t>Joyal</w:t>
      </w:r>
      <w:proofErr w:type="spellEnd"/>
      <w:r w:rsidRPr="001A4564">
        <w:rPr>
          <w:rStyle w:val="Strong"/>
          <w:rFonts w:ascii="Arial" w:hAnsi="Arial" w:cs="Arial"/>
          <w:b w:val="0"/>
          <w:bCs w:val="0"/>
          <w:color w:val="000000"/>
        </w:rPr>
        <w:t>, C.C. (2021</w:t>
      </w:r>
      <w:r w:rsidRPr="001A4564">
        <w:rPr>
          <w:rStyle w:val="Strong"/>
          <w:rFonts w:ascii="Arial" w:hAnsi="Arial" w:cs="Arial"/>
          <w:color w:val="000000"/>
        </w:rPr>
        <w:t>)</w:t>
      </w:r>
      <w:r w:rsidRPr="001A4564">
        <w:rPr>
          <w:rStyle w:val="apple-converted-space"/>
          <w:rFonts w:ascii="Arial" w:hAnsi="Arial" w:cs="Arial"/>
          <w:color w:val="000000"/>
        </w:rPr>
        <w:t> </w:t>
      </w:r>
      <w:r w:rsidRPr="001A4564">
        <w:rPr>
          <w:rFonts w:ascii="Arial" w:hAnsi="Arial" w:cs="Arial"/>
          <w:color w:val="000000"/>
        </w:rPr>
        <w:t>‘Sexual violence against persons with disabilities: A meta-analysis’,</w:t>
      </w:r>
      <w:r w:rsidRPr="001A4564">
        <w:rPr>
          <w:rStyle w:val="apple-converted-space"/>
          <w:rFonts w:ascii="Arial" w:hAnsi="Arial" w:cs="Arial"/>
          <w:color w:val="000000"/>
        </w:rPr>
        <w:t> </w:t>
      </w:r>
      <w:r w:rsidRPr="001A4564">
        <w:rPr>
          <w:rStyle w:val="Emphasis"/>
          <w:rFonts w:ascii="Arial" w:hAnsi="Arial" w:cs="Arial"/>
          <w:b w:val="0"/>
          <w:bCs/>
          <w:color w:val="000000"/>
        </w:rPr>
        <w:t>Trauma, Violence and Abuse</w:t>
      </w:r>
      <w:r w:rsidRPr="001A4564">
        <w:rPr>
          <w:rFonts w:ascii="Arial" w:hAnsi="Arial" w:cs="Arial"/>
          <w:color w:val="000000"/>
        </w:rPr>
        <w:t>, 22(4), pp. 741–753. Available at:</w:t>
      </w:r>
      <w:r w:rsidRPr="001A4564">
        <w:rPr>
          <w:rStyle w:val="apple-converted-space"/>
          <w:rFonts w:ascii="Arial" w:hAnsi="Arial" w:cs="Arial"/>
          <w:color w:val="000000"/>
        </w:rPr>
        <w:t> </w:t>
      </w:r>
      <w:hyperlink r:id="rId9" w:tgtFrame="_new" w:history="1">
        <w:r w:rsidRPr="001A4564">
          <w:rPr>
            <w:rStyle w:val="Hyperlink"/>
            <w:rFonts w:ascii="Arial" w:hAnsi="Arial" w:cs="Arial"/>
          </w:rPr>
          <w:t>https://www.ncbi.nlm.nih.gov/pmc/articles/PMC9425723/</w:t>
        </w:r>
      </w:hyperlink>
      <w:r w:rsidRPr="001A4564">
        <w:rPr>
          <w:rStyle w:val="apple-converted-space"/>
          <w:rFonts w:ascii="Arial" w:hAnsi="Arial" w:cs="Arial"/>
          <w:color w:val="000000"/>
        </w:rPr>
        <w:t> </w:t>
      </w:r>
      <w:r w:rsidRPr="001A4564">
        <w:rPr>
          <w:rFonts w:ascii="Arial" w:hAnsi="Arial" w:cs="Arial"/>
          <w:color w:val="000000"/>
        </w:rPr>
        <w:t>(Accessed: 6 January 2026).</w:t>
      </w:r>
    </w:p>
    <w:p w14:paraId="26320B23" w14:textId="77777777" w:rsidR="001A4564" w:rsidRPr="001A4564" w:rsidRDefault="001A4564" w:rsidP="001A4564">
      <w:pPr>
        <w:spacing w:line="360" w:lineRule="auto"/>
        <w:rPr>
          <w:rFonts w:ascii="Arial" w:hAnsi="Arial" w:cs="Arial"/>
        </w:rPr>
      </w:pPr>
    </w:p>
    <w:p w14:paraId="539C01D8" w14:textId="77777777" w:rsidR="001A4564" w:rsidRPr="001A4564" w:rsidRDefault="001A4564" w:rsidP="001A4564">
      <w:pPr>
        <w:spacing w:line="360" w:lineRule="auto"/>
        <w:rPr>
          <w:rFonts w:ascii="Arial" w:hAnsi="Arial" w:cs="Arial"/>
        </w:rPr>
      </w:pPr>
      <w:r w:rsidRPr="001A4564">
        <w:rPr>
          <w:rFonts w:ascii="Arial" w:hAnsi="Arial" w:cs="Arial"/>
        </w:rPr>
        <w:t>Bond, K. and Davis, K. (2025) ‘Improving the likelihood of positive outcomes for survivors of sexual violence, considering intersections between justice, gender and trauma’, *Social Policy &amp; Administration*, 59(4), pp. 1095–1106. [</w:t>
      </w:r>
      <w:proofErr w:type="gramStart"/>
      <w:r w:rsidRPr="001A4564">
        <w:rPr>
          <w:rFonts w:ascii="Arial" w:hAnsi="Arial" w:cs="Arial"/>
        </w:rPr>
        <w:t>https://doi.org/10.1111/spol.13110](</w:t>
      </w:r>
      <w:proofErr w:type="gramEnd"/>
      <w:r w:rsidRPr="001A4564">
        <w:rPr>
          <w:rFonts w:ascii="Arial" w:hAnsi="Arial" w:cs="Arial"/>
        </w:rPr>
        <w:t>https://doi.org/10.1111/spol.13110).</w:t>
      </w:r>
    </w:p>
    <w:p w14:paraId="22FFA57F" w14:textId="77777777" w:rsidR="001A4564" w:rsidRPr="001A4564" w:rsidRDefault="001A4564" w:rsidP="001A4564">
      <w:pPr>
        <w:spacing w:line="360" w:lineRule="auto"/>
        <w:rPr>
          <w:rFonts w:ascii="Arial" w:hAnsi="Arial" w:cs="Arial"/>
        </w:rPr>
      </w:pPr>
    </w:p>
    <w:p w14:paraId="447CAD70" w14:textId="77777777" w:rsidR="001A4564" w:rsidRPr="001A4564" w:rsidRDefault="001A4564" w:rsidP="001A4564">
      <w:pPr>
        <w:spacing w:line="360" w:lineRule="auto"/>
        <w:rPr>
          <w:rFonts w:ascii="Arial" w:hAnsi="Arial" w:cs="Arial"/>
        </w:rPr>
      </w:pPr>
      <w:r w:rsidRPr="001A4564">
        <w:rPr>
          <w:rFonts w:ascii="Arial" w:hAnsi="Arial" w:cs="Arial"/>
        </w:rPr>
        <w:t>Carlisle, S. (2024) ‘Trends in outcomes used to measure the effectiveness of UK domestic and sexual violence and abuse interventions’, *BMJ Open*, 14(4), e074452. Available at: [</w:t>
      </w:r>
      <w:proofErr w:type="gramStart"/>
      <w:r w:rsidRPr="001A4564">
        <w:rPr>
          <w:rFonts w:ascii="Arial" w:hAnsi="Arial" w:cs="Arial"/>
        </w:rPr>
        <w:t>https://bmjopen.bmj.com/content/bmjopen/14/4/e074452.full.pdf](</w:t>
      </w:r>
      <w:proofErr w:type="gramEnd"/>
      <w:r w:rsidRPr="001A4564">
        <w:rPr>
          <w:rFonts w:ascii="Arial" w:hAnsi="Arial" w:cs="Arial"/>
        </w:rPr>
        <w:t>https://bmjopen.bmj.com/content/bmjopen/14/4/e074452.full.pdf) (Accessed: 7 January 2026).</w:t>
      </w:r>
    </w:p>
    <w:p w14:paraId="7E167348" w14:textId="77777777" w:rsidR="001A4564" w:rsidRPr="001A4564" w:rsidRDefault="001A4564" w:rsidP="001A4564">
      <w:pPr>
        <w:spacing w:line="360" w:lineRule="auto"/>
        <w:rPr>
          <w:rFonts w:ascii="Arial" w:hAnsi="Arial" w:cs="Arial"/>
        </w:rPr>
      </w:pPr>
    </w:p>
    <w:p w14:paraId="3E5189F1" w14:textId="77777777" w:rsidR="001A4564" w:rsidRPr="001A4564" w:rsidRDefault="001A4564" w:rsidP="001A4564">
      <w:pPr>
        <w:spacing w:line="360" w:lineRule="auto"/>
        <w:rPr>
          <w:rFonts w:ascii="Arial" w:hAnsi="Arial" w:cs="Arial"/>
        </w:rPr>
      </w:pPr>
      <w:r w:rsidRPr="001A4564">
        <w:rPr>
          <w:rFonts w:ascii="Arial" w:hAnsi="Arial" w:cs="Arial"/>
        </w:rPr>
        <w:t>Christie, N. (1986) ‘The ideal victim’, in Fattah, E.A. (ed.) *From crime policy to victim policy*. London: Macmillan, pp. 17–30.</w:t>
      </w:r>
    </w:p>
    <w:p w14:paraId="5925B4E5" w14:textId="77777777" w:rsidR="001A4564" w:rsidRPr="001A4564" w:rsidRDefault="001A4564" w:rsidP="001A4564">
      <w:pPr>
        <w:spacing w:line="360" w:lineRule="auto"/>
        <w:rPr>
          <w:rFonts w:ascii="Arial" w:hAnsi="Arial" w:cs="Arial"/>
        </w:rPr>
      </w:pPr>
    </w:p>
    <w:p w14:paraId="1699A6EF" w14:textId="77777777" w:rsidR="001A4564" w:rsidRPr="001A4564" w:rsidRDefault="001A4564" w:rsidP="001A4564">
      <w:pPr>
        <w:spacing w:line="360" w:lineRule="auto"/>
        <w:rPr>
          <w:rFonts w:ascii="Arial" w:hAnsi="Arial" w:cs="Arial"/>
        </w:rPr>
      </w:pPr>
      <w:r w:rsidRPr="001A4564">
        <w:rPr>
          <w:rFonts w:ascii="Arial" w:hAnsi="Arial" w:cs="Arial"/>
        </w:rPr>
        <w:lastRenderedPageBreak/>
        <w:t>College of Policing (2021) *</w:t>
      </w:r>
      <w:proofErr w:type="spellStart"/>
      <w:r w:rsidRPr="001A4564">
        <w:rPr>
          <w:rFonts w:ascii="Arial" w:hAnsi="Arial" w:cs="Arial"/>
        </w:rPr>
        <w:t>Recognising</w:t>
      </w:r>
      <w:proofErr w:type="spellEnd"/>
      <w:r w:rsidRPr="001A4564">
        <w:rPr>
          <w:rFonts w:ascii="Arial" w:hAnsi="Arial" w:cs="Arial"/>
        </w:rPr>
        <w:t xml:space="preserve"> and responding to vulnerability-related risks: Guidelines*. Available at: [</w:t>
      </w:r>
      <w:proofErr w:type="gramStart"/>
      <w:r w:rsidRPr="001A4564">
        <w:rPr>
          <w:rFonts w:ascii="Arial" w:hAnsi="Arial" w:cs="Arial"/>
        </w:rPr>
        <w:t>https://assets.college.police.uk/s3fs-public/2021-11/Recognising-responding-vulnerability-related-risks-guidelines.pdf](</w:t>
      </w:r>
      <w:proofErr w:type="gramEnd"/>
      <w:r w:rsidRPr="001A4564">
        <w:rPr>
          <w:rFonts w:ascii="Arial" w:hAnsi="Arial" w:cs="Arial"/>
        </w:rPr>
        <w:t>https://assets.college.police.uk/s3fs-public/2021-11/Recognising-responding-vulnerability-related-risks-guidelines.pdf) (Accessed: 6 January 2026).</w:t>
      </w:r>
    </w:p>
    <w:p w14:paraId="1FA5EE53" w14:textId="77777777" w:rsidR="001A4564" w:rsidRPr="001A4564" w:rsidRDefault="001A4564" w:rsidP="001A4564">
      <w:pPr>
        <w:spacing w:line="360" w:lineRule="auto"/>
        <w:rPr>
          <w:rFonts w:ascii="Arial" w:hAnsi="Arial" w:cs="Arial"/>
        </w:rPr>
      </w:pPr>
    </w:p>
    <w:p w14:paraId="3BB4B547" w14:textId="77777777" w:rsidR="001A4564" w:rsidRPr="001A4564" w:rsidRDefault="001A4564" w:rsidP="001A4564">
      <w:pPr>
        <w:spacing w:line="360" w:lineRule="auto"/>
        <w:rPr>
          <w:rFonts w:ascii="Arial" w:hAnsi="Arial" w:cs="Arial"/>
        </w:rPr>
      </w:pPr>
      <w:r w:rsidRPr="001A4564">
        <w:rPr>
          <w:rFonts w:ascii="Arial" w:hAnsi="Arial" w:cs="Arial"/>
        </w:rPr>
        <w:t>College of Policing (2023) *Achieving Best Evidence in criminal proceedings: Guidance on interviewing victims and witnesses*. Available at: [</w:t>
      </w:r>
      <w:proofErr w:type="gramStart"/>
      <w:r w:rsidRPr="001A4564">
        <w:rPr>
          <w:rFonts w:ascii="Arial" w:hAnsi="Arial" w:cs="Arial"/>
        </w:rPr>
        <w:t>https://www.college.police.uk](</w:t>
      </w:r>
      <w:proofErr w:type="gramEnd"/>
      <w:r w:rsidRPr="001A4564">
        <w:rPr>
          <w:rFonts w:ascii="Arial" w:hAnsi="Arial" w:cs="Arial"/>
        </w:rPr>
        <w:t>https://www.college.police.uk) (Accessed: 8 January 2026).</w:t>
      </w:r>
    </w:p>
    <w:p w14:paraId="1E9B3771" w14:textId="77777777" w:rsidR="001A4564" w:rsidRPr="001A4564" w:rsidRDefault="001A4564" w:rsidP="001A4564">
      <w:pPr>
        <w:spacing w:line="360" w:lineRule="auto"/>
        <w:rPr>
          <w:rFonts w:ascii="Arial" w:hAnsi="Arial" w:cs="Arial"/>
        </w:rPr>
      </w:pPr>
    </w:p>
    <w:p w14:paraId="43AAAAF0" w14:textId="77777777" w:rsidR="001A4564" w:rsidRPr="001A4564" w:rsidRDefault="001A4564" w:rsidP="001A4564">
      <w:pPr>
        <w:spacing w:line="360" w:lineRule="auto"/>
        <w:rPr>
          <w:rFonts w:ascii="Arial" w:hAnsi="Arial" w:cs="Arial"/>
        </w:rPr>
      </w:pPr>
      <w:r w:rsidRPr="001A4564">
        <w:rPr>
          <w:rFonts w:ascii="Arial" w:hAnsi="Arial" w:cs="Arial"/>
        </w:rPr>
        <w:t>College of Policing (2024) *Trauma-informed policing: Guidance for frontline officers*. Available at: [</w:t>
      </w:r>
      <w:proofErr w:type="gramStart"/>
      <w:r w:rsidRPr="001A4564">
        <w:rPr>
          <w:rFonts w:ascii="Arial" w:hAnsi="Arial" w:cs="Arial"/>
        </w:rPr>
        <w:t>https://www.college.police.uk](</w:t>
      </w:r>
      <w:proofErr w:type="gramEnd"/>
      <w:r w:rsidRPr="001A4564">
        <w:rPr>
          <w:rFonts w:ascii="Arial" w:hAnsi="Arial" w:cs="Arial"/>
        </w:rPr>
        <w:t>https://www.college.police.uk) (Accessed: 8 January 2026).</w:t>
      </w:r>
    </w:p>
    <w:p w14:paraId="056C9E92" w14:textId="77777777" w:rsidR="001A4564" w:rsidRPr="001A4564" w:rsidRDefault="001A4564" w:rsidP="001A4564">
      <w:pPr>
        <w:spacing w:line="360" w:lineRule="auto"/>
        <w:rPr>
          <w:rFonts w:ascii="Arial" w:hAnsi="Arial" w:cs="Arial"/>
        </w:rPr>
      </w:pPr>
    </w:p>
    <w:p w14:paraId="330BF14D" w14:textId="77777777" w:rsidR="001A4564" w:rsidRPr="001A4564" w:rsidRDefault="001A4564" w:rsidP="001A4564">
      <w:pPr>
        <w:spacing w:line="360" w:lineRule="auto"/>
        <w:rPr>
          <w:rFonts w:ascii="Arial" w:hAnsi="Arial" w:cs="Arial"/>
        </w:rPr>
      </w:pPr>
      <w:r w:rsidRPr="001A4564">
        <w:rPr>
          <w:rFonts w:ascii="Arial" w:hAnsi="Arial" w:cs="Arial"/>
        </w:rPr>
        <w:t>College of Policing (2025) *Investigative interviewing guidance*. Available at: [</w:t>
      </w:r>
      <w:proofErr w:type="gramStart"/>
      <w:r w:rsidRPr="001A4564">
        <w:rPr>
          <w:rFonts w:ascii="Arial" w:hAnsi="Arial" w:cs="Arial"/>
        </w:rPr>
        <w:t>https://www.college.police.uk/app/investigation/investigative-interviewing/investigative-interviewing](</w:t>
      </w:r>
      <w:proofErr w:type="gramEnd"/>
      <w:r w:rsidRPr="001A4564">
        <w:rPr>
          <w:rFonts w:ascii="Arial" w:hAnsi="Arial" w:cs="Arial"/>
        </w:rPr>
        <w:t>https://www.college.police.uk/app/investigation/investigative-interviewing/investigative-interviewing) (Accessed: 7 January 2026).</w:t>
      </w:r>
    </w:p>
    <w:p w14:paraId="6C34DB88" w14:textId="77777777" w:rsidR="001A4564" w:rsidRPr="001A4564" w:rsidRDefault="001A4564" w:rsidP="001A4564">
      <w:pPr>
        <w:spacing w:line="360" w:lineRule="auto"/>
        <w:rPr>
          <w:rFonts w:ascii="Arial" w:hAnsi="Arial" w:cs="Arial"/>
        </w:rPr>
      </w:pPr>
    </w:p>
    <w:p w14:paraId="42D6D1F7" w14:textId="77777777" w:rsidR="001A4564" w:rsidRPr="001A4564" w:rsidRDefault="001A4564" w:rsidP="001A4564">
      <w:pPr>
        <w:spacing w:line="360" w:lineRule="auto"/>
        <w:rPr>
          <w:rFonts w:ascii="Arial" w:hAnsi="Arial" w:cs="Arial"/>
        </w:rPr>
      </w:pPr>
      <w:r w:rsidRPr="001A4564">
        <w:rPr>
          <w:rFonts w:ascii="Arial" w:hAnsi="Arial" w:cs="Arial"/>
        </w:rPr>
        <w:t>Crown Office and Procurator Fiscal Service (2024) *Vulnerable victims and witnesses (special measures</w:t>
      </w:r>
      <w:proofErr w:type="gramStart"/>
      <w:r w:rsidRPr="001A4564">
        <w:rPr>
          <w:rFonts w:ascii="Arial" w:hAnsi="Arial" w:cs="Arial"/>
        </w:rPr>
        <w:t>).*</w:t>
      </w:r>
      <w:proofErr w:type="gramEnd"/>
      <w:r w:rsidRPr="001A4564">
        <w:rPr>
          <w:rFonts w:ascii="Arial" w:hAnsi="Arial" w:cs="Arial"/>
        </w:rPr>
        <w:t xml:space="preserve"> Available at: [https://www.copfs.gov.uk/services/support-at-court/vulnerable-victims-and-witnesses/](https://www.copfs.gov.uk/services/support-at-court/vulnerable-victims-and-witnesses/) (Accessed: 6 January 2026).</w:t>
      </w:r>
    </w:p>
    <w:p w14:paraId="4641B73D" w14:textId="77777777" w:rsidR="001A4564" w:rsidRPr="001A4564" w:rsidRDefault="001A4564" w:rsidP="001A4564">
      <w:pPr>
        <w:spacing w:line="360" w:lineRule="auto"/>
        <w:rPr>
          <w:rFonts w:ascii="Arial" w:hAnsi="Arial" w:cs="Arial"/>
        </w:rPr>
      </w:pPr>
    </w:p>
    <w:p w14:paraId="621F7613" w14:textId="77777777" w:rsidR="001A4564" w:rsidRPr="001A4564" w:rsidRDefault="001A4564" w:rsidP="001A4564">
      <w:pPr>
        <w:spacing w:line="360" w:lineRule="auto"/>
        <w:rPr>
          <w:rFonts w:ascii="Arial" w:hAnsi="Arial" w:cs="Arial"/>
        </w:rPr>
      </w:pPr>
      <w:r w:rsidRPr="001A4564">
        <w:rPr>
          <w:rFonts w:ascii="Arial" w:hAnsi="Arial" w:cs="Arial"/>
        </w:rPr>
        <w:t>Crown Prosecution Service (2023) *Rape and serious sexual offences data dashboard*. Available at: [</w:t>
      </w:r>
      <w:proofErr w:type="gramStart"/>
      <w:r w:rsidRPr="001A4564">
        <w:rPr>
          <w:rFonts w:ascii="Arial" w:hAnsi="Arial" w:cs="Arial"/>
        </w:rPr>
        <w:t>https://www.cps.gov.uk](</w:t>
      </w:r>
      <w:proofErr w:type="gramEnd"/>
      <w:r w:rsidRPr="001A4564">
        <w:rPr>
          <w:rFonts w:ascii="Arial" w:hAnsi="Arial" w:cs="Arial"/>
        </w:rPr>
        <w:t>https://www.cps.gov.uk) (Accessed: 8 January 2026).</w:t>
      </w:r>
    </w:p>
    <w:p w14:paraId="6C01ABB7" w14:textId="77777777" w:rsidR="001A4564" w:rsidRPr="001A4564" w:rsidRDefault="001A4564" w:rsidP="001A4564">
      <w:pPr>
        <w:spacing w:line="360" w:lineRule="auto"/>
        <w:rPr>
          <w:rFonts w:ascii="Arial" w:hAnsi="Arial" w:cs="Arial"/>
        </w:rPr>
      </w:pPr>
    </w:p>
    <w:p w14:paraId="17256C24" w14:textId="77777777" w:rsidR="001A4564" w:rsidRPr="001A4564" w:rsidRDefault="001A4564" w:rsidP="001A4564">
      <w:pPr>
        <w:spacing w:line="360" w:lineRule="auto"/>
        <w:rPr>
          <w:rFonts w:ascii="Arial" w:hAnsi="Arial" w:cs="Arial"/>
        </w:rPr>
      </w:pPr>
      <w:r w:rsidRPr="001A4564">
        <w:rPr>
          <w:rFonts w:ascii="Arial" w:hAnsi="Arial" w:cs="Arial"/>
        </w:rPr>
        <w:t xml:space="preserve">Crown Prosecution Service (2025) *Violence against women and </w:t>
      </w:r>
      <w:proofErr w:type="gramStart"/>
      <w:r w:rsidRPr="001A4564">
        <w:rPr>
          <w:rFonts w:ascii="Arial" w:hAnsi="Arial" w:cs="Arial"/>
        </w:rPr>
        <w:t>girls</w:t>
      </w:r>
      <w:proofErr w:type="gramEnd"/>
      <w:r w:rsidRPr="001A4564">
        <w:rPr>
          <w:rFonts w:ascii="Arial" w:hAnsi="Arial" w:cs="Arial"/>
        </w:rPr>
        <w:t xml:space="preserve"> strategy 2025–2030*. Available at: [</w:t>
      </w:r>
      <w:proofErr w:type="gramStart"/>
      <w:r w:rsidRPr="001A4564">
        <w:rPr>
          <w:rFonts w:ascii="Arial" w:hAnsi="Arial" w:cs="Arial"/>
        </w:rPr>
        <w:t>https://www.cps.gov.uk/publication/cps-violence-against-women-and-girls-strategy](</w:t>
      </w:r>
      <w:proofErr w:type="gramEnd"/>
      <w:r w:rsidRPr="001A4564">
        <w:rPr>
          <w:rFonts w:ascii="Arial" w:hAnsi="Arial" w:cs="Arial"/>
        </w:rPr>
        <w:t>https://www.cps.gov.uk/publication/cps-violence-against-women-and-girls-strategy) (Accessed: 6 January 2026).</w:t>
      </w:r>
    </w:p>
    <w:p w14:paraId="11B260B2" w14:textId="77777777" w:rsidR="001A4564" w:rsidRPr="001A4564" w:rsidRDefault="001A4564" w:rsidP="001A4564">
      <w:pPr>
        <w:spacing w:line="360" w:lineRule="auto"/>
        <w:rPr>
          <w:rFonts w:ascii="Arial" w:hAnsi="Arial" w:cs="Arial"/>
        </w:rPr>
      </w:pPr>
    </w:p>
    <w:p w14:paraId="03344850" w14:textId="77777777" w:rsidR="001A4564" w:rsidRPr="001A4564" w:rsidRDefault="001A4564" w:rsidP="001A4564">
      <w:pPr>
        <w:spacing w:line="360" w:lineRule="auto"/>
        <w:rPr>
          <w:rFonts w:ascii="Arial" w:hAnsi="Arial" w:cs="Arial"/>
        </w:rPr>
      </w:pPr>
      <w:r w:rsidRPr="001A4564">
        <w:rPr>
          <w:rFonts w:ascii="Arial" w:hAnsi="Arial" w:cs="Arial"/>
        </w:rPr>
        <w:t>Domestic Abuse Act 2021. Available at: [</w:t>
      </w:r>
      <w:proofErr w:type="gramStart"/>
      <w:r w:rsidRPr="001A4564">
        <w:rPr>
          <w:rFonts w:ascii="Arial" w:hAnsi="Arial" w:cs="Arial"/>
        </w:rPr>
        <w:t>https://www.legislation.gov.uk/ukpga/2021/17](</w:t>
      </w:r>
      <w:proofErr w:type="gramEnd"/>
      <w:r w:rsidRPr="001A4564">
        <w:rPr>
          <w:rFonts w:ascii="Arial" w:hAnsi="Arial" w:cs="Arial"/>
        </w:rPr>
        <w:t>https://www.legislation.gov.uk/ukpga/2021/17) (Accessed: 6 January 2026).</w:t>
      </w:r>
    </w:p>
    <w:p w14:paraId="07C6C8A8" w14:textId="77777777" w:rsidR="001A4564" w:rsidRPr="001A4564" w:rsidRDefault="001A4564" w:rsidP="001A4564">
      <w:pPr>
        <w:spacing w:line="360" w:lineRule="auto"/>
        <w:rPr>
          <w:rFonts w:ascii="Arial" w:hAnsi="Arial" w:cs="Arial"/>
        </w:rPr>
      </w:pPr>
    </w:p>
    <w:p w14:paraId="700C9339" w14:textId="77777777" w:rsidR="001A4564" w:rsidRPr="001A4564" w:rsidRDefault="001A4564" w:rsidP="001A4564">
      <w:pPr>
        <w:spacing w:line="360" w:lineRule="auto"/>
        <w:rPr>
          <w:rFonts w:ascii="Arial" w:hAnsi="Arial" w:cs="Arial"/>
        </w:rPr>
      </w:pPr>
      <w:r w:rsidRPr="001A4564">
        <w:rPr>
          <w:rFonts w:ascii="Arial" w:hAnsi="Arial" w:cs="Arial"/>
        </w:rPr>
        <w:t xml:space="preserve">Domestic Abuse Commissioner for England and Wales (2021) *The family and criminal court system </w:t>
      </w:r>
      <w:proofErr w:type="spellStart"/>
      <w:r w:rsidRPr="001A4564">
        <w:rPr>
          <w:rFonts w:ascii="Arial" w:hAnsi="Arial" w:cs="Arial"/>
        </w:rPr>
        <w:t>retraumatises</w:t>
      </w:r>
      <w:proofErr w:type="spellEnd"/>
      <w:r w:rsidRPr="001A4564">
        <w:rPr>
          <w:rFonts w:ascii="Arial" w:hAnsi="Arial" w:cs="Arial"/>
        </w:rPr>
        <w:t xml:space="preserve"> victims*. Available at: [</w:t>
      </w:r>
      <w:proofErr w:type="gramStart"/>
      <w:r w:rsidRPr="001A4564">
        <w:rPr>
          <w:rFonts w:ascii="Arial" w:hAnsi="Arial" w:cs="Arial"/>
        </w:rPr>
        <w:t>https://domesticabusecommissioner.uk/the-family-and-criminal-court-system-retraumatises-victims-according-to-a-new-report/](</w:t>
      </w:r>
      <w:proofErr w:type="gramEnd"/>
      <w:r w:rsidRPr="001A4564">
        <w:rPr>
          <w:rFonts w:ascii="Arial" w:hAnsi="Arial" w:cs="Arial"/>
        </w:rPr>
        <w:t>https://domesticabusecommissioner.uk/the-family-and-criminal-court-system-retraumatises-victims-according-to-a-new-report/) (Accessed: 6 January 2026).</w:t>
      </w:r>
    </w:p>
    <w:p w14:paraId="2D78D966" w14:textId="77777777" w:rsidR="001A4564" w:rsidRPr="001A4564" w:rsidRDefault="001A4564" w:rsidP="001A4564">
      <w:pPr>
        <w:spacing w:line="360" w:lineRule="auto"/>
        <w:rPr>
          <w:rFonts w:ascii="Arial" w:hAnsi="Arial" w:cs="Arial"/>
        </w:rPr>
      </w:pPr>
    </w:p>
    <w:p w14:paraId="1038F799" w14:textId="77777777" w:rsidR="001A4564" w:rsidRPr="001A4564" w:rsidRDefault="001A4564" w:rsidP="001A4564">
      <w:pPr>
        <w:spacing w:line="360" w:lineRule="auto"/>
        <w:rPr>
          <w:rFonts w:ascii="Arial" w:hAnsi="Arial" w:cs="Arial"/>
        </w:rPr>
      </w:pPr>
      <w:r w:rsidRPr="001A4564">
        <w:rPr>
          <w:rFonts w:ascii="Arial" w:hAnsi="Arial" w:cs="Arial"/>
        </w:rPr>
        <w:t>Domestic Abuse Commissioner for England and Wales (2025) *Shifting the scales: Transforming the criminal justice response to domestic abuse*. London: Domestic Abuse Commissioner for England and Wales. Available at: [</w:t>
      </w:r>
      <w:proofErr w:type="gramStart"/>
      <w:r w:rsidRPr="001A4564">
        <w:rPr>
          <w:rFonts w:ascii="Arial" w:hAnsi="Arial" w:cs="Arial"/>
        </w:rPr>
        <w:t>https://www.gov.uk/government/publications/transforming-the-criminal-justice-response-to-domestic-abuse](</w:t>
      </w:r>
      <w:proofErr w:type="gramEnd"/>
      <w:r w:rsidRPr="001A4564">
        <w:rPr>
          <w:rFonts w:ascii="Arial" w:hAnsi="Arial" w:cs="Arial"/>
        </w:rPr>
        <w:t>https://www.gov.uk/government/publications/transforming-the-criminal-justice-response-to-domestic-abuse) (Accessed: 7 January 2026).</w:t>
      </w:r>
    </w:p>
    <w:p w14:paraId="747F5E61" w14:textId="77777777" w:rsidR="001A4564" w:rsidRPr="001A4564" w:rsidRDefault="001A4564" w:rsidP="001A4564">
      <w:pPr>
        <w:spacing w:line="360" w:lineRule="auto"/>
        <w:rPr>
          <w:rFonts w:ascii="Arial" w:hAnsi="Arial" w:cs="Arial"/>
        </w:rPr>
      </w:pPr>
    </w:p>
    <w:p w14:paraId="5554991C" w14:textId="77777777" w:rsidR="001A4564" w:rsidRPr="001A4564" w:rsidRDefault="001A4564" w:rsidP="001A4564">
      <w:pPr>
        <w:spacing w:line="360" w:lineRule="auto"/>
        <w:rPr>
          <w:rFonts w:ascii="Arial" w:hAnsi="Arial" w:cs="Arial"/>
        </w:rPr>
      </w:pPr>
      <w:r w:rsidRPr="001A4564">
        <w:rPr>
          <w:rFonts w:ascii="Arial" w:hAnsi="Arial" w:cs="Arial"/>
        </w:rPr>
        <w:t>Eastwood, J. and Snook, B. (2020) ‘Repeated interviews and children’s memory: Implications for investigative practice’, *Psychology, Crime &amp; Law*, 26(3), pp. 227–245.</w:t>
      </w:r>
    </w:p>
    <w:p w14:paraId="2982BA57" w14:textId="77777777" w:rsidR="001A4564" w:rsidRPr="001A4564" w:rsidRDefault="001A4564" w:rsidP="001A4564">
      <w:pPr>
        <w:spacing w:line="360" w:lineRule="auto"/>
        <w:rPr>
          <w:rFonts w:ascii="Arial" w:hAnsi="Arial" w:cs="Arial"/>
        </w:rPr>
      </w:pPr>
    </w:p>
    <w:p w14:paraId="1733560D" w14:textId="77777777" w:rsidR="001A4564" w:rsidRPr="001A4564" w:rsidRDefault="001A4564" w:rsidP="001A4564">
      <w:pPr>
        <w:spacing w:line="360" w:lineRule="auto"/>
        <w:rPr>
          <w:rFonts w:ascii="Arial" w:hAnsi="Arial" w:cs="Arial"/>
        </w:rPr>
      </w:pPr>
      <w:r w:rsidRPr="001A4564">
        <w:rPr>
          <w:rFonts w:ascii="Arial" w:hAnsi="Arial" w:cs="Arial"/>
        </w:rPr>
        <w:t>Ellison, L. (2017) *Taking trauma seriously: Critical reflections on the criminal justice process*. Available at: [</w:t>
      </w:r>
      <w:proofErr w:type="gramStart"/>
      <w:r w:rsidRPr="001A4564">
        <w:rPr>
          <w:rFonts w:ascii="Arial" w:hAnsi="Arial" w:cs="Arial"/>
        </w:rPr>
        <w:t>https://eprints.whiterose.ac.uk/id/eprint/100101/](</w:t>
      </w:r>
      <w:proofErr w:type="gramEnd"/>
      <w:r w:rsidRPr="001A4564">
        <w:rPr>
          <w:rFonts w:ascii="Arial" w:hAnsi="Arial" w:cs="Arial"/>
        </w:rPr>
        <w:t>https://eprints.whiterose.ac.uk/id/eprint/100101/) (Accessed: 6 January 2026).</w:t>
      </w:r>
    </w:p>
    <w:p w14:paraId="2778FE46" w14:textId="77777777" w:rsidR="001A4564" w:rsidRPr="001A4564" w:rsidRDefault="001A4564" w:rsidP="001A4564">
      <w:pPr>
        <w:spacing w:line="360" w:lineRule="auto"/>
        <w:rPr>
          <w:rFonts w:ascii="Arial" w:hAnsi="Arial" w:cs="Arial"/>
        </w:rPr>
      </w:pPr>
    </w:p>
    <w:p w14:paraId="67BF9D31" w14:textId="52F00083" w:rsidR="001A4564" w:rsidRPr="001A4564" w:rsidRDefault="001A4564" w:rsidP="001A4564">
      <w:pPr>
        <w:spacing w:line="360" w:lineRule="auto"/>
        <w:rPr>
          <w:rFonts w:ascii="Arial" w:hAnsi="Arial" w:cs="Arial"/>
        </w:rPr>
      </w:pPr>
      <w:r w:rsidRPr="001A4564">
        <w:rPr>
          <w:rFonts w:ascii="Arial" w:hAnsi="Arial" w:cs="Arial"/>
        </w:rPr>
        <w:t xml:space="preserve">Ellison, L., Munro, V.E. and </w:t>
      </w:r>
      <w:proofErr w:type="spellStart"/>
      <w:r w:rsidRPr="001A4564">
        <w:rPr>
          <w:rFonts w:ascii="Arial" w:hAnsi="Arial" w:cs="Arial"/>
        </w:rPr>
        <w:t>Hohl</w:t>
      </w:r>
      <w:proofErr w:type="spellEnd"/>
      <w:r w:rsidRPr="001A4564">
        <w:rPr>
          <w:rFonts w:ascii="Arial" w:hAnsi="Arial" w:cs="Arial"/>
        </w:rPr>
        <w:t>, K. (2023) ‘Rethinking rape justice: Prosecutorial discretion and survivor credibility’, *Modern Law Review*, 86(4), pp. 835–862.</w:t>
      </w:r>
    </w:p>
    <w:p w14:paraId="685BE5BE" w14:textId="77777777" w:rsidR="001A4564" w:rsidRPr="001A4564" w:rsidRDefault="001A4564" w:rsidP="001A4564">
      <w:pPr>
        <w:spacing w:line="360" w:lineRule="auto"/>
        <w:rPr>
          <w:rFonts w:ascii="Arial" w:hAnsi="Arial" w:cs="Arial"/>
        </w:rPr>
      </w:pPr>
    </w:p>
    <w:p w14:paraId="28899FAA" w14:textId="77777777" w:rsidR="001A4564" w:rsidRPr="001A4564" w:rsidRDefault="001A4564" w:rsidP="001A4564">
      <w:pPr>
        <w:spacing w:line="360" w:lineRule="auto"/>
        <w:rPr>
          <w:rFonts w:ascii="Arial" w:hAnsi="Arial" w:cs="Arial"/>
        </w:rPr>
      </w:pPr>
      <w:r w:rsidRPr="001A4564">
        <w:rPr>
          <w:rFonts w:ascii="Arial" w:hAnsi="Arial" w:cs="Arial"/>
        </w:rPr>
        <w:t>End Violence Against Women Coalition (2020) *</w:t>
      </w:r>
      <w:proofErr w:type="spellStart"/>
      <w:r w:rsidRPr="001A4564">
        <w:rPr>
          <w:rFonts w:ascii="Arial" w:hAnsi="Arial" w:cs="Arial"/>
        </w:rPr>
        <w:t>Decriminalisation</w:t>
      </w:r>
      <w:proofErr w:type="spellEnd"/>
      <w:r w:rsidRPr="001A4564">
        <w:rPr>
          <w:rFonts w:ascii="Arial" w:hAnsi="Arial" w:cs="Arial"/>
        </w:rPr>
        <w:t xml:space="preserve"> of rape: A survivor-</w:t>
      </w:r>
      <w:proofErr w:type="spellStart"/>
      <w:r w:rsidRPr="001A4564">
        <w:rPr>
          <w:rFonts w:ascii="Arial" w:hAnsi="Arial" w:cs="Arial"/>
        </w:rPr>
        <w:t>centred</w:t>
      </w:r>
      <w:proofErr w:type="spellEnd"/>
      <w:r w:rsidRPr="001A4564">
        <w:rPr>
          <w:rFonts w:ascii="Arial" w:hAnsi="Arial" w:cs="Arial"/>
        </w:rPr>
        <w:t xml:space="preserve"> approach*. Available at: [</w:t>
      </w:r>
      <w:proofErr w:type="gramStart"/>
      <w:r w:rsidRPr="001A4564">
        <w:rPr>
          <w:rFonts w:ascii="Arial" w:hAnsi="Arial" w:cs="Arial"/>
        </w:rPr>
        <w:t>https://www.endviolenceagainstwomen.org.uk/wp-content/uploads/C-Decriminalisation-of-Rape-Report-CWJ-EVAW-IMKAAN-RCEW-NOV-2020.pdf](</w:t>
      </w:r>
      <w:proofErr w:type="gramEnd"/>
      <w:r w:rsidRPr="001A4564">
        <w:rPr>
          <w:rFonts w:ascii="Arial" w:hAnsi="Arial" w:cs="Arial"/>
        </w:rPr>
        <w:t>https://www.endviolenceagainstwomen.org.uk/wp-content/uploads/C-Decriminalisation-of-Rape-Report-CWJ-EVAW-IMKAAN-RCEW-NOV-2020.pdf) (Accessed: 6 January 2026).</w:t>
      </w:r>
    </w:p>
    <w:p w14:paraId="42BEF6FA" w14:textId="77777777" w:rsidR="001A4564" w:rsidRPr="001A4564" w:rsidRDefault="001A4564" w:rsidP="001A4564">
      <w:pPr>
        <w:spacing w:line="360" w:lineRule="auto"/>
        <w:rPr>
          <w:rFonts w:ascii="Arial" w:hAnsi="Arial" w:cs="Arial"/>
        </w:rPr>
      </w:pPr>
    </w:p>
    <w:p w14:paraId="3315B3D5" w14:textId="77777777" w:rsidR="001A4564" w:rsidRPr="001A4564" w:rsidRDefault="001A4564" w:rsidP="001A4564">
      <w:pPr>
        <w:spacing w:line="360" w:lineRule="auto"/>
        <w:rPr>
          <w:rFonts w:ascii="Arial" w:hAnsi="Arial" w:cs="Arial"/>
        </w:rPr>
      </w:pPr>
      <w:r w:rsidRPr="001A4564">
        <w:rPr>
          <w:rFonts w:ascii="Arial" w:hAnsi="Arial" w:cs="Arial"/>
        </w:rPr>
        <w:t>End Violence Against Women Coalition (2023) *New survey finds victims’ confidence in the justice system remains worryingly low*. Available at: [</w:t>
      </w:r>
      <w:proofErr w:type="gramStart"/>
      <w:r w:rsidRPr="001A4564">
        <w:rPr>
          <w:rFonts w:ascii="Arial" w:hAnsi="Arial" w:cs="Arial"/>
        </w:rPr>
        <w:t>https://www.endviolenceagainstwomen.org.uk/new-survey-finds-victims-confidence-in-the-justice-system-remains-worryingly-low/](</w:t>
      </w:r>
      <w:proofErr w:type="gramEnd"/>
      <w:r w:rsidRPr="001A4564">
        <w:rPr>
          <w:rFonts w:ascii="Arial" w:hAnsi="Arial" w:cs="Arial"/>
        </w:rPr>
        <w:t>https://www.endviolenceagainstwomen.org.uk/new-survey-finds-victims-confidence-in-the-justice-system-remains-worryingly-low/) (Accessed: 2 January 2026).</w:t>
      </w:r>
    </w:p>
    <w:p w14:paraId="62A0B224" w14:textId="77777777" w:rsidR="001A4564" w:rsidRPr="001A4564" w:rsidRDefault="001A4564" w:rsidP="001A4564">
      <w:pPr>
        <w:spacing w:line="360" w:lineRule="auto"/>
        <w:rPr>
          <w:rFonts w:ascii="Arial" w:hAnsi="Arial" w:cs="Arial"/>
        </w:rPr>
      </w:pPr>
    </w:p>
    <w:p w14:paraId="49DEFF05" w14:textId="77777777" w:rsidR="001A4564" w:rsidRPr="001A4564" w:rsidRDefault="001A4564" w:rsidP="001A4564">
      <w:pPr>
        <w:spacing w:line="360" w:lineRule="auto"/>
        <w:rPr>
          <w:rFonts w:ascii="Arial" w:hAnsi="Arial" w:cs="Arial"/>
        </w:rPr>
      </w:pPr>
      <w:r w:rsidRPr="001A4564">
        <w:rPr>
          <w:rFonts w:ascii="Arial" w:hAnsi="Arial" w:cs="Arial"/>
        </w:rPr>
        <w:t>Equality Act 2010. Available at: [</w:t>
      </w:r>
      <w:proofErr w:type="gramStart"/>
      <w:r w:rsidRPr="001A4564">
        <w:rPr>
          <w:rFonts w:ascii="Arial" w:hAnsi="Arial" w:cs="Arial"/>
        </w:rPr>
        <w:t>https://www.legislation.gov.uk/ukpga/2010/15](</w:t>
      </w:r>
      <w:proofErr w:type="gramEnd"/>
      <w:r w:rsidRPr="001A4564">
        <w:rPr>
          <w:rFonts w:ascii="Arial" w:hAnsi="Arial" w:cs="Arial"/>
        </w:rPr>
        <w:t>https://www.legislation.gov.uk/ukpga/2010/15) (Accessed: 6 January 2026).</w:t>
      </w:r>
    </w:p>
    <w:p w14:paraId="0AEA4AE5" w14:textId="77777777" w:rsidR="001A4564" w:rsidRPr="001A4564" w:rsidRDefault="001A4564" w:rsidP="001A4564">
      <w:pPr>
        <w:spacing w:line="360" w:lineRule="auto"/>
        <w:rPr>
          <w:rFonts w:ascii="Arial" w:hAnsi="Arial" w:cs="Arial"/>
        </w:rPr>
      </w:pPr>
    </w:p>
    <w:p w14:paraId="5947F221" w14:textId="77777777" w:rsidR="001A4564" w:rsidRDefault="001A4564" w:rsidP="001A4564">
      <w:pPr>
        <w:spacing w:line="360" w:lineRule="auto"/>
        <w:rPr>
          <w:rFonts w:ascii="Arial" w:hAnsi="Arial" w:cs="Arial"/>
        </w:rPr>
      </w:pPr>
      <w:r w:rsidRPr="001A4564">
        <w:rPr>
          <w:rFonts w:ascii="Arial" w:hAnsi="Arial" w:cs="Arial"/>
        </w:rPr>
        <w:lastRenderedPageBreak/>
        <w:t>European Court of Human Rights (2020) *Guide on Article 3 and Article 8 of the European Convention on Human Rights*. Strasbourg: ECtHR.</w:t>
      </w:r>
    </w:p>
    <w:p w14:paraId="092B55E3" w14:textId="77777777" w:rsidR="001A4564" w:rsidRPr="001A4564" w:rsidRDefault="001A4564" w:rsidP="001A4564">
      <w:pPr>
        <w:spacing w:line="360" w:lineRule="auto"/>
        <w:rPr>
          <w:rFonts w:ascii="Arial" w:hAnsi="Arial" w:cs="Arial"/>
        </w:rPr>
      </w:pPr>
    </w:p>
    <w:p w14:paraId="3820CC02" w14:textId="680170D6" w:rsidR="001A4564" w:rsidRDefault="001A4564" w:rsidP="001A4564">
      <w:pPr>
        <w:spacing w:line="360" w:lineRule="auto"/>
        <w:rPr>
          <w:rFonts w:ascii="Arial" w:hAnsi="Arial" w:cs="Arial"/>
          <w:color w:val="000000"/>
        </w:rPr>
      </w:pPr>
      <w:proofErr w:type="spellStart"/>
      <w:r w:rsidRPr="001A4564">
        <w:rPr>
          <w:rFonts w:ascii="Arial" w:hAnsi="Arial" w:cs="Arial"/>
          <w:color w:val="000000"/>
        </w:rPr>
        <w:t>Fohring</w:t>
      </w:r>
      <w:proofErr w:type="spellEnd"/>
      <w:r w:rsidRPr="001A4564">
        <w:rPr>
          <w:rFonts w:ascii="Arial" w:hAnsi="Arial" w:cs="Arial"/>
          <w:color w:val="000000"/>
        </w:rPr>
        <w:t>, S. (2024) ‘#</w:t>
      </w:r>
      <w:proofErr w:type="spellStart"/>
      <w:r w:rsidRPr="001A4564">
        <w:rPr>
          <w:rFonts w:ascii="Arial" w:hAnsi="Arial" w:cs="Arial"/>
          <w:color w:val="000000"/>
        </w:rPr>
        <w:t>WhyIDidntReport</w:t>
      </w:r>
      <w:proofErr w:type="spellEnd"/>
      <w:r w:rsidRPr="001A4564">
        <w:rPr>
          <w:rFonts w:ascii="Arial" w:hAnsi="Arial" w:cs="Arial"/>
          <w:color w:val="000000"/>
        </w:rPr>
        <w:t>: Exploring victim accounts of non-reporting’, </w:t>
      </w:r>
      <w:r w:rsidRPr="001A4564">
        <w:rPr>
          <w:rFonts w:ascii="Arial" w:hAnsi="Arial" w:cs="Arial"/>
          <w:i/>
          <w:iCs/>
          <w:color w:val="000000"/>
        </w:rPr>
        <w:t>Criminology and Criminal Justice</w:t>
      </w:r>
      <w:r w:rsidRPr="001A4564">
        <w:rPr>
          <w:rFonts w:ascii="Arial" w:hAnsi="Arial" w:cs="Arial"/>
          <w:color w:val="000000"/>
        </w:rPr>
        <w:t xml:space="preserve">, pp. 1–17. </w:t>
      </w:r>
      <w:proofErr w:type="spellStart"/>
      <w:r w:rsidRPr="001A4564">
        <w:rPr>
          <w:rFonts w:ascii="Arial" w:hAnsi="Arial" w:cs="Arial"/>
          <w:color w:val="000000"/>
        </w:rPr>
        <w:t>doi</w:t>
      </w:r>
      <w:proofErr w:type="spellEnd"/>
      <w:r w:rsidRPr="001A4564">
        <w:rPr>
          <w:rFonts w:ascii="Arial" w:hAnsi="Arial" w:cs="Arial"/>
          <w:color w:val="000000"/>
        </w:rPr>
        <w:t>: 10.1177/17488958241283947.</w:t>
      </w:r>
    </w:p>
    <w:p w14:paraId="064DE4E6" w14:textId="77777777" w:rsidR="001A4564" w:rsidRPr="001A4564" w:rsidRDefault="001A4564" w:rsidP="001A4564">
      <w:pPr>
        <w:spacing w:line="360" w:lineRule="auto"/>
        <w:rPr>
          <w:rFonts w:ascii="Arial" w:hAnsi="Arial" w:cs="Arial"/>
        </w:rPr>
      </w:pPr>
    </w:p>
    <w:p w14:paraId="5D3F3168" w14:textId="77777777" w:rsidR="001A4564" w:rsidRPr="001A4564" w:rsidRDefault="001A4564" w:rsidP="001A4564">
      <w:pPr>
        <w:spacing w:line="360" w:lineRule="auto"/>
        <w:rPr>
          <w:rFonts w:ascii="Arial" w:hAnsi="Arial" w:cs="Arial"/>
        </w:rPr>
      </w:pPr>
      <w:r w:rsidRPr="001A4564">
        <w:rPr>
          <w:rFonts w:ascii="Arial" w:hAnsi="Arial" w:cs="Arial"/>
        </w:rPr>
        <w:t>His Majesty’s Crown Prosecution Service Inspectorate (2022) *The handling of rape and serious sexual offence cases*. Available at: [</w:t>
      </w:r>
      <w:proofErr w:type="gramStart"/>
      <w:r w:rsidRPr="001A4564">
        <w:rPr>
          <w:rFonts w:ascii="Arial" w:hAnsi="Arial" w:cs="Arial"/>
        </w:rPr>
        <w:t>https://www.justiceinspectorates.gov.uk/hmcpsi/inspections/the-handling-of-rape-and-serious-sexual-offence-cases/](</w:t>
      </w:r>
      <w:proofErr w:type="gramEnd"/>
      <w:r w:rsidRPr="001A4564">
        <w:rPr>
          <w:rFonts w:ascii="Arial" w:hAnsi="Arial" w:cs="Arial"/>
        </w:rPr>
        <w:t>https://www.justiceinspectorates.gov.uk/hmcpsi/inspections/the-handling-of-rape-and-serious-sexual-offence-cases/) (Accessed: 6 January 2026).</w:t>
      </w:r>
    </w:p>
    <w:p w14:paraId="5C5743F6" w14:textId="77777777" w:rsidR="001A4564" w:rsidRPr="001A4564" w:rsidRDefault="001A4564" w:rsidP="001A4564">
      <w:pPr>
        <w:spacing w:line="360" w:lineRule="auto"/>
        <w:rPr>
          <w:rFonts w:ascii="Arial" w:hAnsi="Arial" w:cs="Arial"/>
        </w:rPr>
      </w:pPr>
    </w:p>
    <w:p w14:paraId="1AD724C3" w14:textId="77777777" w:rsidR="001A4564" w:rsidRPr="001A4564" w:rsidRDefault="001A4564" w:rsidP="001A4564">
      <w:pPr>
        <w:spacing w:line="360" w:lineRule="auto"/>
        <w:rPr>
          <w:rFonts w:ascii="Arial" w:hAnsi="Arial" w:cs="Arial"/>
        </w:rPr>
      </w:pPr>
      <w:r w:rsidRPr="001A4564">
        <w:rPr>
          <w:rFonts w:ascii="Arial" w:hAnsi="Arial" w:cs="Arial"/>
        </w:rPr>
        <w:t>His Majesty’s Inspectorate of Constabulary and Fire &amp; Rescue Services, His Majesty’s Crown Prosecution Service Inspectorate and His Majesty’s Inspectorate of Probation (2023) *Meeting the needs of victims in the criminal justice system*. London: HMICFRS. Available at: [</w:t>
      </w:r>
      <w:proofErr w:type="gramStart"/>
      <w:r w:rsidRPr="001A4564">
        <w:rPr>
          <w:rFonts w:ascii="Arial" w:hAnsi="Arial" w:cs="Arial"/>
        </w:rPr>
        <w:t>https://hmicfrs.justiceinspectorates.gov.uk/publications/meeting-the-needs-of-victims-in-the-criminal-justice-system/](</w:t>
      </w:r>
      <w:proofErr w:type="gramEnd"/>
      <w:r w:rsidRPr="001A4564">
        <w:rPr>
          <w:rFonts w:ascii="Arial" w:hAnsi="Arial" w:cs="Arial"/>
        </w:rPr>
        <w:t>https://hmicfrs.justiceinspectorates.gov.uk/publications/meeting-the-needs-of-victims-in-the-criminal-justice-system/) (Accessed: 6 January 2026).</w:t>
      </w:r>
    </w:p>
    <w:p w14:paraId="4AAA1200" w14:textId="77777777" w:rsidR="001A4564" w:rsidRPr="001A4564" w:rsidRDefault="001A4564" w:rsidP="001A4564">
      <w:pPr>
        <w:spacing w:line="360" w:lineRule="auto"/>
        <w:rPr>
          <w:rFonts w:ascii="Arial" w:hAnsi="Arial" w:cs="Arial"/>
        </w:rPr>
      </w:pPr>
    </w:p>
    <w:p w14:paraId="79815693" w14:textId="77777777" w:rsidR="001A4564" w:rsidRPr="001A4564" w:rsidRDefault="001A4564" w:rsidP="001A4564">
      <w:pPr>
        <w:spacing w:line="360" w:lineRule="auto"/>
        <w:rPr>
          <w:rFonts w:ascii="Arial" w:hAnsi="Arial" w:cs="Arial"/>
        </w:rPr>
      </w:pPr>
      <w:r w:rsidRPr="001A4564">
        <w:rPr>
          <w:rFonts w:ascii="Arial" w:hAnsi="Arial" w:cs="Arial"/>
        </w:rPr>
        <w:t xml:space="preserve">Home Office (2023) *Operation </w:t>
      </w:r>
      <w:proofErr w:type="spellStart"/>
      <w:r w:rsidRPr="001A4564">
        <w:rPr>
          <w:rFonts w:ascii="Arial" w:hAnsi="Arial" w:cs="Arial"/>
        </w:rPr>
        <w:t>Soteria</w:t>
      </w:r>
      <w:proofErr w:type="spellEnd"/>
      <w:r w:rsidRPr="001A4564">
        <w:rPr>
          <w:rFonts w:ascii="Arial" w:hAnsi="Arial" w:cs="Arial"/>
        </w:rPr>
        <w:t xml:space="preserve"> Bluestone: Evaluation report*. London: Home Office.</w:t>
      </w:r>
    </w:p>
    <w:p w14:paraId="71E337AA" w14:textId="77777777" w:rsidR="001A4564" w:rsidRPr="001A4564" w:rsidRDefault="001A4564" w:rsidP="001A4564">
      <w:pPr>
        <w:spacing w:line="360" w:lineRule="auto"/>
        <w:rPr>
          <w:rFonts w:ascii="Arial" w:hAnsi="Arial" w:cs="Arial"/>
        </w:rPr>
      </w:pPr>
    </w:p>
    <w:p w14:paraId="34DB751C" w14:textId="77777777" w:rsidR="001A4564" w:rsidRPr="001A4564" w:rsidRDefault="001A4564" w:rsidP="001A4564">
      <w:pPr>
        <w:spacing w:line="360" w:lineRule="auto"/>
        <w:rPr>
          <w:rFonts w:ascii="Arial" w:hAnsi="Arial" w:cs="Arial"/>
        </w:rPr>
      </w:pPr>
      <w:r w:rsidRPr="001A4564">
        <w:rPr>
          <w:rFonts w:ascii="Arial" w:hAnsi="Arial" w:cs="Arial"/>
        </w:rPr>
        <w:t>House of Commons Library (2023) *The Victims and Prisoners Bill*. Research Briefing CBP-9792. Available at: [</w:t>
      </w:r>
      <w:proofErr w:type="gramStart"/>
      <w:r w:rsidRPr="001A4564">
        <w:rPr>
          <w:rFonts w:ascii="Arial" w:hAnsi="Arial" w:cs="Arial"/>
        </w:rPr>
        <w:t>https://commonslibrary.parliament.uk/research-briefings/cbp-</w:t>
      </w:r>
      <w:r w:rsidRPr="001A4564">
        <w:rPr>
          <w:rFonts w:ascii="Arial" w:hAnsi="Arial" w:cs="Arial"/>
        </w:rPr>
        <w:lastRenderedPageBreak/>
        <w:t>9792/](</w:t>
      </w:r>
      <w:proofErr w:type="gramEnd"/>
      <w:r w:rsidRPr="001A4564">
        <w:rPr>
          <w:rFonts w:ascii="Arial" w:hAnsi="Arial" w:cs="Arial"/>
        </w:rPr>
        <w:t>https://commonslibrary.parliament.uk/research-briefings/cbp-9792/) (Accessed: 6 January 2026).</w:t>
      </w:r>
    </w:p>
    <w:p w14:paraId="622892DB" w14:textId="77777777" w:rsidR="001A4564" w:rsidRPr="001A4564" w:rsidRDefault="001A4564" w:rsidP="001A4564">
      <w:pPr>
        <w:spacing w:line="360" w:lineRule="auto"/>
        <w:rPr>
          <w:rFonts w:ascii="Arial" w:hAnsi="Arial" w:cs="Arial"/>
        </w:rPr>
      </w:pPr>
    </w:p>
    <w:p w14:paraId="4996B3AD" w14:textId="77777777" w:rsidR="001A4564" w:rsidRPr="001A4564" w:rsidRDefault="001A4564" w:rsidP="001A4564">
      <w:pPr>
        <w:spacing w:line="360" w:lineRule="auto"/>
        <w:rPr>
          <w:rFonts w:ascii="Arial" w:hAnsi="Arial" w:cs="Arial"/>
        </w:rPr>
      </w:pPr>
      <w:r w:rsidRPr="001A4564">
        <w:rPr>
          <w:rFonts w:ascii="Arial" w:hAnsi="Arial" w:cs="Arial"/>
        </w:rPr>
        <w:t>Judiciary of England and Wales (2022) *Reporting restrictions in the criminal courts*. Available at: [</w:t>
      </w:r>
      <w:proofErr w:type="gramStart"/>
      <w:r w:rsidRPr="001A4564">
        <w:rPr>
          <w:rFonts w:ascii="Arial" w:hAnsi="Arial" w:cs="Arial"/>
        </w:rPr>
        <w:t>https://www.judiciary.uk/wp-content/uploads/2022/09/Reporting-Restrictions-in-the-Criminal-Courts-September-2022.pdf](</w:t>
      </w:r>
      <w:proofErr w:type="gramEnd"/>
      <w:r w:rsidRPr="001A4564">
        <w:rPr>
          <w:rFonts w:ascii="Arial" w:hAnsi="Arial" w:cs="Arial"/>
        </w:rPr>
        <w:t>https://www.judiciary.uk/wp-content/uploads/2022/09/Reporting-Restrictions-in-the-Criminal-Courts-September-2022.pdf) (Accessed: 15 January 2026).</w:t>
      </w:r>
    </w:p>
    <w:p w14:paraId="3577BEB4" w14:textId="77777777" w:rsidR="001A4564" w:rsidRPr="001A4564" w:rsidRDefault="001A4564" w:rsidP="001A4564">
      <w:pPr>
        <w:spacing w:line="360" w:lineRule="auto"/>
        <w:rPr>
          <w:rFonts w:ascii="Arial" w:hAnsi="Arial" w:cs="Arial"/>
        </w:rPr>
      </w:pPr>
    </w:p>
    <w:p w14:paraId="4DDBC479" w14:textId="262F54D1" w:rsidR="001A4564" w:rsidRPr="001A4564" w:rsidRDefault="001A4564" w:rsidP="001A4564">
      <w:pPr>
        <w:spacing w:line="360" w:lineRule="auto"/>
        <w:rPr>
          <w:rFonts w:ascii="Arial" w:hAnsi="Arial" w:cs="Arial"/>
        </w:rPr>
      </w:pPr>
      <w:r w:rsidRPr="001A4564">
        <w:rPr>
          <w:rFonts w:ascii="Arial" w:hAnsi="Arial" w:cs="Arial"/>
        </w:rPr>
        <w:t xml:space="preserve">McGlynn, C., </w:t>
      </w:r>
      <w:proofErr w:type="spellStart"/>
      <w:r w:rsidRPr="001A4564">
        <w:rPr>
          <w:rFonts w:ascii="Arial" w:hAnsi="Arial" w:cs="Arial"/>
        </w:rPr>
        <w:t>Westmarland</w:t>
      </w:r>
      <w:proofErr w:type="spellEnd"/>
      <w:r w:rsidRPr="001A4564">
        <w:rPr>
          <w:rFonts w:ascii="Arial" w:hAnsi="Arial" w:cs="Arial"/>
        </w:rPr>
        <w:t>, N. and Godden, N. (2021a) ‘I just wanted him to hear me’: sexual violence survivors’ justice needs and experiences’, *Journal of Law and Society*, 48(1), pp. 29–59.</w:t>
      </w:r>
    </w:p>
    <w:p w14:paraId="030D41EF" w14:textId="77777777" w:rsidR="001A4564" w:rsidRPr="001A4564" w:rsidRDefault="001A4564" w:rsidP="001A4564">
      <w:pPr>
        <w:spacing w:line="360" w:lineRule="auto"/>
        <w:rPr>
          <w:rFonts w:ascii="Arial" w:hAnsi="Arial" w:cs="Arial"/>
        </w:rPr>
      </w:pPr>
    </w:p>
    <w:p w14:paraId="2EA7177C" w14:textId="00D5A07C" w:rsidR="001A4564" w:rsidRPr="001A4564" w:rsidRDefault="001A4564" w:rsidP="001A4564">
      <w:pPr>
        <w:spacing w:line="360" w:lineRule="auto"/>
        <w:rPr>
          <w:rFonts w:ascii="Arial" w:hAnsi="Arial" w:cs="Arial"/>
        </w:rPr>
      </w:pPr>
      <w:r w:rsidRPr="001A4564">
        <w:rPr>
          <w:rFonts w:ascii="Arial" w:hAnsi="Arial" w:cs="Arial"/>
        </w:rPr>
        <w:t xml:space="preserve">McGlynn, C., </w:t>
      </w:r>
      <w:proofErr w:type="spellStart"/>
      <w:r w:rsidRPr="001A4564">
        <w:rPr>
          <w:rFonts w:ascii="Arial" w:hAnsi="Arial" w:cs="Arial"/>
        </w:rPr>
        <w:t>Westmarland</w:t>
      </w:r>
      <w:proofErr w:type="spellEnd"/>
      <w:r w:rsidRPr="001A4564">
        <w:rPr>
          <w:rFonts w:ascii="Arial" w:hAnsi="Arial" w:cs="Arial"/>
        </w:rPr>
        <w:t>, N. and Godden, N. (2021b) ‘Justice or just process? Rape survivors’ experiences of the criminal justice system’, *Journal of Law and Society*, 48(2), pp. 171–197.</w:t>
      </w:r>
    </w:p>
    <w:p w14:paraId="5B3CC996" w14:textId="77777777" w:rsidR="001A4564" w:rsidRPr="001A4564" w:rsidRDefault="001A4564" w:rsidP="001A4564">
      <w:pPr>
        <w:spacing w:line="360" w:lineRule="auto"/>
        <w:rPr>
          <w:rFonts w:ascii="Arial" w:hAnsi="Arial" w:cs="Arial"/>
        </w:rPr>
      </w:pPr>
    </w:p>
    <w:p w14:paraId="460E72A8" w14:textId="77777777" w:rsidR="001A4564" w:rsidRPr="001A4564" w:rsidRDefault="001A4564" w:rsidP="001A4564">
      <w:pPr>
        <w:spacing w:line="360" w:lineRule="auto"/>
        <w:rPr>
          <w:rFonts w:ascii="Arial" w:hAnsi="Arial" w:cs="Arial"/>
        </w:rPr>
      </w:pPr>
      <w:r w:rsidRPr="001A4564">
        <w:rPr>
          <w:rFonts w:ascii="Arial" w:hAnsi="Arial" w:cs="Arial"/>
        </w:rPr>
        <w:t xml:space="preserve">McPhee, D., </w:t>
      </w:r>
      <w:proofErr w:type="spellStart"/>
      <w:r w:rsidRPr="001A4564">
        <w:rPr>
          <w:rFonts w:ascii="Arial" w:hAnsi="Arial" w:cs="Arial"/>
        </w:rPr>
        <w:t>Forsdick</w:t>
      </w:r>
      <w:proofErr w:type="spellEnd"/>
      <w:r w:rsidRPr="001A4564">
        <w:rPr>
          <w:rFonts w:ascii="Arial" w:hAnsi="Arial" w:cs="Arial"/>
        </w:rPr>
        <w:t>, J., Griffiths, M. and Robinson, A. (2021) ‘Criminal justice responses to domestic violence and abuse in England’, *Policing and Society*, 31(8), pp. 973–991. [</w:t>
      </w:r>
      <w:proofErr w:type="gramStart"/>
      <w:r w:rsidRPr="001A4564">
        <w:rPr>
          <w:rFonts w:ascii="Arial" w:hAnsi="Arial" w:cs="Arial"/>
        </w:rPr>
        <w:t>https://doi.org/10.1080/10439463.2021.2003358](</w:t>
      </w:r>
      <w:proofErr w:type="gramEnd"/>
      <w:r w:rsidRPr="001A4564">
        <w:rPr>
          <w:rFonts w:ascii="Arial" w:hAnsi="Arial" w:cs="Arial"/>
        </w:rPr>
        <w:t>https://doi.org/10.1080/10439463.2021.2003358).</w:t>
      </w:r>
    </w:p>
    <w:p w14:paraId="335177D7" w14:textId="77777777" w:rsidR="001A4564" w:rsidRPr="001A4564" w:rsidRDefault="001A4564" w:rsidP="001A4564">
      <w:pPr>
        <w:spacing w:line="360" w:lineRule="auto"/>
        <w:rPr>
          <w:rFonts w:ascii="Arial" w:hAnsi="Arial" w:cs="Arial"/>
        </w:rPr>
      </w:pPr>
    </w:p>
    <w:p w14:paraId="576F40A8" w14:textId="77777777" w:rsidR="001A4564" w:rsidRPr="001A4564" w:rsidRDefault="001A4564" w:rsidP="001A4564">
      <w:pPr>
        <w:spacing w:line="360" w:lineRule="auto"/>
        <w:rPr>
          <w:rFonts w:ascii="Arial" w:hAnsi="Arial" w:cs="Arial"/>
        </w:rPr>
      </w:pPr>
      <w:r w:rsidRPr="001A4564">
        <w:rPr>
          <w:rFonts w:ascii="Arial" w:hAnsi="Arial" w:cs="Arial"/>
        </w:rPr>
        <w:t xml:space="preserve">Mind (2021) *Mental health, criminal </w:t>
      </w:r>
      <w:proofErr w:type="gramStart"/>
      <w:r w:rsidRPr="001A4564">
        <w:rPr>
          <w:rFonts w:ascii="Arial" w:hAnsi="Arial" w:cs="Arial"/>
        </w:rPr>
        <w:t>justice</w:t>
      </w:r>
      <w:proofErr w:type="gramEnd"/>
      <w:r w:rsidRPr="001A4564">
        <w:rPr>
          <w:rFonts w:ascii="Arial" w:hAnsi="Arial" w:cs="Arial"/>
        </w:rPr>
        <w:t xml:space="preserve"> and policing: Ending the </w:t>
      </w:r>
      <w:proofErr w:type="spellStart"/>
      <w:r w:rsidRPr="001A4564">
        <w:rPr>
          <w:rFonts w:ascii="Arial" w:hAnsi="Arial" w:cs="Arial"/>
        </w:rPr>
        <w:t>criminalisation</w:t>
      </w:r>
      <w:proofErr w:type="spellEnd"/>
      <w:r w:rsidRPr="001A4564">
        <w:rPr>
          <w:rFonts w:ascii="Arial" w:hAnsi="Arial" w:cs="Arial"/>
        </w:rPr>
        <w:t xml:space="preserve"> of mental illness*. London: Mind.</w:t>
      </w:r>
    </w:p>
    <w:p w14:paraId="621046CB" w14:textId="77777777" w:rsidR="001A4564" w:rsidRPr="001A4564" w:rsidRDefault="001A4564" w:rsidP="001A4564">
      <w:pPr>
        <w:spacing w:line="360" w:lineRule="auto"/>
        <w:rPr>
          <w:rFonts w:ascii="Arial" w:hAnsi="Arial" w:cs="Arial"/>
        </w:rPr>
      </w:pPr>
    </w:p>
    <w:p w14:paraId="2578CAD1" w14:textId="77777777" w:rsidR="001A4564" w:rsidRPr="001A4564" w:rsidRDefault="001A4564" w:rsidP="001A4564">
      <w:pPr>
        <w:spacing w:line="360" w:lineRule="auto"/>
        <w:rPr>
          <w:rFonts w:ascii="Arial" w:hAnsi="Arial" w:cs="Arial"/>
        </w:rPr>
      </w:pPr>
      <w:r w:rsidRPr="001A4564">
        <w:rPr>
          <w:rFonts w:ascii="Arial" w:hAnsi="Arial" w:cs="Arial"/>
        </w:rPr>
        <w:lastRenderedPageBreak/>
        <w:t>Ministry of Justice (2020) *End-to-end rape review: Report on findings and actions*. London: Ministry of Justice. Available at: [</w:t>
      </w:r>
      <w:proofErr w:type="gramStart"/>
      <w:r w:rsidRPr="001A4564">
        <w:rPr>
          <w:rFonts w:ascii="Arial" w:hAnsi="Arial" w:cs="Arial"/>
        </w:rPr>
        <w:t>https://assets.publishing.service.gov.uk/media/60ed551c8fa8f50c6ef84fbc/end-to-end-rape-review-report-with-correction-slip.pdf](</w:t>
      </w:r>
      <w:proofErr w:type="gramEnd"/>
      <w:r w:rsidRPr="001A4564">
        <w:rPr>
          <w:rFonts w:ascii="Arial" w:hAnsi="Arial" w:cs="Arial"/>
        </w:rPr>
        <w:t>https://assets.publishing.service.gov.uk/media/60ed551c8fa8f50c6ef84fbc/end-to-end-rape-review-report-with-correction-slip.pdf) (Accessed: 6 January 2026).</w:t>
      </w:r>
    </w:p>
    <w:p w14:paraId="26096B13" w14:textId="77777777" w:rsidR="001A4564" w:rsidRPr="001A4564" w:rsidRDefault="001A4564" w:rsidP="001A4564">
      <w:pPr>
        <w:spacing w:line="360" w:lineRule="auto"/>
        <w:rPr>
          <w:rFonts w:ascii="Arial" w:hAnsi="Arial" w:cs="Arial"/>
        </w:rPr>
      </w:pPr>
    </w:p>
    <w:p w14:paraId="525D85C1" w14:textId="77777777" w:rsidR="001A4564" w:rsidRPr="001A4564" w:rsidRDefault="001A4564" w:rsidP="001A4564">
      <w:pPr>
        <w:spacing w:line="360" w:lineRule="auto"/>
        <w:rPr>
          <w:rFonts w:ascii="Arial" w:hAnsi="Arial" w:cs="Arial"/>
        </w:rPr>
      </w:pPr>
      <w:r w:rsidRPr="001A4564">
        <w:rPr>
          <w:rFonts w:ascii="Arial" w:hAnsi="Arial" w:cs="Arial"/>
        </w:rPr>
        <w:t>Ministry of Justice (2024) *Criminal court statistics quarterly: England and Wales*. London: Ministry of Justice. Available at: [</w:t>
      </w:r>
      <w:proofErr w:type="gramStart"/>
      <w:r w:rsidRPr="001A4564">
        <w:rPr>
          <w:rFonts w:ascii="Arial" w:hAnsi="Arial" w:cs="Arial"/>
        </w:rPr>
        <w:t>https://www.gov.uk/government/collections/criminal-court-statistics](</w:t>
      </w:r>
      <w:proofErr w:type="gramEnd"/>
      <w:r w:rsidRPr="001A4564">
        <w:rPr>
          <w:rFonts w:ascii="Arial" w:hAnsi="Arial" w:cs="Arial"/>
        </w:rPr>
        <w:t>https://www.gov.uk/government/collections/criminal-court-statistics) (Accessed: 6 January 2026).</w:t>
      </w:r>
    </w:p>
    <w:p w14:paraId="68E10C63" w14:textId="77777777" w:rsidR="001A4564" w:rsidRPr="001A4564" w:rsidRDefault="001A4564" w:rsidP="001A4564">
      <w:pPr>
        <w:spacing w:line="360" w:lineRule="auto"/>
        <w:rPr>
          <w:rFonts w:ascii="Arial" w:hAnsi="Arial" w:cs="Arial"/>
        </w:rPr>
      </w:pPr>
    </w:p>
    <w:p w14:paraId="1CA5128D" w14:textId="77777777" w:rsidR="001A4564" w:rsidRPr="001A4564" w:rsidRDefault="001A4564" w:rsidP="001A4564">
      <w:pPr>
        <w:spacing w:line="360" w:lineRule="auto"/>
        <w:rPr>
          <w:rFonts w:ascii="Arial" w:hAnsi="Arial" w:cs="Arial"/>
        </w:rPr>
      </w:pPr>
      <w:r w:rsidRPr="001A4564">
        <w:rPr>
          <w:rFonts w:ascii="Arial" w:hAnsi="Arial" w:cs="Arial"/>
        </w:rPr>
        <w:t xml:space="preserve">Ministry of Justice (2025) *Code of Practice for Victims of Crime in England and Wales (Victims’ </w:t>
      </w:r>
      <w:proofErr w:type="gramStart"/>
      <w:r w:rsidRPr="001A4564">
        <w:rPr>
          <w:rFonts w:ascii="Arial" w:hAnsi="Arial" w:cs="Arial"/>
        </w:rPr>
        <w:t>Code)*</w:t>
      </w:r>
      <w:proofErr w:type="gramEnd"/>
      <w:r w:rsidRPr="001A4564">
        <w:rPr>
          <w:rFonts w:ascii="Arial" w:hAnsi="Arial" w:cs="Arial"/>
        </w:rPr>
        <w:t>. London: Ministry of Justice. Available at: [</w:t>
      </w:r>
      <w:proofErr w:type="gramStart"/>
      <w:r w:rsidRPr="001A4564">
        <w:rPr>
          <w:rFonts w:ascii="Arial" w:hAnsi="Arial" w:cs="Arial"/>
        </w:rPr>
        <w:t>https://www.gov.uk/government/publications/the-code-of-practice-for-victims-of-crime](</w:t>
      </w:r>
      <w:proofErr w:type="gramEnd"/>
      <w:r w:rsidRPr="001A4564">
        <w:rPr>
          <w:rFonts w:ascii="Arial" w:hAnsi="Arial" w:cs="Arial"/>
        </w:rPr>
        <w:t>https://www.gov.uk/government/publications/the-code-of-practice-for-victims-of-crime) (Accessed: 21 December 2025).</w:t>
      </w:r>
    </w:p>
    <w:p w14:paraId="03C563DF" w14:textId="77777777" w:rsidR="001A4564" w:rsidRPr="001A4564" w:rsidRDefault="001A4564" w:rsidP="001A4564">
      <w:pPr>
        <w:spacing w:line="360" w:lineRule="auto"/>
        <w:rPr>
          <w:rFonts w:ascii="Arial" w:hAnsi="Arial" w:cs="Arial"/>
        </w:rPr>
      </w:pPr>
    </w:p>
    <w:p w14:paraId="469521C7" w14:textId="77777777" w:rsidR="001A4564" w:rsidRPr="001A4564" w:rsidRDefault="001A4564" w:rsidP="001A4564">
      <w:pPr>
        <w:spacing w:line="360" w:lineRule="auto"/>
        <w:rPr>
          <w:rFonts w:ascii="Arial" w:hAnsi="Arial" w:cs="Arial"/>
        </w:rPr>
      </w:pPr>
      <w:r w:rsidRPr="001A4564">
        <w:rPr>
          <w:rFonts w:ascii="Arial" w:hAnsi="Arial" w:cs="Arial"/>
        </w:rPr>
        <w:t>Modern Slavery Act 2015. Available at: [</w:t>
      </w:r>
      <w:proofErr w:type="gramStart"/>
      <w:r w:rsidRPr="001A4564">
        <w:rPr>
          <w:rFonts w:ascii="Arial" w:hAnsi="Arial" w:cs="Arial"/>
        </w:rPr>
        <w:t>https://www.legislation.gov.uk/ukpga/2015/30](</w:t>
      </w:r>
      <w:proofErr w:type="gramEnd"/>
      <w:r w:rsidRPr="001A4564">
        <w:rPr>
          <w:rFonts w:ascii="Arial" w:hAnsi="Arial" w:cs="Arial"/>
        </w:rPr>
        <w:t>https://www.legislation.gov.uk/ukpga/2015/30) (Accessed: 6 January 2026).</w:t>
      </w:r>
    </w:p>
    <w:p w14:paraId="623D98DF" w14:textId="77777777" w:rsidR="001A4564" w:rsidRPr="001A4564" w:rsidRDefault="001A4564" w:rsidP="001A4564">
      <w:pPr>
        <w:spacing w:line="360" w:lineRule="auto"/>
        <w:rPr>
          <w:rFonts w:ascii="Arial" w:hAnsi="Arial" w:cs="Arial"/>
        </w:rPr>
      </w:pPr>
    </w:p>
    <w:p w14:paraId="701E8B16" w14:textId="77777777" w:rsidR="001A4564" w:rsidRPr="001A4564" w:rsidRDefault="001A4564" w:rsidP="001A4564">
      <w:pPr>
        <w:spacing w:line="360" w:lineRule="auto"/>
        <w:rPr>
          <w:rFonts w:ascii="Arial" w:hAnsi="Arial" w:cs="Arial"/>
        </w:rPr>
      </w:pPr>
      <w:proofErr w:type="spellStart"/>
      <w:r w:rsidRPr="001A4564">
        <w:rPr>
          <w:rFonts w:ascii="Arial" w:hAnsi="Arial" w:cs="Arial"/>
        </w:rPr>
        <w:t>Moroz</w:t>
      </w:r>
      <w:proofErr w:type="spellEnd"/>
      <w:r w:rsidRPr="001A4564">
        <w:rPr>
          <w:rFonts w:ascii="Arial" w:hAnsi="Arial" w:cs="Arial"/>
        </w:rPr>
        <w:t xml:space="preserve">, A. and </w:t>
      </w:r>
      <w:proofErr w:type="spellStart"/>
      <w:r w:rsidRPr="001A4564">
        <w:rPr>
          <w:rFonts w:ascii="Arial" w:hAnsi="Arial" w:cs="Arial"/>
        </w:rPr>
        <w:t>Dinisman</w:t>
      </w:r>
      <w:proofErr w:type="spellEnd"/>
      <w:r w:rsidRPr="001A4564">
        <w:rPr>
          <w:rFonts w:ascii="Arial" w:hAnsi="Arial" w:cs="Arial"/>
        </w:rPr>
        <w:t>, T. (2024) *Suffering for justice: Sexual violence victim-survivors’ experiences of going to court and cross-examination*. London: Victim Support. Available at: [</w:t>
      </w:r>
      <w:proofErr w:type="gramStart"/>
      <w:r w:rsidRPr="001A4564">
        <w:rPr>
          <w:rFonts w:ascii="Arial" w:hAnsi="Arial" w:cs="Arial"/>
        </w:rPr>
        <w:t>https://www.victimsupport.org.uk/wp-content/uploads/2024/10/Suffering-for-justice-report.pdf](</w:t>
      </w:r>
      <w:proofErr w:type="gramEnd"/>
      <w:r w:rsidRPr="001A4564">
        <w:rPr>
          <w:rFonts w:ascii="Arial" w:hAnsi="Arial" w:cs="Arial"/>
        </w:rPr>
        <w:t>https://www.victimsupport.org.uk/wp-content/uploads/2024/10/Suffering-for-justice-report.pdf) (Accessed: 3 January 2026).</w:t>
      </w:r>
    </w:p>
    <w:p w14:paraId="5ECAB04B" w14:textId="5F99F05A" w:rsidR="001A4564" w:rsidRDefault="001A4564" w:rsidP="001A4564">
      <w:pPr>
        <w:spacing w:line="360" w:lineRule="auto"/>
        <w:rPr>
          <w:rFonts w:ascii="Arial" w:hAnsi="Arial" w:cs="Arial"/>
          <w:color w:val="000000"/>
        </w:rPr>
      </w:pPr>
      <w:proofErr w:type="spellStart"/>
      <w:r w:rsidRPr="001A4564">
        <w:rPr>
          <w:rFonts w:ascii="Arial" w:hAnsi="Arial" w:cs="Arial"/>
          <w:color w:val="000000"/>
        </w:rPr>
        <w:lastRenderedPageBreak/>
        <w:t>Nickolls</w:t>
      </w:r>
      <w:proofErr w:type="spellEnd"/>
      <w:r w:rsidRPr="001A4564">
        <w:rPr>
          <w:rFonts w:ascii="Arial" w:hAnsi="Arial" w:cs="Arial"/>
          <w:color w:val="000000"/>
        </w:rPr>
        <w:t>, L., Rowland, L., Cowie, G. and Dawson, J. (2023)</w:t>
      </w:r>
      <w:r w:rsidRPr="001A4564">
        <w:rPr>
          <w:rStyle w:val="apple-converted-space"/>
          <w:rFonts w:ascii="Arial" w:hAnsi="Arial" w:cs="Arial"/>
          <w:color w:val="000000"/>
        </w:rPr>
        <w:t> </w:t>
      </w:r>
      <w:r w:rsidRPr="001A4564">
        <w:rPr>
          <w:rStyle w:val="Emphasis"/>
          <w:rFonts w:ascii="Arial" w:hAnsi="Arial" w:cs="Arial"/>
          <w:b w:val="0"/>
          <w:color w:val="000000"/>
        </w:rPr>
        <w:t>The Victims and Prisoners Bill</w:t>
      </w:r>
      <w:r w:rsidRPr="001A4564">
        <w:rPr>
          <w:rFonts w:ascii="Arial" w:hAnsi="Arial" w:cs="Arial"/>
          <w:color w:val="000000"/>
        </w:rPr>
        <w:t>. House of Commons Library Research Briefing CBP-9792. Available at:</w:t>
      </w:r>
      <w:r w:rsidRPr="001A4564">
        <w:rPr>
          <w:rStyle w:val="apple-converted-space"/>
          <w:rFonts w:ascii="Arial" w:hAnsi="Arial" w:cs="Arial"/>
          <w:color w:val="000000"/>
        </w:rPr>
        <w:t> </w:t>
      </w:r>
      <w:hyperlink r:id="rId10" w:tgtFrame="_new" w:history="1">
        <w:r w:rsidRPr="001A4564">
          <w:rPr>
            <w:rStyle w:val="Hyperlink"/>
            <w:rFonts w:ascii="Arial" w:hAnsi="Arial" w:cs="Arial"/>
          </w:rPr>
          <w:t>https://commonslibrary.parliament.uk/research-briefings/cbp-9792/</w:t>
        </w:r>
      </w:hyperlink>
      <w:r w:rsidRPr="001A4564">
        <w:rPr>
          <w:rFonts w:ascii="Arial" w:hAnsi="Arial" w:cs="Arial"/>
          <w:color w:val="000000"/>
        </w:rPr>
        <w:t>(Accessed: 3 January 2026).</w:t>
      </w:r>
    </w:p>
    <w:p w14:paraId="0C5F23F6" w14:textId="77777777" w:rsidR="001A4564" w:rsidRPr="001A4564" w:rsidRDefault="001A4564" w:rsidP="001A4564">
      <w:pPr>
        <w:spacing w:line="360" w:lineRule="auto"/>
        <w:rPr>
          <w:rFonts w:ascii="Arial" w:hAnsi="Arial" w:cs="Arial"/>
        </w:rPr>
      </w:pPr>
    </w:p>
    <w:p w14:paraId="20DA1D44" w14:textId="77777777" w:rsidR="001A4564" w:rsidRPr="001A4564" w:rsidRDefault="001A4564" w:rsidP="001A4564">
      <w:pPr>
        <w:spacing w:line="360" w:lineRule="auto"/>
        <w:rPr>
          <w:rFonts w:ascii="Arial" w:hAnsi="Arial" w:cs="Arial"/>
        </w:rPr>
      </w:pPr>
      <w:r w:rsidRPr="001A4564">
        <w:rPr>
          <w:rFonts w:ascii="Arial" w:hAnsi="Arial" w:cs="Arial"/>
        </w:rPr>
        <w:t>Office for National Statistics (2024a) *Domestic abuse in England and Wales: Overview*. Available at: [</w:t>
      </w:r>
      <w:proofErr w:type="gramStart"/>
      <w:r w:rsidRPr="001A4564">
        <w:rPr>
          <w:rFonts w:ascii="Arial" w:hAnsi="Arial" w:cs="Arial"/>
        </w:rPr>
        <w:t>https://www.ons.gov.uk/peoplepopulationandcommunity/crimeandjustice/bulletins/domesticabuseinenglandandwalesoverview/november2024](</w:t>
      </w:r>
      <w:proofErr w:type="gramEnd"/>
      <w:r w:rsidRPr="001A4564">
        <w:rPr>
          <w:rFonts w:ascii="Arial" w:hAnsi="Arial" w:cs="Arial"/>
        </w:rPr>
        <w:t>https://www.ons.gov.uk/peoplepopulationandcommunity/crimeandjustice/bulletins/domesticabuseinenglandandwalesoverview/november2024) (Accessed: 6 January 2026).</w:t>
      </w:r>
    </w:p>
    <w:p w14:paraId="6AA18262" w14:textId="77777777" w:rsidR="001A4564" w:rsidRPr="001A4564" w:rsidRDefault="001A4564" w:rsidP="001A4564">
      <w:pPr>
        <w:spacing w:line="360" w:lineRule="auto"/>
        <w:rPr>
          <w:rFonts w:ascii="Arial" w:hAnsi="Arial" w:cs="Arial"/>
        </w:rPr>
      </w:pPr>
    </w:p>
    <w:p w14:paraId="5113CAC8" w14:textId="77777777" w:rsidR="001A4564" w:rsidRPr="001A4564" w:rsidRDefault="001A4564" w:rsidP="001A4564">
      <w:pPr>
        <w:spacing w:line="360" w:lineRule="auto"/>
        <w:rPr>
          <w:rFonts w:ascii="Arial" w:hAnsi="Arial" w:cs="Arial"/>
        </w:rPr>
      </w:pPr>
      <w:r w:rsidRPr="001A4564">
        <w:rPr>
          <w:rFonts w:ascii="Arial" w:hAnsi="Arial" w:cs="Arial"/>
        </w:rPr>
        <w:t>Office for National Statistics (2024b) *Abuse during childhood in England and Wales*. Available at: [</w:t>
      </w:r>
      <w:proofErr w:type="gramStart"/>
      <w:r w:rsidRPr="001A4564">
        <w:rPr>
          <w:rFonts w:ascii="Arial" w:hAnsi="Arial" w:cs="Arial"/>
        </w:rPr>
        <w:t>https://www.ons.gov.uk/peoplepopulationandcommunity/crimeandjustice/bulletins/abuseduringchildhoodinenglandandwales/march2024](</w:t>
      </w:r>
      <w:proofErr w:type="gramEnd"/>
      <w:r w:rsidRPr="001A4564">
        <w:rPr>
          <w:rFonts w:ascii="Arial" w:hAnsi="Arial" w:cs="Arial"/>
        </w:rPr>
        <w:t>https://www.ons.gov.uk/peoplepopulationandcommunity/crimeandjustice/bulletins/abuseduringchildhoodinenglandandwales/march2024) (Accessed: 6 January 2026).</w:t>
      </w:r>
    </w:p>
    <w:p w14:paraId="050A68D2" w14:textId="77777777" w:rsidR="001A4564" w:rsidRPr="001A4564" w:rsidRDefault="001A4564" w:rsidP="001A4564">
      <w:pPr>
        <w:spacing w:line="360" w:lineRule="auto"/>
        <w:rPr>
          <w:rFonts w:ascii="Arial" w:hAnsi="Arial" w:cs="Arial"/>
        </w:rPr>
      </w:pPr>
    </w:p>
    <w:p w14:paraId="7F574B0C" w14:textId="2ED5F5C0" w:rsidR="001A4564" w:rsidRPr="001A4564" w:rsidRDefault="001A4564" w:rsidP="001A4564">
      <w:pPr>
        <w:spacing w:line="360" w:lineRule="auto"/>
        <w:rPr>
          <w:rFonts w:ascii="Arial" w:hAnsi="Arial" w:cs="Arial"/>
          <w:color w:val="000000"/>
        </w:rPr>
      </w:pPr>
      <w:r w:rsidRPr="001A4564">
        <w:rPr>
          <w:rFonts w:ascii="Arial" w:hAnsi="Arial" w:cs="Arial"/>
          <w:color w:val="000000"/>
        </w:rPr>
        <w:t>Office for National Statistics (2024c)</w:t>
      </w:r>
      <w:r w:rsidRPr="001A4564">
        <w:rPr>
          <w:rStyle w:val="apple-converted-space"/>
          <w:rFonts w:ascii="Arial" w:hAnsi="Arial" w:cs="Arial"/>
          <w:color w:val="000000"/>
        </w:rPr>
        <w:t> </w:t>
      </w:r>
      <w:r w:rsidRPr="001A4564">
        <w:rPr>
          <w:rStyle w:val="Emphasis"/>
          <w:rFonts w:ascii="Arial" w:hAnsi="Arial" w:cs="Arial"/>
          <w:b w:val="0"/>
          <w:color w:val="000000"/>
        </w:rPr>
        <w:t>Crime Survey for England and Wales (CSEW): Health and crime</w:t>
      </w:r>
      <w:r w:rsidRPr="001A4564">
        <w:rPr>
          <w:rFonts w:ascii="Arial" w:hAnsi="Arial" w:cs="Arial"/>
          <w:color w:val="000000"/>
        </w:rPr>
        <w:t>. Available at:</w:t>
      </w:r>
      <w:r w:rsidRPr="001A4564">
        <w:rPr>
          <w:rStyle w:val="apple-converted-space"/>
          <w:rFonts w:ascii="Arial" w:hAnsi="Arial" w:cs="Arial"/>
          <w:color w:val="000000"/>
        </w:rPr>
        <w:t> </w:t>
      </w:r>
      <w:hyperlink r:id="rId11" w:tgtFrame="_new" w:history="1">
        <w:r w:rsidRPr="001A4564">
          <w:rPr>
            <w:rStyle w:val="Hyperlink"/>
            <w:rFonts w:ascii="Arial" w:hAnsi="Arial" w:cs="Arial"/>
          </w:rPr>
          <w:t>https://www.ons.gov.uk/peoplepopulationandcommunity/crimeandjustice/compendium/focusonviolentcrimeandsexualoffences/healthandcrime/yearendingmarch2024</w:t>
        </w:r>
      </w:hyperlink>
      <w:r w:rsidRPr="001A4564">
        <w:rPr>
          <w:rStyle w:val="apple-converted-space"/>
          <w:rFonts w:ascii="Arial" w:hAnsi="Arial" w:cs="Arial"/>
          <w:color w:val="000000"/>
        </w:rPr>
        <w:t> </w:t>
      </w:r>
      <w:r w:rsidRPr="001A4564">
        <w:rPr>
          <w:rFonts w:ascii="Arial" w:hAnsi="Arial" w:cs="Arial"/>
          <w:color w:val="000000"/>
        </w:rPr>
        <w:t>(Accessed: 6 January 2026).</w:t>
      </w:r>
    </w:p>
    <w:p w14:paraId="4218D411" w14:textId="77777777" w:rsidR="001A4564" w:rsidRPr="001A4564" w:rsidRDefault="001A4564" w:rsidP="001A4564">
      <w:pPr>
        <w:spacing w:line="360" w:lineRule="auto"/>
        <w:rPr>
          <w:rFonts w:ascii="Arial" w:hAnsi="Arial" w:cs="Arial"/>
        </w:rPr>
      </w:pPr>
    </w:p>
    <w:p w14:paraId="52E6F6E1" w14:textId="77777777" w:rsidR="001A4564" w:rsidRPr="001A4564" w:rsidRDefault="001A4564" w:rsidP="001A4564">
      <w:pPr>
        <w:spacing w:line="360" w:lineRule="auto"/>
        <w:rPr>
          <w:rFonts w:ascii="Arial" w:hAnsi="Arial" w:cs="Arial"/>
        </w:rPr>
      </w:pPr>
      <w:r w:rsidRPr="001A4564">
        <w:rPr>
          <w:rFonts w:ascii="Arial" w:hAnsi="Arial" w:cs="Arial"/>
        </w:rPr>
        <w:t>Office for National Statistics (2025) *Sexual offences in England and Wales: Overview*. Available at: [</w:t>
      </w:r>
      <w:proofErr w:type="gramStart"/>
      <w:r w:rsidRPr="001A4564">
        <w:rPr>
          <w:rFonts w:ascii="Arial" w:hAnsi="Arial" w:cs="Arial"/>
        </w:rPr>
        <w:t>https://www.ons.gov.uk/peoplepopulationandcommunity/crimeandjustice/bulletins/sexualoffencesinenglandandwalesoverview/yearendingmarch2025](</w:t>
      </w:r>
      <w:proofErr w:type="gramEnd"/>
      <w:r w:rsidRPr="001A4564">
        <w:rPr>
          <w:rFonts w:ascii="Arial" w:hAnsi="Arial" w:cs="Arial"/>
        </w:rPr>
        <w:t>https://www.ons.gov.u</w:t>
      </w:r>
      <w:r w:rsidRPr="001A4564">
        <w:rPr>
          <w:rFonts w:ascii="Arial" w:hAnsi="Arial" w:cs="Arial"/>
        </w:rPr>
        <w:lastRenderedPageBreak/>
        <w:t>k/peoplepopulationandcommunity/crimeandjustice/bulletins/sexualoffencesinenglandandwalesoverview/yearendingmarch2025) (Accessed: 6 January 2026).</w:t>
      </w:r>
    </w:p>
    <w:p w14:paraId="019A08C2" w14:textId="77777777" w:rsidR="001A4564" w:rsidRPr="001A4564" w:rsidRDefault="001A4564" w:rsidP="001A4564">
      <w:pPr>
        <w:spacing w:line="360" w:lineRule="auto"/>
        <w:rPr>
          <w:rFonts w:ascii="Arial" w:hAnsi="Arial" w:cs="Arial"/>
        </w:rPr>
      </w:pPr>
    </w:p>
    <w:p w14:paraId="0D4EA6FD" w14:textId="79A73A3B" w:rsidR="001A4564" w:rsidRPr="001A4564" w:rsidRDefault="001A4564" w:rsidP="001A4564">
      <w:pPr>
        <w:spacing w:line="360" w:lineRule="auto"/>
        <w:rPr>
          <w:rFonts w:ascii="Arial" w:hAnsi="Arial" w:cs="Arial"/>
        </w:rPr>
      </w:pPr>
      <w:r w:rsidRPr="001A4564">
        <w:rPr>
          <w:rFonts w:ascii="Arial" w:hAnsi="Arial" w:cs="Arial"/>
        </w:rPr>
        <w:t xml:space="preserve">Pacheco, E-M. (2025) ‘Vulnerable populations: The impact of remote exposure to trauma on survivors of trauma and </w:t>
      </w:r>
      <w:proofErr w:type="spellStart"/>
      <w:r w:rsidRPr="001A4564">
        <w:rPr>
          <w:rFonts w:ascii="Arial" w:hAnsi="Arial" w:cs="Arial"/>
        </w:rPr>
        <w:t>marginalised</w:t>
      </w:r>
      <w:proofErr w:type="spellEnd"/>
      <w:r w:rsidRPr="001A4564">
        <w:rPr>
          <w:rFonts w:ascii="Arial" w:hAnsi="Arial" w:cs="Arial"/>
        </w:rPr>
        <w:t xml:space="preserve"> communities’, in *Remote Trauma Exposure*. Cham: Springer, pp. 133–154. [</w:t>
      </w:r>
      <w:proofErr w:type="gramStart"/>
      <w:r w:rsidRPr="001A4564">
        <w:rPr>
          <w:rFonts w:ascii="Arial" w:hAnsi="Arial" w:cs="Arial"/>
        </w:rPr>
        <w:t>https://doi.org/10.1007/978-3-032-05066-3_5](</w:t>
      </w:r>
      <w:proofErr w:type="gramEnd"/>
      <w:r w:rsidRPr="001A4564">
        <w:rPr>
          <w:rFonts w:ascii="Arial" w:hAnsi="Arial" w:cs="Arial"/>
        </w:rPr>
        <w:fldChar w:fldCharType="begin"/>
      </w:r>
      <w:r w:rsidRPr="001A4564">
        <w:rPr>
          <w:rFonts w:ascii="Arial" w:hAnsi="Arial" w:cs="Arial"/>
        </w:rPr>
        <w:instrText>HYPERLINK "https://doi.org/10.1007/978-3-032-05066-3_5"</w:instrText>
      </w:r>
      <w:r w:rsidRPr="001A4564">
        <w:rPr>
          <w:rFonts w:ascii="Arial" w:hAnsi="Arial" w:cs="Arial"/>
        </w:rPr>
      </w:r>
      <w:r w:rsidRPr="001A4564">
        <w:rPr>
          <w:rFonts w:ascii="Arial" w:hAnsi="Arial" w:cs="Arial"/>
        </w:rPr>
        <w:fldChar w:fldCharType="separate"/>
      </w:r>
      <w:r w:rsidRPr="001A4564">
        <w:rPr>
          <w:rStyle w:val="Hyperlink"/>
          <w:rFonts w:ascii="Arial" w:hAnsi="Arial" w:cs="Arial"/>
        </w:rPr>
        <w:t>https://doi.org/10.1007/978-3-032-05066-3_5</w:t>
      </w:r>
      <w:r w:rsidRPr="001A4564">
        <w:rPr>
          <w:rFonts w:ascii="Arial" w:hAnsi="Arial" w:cs="Arial"/>
        </w:rPr>
        <w:fldChar w:fldCharType="end"/>
      </w:r>
      <w:r w:rsidRPr="001A4564">
        <w:rPr>
          <w:rFonts w:ascii="Arial" w:hAnsi="Arial" w:cs="Arial"/>
        </w:rPr>
        <w:t>).</w:t>
      </w:r>
    </w:p>
    <w:p w14:paraId="670ED460" w14:textId="77777777" w:rsidR="001A4564" w:rsidRPr="001A4564" w:rsidRDefault="001A4564" w:rsidP="001A4564">
      <w:pPr>
        <w:spacing w:line="360" w:lineRule="auto"/>
        <w:rPr>
          <w:rFonts w:ascii="Arial" w:hAnsi="Arial" w:cs="Arial"/>
        </w:rPr>
      </w:pPr>
    </w:p>
    <w:p w14:paraId="089BF877" w14:textId="2966AED3" w:rsidR="001A4564" w:rsidRDefault="001A4564" w:rsidP="001A4564">
      <w:pPr>
        <w:spacing w:line="360" w:lineRule="auto"/>
        <w:rPr>
          <w:rFonts w:ascii="Arial" w:hAnsi="Arial" w:cs="Arial"/>
          <w:color w:val="000000"/>
        </w:rPr>
      </w:pPr>
      <w:proofErr w:type="spellStart"/>
      <w:r w:rsidRPr="001A4564">
        <w:rPr>
          <w:rFonts w:ascii="Arial" w:hAnsi="Arial" w:cs="Arial"/>
          <w:color w:val="000000"/>
        </w:rPr>
        <w:t>Plotnikoff</w:t>
      </w:r>
      <w:proofErr w:type="spellEnd"/>
      <w:r w:rsidRPr="001A4564">
        <w:rPr>
          <w:rFonts w:ascii="Arial" w:hAnsi="Arial" w:cs="Arial"/>
          <w:color w:val="000000"/>
        </w:rPr>
        <w:t xml:space="preserve">, J. and </w:t>
      </w:r>
      <w:proofErr w:type="spellStart"/>
      <w:r w:rsidRPr="001A4564">
        <w:rPr>
          <w:rFonts w:ascii="Arial" w:hAnsi="Arial" w:cs="Arial"/>
          <w:color w:val="000000"/>
        </w:rPr>
        <w:t>Woolfson</w:t>
      </w:r>
      <w:proofErr w:type="spellEnd"/>
      <w:r w:rsidRPr="001A4564">
        <w:rPr>
          <w:rFonts w:ascii="Arial" w:hAnsi="Arial" w:cs="Arial"/>
          <w:color w:val="000000"/>
        </w:rPr>
        <w:t>, R. (2019) </w:t>
      </w:r>
      <w:r w:rsidRPr="001A4564">
        <w:rPr>
          <w:rFonts w:ascii="Arial" w:hAnsi="Arial" w:cs="Arial"/>
          <w:i/>
          <w:iCs/>
          <w:color w:val="000000"/>
        </w:rPr>
        <w:t>Measuring up? Evaluating implementation of special measures for vulnerable and intimidated witnesses</w:t>
      </w:r>
      <w:r w:rsidRPr="001A4564">
        <w:rPr>
          <w:rFonts w:ascii="Arial" w:hAnsi="Arial" w:cs="Arial"/>
          <w:color w:val="000000"/>
        </w:rPr>
        <w:t>. London: Ministry of Justice.</w:t>
      </w:r>
    </w:p>
    <w:p w14:paraId="67FB3C6F" w14:textId="77777777" w:rsidR="001A4564" w:rsidRPr="001A4564" w:rsidRDefault="001A4564" w:rsidP="001A4564">
      <w:pPr>
        <w:spacing w:line="360" w:lineRule="auto"/>
        <w:rPr>
          <w:rFonts w:ascii="Arial" w:hAnsi="Arial" w:cs="Arial"/>
        </w:rPr>
      </w:pPr>
    </w:p>
    <w:p w14:paraId="6A177742" w14:textId="199CC2C4" w:rsidR="001A4564" w:rsidRDefault="001A4564" w:rsidP="001A4564">
      <w:pPr>
        <w:spacing w:line="360" w:lineRule="auto"/>
        <w:rPr>
          <w:rFonts w:ascii="Arial" w:hAnsi="Arial" w:cs="Arial"/>
          <w:color w:val="000000"/>
        </w:rPr>
      </w:pPr>
      <w:r w:rsidRPr="001A4564">
        <w:rPr>
          <w:rFonts w:ascii="Arial" w:hAnsi="Arial" w:cs="Arial"/>
          <w:color w:val="000000"/>
        </w:rPr>
        <w:t>Public Accounts Committee (2025) </w:t>
      </w:r>
      <w:r w:rsidRPr="001A4564">
        <w:rPr>
          <w:rFonts w:ascii="Arial" w:hAnsi="Arial" w:cs="Arial"/>
          <w:i/>
          <w:iCs/>
          <w:color w:val="000000"/>
        </w:rPr>
        <w:t>Reducing the backlog in criminal courts</w:t>
      </w:r>
      <w:r w:rsidRPr="001A4564">
        <w:rPr>
          <w:rFonts w:ascii="Arial" w:hAnsi="Arial" w:cs="Arial"/>
          <w:color w:val="000000"/>
        </w:rPr>
        <w:t>. London: House of Commons.</w:t>
      </w:r>
    </w:p>
    <w:p w14:paraId="391B40CB" w14:textId="77777777" w:rsidR="001A4564" w:rsidRPr="001A4564" w:rsidRDefault="001A4564" w:rsidP="001A4564">
      <w:pPr>
        <w:spacing w:line="360" w:lineRule="auto"/>
        <w:rPr>
          <w:rFonts w:ascii="Arial" w:hAnsi="Arial" w:cs="Arial"/>
        </w:rPr>
      </w:pPr>
    </w:p>
    <w:p w14:paraId="1D68E758" w14:textId="778C9699" w:rsidR="001A4564" w:rsidRPr="001A4564" w:rsidRDefault="001A4564" w:rsidP="001A4564">
      <w:pPr>
        <w:spacing w:line="360" w:lineRule="auto"/>
        <w:rPr>
          <w:rFonts w:ascii="Arial" w:hAnsi="Arial" w:cs="Arial"/>
          <w:color w:val="000000"/>
        </w:rPr>
      </w:pPr>
      <w:r w:rsidRPr="001A4564">
        <w:rPr>
          <w:rFonts w:ascii="Arial" w:hAnsi="Arial" w:cs="Arial"/>
          <w:color w:val="000000"/>
        </w:rPr>
        <w:t>Rape Crisis England &amp; Wales (2025)</w:t>
      </w:r>
      <w:r w:rsidRPr="001A4564">
        <w:rPr>
          <w:rStyle w:val="apple-converted-space"/>
          <w:rFonts w:ascii="Arial" w:hAnsi="Arial" w:cs="Arial"/>
          <w:color w:val="000000"/>
        </w:rPr>
        <w:t> </w:t>
      </w:r>
      <w:r w:rsidRPr="001A4564">
        <w:rPr>
          <w:rStyle w:val="Emphasis"/>
          <w:rFonts w:ascii="Arial" w:hAnsi="Arial" w:cs="Arial"/>
          <w:b w:val="0"/>
          <w:color w:val="000000"/>
        </w:rPr>
        <w:t>New Victims’ Commissioner report reveals harmful impact of court delays</w:t>
      </w:r>
      <w:r w:rsidRPr="001A4564">
        <w:rPr>
          <w:rFonts w:ascii="Arial" w:hAnsi="Arial" w:cs="Arial"/>
          <w:color w:val="000000"/>
        </w:rPr>
        <w:t>. Available at:</w:t>
      </w:r>
      <w:r w:rsidRPr="001A4564">
        <w:rPr>
          <w:rStyle w:val="apple-converted-space"/>
          <w:rFonts w:ascii="Arial" w:hAnsi="Arial" w:cs="Arial"/>
          <w:color w:val="000000"/>
        </w:rPr>
        <w:t> </w:t>
      </w:r>
      <w:hyperlink r:id="rId12" w:tgtFrame="_new" w:history="1">
        <w:r w:rsidRPr="001A4564">
          <w:rPr>
            <w:rStyle w:val="Hyperlink"/>
            <w:rFonts w:ascii="Arial" w:hAnsi="Arial" w:cs="Arial"/>
          </w:rPr>
          <w:t>https://rapecrisis.org.uk/news/new-victims-commissioner-report-reveals-harmful-impact-of-court-delays/</w:t>
        </w:r>
      </w:hyperlink>
      <w:r w:rsidRPr="001A4564">
        <w:rPr>
          <w:rFonts w:ascii="Arial" w:hAnsi="Arial" w:cs="Arial"/>
          <w:color w:val="000000"/>
        </w:rPr>
        <w:t>(Accessed: 6 January 2026).</w:t>
      </w:r>
    </w:p>
    <w:p w14:paraId="0B97D17E" w14:textId="77777777" w:rsidR="001A4564" w:rsidRPr="001A4564" w:rsidRDefault="001A4564" w:rsidP="001A4564">
      <w:pPr>
        <w:spacing w:line="360" w:lineRule="auto"/>
        <w:rPr>
          <w:rFonts w:ascii="Arial" w:hAnsi="Arial" w:cs="Arial"/>
          <w:color w:val="000000"/>
        </w:rPr>
      </w:pPr>
    </w:p>
    <w:p w14:paraId="46A046BB" w14:textId="0D6A5E9B" w:rsidR="001A4564" w:rsidRDefault="001A4564" w:rsidP="001A4564">
      <w:pPr>
        <w:spacing w:line="360" w:lineRule="auto"/>
        <w:rPr>
          <w:rFonts w:ascii="Arial" w:hAnsi="Arial" w:cs="Arial"/>
          <w:color w:val="000000"/>
        </w:rPr>
      </w:pPr>
      <w:r w:rsidRPr="001A4564">
        <w:rPr>
          <w:rFonts w:ascii="Arial" w:hAnsi="Arial" w:cs="Arial"/>
          <w:color w:val="000000"/>
        </w:rPr>
        <w:t>Rights of Women (2022)</w:t>
      </w:r>
      <w:r w:rsidRPr="001A4564">
        <w:rPr>
          <w:rStyle w:val="apple-converted-space"/>
          <w:rFonts w:ascii="Arial" w:hAnsi="Arial" w:cs="Arial"/>
          <w:color w:val="000000"/>
        </w:rPr>
        <w:t> </w:t>
      </w:r>
      <w:r w:rsidRPr="001A4564">
        <w:rPr>
          <w:rStyle w:val="Emphasis"/>
          <w:rFonts w:ascii="Arial" w:hAnsi="Arial" w:cs="Arial"/>
          <w:b w:val="0"/>
          <w:color w:val="000000"/>
        </w:rPr>
        <w:t>Response to “Delivering justice for victims: a consultation on improving victims’ experiences of the criminal justice system”</w:t>
      </w:r>
      <w:r w:rsidRPr="001A4564">
        <w:rPr>
          <w:rFonts w:ascii="Arial" w:hAnsi="Arial" w:cs="Arial"/>
          <w:color w:val="000000"/>
        </w:rPr>
        <w:t>. Available at:</w:t>
      </w:r>
      <w:r w:rsidRPr="001A4564">
        <w:rPr>
          <w:rStyle w:val="apple-converted-space"/>
          <w:rFonts w:ascii="Arial" w:hAnsi="Arial" w:cs="Arial"/>
          <w:color w:val="000000"/>
        </w:rPr>
        <w:t> </w:t>
      </w:r>
      <w:hyperlink r:id="rId13" w:tgtFrame="_new" w:history="1">
        <w:r w:rsidRPr="001A4564">
          <w:rPr>
            <w:rStyle w:val="Hyperlink"/>
            <w:rFonts w:ascii="Arial" w:hAnsi="Arial" w:cs="Arial"/>
          </w:rPr>
          <w:t>https://www.rightsofwomen.org.uk/wp-content/uploads/2023/12/response-to-consultation-on-delivering-justice-for-victims-a-consultation-on-improving-victims-experiences-of-the-justice-.pdf</w:t>
        </w:r>
      </w:hyperlink>
      <w:r w:rsidRPr="001A4564">
        <w:rPr>
          <w:rFonts w:ascii="Arial" w:hAnsi="Arial" w:cs="Arial"/>
          <w:color w:val="000000"/>
        </w:rPr>
        <w:t>(Accessed: 6 January 2026).</w:t>
      </w:r>
    </w:p>
    <w:p w14:paraId="18297AE9" w14:textId="77777777" w:rsidR="001A4564" w:rsidRPr="001A4564" w:rsidRDefault="001A4564" w:rsidP="001A4564">
      <w:pPr>
        <w:spacing w:line="360" w:lineRule="auto"/>
        <w:rPr>
          <w:rFonts w:ascii="Arial" w:hAnsi="Arial" w:cs="Arial"/>
        </w:rPr>
      </w:pPr>
    </w:p>
    <w:p w14:paraId="5C7FD91F" w14:textId="77777777" w:rsidR="001A4564" w:rsidRPr="001A4564" w:rsidRDefault="001A4564" w:rsidP="001A4564">
      <w:pPr>
        <w:spacing w:line="360" w:lineRule="auto"/>
        <w:rPr>
          <w:rFonts w:ascii="Arial" w:hAnsi="Arial" w:cs="Arial"/>
        </w:rPr>
      </w:pPr>
      <w:r w:rsidRPr="001A4564">
        <w:rPr>
          <w:rFonts w:ascii="Arial" w:hAnsi="Arial" w:cs="Arial"/>
        </w:rPr>
        <w:lastRenderedPageBreak/>
        <w:t>Tapley, J. (2025) *Process evaluation of the Victim Notification Scheme*. London: Ministry of Justice. Available at: [</w:t>
      </w:r>
      <w:proofErr w:type="gramStart"/>
      <w:r w:rsidRPr="001A4564">
        <w:rPr>
          <w:rFonts w:ascii="Arial" w:hAnsi="Arial" w:cs="Arial"/>
        </w:rPr>
        <w:t>https://assets.publishing.service.gov.uk/media/67e1334464220b68ed6a6fd8/process-evaluation-victim-notification-scheme.pdf](</w:t>
      </w:r>
      <w:proofErr w:type="gramEnd"/>
      <w:r w:rsidRPr="001A4564">
        <w:rPr>
          <w:rFonts w:ascii="Arial" w:hAnsi="Arial" w:cs="Arial"/>
        </w:rPr>
        <w:t>https://assets.publishing.service.gov.uk/media/67e1334464220b68ed6a6fd8/process-evaluation-victim-notification-scheme.pdf) (Accessed: 7 January 2026).</w:t>
      </w:r>
    </w:p>
    <w:p w14:paraId="2FB95AA9" w14:textId="77777777" w:rsidR="001A4564" w:rsidRPr="001A4564" w:rsidRDefault="001A4564" w:rsidP="001A4564">
      <w:pPr>
        <w:spacing w:line="360" w:lineRule="auto"/>
        <w:rPr>
          <w:rFonts w:ascii="Arial" w:hAnsi="Arial" w:cs="Arial"/>
        </w:rPr>
      </w:pPr>
    </w:p>
    <w:p w14:paraId="74D7BFD6" w14:textId="77777777" w:rsidR="001A4564" w:rsidRPr="001A4564" w:rsidRDefault="001A4564" w:rsidP="001A4564">
      <w:pPr>
        <w:spacing w:line="360" w:lineRule="auto"/>
        <w:rPr>
          <w:rFonts w:ascii="Arial" w:hAnsi="Arial" w:cs="Arial"/>
        </w:rPr>
      </w:pPr>
      <w:r w:rsidRPr="001A4564">
        <w:rPr>
          <w:rFonts w:ascii="Arial" w:hAnsi="Arial" w:cs="Arial"/>
        </w:rPr>
        <w:t xml:space="preserve">Temkin, J. and </w:t>
      </w:r>
      <w:proofErr w:type="spellStart"/>
      <w:r w:rsidRPr="001A4564">
        <w:rPr>
          <w:rFonts w:ascii="Arial" w:hAnsi="Arial" w:cs="Arial"/>
        </w:rPr>
        <w:t>Krahé</w:t>
      </w:r>
      <w:proofErr w:type="spellEnd"/>
      <w:r w:rsidRPr="001A4564">
        <w:rPr>
          <w:rFonts w:ascii="Arial" w:hAnsi="Arial" w:cs="Arial"/>
        </w:rPr>
        <w:t>, B. (2021) *Sexual assault and the justice gap*. Oxford: Oxford University Press.</w:t>
      </w:r>
    </w:p>
    <w:p w14:paraId="13E768A9" w14:textId="77777777" w:rsidR="001A4564" w:rsidRPr="001A4564" w:rsidRDefault="001A4564" w:rsidP="001A4564">
      <w:pPr>
        <w:spacing w:line="360" w:lineRule="auto"/>
        <w:rPr>
          <w:rFonts w:ascii="Arial" w:hAnsi="Arial" w:cs="Arial"/>
        </w:rPr>
      </w:pPr>
    </w:p>
    <w:p w14:paraId="2FA6CEDF" w14:textId="32725999" w:rsidR="001A4564" w:rsidRPr="001A4564" w:rsidRDefault="001A4564" w:rsidP="001A4564">
      <w:pPr>
        <w:spacing w:line="360" w:lineRule="auto"/>
        <w:rPr>
          <w:rFonts w:ascii="Arial" w:hAnsi="Arial" w:cs="Arial"/>
        </w:rPr>
      </w:pPr>
      <w:r w:rsidRPr="001A4564">
        <w:rPr>
          <w:rFonts w:ascii="Arial" w:hAnsi="Arial" w:cs="Arial"/>
        </w:rPr>
        <w:t>Tyler, T.R. (2006a) *Why people obey the law*. Princeton: Princeton University Press.</w:t>
      </w:r>
    </w:p>
    <w:p w14:paraId="2D5B12AF" w14:textId="77777777" w:rsidR="001A4564" w:rsidRPr="001A4564" w:rsidRDefault="001A4564" w:rsidP="001A4564">
      <w:pPr>
        <w:spacing w:line="360" w:lineRule="auto"/>
        <w:rPr>
          <w:rFonts w:ascii="Arial" w:hAnsi="Arial" w:cs="Arial"/>
        </w:rPr>
      </w:pPr>
    </w:p>
    <w:p w14:paraId="19E89CF7" w14:textId="67E41035" w:rsidR="001A4564" w:rsidRPr="001A4564" w:rsidRDefault="001A4564" w:rsidP="001A4564">
      <w:pPr>
        <w:spacing w:line="360" w:lineRule="auto"/>
        <w:rPr>
          <w:rFonts w:ascii="Arial" w:hAnsi="Arial" w:cs="Arial"/>
        </w:rPr>
      </w:pPr>
      <w:r w:rsidRPr="001A4564">
        <w:rPr>
          <w:rFonts w:ascii="Arial" w:hAnsi="Arial" w:cs="Arial"/>
        </w:rPr>
        <w:t>Tyler, T.R. (2006b) ‘Restorative justice and procedural justice: Dealing with rule breaking’, *Journal of Social Issues*, 62(2), pp. 307–326. [</w:t>
      </w:r>
      <w:proofErr w:type="gramStart"/>
      <w:r w:rsidRPr="001A4564">
        <w:rPr>
          <w:rFonts w:ascii="Arial" w:hAnsi="Arial" w:cs="Arial"/>
        </w:rPr>
        <w:t>https://doi.org/10.1111/j.1540-4560.2006.00452.x](</w:t>
      </w:r>
      <w:proofErr w:type="gramEnd"/>
      <w:r w:rsidRPr="001A4564">
        <w:rPr>
          <w:rFonts w:ascii="Arial" w:hAnsi="Arial" w:cs="Arial"/>
        </w:rPr>
        <w:t>https://doi.org/10.1111/j.1540-4560.2006.00452.x).</w:t>
      </w:r>
    </w:p>
    <w:p w14:paraId="0BDA7DF6" w14:textId="77777777" w:rsidR="001A4564" w:rsidRPr="001A4564" w:rsidRDefault="001A4564" w:rsidP="001A4564">
      <w:pPr>
        <w:spacing w:line="360" w:lineRule="auto"/>
        <w:rPr>
          <w:rFonts w:ascii="Arial" w:hAnsi="Arial" w:cs="Arial"/>
        </w:rPr>
      </w:pPr>
    </w:p>
    <w:p w14:paraId="581EEBC1" w14:textId="77777777" w:rsidR="001A4564" w:rsidRPr="001A4564" w:rsidRDefault="001A4564" w:rsidP="001A4564">
      <w:pPr>
        <w:spacing w:line="360" w:lineRule="auto"/>
        <w:rPr>
          <w:rFonts w:ascii="Arial" w:hAnsi="Arial" w:cs="Arial"/>
        </w:rPr>
      </w:pPr>
      <w:proofErr w:type="spellStart"/>
      <w:r w:rsidRPr="001A4564">
        <w:rPr>
          <w:rFonts w:ascii="Arial" w:hAnsi="Arial" w:cs="Arial"/>
        </w:rPr>
        <w:t>Upadrasta</w:t>
      </w:r>
      <w:proofErr w:type="spellEnd"/>
      <w:r w:rsidRPr="001A4564">
        <w:rPr>
          <w:rFonts w:ascii="Arial" w:hAnsi="Arial" w:cs="Arial"/>
        </w:rPr>
        <w:t>, N. (2025) *Barriers built in: Accessing survivor justice and care as a function of system design*. University of Chicago Knowledge Repository. Available at: [</w:t>
      </w:r>
      <w:proofErr w:type="gramStart"/>
      <w:r w:rsidRPr="001A4564">
        <w:rPr>
          <w:rFonts w:ascii="Arial" w:hAnsi="Arial" w:cs="Arial"/>
        </w:rPr>
        <w:t>https://knowledge.uchicago.edu/record/15594](</w:t>
      </w:r>
      <w:proofErr w:type="gramEnd"/>
      <w:r w:rsidRPr="001A4564">
        <w:rPr>
          <w:rFonts w:ascii="Arial" w:hAnsi="Arial" w:cs="Arial"/>
        </w:rPr>
        <w:t>https://knowledge.uchicago.edu/record/15594) (Accessed: 7 January 2026).</w:t>
      </w:r>
    </w:p>
    <w:p w14:paraId="35473D74" w14:textId="77777777" w:rsidR="001A4564" w:rsidRPr="001A4564" w:rsidRDefault="001A4564" w:rsidP="001A4564">
      <w:pPr>
        <w:spacing w:line="360" w:lineRule="auto"/>
        <w:rPr>
          <w:rFonts w:ascii="Arial" w:hAnsi="Arial" w:cs="Arial"/>
        </w:rPr>
      </w:pPr>
    </w:p>
    <w:p w14:paraId="090D6C07" w14:textId="77777777" w:rsidR="001A4564" w:rsidRPr="001A4564" w:rsidRDefault="001A4564" w:rsidP="001A4564">
      <w:pPr>
        <w:spacing w:line="360" w:lineRule="auto"/>
        <w:rPr>
          <w:rFonts w:ascii="Arial" w:hAnsi="Arial" w:cs="Arial"/>
        </w:rPr>
      </w:pPr>
      <w:r w:rsidRPr="001A4564">
        <w:rPr>
          <w:rFonts w:ascii="Arial" w:hAnsi="Arial" w:cs="Arial"/>
        </w:rPr>
        <w:t>Victim Support (2024) *Court process re-</w:t>
      </w:r>
      <w:proofErr w:type="spellStart"/>
      <w:r w:rsidRPr="001A4564">
        <w:rPr>
          <w:rFonts w:ascii="Arial" w:hAnsi="Arial" w:cs="Arial"/>
        </w:rPr>
        <w:t>traumatising</w:t>
      </w:r>
      <w:proofErr w:type="spellEnd"/>
      <w:r w:rsidRPr="001A4564">
        <w:rPr>
          <w:rFonts w:ascii="Arial" w:hAnsi="Arial" w:cs="Arial"/>
        </w:rPr>
        <w:t xml:space="preserve"> victim-survivors of sexual violence*. Available at: [</w:t>
      </w:r>
      <w:proofErr w:type="gramStart"/>
      <w:r w:rsidRPr="001A4564">
        <w:rPr>
          <w:rFonts w:ascii="Arial" w:hAnsi="Arial" w:cs="Arial"/>
        </w:rPr>
        <w:t>https://www.victimsupport.org.uk/court-process-re-traumatising-victim-survivors-of-sexual-violence-new-report-reveals/](</w:t>
      </w:r>
      <w:proofErr w:type="gramEnd"/>
      <w:r w:rsidRPr="001A4564">
        <w:rPr>
          <w:rFonts w:ascii="Arial" w:hAnsi="Arial" w:cs="Arial"/>
        </w:rPr>
        <w:t>https://www.victimsupport.org.uk/court-process-re-traumatising-victim-survivors-of-sexual-violence-new-report-reveals/) (Accessed: 7 January 2026).</w:t>
      </w:r>
    </w:p>
    <w:p w14:paraId="62F5F6B2" w14:textId="77777777" w:rsidR="001A4564" w:rsidRPr="001A4564" w:rsidRDefault="001A4564" w:rsidP="001A4564">
      <w:pPr>
        <w:spacing w:line="360" w:lineRule="auto"/>
        <w:rPr>
          <w:rFonts w:ascii="Arial" w:hAnsi="Arial" w:cs="Arial"/>
        </w:rPr>
      </w:pPr>
    </w:p>
    <w:p w14:paraId="110606AC" w14:textId="77777777" w:rsidR="001A4564" w:rsidRPr="001A4564" w:rsidRDefault="001A4564" w:rsidP="001A4564">
      <w:pPr>
        <w:spacing w:line="360" w:lineRule="auto"/>
        <w:rPr>
          <w:rFonts w:ascii="Arial" w:hAnsi="Arial" w:cs="Arial"/>
        </w:rPr>
      </w:pPr>
      <w:r w:rsidRPr="001A4564">
        <w:rPr>
          <w:rFonts w:ascii="Arial" w:hAnsi="Arial" w:cs="Arial"/>
        </w:rPr>
        <w:lastRenderedPageBreak/>
        <w:t>Victims and Prisoners Act 2024, c.21. Available at: [</w:t>
      </w:r>
      <w:proofErr w:type="gramStart"/>
      <w:r w:rsidRPr="001A4564">
        <w:rPr>
          <w:rFonts w:ascii="Arial" w:hAnsi="Arial" w:cs="Arial"/>
        </w:rPr>
        <w:t>https://www.legislation.gov.uk/ukpga/2024/21](</w:t>
      </w:r>
      <w:proofErr w:type="gramEnd"/>
      <w:r w:rsidRPr="001A4564">
        <w:rPr>
          <w:rFonts w:ascii="Arial" w:hAnsi="Arial" w:cs="Arial"/>
        </w:rPr>
        <w:t>https://www.legislation.gov.uk/ukpga/2024/21) (Accessed: 6 January 2026).</w:t>
      </w:r>
    </w:p>
    <w:p w14:paraId="2F3ABF90" w14:textId="77777777" w:rsidR="001A4564" w:rsidRPr="001A4564" w:rsidRDefault="001A4564" w:rsidP="001A4564">
      <w:pPr>
        <w:spacing w:line="360" w:lineRule="auto"/>
        <w:rPr>
          <w:rFonts w:ascii="Arial" w:hAnsi="Arial" w:cs="Arial"/>
        </w:rPr>
      </w:pPr>
    </w:p>
    <w:p w14:paraId="7BD3D14C" w14:textId="77777777" w:rsidR="001A4564" w:rsidRPr="001A4564" w:rsidRDefault="001A4564" w:rsidP="001A4564">
      <w:pPr>
        <w:spacing w:line="360" w:lineRule="auto"/>
        <w:rPr>
          <w:rFonts w:ascii="Arial" w:hAnsi="Arial" w:cs="Arial"/>
        </w:rPr>
      </w:pPr>
      <w:r w:rsidRPr="001A4564">
        <w:rPr>
          <w:rFonts w:ascii="Arial" w:hAnsi="Arial" w:cs="Arial"/>
        </w:rPr>
        <w:t>Victims’ Commissioner for England and Wales (2023) *Annual report 2022–23*. Available at: [</w:t>
      </w:r>
      <w:proofErr w:type="gramStart"/>
      <w:r w:rsidRPr="001A4564">
        <w:rPr>
          <w:rFonts w:ascii="Arial" w:hAnsi="Arial" w:cs="Arial"/>
        </w:rPr>
        <w:t>https://victimscommissioner.org.uk](</w:t>
      </w:r>
      <w:proofErr w:type="gramEnd"/>
      <w:r w:rsidRPr="001A4564">
        <w:rPr>
          <w:rFonts w:ascii="Arial" w:hAnsi="Arial" w:cs="Arial"/>
        </w:rPr>
        <w:t>https://victimscommissioner.org.uk) (Accessed: 6 January 2026).</w:t>
      </w:r>
    </w:p>
    <w:p w14:paraId="08115696" w14:textId="77777777" w:rsidR="001A4564" w:rsidRPr="001A4564" w:rsidRDefault="001A4564" w:rsidP="001A4564">
      <w:pPr>
        <w:spacing w:line="360" w:lineRule="auto"/>
        <w:rPr>
          <w:rFonts w:ascii="Arial" w:hAnsi="Arial" w:cs="Arial"/>
        </w:rPr>
      </w:pPr>
    </w:p>
    <w:p w14:paraId="1C336347" w14:textId="77777777" w:rsidR="001A4564" w:rsidRDefault="001A4564" w:rsidP="001A4564">
      <w:pPr>
        <w:spacing w:line="360" w:lineRule="auto"/>
        <w:rPr>
          <w:rFonts w:ascii="Arial" w:hAnsi="Arial" w:cs="Arial"/>
        </w:rPr>
      </w:pPr>
      <w:r w:rsidRPr="001A4564">
        <w:rPr>
          <w:rFonts w:ascii="Arial" w:hAnsi="Arial" w:cs="Arial"/>
        </w:rPr>
        <w:t>Victims’ Commissioner for England and Wales (2025) *Fewer than half of victims believe they can get justice*. Available at: [</w:t>
      </w:r>
      <w:proofErr w:type="gramStart"/>
      <w:r w:rsidRPr="001A4564">
        <w:rPr>
          <w:rFonts w:ascii="Arial" w:hAnsi="Arial" w:cs="Arial"/>
        </w:rPr>
        <w:t>https://victimscommissioner.org.uk/news/fewer-than-half-of-victims-believe-they-can-get-justice-finds-victims-commissioner/](</w:t>
      </w:r>
      <w:proofErr w:type="gramEnd"/>
      <w:r w:rsidRPr="001A4564">
        <w:rPr>
          <w:rFonts w:ascii="Arial" w:hAnsi="Arial" w:cs="Arial"/>
        </w:rPr>
        <w:t>https://victimscommissioner.org.uk/news/fewer-than-half-of-victims-believe-they-can-get-justice-finds-victims-commissioner/) (Accessed: 6 January 2026).</w:t>
      </w:r>
    </w:p>
    <w:p w14:paraId="61AF04F1" w14:textId="77777777" w:rsidR="001A4564" w:rsidRPr="001A4564" w:rsidRDefault="001A4564" w:rsidP="001A4564">
      <w:pPr>
        <w:spacing w:line="360" w:lineRule="auto"/>
        <w:rPr>
          <w:rFonts w:ascii="Arial" w:hAnsi="Arial" w:cs="Arial"/>
        </w:rPr>
      </w:pPr>
    </w:p>
    <w:p w14:paraId="7A7469C4" w14:textId="0A819389" w:rsidR="001A4564" w:rsidRDefault="001A4564" w:rsidP="001A4564">
      <w:pPr>
        <w:spacing w:line="360" w:lineRule="auto"/>
        <w:rPr>
          <w:rFonts w:ascii="Arial" w:hAnsi="Arial" w:cs="Arial"/>
          <w:color w:val="000000"/>
        </w:rPr>
      </w:pPr>
      <w:r w:rsidRPr="001A4564">
        <w:rPr>
          <w:rFonts w:ascii="Arial" w:hAnsi="Arial" w:cs="Arial"/>
          <w:color w:val="000000"/>
        </w:rPr>
        <w:t>West Midlands Police and Crime Commissioner (2020) </w:t>
      </w:r>
      <w:r w:rsidRPr="001A4564">
        <w:rPr>
          <w:rFonts w:ascii="Arial" w:hAnsi="Arial" w:cs="Arial"/>
          <w:i/>
          <w:iCs/>
          <w:color w:val="000000"/>
        </w:rPr>
        <w:t xml:space="preserve">Deputy PCC publishes review of vulnerable victims </w:t>
      </w:r>
      <w:proofErr w:type="gramStart"/>
      <w:r w:rsidRPr="001A4564">
        <w:rPr>
          <w:rFonts w:ascii="Arial" w:hAnsi="Arial" w:cs="Arial"/>
          <w:i/>
          <w:iCs/>
          <w:color w:val="000000"/>
        </w:rPr>
        <w:t>services</w:t>
      </w:r>
      <w:r w:rsidRPr="001A4564">
        <w:rPr>
          <w:rFonts w:ascii="Arial" w:hAnsi="Arial" w:cs="Arial"/>
          <w:color w:val="000000"/>
        </w:rPr>
        <w:t>[</w:t>
      </w:r>
      <w:proofErr w:type="gramEnd"/>
      <w:r w:rsidRPr="001A4564">
        <w:rPr>
          <w:rFonts w:ascii="Arial" w:hAnsi="Arial" w:cs="Arial"/>
          <w:color w:val="000000"/>
        </w:rPr>
        <w:t>Image]. Available at:</w:t>
      </w:r>
      <w:r w:rsidRPr="001A4564">
        <w:rPr>
          <w:rFonts w:ascii="Arial" w:hAnsi="Arial" w:cs="Arial"/>
          <w:color w:val="000000"/>
        </w:rPr>
        <w:br/>
      </w:r>
      <w:hyperlink r:id="rId14" w:tgtFrame="_new" w:history="1">
        <w:r w:rsidRPr="001A4564">
          <w:rPr>
            <w:rFonts w:ascii="Arial" w:hAnsi="Arial" w:cs="Arial"/>
            <w:color w:val="0000FF"/>
            <w:u w:val="single"/>
          </w:rPr>
          <w:t>https://www.westmidlands-pcc.gov.uk/deputy-pcc-publishes-review-of-vulnerable-victims-services/</w:t>
        </w:r>
      </w:hyperlink>
      <w:r w:rsidRPr="001A4564">
        <w:rPr>
          <w:rFonts w:ascii="Arial" w:hAnsi="Arial" w:cs="Arial"/>
          <w:color w:val="000000"/>
        </w:rPr>
        <w:br/>
        <w:t>(Accessed: 3 January 2026).</w:t>
      </w:r>
    </w:p>
    <w:p w14:paraId="2A31D059" w14:textId="77777777" w:rsidR="001A4564" w:rsidRPr="001A4564" w:rsidRDefault="001A4564" w:rsidP="001A4564">
      <w:pPr>
        <w:spacing w:line="360" w:lineRule="auto"/>
        <w:rPr>
          <w:rFonts w:ascii="Arial" w:hAnsi="Arial" w:cs="Arial"/>
        </w:rPr>
      </w:pPr>
    </w:p>
    <w:p w14:paraId="5F0A6F46" w14:textId="77777777" w:rsidR="001A4564" w:rsidRPr="001A4564" w:rsidRDefault="001A4564" w:rsidP="001A4564">
      <w:pPr>
        <w:spacing w:line="360" w:lineRule="auto"/>
        <w:rPr>
          <w:rFonts w:ascii="Arial" w:hAnsi="Arial" w:cs="Arial"/>
        </w:rPr>
      </w:pPr>
      <w:proofErr w:type="spellStart"/>
      <w:r w:rsidRPr="001A4564">
        <w:rPr>
          <w:rFonts w:ascii="Arial" w:hAnsi="Arial" w:cs="Arial"/>
        </w:rPr>
        <w:t>Wieberneit</w:t>
      </w:r>
      <w:proofErr w:type="spellEnd"/>
      <w:r w:rsidRPr="001A4564">
        <w:rPr>
          <w:rFonts w:ascii="Arial" w:hAnsi="Arial" w:cs="Arial"/>
        </w:rPr>
        <w:t xml:space="preserve">, M., </w:t>
      </w:r>
      <w:proofErr w:type="spellStart"/>
      <w:r w:rsidRPr="001A4564">
        <w:rPr>
          <w:rFonts w:ascii="Arial" w:hAnsi="Arial" w:cs="Arial"/>
        </w:rPr>
        <w:t>Thal</w:t>
      </w:r>
      <w:proofErr w:type="spellEnd"/>
      <w:r w:rsidRPr="001A4564">
        <w:rPr>
          <w:rFonts w:ascii="Arial" w:hAnsi="Arial" w:cs="Arial"/>
        </w:rPr>
        <w:t xml:space="preserve">, S., Clare, J., </w:t>
      </w:r>
      <w:proofErr w:type="spellStart"/>
      <w:r w:rsidRPr="001A4564">
        <w:rPr>
          <w:rFonts w:ascii="Arial" w:hAnsi="Arial" w:cs="Arial"/>
        </w:rPr>
        <w:t>Notebaert</w:t>
      </w:r>
      <w:proofErr w:type="spellEnd"/>
      <w:r w:rsidRPr="001A4564">
        <w:rPr>
          <w:rFonts w:ascii="Arial" w:hAnsi="Arial" w:cs="Arial"/>
        </w:rPr>
        <w:t xml:space="preserve">, L. and </w:t>
      </w:r>
      <w:proofErr w:type="spellStart"/>
      <w:r w:rsidRPr="001A4564">
        <w:rPr>
          <w:rFonts w:ascii="Arial" w:hAnsi="Arial" w:cs="Arial"/>
        </w:rPr>
        <w:t>Tubex</w:t>
      </w:r>
      <w:proofErr w:type="spellEnd"/>
      <w:r w:rsidRPr="001A4564">
        <w:rPr>
          <w:rFonts w:ascii="Arial" w:hAnsi="Arial" w:cs="Arial"/>
        </w:rPr>
        <w:t>, H. (2024) ‘Silenced survivors’, *Trauma, Violence &amp; Abuse*, 25(5), pp. 3742–3757. Available at: [</w:t>
      </w:r>
      <w:proofErr w:type="gramStart"/>
      <w:r w:rsidRPr="001A4564">
        <w:rPr>
          <w:rFonts w:ascii="Arial" w:hAnsi="Arial" w:cs="Arial"/>
        </w:rPr>
        <w:t>https://www.ncbi.nlm.nih.gov/pmc/articles/PMC11545439/](</w:t>
      </w:r>
      <w:proofErr w:type="gramEnd"/>
      <w:r w:rsidRPr="001A4564">
        <w:rPr>
          <w:rFonts w:ascii="Arial" w:hAnsi="Arial" w:cs="Arial"/>
        </w:rPr>
        <w:t>https://www.ncbi.nlm.nih.gov/pmc/articles/PMC11545439/) (Accessed: 20 December 2025).</w:t>
      </w:r>
    </w:p>
    <w:p w14:paraId="2E5BC000" w14:textId="77777777" w:rsidR="001A4564" w:rsidRPr="001A4564" w:rsidRDefault="001A4564" w:rsidP="001A4564">
      <w:pPr>
        <w:spacing w:line="360" w:lineRule="auto"/>
        <w:rPr>
          <w:rFonts w:ascii="Arial" w:hAnsi="Arial" w:cs="Arial"/>
        </w:rPr>
      </w:pPr>
    </w:p>
    <w:p w14:paraId="10E1853D" w14:textId="77777777" w:rsidR="001A4564" w:rsidRPr="001A4564" w:rsidRDefault="001A4564" w:rsidP="001A4564">
      <w:pPr>
        <w:spacing w:line="360" w:lineRule="auto"/>
        <w:rPr>
          <w:rFonts w:ascii="Arial" w:hAnsi="Arial" w:cs="Arial"/>
        </w:rPr>
      </w:pPr>
      <w:r w:rsidRPr="001A4564">
        <w:rPr>
          <w:rFonts w:ascii="Arial" w:hAnsi="Arial" w:cs="Arial"/>
        </w:rPr>
        <w:lastRenderedPageBreak/>
        <w:t>Youth Justice and Criminal Evidence Act 1999. Available at: [</w:t>
      </w:r>
      <w:proofErr w:type="gramStart"/>
      <w:r w:rsidRPr="001A4564">
        <w:rPr>
          <w:rFonts w:ascii="Arial" w:hAnsi="Arial" w:cs="Arial"/>
        </w:rPr>
        <w:t>https://www.legislation.gov.uk/ukpga/1999/23](</w:t>
      </w:r>
      <w:proofErr w:type="gramEnd"/>
      <w:r w:rsidRPr="001A4564">
        <w:rPr>
          <w:rFonts w:ascii="Arial" w:hAnsi="Arial" w:cs="Arial"/>
        </w:rPr>
        <w:t>https://www.legislation.gov.uk/ukpga/1999/23) (Accessed: 6 January 2026).</w:t>
      </w:r>
    </w:p>
    <w:p w14:paraId="71A2392C" w14:textId="77777777" w:rsidR="001A4564" w:rsidRPr="001A4564" w:rsidRDefault="001A4564" w:rsidP="001A4564">
      <w:pPr>
        <w:pStyle w:val="Heading1"/>
        <w:spacing w:line="360" w:lineRule="auto"/>
        <w:rPr>
          <w:rFonts w:ascii="Arial" w:hAnsi="Arial" w:cs="Arial"/>
          <w:sz w:val="24"/>
          <w:szCs w:val="24"/>
        </w:rPr>
      </w:pPr>
    </w:p>
    <w:p w14:paraId="5DF15335" w14:textId="6EEC1302" w:rsidR="000B3BCC" w:rsidRDefault="000B3BCC" w:rsidP="000B3BCC">
      <w:pPr>
        <w:pStyle w:val="Heading1"/>
      </w:pPr>
      <w:r>
        <w:br w:type="page"/>
      </w:r>
    </w:p>
    <w:p w14:paraId="701BD859" w14:textId="01B6D40B" w:rsidR="00892C3C" w:rsidRDefault="00892C3C" w:rsidP="00892C3C">
      <w:pPr>
        <w:pStyle w:val="Heading1"/>
        <w:rPr>
          <w:u w:val="single"/>
        </w:rPr>
      </w:pPr>
      <w:bookmarkStart w:id="29" w:name="_Toc218713277"/>
      <w:r w:rsidRPr="00892C3C">
        <w:rPr>
          <w:u w:val="single"/>
        </w:rPr>
        <w:lastRenderedPageBreak/>
        <w:t>Appendices</w:t>
      </w:r>
      <w:bookmarkEnd w:id="29"/>
    </w:p>
    <w:p w14:paraId="6DC38FA0" w14:textId="77777777" w:rsidR="00C22A36" w:rsidRPr="00C22A36" w:rsidRDefault="00C22A36" w:rsidP="00C22A36">
      <w:pPr>
        <w:pStyle w:val="Heading2"/>
        <w:rPr>
          <w:rStyle w:val="Strong"/>
          <w:b w:val="0"/>
          <w:bCs w:val="0"/>
          <w:sz w:val="28"/>
          <w:szCs w:val="28"/>
          <w:u w:val="single"/>
        </w:rPr>
      </w:pPr>
      <w:bookmarkStart w:id="30" w:name="_Toc218713278"/>
      <w:r w:rsidRPr="00C22A36">
        <w:rPr>
          <w:rStyle w:val="Strong"/>
          <w:b w:val="0"/>
          <w:bCs w:val="0"/>
          <w:sz w:val="28"/>
          <w:szCs w:val="28"/>
          <w:u w:val="single"/>
        </w:rPr>
        <w:t>Appendix A – Police Engagement and Victim Communication</w:t>
      </w:r>
      <w:bookmarkEnd w:id="30"/>
    </w:p>
    <w:p w14:paraId="347CD378" w14:textId="77777777" w:rsidR="00C22A36" w:rsidRPr="00C22A36" w:rsidRDefault="00C22A36" w:rsidP="00C22A36">
      <w:pPr>
        <w:pStyle w:val="Heading3"/>
        <w:spacing w:line="360" w:lineRule="auto"/>
        <w:rPr>
          <w:rFonts w:ascii="Arial" w:hAnsi="Arial" w:cs="Arial"/>
          <w:sz w:val="24"/>
        </w:rPr>
      </w:pPr>
      <w:bookmarkStart w:id="31" w:name="_Toc218713279"/>
      <w:r w:rsidRPr="00C22A36">
        <w:rPr>
          <w:rStyle w:val="Strong"/>
          <w:rFonts w:ascii="Arial" w:hAnsi="Arial" w:cs="Arial"/>
          <w:b w:val="0"/>
          <w:bCs w:val="0"/>
          <w:sz w:val="24"/>
        </w:rPr>
        <w:t>Figure 1: Trauma-Informed Investigative Interviewing Principles</w:t>
      </w:r>
      <w:bookmarkEnd w:id="31"/>
    </w:p>
    <w:p w14:paraId="09387AB0" w14:textId="77777777" w:rsidR="00C22A36" w:rsidRPr="00C22A36" w:rsidRDefault="00C22A36" w:rsidP="00C22A36">
      <w:pPr>
        <w:spacing w:before="100" w:beforeAutospacing="1" w:after="100" w:afterAutospacing="1" w:line="360" w:lineRule="auto"/>
        <w:rPr>
          <w:rFonts w:ascii="Arial" w:eastAsia="Times New Roman" w:hAnsi="Arial" w:cs="Arial"/>
          <w:color w:val="000000"/>
          <w:lang w:val="en-GB" w:eastAsia="en-GB"/>
        </w:rPr>
      </w:pPr>
      <w:r w:rsidRPr="00C22A36">
        <w:rPr>
          <w:rFonts w:ascii="Arial" w:eastAsia="Times New Roman" w:hAnsi="Arial" w:cs="Arial"/>
          <w:i/>
          <w:iCs/>
          <w:color w:val="000000"/>
          <w:lang w:val="en-GB" w:eastAsia="en-GB"/>
        </w:rPr>
        <w:t>Extract from national investigative interviewing guidance illustrating core trauma-informed principles, including rapport-building, open-ended questioning, and victim control during police interviews.</w:t>
      </w:r>
    </w:p>
    <w:p w14:paraId="098774E7" w14:textId="10A7D731" w:rsidR="00C22A36" w:rsidRPr="00C22A36" w:rsidRDefault="00C22A36" w:rsidP="00C22A36">
      <w:pPr>
        <w:pStyle w:val="NormalWeb"/>
        <w:spacing w:line="360" w:lineRule="auto"/>
        <w:rPr>
          <w:rFonts w:ascii="Arial" w:hAnsi="Arial" w:cs="Arial"/>
          <w:color w:val="000000"/>
        </w:rPr>
      </w:pPr>
      <w:r w:rsidRPr="00C22A36">
        <w:rPr>
          <w:rStyle w:val="Strong"/>
          <w:rFonts w:ascii="Arial" w:hAnsi="Arial" w:cs="Arial"/>
          <w:color w:val="000000"/>
        </w:rPr>
        <w:t>Source:</w:t>
      </w:r>
      <w:r w:rsidRPr="00C22A36">
        <w:rPr>
          <w:rStyle w:val="apple-converted-space"/>
          <w:rFonts w:ascii="Arial" w:eastAsiaTheme="majorEastAsia" w:hAnsi="Arial" w:cs="Arial"/>
          <w:color w:val="000000"/>
        </w:rPr>
        <w:t> </w:t>
      </w:r>
      <w:r w:rsidRPr="00C22A36">
        <w:rPr>
          <w:rFonts w:ascii="Arial" w:hAnsi="Arial" w:cs="Arial"/>
          <w:color w:val="000000"/>
        </w:rPr>
        <w:t>College of Policing (2025)</w:t>
      </w:r>
      <w:r w:rsidRPr="00C22A36">
        <w:rPr>
          <w:rStyle w:val="apple-converted-space"/>
          <w:rFonts w:ascii="Arial" w:eastAsiaTheme="majorEastAsia" w:hAnsi="Arial" w:cs="Arial"/>
          <w:color w:val="000000"/>
        </w:rPr>
        <w:t> </w:t>
      </w:r>
      <w:r w:rsidRPr="00C22A36">
        <w:rPr>
          <w:rStyle w:val="Emphasis"/>
          <w:rFonts w:ascii="Arial" w:eastAsiaTheme="majorEastAsia" w:hAnsi="Arial" w:cs="Arial"/>
          <w:color w:val="000000"/>
        </w:rPr>
        <w:t>Investigative Interviewing Guidance</w:t>
      </w:r>
      <w:r w:rsidRPr="00C22A36">
        <w:rPr>
          <w:rFonts w:ascii="Arial" w:hAnsi="Arial" w:cs="Arial"/>
          <w:color w:val="000000"/>
        </w:rPr>
        <w:t>. Available at:</w:t>
      </w:r>
      <w:r w:rsidRPr="00C22A36">
        <w:rPr>
          <w:rStyle w:val="apple-converted-space"/>
          <w:rFonts w:ascii="Arial" w:eastAsiaTheme="majorEastAsia" w:hAnsi="Arial" w:cs="Arial"/>
          <w:color w:val="000000"/>
        </w:rPr>
        <w:t> </w:t>
      </w:r>
      <w:hyperlink r:id="rId15" w:tgtFrame="_new" w:history="1">
        <w:r w:rsidRPr="00C22A36">
          <w:rPr>
            <w:rStyle w:val="Hyperlink"/>
            <w:rFonts w:ascii="Arial" w:hAnsi="Arial" w:cs="Arial"/>
          </w:rPr>
          <w:t>https://www.college.police.uk/app/investigation/investigative-interviewing/investigative-interviewing</w:t>
        </w:r>
      </w:hyperlink>
      <w:r w:rsidRPr="00C22A36">
        <w:rPr>
          <w:rStyle w:val="apple-converted-space"/>
          <w:rFonts w:ascii="Arial" w:eastAsiaTheme="majorEastAsia" w:hAnsi="Arial" w:cs="Arial"/>
          <w:color w:val="000000"/>
        </w:rPr>
        <w:t> </w:t>
      </w:r>
      <w:r w:rsidRPr="00C22A36">
        <w:rPr>
          <w:rFonts w:ascii="Arial" w:hAnsi="Arial" w:cs="Arial"/>
          <w:color w:val="000000"/>
        </w:rPr>
        <w:t>(Accessed: 7 January 2026).</w:t>
      </w:r>
    </w:p>
    <w:p w14:paraId="737ABA67" w14:textId="4DB69530" w:rsidR="00C22A36" w:rsidRDefault="00C22A36" w:rsidP="00C22A36">
      <w:pPr>
        <w:jc w:val="center"/>
      </w:pPr>
      <w:r>
        <w:rPr>
          <w:noProof/>
        </w:rPr>
        <w:drawing>
          <wp:inline distT="0" distB="0" distL="0" distR="0" wp14:anchorId="70862AA0" wp14:editId="0CEA39CE">
            <wp:extent cx="5539539" cy="5370925"/>
            <wp:effectExtent l="0" t="0" r="0" b="0"/>
            <wp:docPr id="503428035" name="Picture 7" descr="Investigative interviewing | College of Polici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1" descr="Investigative interviewing | College of Policing"/>
                    <pic:cNvPicPr>
                      <a:picLocks noChangeAspect="1" noChangeArrowheads="1"/>
                    </pic:cNvPicPr>
                  </pic:nvPicPr>
                  <pic:blipFill>
                    <a:blip r:embed="rId16">
                      <a:extLst>
                        <a:ext uri="{28A0092B-C50C-407E-A947-70E740481C1C}">
                          <a14:useLocalDpi xmlns:a14="http://schemas.microsoft.com/office/drawing/2010/main" val="0"/>
                        </a:ext>
                      </a:extLst>
                    </a:blip>
                    <a:srcRect/>
                    <a:stretch>
                      <a:fillRect/>
                    </a:stretch>
                  </pic:blipFill>
                  <pic:spPr bwMode="auto">
                    <a:xfrm>
                      <a:off x="0" y="0"/>
                      <a:ext cx="5572976" cy="5403344"/>
                    </a:xfrm>
                    <a:prstGeom prst="rect">
                      <a:avLst/>
                    </a:prstGeom>
                    <a:noFill/>
                    <a:ln>
                      <a:noFill/>
                    </a:ln>
                  </pic:spPr>
                </pic:pic>
              </a:graphicData>
            </a:graphic>
          </wp:inline>
        </w:drawing>
      </w:r>
    </w:p>
    <w:p w14:paraId="4584FDA6" w14:textId="10B849B6" w:rsidR="00C22A36" w:rsidRPr="00C22A36" w:rsidRDefault="00C22A36" w:rsidP="00C22A36">
      <w:pPr>
        <w:pStyle w:val="Heading3"/>
        <w:spacing w:line="360" w:lineRule="auto"/>
        <w:rPr>
          <w:rFonts w:ascii="Arial" w:hAnsi="Arial" w:cs="Arial"/>
          <w:sz w:val="24"/>
        </w:rPr>
      </w:pPr>
      <w:bookmarkStart w:id="32" w:name="_Toc218713280"/>
      <w:r w:rsidRPr="00C22A36">
        <w:rPr>
          <w:rFonts w:ascii="Arial" w:hAnsi="Arial" w:cs="Arial"/>
          <w:sz w:val="24"/>
        </w:rPr>
        <w:lastRenderedPageBreak/>
        <w:t>Figure 2: Victim Information and Support Pathways at First Police Contact</w:t>
      </w:r>
      <w:bookmarkEnd w:id="32"/>
    </w:p>
    <w:p w14:paraId="7C1A18E4" w14:textId="77777777" w:rsidR="00C22A36" w:rsidRPr="00C22A36" w:rsidRDefault="00C22A36" w:rsidP="00C22A36">
      <w:pPr>
        <w:spacing w:before="100" w:beforeAutospacing="1" w:after="100" w:afterAutospacing="1" w:line="360" w:lineRule="auto"/>
        <w:rPr>
          <w:rFonts w:ascii="Arial" w:eastAsia="Times New Roman" w:hAnsi="Arial" w:cs="Arial"/>
          <w:color w:val="000000"/>
          <w:lang w:val="en-GB" w:eastAsia="en-GB"/>
        </w:rPr>
      </w:pPr>
      <w:r w:rsidRPr="00C22A36">
        <w:rPr>
          <w:rFonts w:ascii="Arial" w:eastAsia="Times New Roman" w:hAnsi="Arial" w:cs="Arial"/>
          <w:i/>
          <w:iCs/>
          <w:color w:val="000000"/>
          <w:lang w:val="en-GB" w:eastAsia="en-GB"/>
        </w:rPr>
        <w:t>Extract from Cumbria Constabulary victim information materials demonstrating how reporting processes, support services, and referral pathways are communicated to victims at the point of first contact.</w:t>
      </w:r>
    </w:p>
    <w:p w14:paraId="5091D814" w14:textId="5D336DFB" w:rsidR="00C22A36" w:rsidRPr="00C22A36" w:rsidRDefault="00C22A36" w:rsidP="00C22A36">
      <w:pPr>
        <w:spacing w:line="360" w:lineRule="auto"/>
        <w:rPr>
          <w:rFonts w:ascii="Arial" w:hAnsi="Arial" w:cs="Arial"/>
          <w:color w:val="000000"/>
        </w:rPr>
      </w:pPr>
      <w:r w:rsidRPr="00C22A36">
        <w:rPr>
          <w:rStyle w:val="Strong"/>
          <w:rFonts w:ascii="Arial" w:hAnsi="Arial" w:cs="Arial"/>
          <w:color w:val="000000"/>
        </w:rPr>
        <w:t>Source:</w:t>
      </w:r>
      <w:r w:rsidRPr="00C22A36">
        <w:rPr>
          <w:rStyle w:val="apple-converted-space"/>
          <w:rFonts w:ascii="Arial" w:hAnsi="Arial" w:cs="Arial"/>
          <w:color w:val="000000"/>
        </w:rPr>
        <w:t> </w:t>
      </w:r>
      <w:r w:rsidRPr="00C22A36">
        <w:rPr>
          <w:rFonts w:ascii="Arial" w:hAnsi="Arial" w:cs="Arial"/>
          <w:color w:val="000000"/>
        </w:rPr>
        <w:t>Cumbria Constabulary (2025)</w:t>
      </w:r>
      <w:r w:rsidRPr="00C22A36">
        <w:rPr>
          <w:rStyle w:val="apple-converted-space"/>
          <w:rFonts w:ascii="Arial" w:hAnsi="Arial" w:cs="Arial"/>
          <w:color w:val="000000"/>
        </w:rPr>
        <w:t> </w:t>
      </w:r>
      <w:r w:rsidRPr="00C22A36">
        <w:rPr>
          <w:rStyle w:val="Emphasis"/>
          <w:rFonts w:ascii="Arial" w:hAnsi="Arial" w:cs="Arial"/>
          <w:color w:val="000000"/>
        </w:rPr>
        <w:t>Victim Information</w:t>
      </w:r>
      <w:r w:rsidRPr="00C22A36">
        <w:rPr>
          <w:rFonts w:ascii="Arial" w:hAnsi="Arial" w:cs="Arial"/>
          <w:color w:val="000000"/>
        </w:rPr>
        <w:t>. Available at:</w:t>
      </w:r>
      <w:r w:rsidRPr="00C22A36">
        <w:rPr>
          <w:rStyle w:val="apple-converted-space"/>
          <w:rFonts w:ascii="Arial" w:hAnsi="Arial" w:cs="Arial"/>
          <w:color w:val="000000"/>
        </w:rPr>
        <w:t> </w:t>
      </w:r>
      <w:hyperlink r:id="rId17" w:tgtFrame="_new" w:history="1">
        <w:r w:rsidRPr="00C22A36">
          <w:rPr>
            <w:rStyle w:val="Hyperlink"/>
            <w:rFonts w:ascii="Arial" w:hAnsi="Arial" w:cs="Arial"/>
          </w:rPr>
          <w:t>https://www.cumbria.police.uk/police-forces/cumbria-constabulary/areas/campaigns/campaigns/victim-information/</w:t>
        </w:r>
      </w:hyperlink>
      <w:r w:rsidRPr="00C22A36">
        <w:rPr>
          <w:rStyle w:val="apple-converted-space"/>
          <w:rFonts w:ascii="Arial" w:hAnsi="Arial" w:cs="Arial"/>
          <w:color w:val="000000"/>
        </w:rPr>
        <w:t> </w:t>
      </w:r>
      <w:r w:rsidRPr="00C22A36">
        <w:rPr>
          <w:rFonts w:ascii="Arial" w:hAnsi="Arial" w:cs="Arial"/>
          <w:color w:val="000000"/>
        </w:rPr>
        <w:t>(Accessed: 7 January 2026).</w:t>
      </w:r>
    </w:p>
    <w:p w14:paraId="2421F8CB" w14:textId="27C7FB1F" w:rsidR="00C22A36" w:rsidRDefault="00C22A36" w:rsidP="00C22A36">
      <w:pPr>
        <w:jc w:val="center"/>
      </w:pPr>
      <w:r>
        <w:rPr>
          <w:noProof/>
        </w:rPr>
        <w:drawing>
          <wp:inline distT="0" distB="0" distL="0" distR="0" wp14:anchorId="71EC0E1F" wp14:editId="07E6B759">
            <wp:extent cx="5396364" cy="2120400"/>
            <wp:effectExtent l="0" t="0" r="1270" b="635"/>
            <wp:docPr id="6128211" name="Picture 6" descr="Victim information | Cumbria Poli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9" descr="Victim information | Cumbria Police"/>
                    <pic:cNvPicPr>
                      <a:picLocks noChangeAspect="1" noChangeArrowheads="1"/>
                    </pic:cNvPicPr>
                  </pic:nvPicPr>
                  <pic:blipFill>
                    <a:blip r:embed="rId18">
                      <a:extLst>
                        <a:ext uri="{28A0092B-C50C-407E-A947-70E740481C1C}">
                          <a14:useLocalDpi xmlns:a14="http://schemas.microsoft.com/office/drawing/2010/main" val="0"/>
                        </a:ext>
                      </a:extLst>
                    </a:blip>
                    <a:srcRect/>
                    <a:stretch>
                      <a:fillRect/>
                    </a:stretch>
                  </pic:blipFill>
                  <pic:spPr bwMode="auto">
                    <a:xfrm>
                      <a:off x="0" y="0"/>
                      <a:ext cx="5396364" cy="2120400"/>
                    </a:xfrm>
                    <a:prstGeom prst="rect">
                      <a:avLst/>
                    </a:prstGeom>
                    <a:noFill/>
                    <a:ln>
                      <a:noFill/>
                    </a:ln>
                  </pic:spPr>
                </pic:pic>
              </a:graphicData>
            </a:graphic>
          </wp:inline>
        </w:drawing>
      </w:r>
    </w:p>
    <w:p w14:paraId="2B83987E" w14:textId="0022EFCA" w:rsidR="00C22A36" w:rsidRPr="00C22A36" w:rsidRDefault="00C22A36" w:rsidP="00C22A36">
      <w:pPr>
        <w:pStyle w:val="Heading1"/>
        <w:rPr>
          <w:color w:val="000000"/>
          <w:sz w:val="28"/>
          <w:szCs w:val="28"/>
          <w:u w:val="single"/>
        </w:rPr>
      </w:pPr>
      <w:bookmarkStart w:id="33" w:name="_Toc218713281"/>
      <w:r w:rsidRPr="00C22A36">
        <w:rPr>
          <w:rStyle w:val="Strong"/>
          <w:b w:val="0"/>
          <w:bCs w:val="0"/>
          <w:color w:val="000000"/>
          <w:sz w:val="28"/>
          <w:szCs w:val="28"/>
          <w:u w:val="single"/>
        </w:rPr>
        <w:t>Appendix B – Procedural Delays and Case Outcomes</w:t>
      </w:r>
      <w:bookmarkEnd w:id="33"/>
    </w:p>
    <w:p w14:paraId="4E4BB430" w14:textId="5E063714" w:rsidR="00C22A36" w:rsidRPr="00C22A36" w:rsidRDefault="00C22A36" w:rsidP="00C22A36">
      <w:pPr>
        <w:pStyle w:val="Heading4"/>
        <w:spacing w:line="360" w:lineRule="auto"/>
        <w:rPr>
          <w:rFonts w:ascii="Arial" w:hAnsi="Arial" w:cs="Arial"/>
          <w:color w:val="000000"/>
          <w:sz w:val="24"/>
        </w:rPr>
      </w:pPr>
      <w:bookmarkStart w:id="34" w:name="_Toc218713282"/>
      <w:r w:rsidRPr="00C22A36">
        <w:rPr>
          <w:rStyle w:val="Heading3Char"/>
          <w:rFonts w:ascii="Arial" w:hAnsi="Arial" w:cs="Arial"/>
          <w:sz w:val="24"/>
        </w:rPr>
        <w:t>Figure 3: Time Taken (Median Days) for Sexual Offences to Receive an Outcome, by Outcome Type, Years Ending March 2023 and 2024, England and Wales</w:t>
      </w:r>
      <w:bookmarkEnd w:id="34"/>
      <w:r w:rsidRPr="00C22A36">
        <w:rPr>
          <w:rStyle w:val="Strong"/>
          <w:rFonts w:ascii="Arial" w:hAnsi="Arial" w:cs="Arial"/>
          <w:b w:val="0"/>
          <w:bCs w:val="0"/>
          <w:color w:val="000000"/>
          <w:sz w:val="24"/>
        </w:rPr>
        <w:t xml:space="preserve">- </w:t>
      </w:r>
      <w:r w:rsidRPr="00C22A36">
        <w:rPr>
          <w:rStyle w:val="Emphasis"/>
          <w:rFonts w:ascii="Arial" w:hAnsi="Arial" w:cs="Arial"/>
          <w:b w:val="0"/>
          <w:bCs/>
          <w:color w:val="000000"/>
          <w:sz w:val="24"/>
        </w:rPr>
        <w:t>This figure illustrates median timeframes for sexual offence cases to reach an outcome across different stages of the criminal justice process, highlighting prolonged delays for cases proceeding beyond investigation.</w:t>
      </w:r>
    </w:p>
    <w:p w14:paraId="2F3FB101" w14:textId="11F726A8" w:rsidR="00C22A36" w:rsidRDefault="00C22A36" w:rsidP="00C22A36">
      <w:pPr>
        <w:spacing w:line="360" w:lineRule="auto"/>
        <w:rPr>
          <w:rFonts w:ascii="Arial" w:hAnsi="Arial" w:cs="Arial"/>
        </w:rPr>
      </w:pPr>
      <w:r w:rsidRPr="00C22A36">
        <w:rPr>
          <w:rStyle w:val="Strong"/>
          <w:rFonts w:ascii="Arial" w:hAnsi="Arial" w:cs="Arial"/>
          <w:color w:val="000000"/>
        </w:rPr>
        <w:t>Source:</w:t>
      </w:r>
      <w:r w:rsidRPr="00C22A36">
        <w:rPr>
          <w:rStyle w:val="apple-converted-space"/>
          <w:rFonts w:ascii="Arial" w:hAnsi="Arial" w:cs="Arial"/>
          <w:color w:val="000000"/>
        </w:rPr>
        <w:t> </w:t>
      </w:r>
      <w:r w:rsidRPr="00C22A36">
        <w:rPr>
          <w:rFonts w:ascii="Arial" w:hAnsi="Arial" w:cs="Arial"/>
          <w:color w:val="000000"/>
        </w:rPr>
        <w:t>Office for National Statistics (2024)</w:t>
      </w:r>
      <w:r w:rsidRPr="00C22A36">
        <w:rPr>
          <w:rStyle w:val="apple-converted-space"/>
          <w:rFonts w:ascii="Arial" w:hAnsi="Arial" w:cs="Arial"/>
          <w:color w:val="000000"/>
        </w:rPr>
        <w:t> </w:t>
      </w:r>
      <w:r w:rsidRPr="00C22A36">
        <w:rPr>
          <w:rStyle w:val="Emphasis"/>
          <w:rFonts w:ascii="Arial" w:hAnsi="Arial" w:cs="Arial"/>
          <w:color w:val="000000"/>
        </w:rPr>
        <w:t>Sexual offences in England and Wales: overview</w:t>
      </w:r>
      <w:r w:rsidRPr="00C22A36">
        <w:rPr>
          <w:rFonts w:ascii="Arial" w:hAnsi="Arial" w:cs="Arial"/>
          <w:color w:val="000000"/>
        </w:rPr>
        <w:t>. Available at:</w:t>
      </w:r>
      <w:r w:rsidRPr="00C22A36">
        <w:rPr>
          <w:rFonts w:ascii="Arial" w:hAnsi="Arial" w:cs="Arial"/>
          <w:color w:val="000000"/>
        </w:rPr>
        <w:br/>
      </w:r>
      <w:hyperlink r:id="rId19" w:tgtFrame="_new" w:history="1">
        <w:r w:rsidRPr="00C22A36">
          <w:rPr>
            <w:rStyle w:val="Hyperlink"/>
            <w:rFonts w:ascii="Arial" w:hAnsi="Arial" w:cs="Arial"/>
          </w:rPr>
          <w:t>https://www.ons.gov.uk/peoplepopulationandcommunity/crimeandjustice/bulletins/sexualoffencesinenglandandwalesoverview/yearendingmarch2025</w:t>
        </w:r>
      </w:hyperlink>
      <w:r w:rsidRPr="00C22A36">
        <w:rPr>
          <w:rFonts w:ascii="Arial" w:hAnsi="Arial" w:cs="Arial"/>
          <w:color w:val="000000"/>
        </w:rPr>
        <w:br/>
        <w:t>(Accessed: 7 January 2026).</w:t>
      </w:r>
    </w:p>
    <w:p w14:paraId="5BEB3161" w14:textId="0446B630" w:rsidR="00C22A36" w:rsidRDefault="00C22A36" w:rsidP="00C22A36">
      <w:pPr>
        <w:spacing w:line="360" w:lineRule="auto"/>
        <w:jc w:val="center"/>
      </w:pPr>
      <w:r>
        <w:rPr>
          <w:rFonts w:ascii="Arial" w:hAnsi="Arial" w:cs="Arial"/>
          <w:noProof/>
          <w:color w:val="000000"/>
        </w:rPr>
        <w:lastRenderedPageBreak/>
        <w:drawing>
          <wp:inline distT="0" distB="0" distL="0" distR="0" wp14:anchorId="04C767CF" wp14:editId="70E625C5">
            <wp:extent cx="5201193" cy="3469341"/>
            <wp:effectExtent l="0" t="0" r="6350" b="0"/>
            <wp:docPr id="395940092" name="Graphic 1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95940092" name="Graphic 395940092"/>
                    <pic:cNvPicPr/>
                  </pic:nvPicPr>
                  <pic:blipFill>
                    <a:blip r:embed="rId20" cstate="print">
                      <a:extLst>
                        <a:ext uri="{28A0092B-C50C-407E-A947-70E740481C1C}">
                          <a14:useLocalDpi xmlns:a14="http://schemas.microsoft.com/office/drawing/2010/main" val="0"/>
                        </a:ext>
                        <a:ext uri="{96DAC541-7B7A-43D3-8B79-37D633B846F1}">
                          <asvg:svgBlip xmlns:asvg="http://schemas.microsoft.com/office/drawing/2016/SVG/main" r:embed="rId21"/>
                        </a:ext>
                      </a:extLst>
                    </a:blip>
                    <a:stretch>
                      <a:fillRect/>
                    </a:stretch>
                  </pic:blipFill>
                  <pic:spPr>
                    <a:xfrm>
                      <a:off x="0" y="0"/>
                      <a:ext cx="5227246" cy="3486719"/>
                    </a:xfrm>
                    <a:prstGeom prst="rect">
                      <a:avLst/>
                    </a:prstGeom>
                  </pic:spPr>
                </pic:pic>
              </a:graphicData>
            </a:graphic>
          </wp:inline>
        </w:drawing>
      </w:r>
    </w:p>
    <w:p w14:paraId="008ACE57" w14:textId="77777777" w:rsidR="00C22A36" w:rsidRPr="00C22A36" w:rsidRDefault="00C22A36" w:rsidP="00C22A36">
      <w:pPr>
        <w:pStyle w:val="Heading1"/>
        <w:rPr>
          <w:sz w:val="28"/>
          <w:szCs w:val="28"/>
          <w:u w:val="single"/>
        </w:rPr>
      </w:pPr>
      <w:bookmarkStart w:id="35" w:name="_Toc218713283"/>
      <w:r w:rsidRPr="00C22A36">
        <w:rPr>
          <w:rStyle w:val="Strong"/>
          <w:b w:val="0"/>
          <w:bCs w:val="0"/>
          <w:color w:val="000000"/>
          <w:sz w:val="28"/>
          <w:szCs w:val="28"/>
          <w:u w:val="single"/>
        </w:rPr>
        <w:t>Appendix C – Use of Special Measures (Section 28)</w:t>
      </w:r>
      <w:bookmarkEnd w:id="35"/>
    </w:p>
    <w:p w14:paraId="669EB1FD" w14:textId="2B10717C" w:rsidR="00C22A36" w:rsidRPr="001A4564" w:rsidRDefault="00C22A36" w:rsidP="00C22A36">
      <w:pPr>
        <w:pStyle w:val="Heading2"/>
        <w:spacing w:line="360" w:lineRule="auto"/>
        <w:rPr>
          <w:rFonts w:ascii="Arial" w:hAnsi="Arial" w:cs="Arial"/>
          <w:sz w:val="24"/>
          <w:szCs w:val="24"/>
        </w:rPr>
      </w:pPr>
      <w:bookmarkStart w:id="36" w:name="_Toc218713284"/>
      <w:r w:rsidRPr="001A4564">
        <w:rPr>
          <w:rFonts w:ascii="Arial" w:hAnsi="Arial" w:cs="Arial"/>
          <w:sz w:val="24"/>
          <w:szCs w:val="24"/>
        </w:rPr>
        <w:t>Figure 4: Use of Section 28 Pre-Recorded Cross-Examination by Offence Type, January 2019–August 2023</w:t>
      </w:r>
      <w:bookmarkEnd w:id="36"/>
    </w:p>
    <w:p w14:paraId="445C4E8D" w14:textId="4EA5D62E" w:rsidR="00C22A36" w:rsidRPr="00C22A36" w:rsidRDefault="00C22A36" w:rsidP="00C22A36">
      <w:pPr>
        <w:spacing w:line="360" w:lineRule="auto"/>
        <w:rPr>
          <w:rFonts w:ascii="Arial" w:hAnsi="Arial" w:cs="Arial"/>
          <w:color w:val="000000"/>
        </w:rPr>
      </w:pPr>
      <w:r w:rsidRPr="00C22A36">
        <w:rPr>
          <w:rFonts w:ascii="Arial" w:hAnsi="Arial" w:cs="Arial"/>
          <w:color w:val="000000"/>
        </w:rPr>
        <w:t>This figure illustrates variation in the use of Section 28 pre-recorded cross-examination across offence types, demonstrating uneven uptake despite statutory eligibility.</w:t>
      </w:r>
    </w:p>
    <w:p w14:paraId="62E24C86" w14:textId="5A59C802" w:rsidR="00C22A36" w:rsidRPr="00C22A36" w:rsidRDefault="00C22A36" w:rsidP="00C22A36">
      <w:pPr>
        <w:spacing w:line="360" w:lineRule="auto"/>
        <w:rPr>
          <w:rFonts w:ascii="Arial" w:hAnsi="Arial" w:cs="Arial"/>
          <w:color w:val="000000"/>
        </w:rPr>
      </w:pPr>
      <w:r w:rsidRPr="00C22A36">
        <w:rPr>
          <w:rFonts w:ascii="Arial" w:hAnsi="Arial" w:cs="Arial"/>
          <w:b/>
          <w:bCs/>
          <w:color w:val="000000"/>
        </w:rPr>
        <w:t>Source:</w:t>
      </w:r>
      <w:r w:rsidRPr="00C22A36">
        <w:rPr>
          <w:rFonts w:ascii="Arial" w:hAnsi="Arial" w:cs="Arial"/>
          <w:color w:val="000000"/>
        </w:rPr>
        <w:t> Reproduced from </w:t>
      </w:r>
      <w:r w:rsidRPr="00C22A36">
        <w:rPr>
          <w:rFonts w:ascii="Arial" w:hAnsi="Arial" w:cs="Arial"/>
          <w:i/>
          <w:iCs/>
          <w:color w:val="000000"/>
        </w:rPr>
        <w:t>Closing the Justice Gap for Adult and Child Sexual Offences</w:t>
      </w:r>
      <w:r w:rsidRPr="00C22A36">
        <w:rPr>
          <w:rFonts w:ascii="Arial" w:hAnsi="Arial" w:cs="Arial"/>
          <w:color w:val="000000"/>
        </w:rPr>
        <w:t> (2020), drawing on Ministry of Justice, Crown Prosecution Service and HMCTS data.</w:t>
      </w:r>
    </w:p>
    <w:p w14:paraId="5D3D2793" w14:textId="23DF0C1A" w:rsidR="00C22A36" w:rsidRPr="00C22A36" w:rsidRDefault="00C22A36" w:rsidP="00C22A36">
      <w:pPr>
        <w:spacing w:line="360" w:lineRule="auto"/>
        <w:jc w:val="center"/>
      </w:pPr>
      <w:r>
        <w:rPr>
          <w:noProof/>
        </w:rPr>
        <w:drawing>
          <wp:inline distT="0" distB="0" distL="0" distR="0" wp14:anchorId="3EE00A93" wp14:editId="6AC7ECAC">
            <wp:extent cx="3946698" cy="2460812"/>
            <wp:effectExtent l="0" t="0" r="3175" b="3175"/>
            <wp:docPr id="533521711" name="Picture 12" descr="A table with numbers and 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33521711" name="Picture 12" descr="A table with numbers and text&#10;&#10;Description automatically generated"/>
                    <pic:cNvPicPr/>
                  </pic:nvPicPr>
                  <pic:blipFill>
                    <a:blip r:embed="rId22" cstate="print">
                      <a:extLst>
                        <a:ext uri="{28A0092B-C50C-407E-A947-70E740481C1C}">
                          <a14:useLocalDpi xmlns:a14="http://schemas.microsoft.com/office/drawing/2010/main" val="0"/>
                        </a:ext>
                      </a:extLst>
                    </a:blip>
                    <a:stretch>
                      <a:fillRect/>
                    </a:stretch>
                  </pic:blipFill>
                  <pic:spPr>
                    <a:xfrm>
                      <a:off x="0" y="0"/>
                      <a:ext cx="3999925" cy="2494000"/>
                    </a:xfrm>
                    <a:prstGeom prst="rect">
                      <a:avLst/>
                    </a:prstGeom>
                  </pic:spPr>
                </pic:pic>
              </a:graphicData>
            </a:graphic>
          </wp:inline>
        </w:drawing>
      </w:r>
    </w:p>
    <w:sectPr w:rsidR="00C22A36" w:rsidRPr="00C22A36">
      <w:footerReference w:type="default" r:id="rId23"/>
      <w:pgSz w:w="11907" w:h="16839" w:code="9"/>
      <w:pgMar w:top="1267" w:right="1339" w:bottom="1339" w:left="1339" w:header="720" w:footer="720" w:gutter="0"/>
      <w:cols w:space="720"/>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endnote w:type="separator" w:id="-1">
    <w:p w14:paraId="645E290D" w14:textId="77777777" w:rsidR="00592FCE" w:rsidRDefault="00592FCE">
      <w:pPr>
        <w:spacing w:after="0" w:line="240" w:lineRule="auto"/>
      </w:pPr>
      <w:r>
        <w:separator/>
      </w:r>
    </w:p>
    <w:p w14:paraId="0B59CEB6" w14:textId="77777777" w:rsidR="00592FCE" w:rsidRDefault="00592FCE"/>
    <w:p w14:paraId="0F5BE0AE" w14:textId="77777777" w:rsidR="00592FCE" w:rsidRDefault="00592FCE"/>
  </w:endnote>
  <w:endnote w:type="continuationSeparator" w:id="0">
    <w:p w14:paraId="3E4C124A" w14:textId="77777777" w:rsidR="00592FCE" w:rsidRDefault="00592FCE">
      <w:pPr>
        <w:spacing w:after="0" w:line="240" w:lineRule="auto"/>
      </w:pPr>
      <w:r>
        <w:continuationSeparator/>
      </w:r>
    </w:p>
    <w:p w14:paraId="076677CE" w14:textId="77777777" w:rsidR="00592FCE" w:rsidRDefault="00592FCE"/>
    <w:p w14:paraId="010EC1ED" w14:textId="77777777" w:rsidR="00592FCE" w:rsidRDefault="00592FCE"/>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4D"/>
    <w:family w:val="decorative"/>
    <w:pitch w:val="variable"/>
    <w:sig w:usb0="00000003" w:usb1="00000000" w:usb2="00000000" w:usb3="00000000" w:csb0="80000001" w:csb1="00000000"/>
  </w:font>
  <w:font w:name="Aptos">
    <w:panose1 w:val="020B0004020202020204"/>
    <w:charset w:val="00"/>
    <w:family w:val="swiss"/>
    <w:pitch w:val="variable"/>
    <w:sig w:usb0="20000287" w:usb1="00000003" w:usb2="00000000" w:usb3="00000000" w:csb0="0000019F" w:csb1="00000000"/>
  </w:font>
  <w:font w:name="SimSun">
    <w:altName w:val="宋体"/>
    <w:panose1 w:val="02010600030101010101"/>
    <w:charset w:val="86"/>
    <w:family w:val="auto"/>
    <w:pitch w:val="variable"/>
    <w:sig w:usb0="00000203" w:usb1="288F0000" w:usb2="00000016" w:usb3="00000000" w:csb0="00040001" w:csb1="00000000"/>
  </w:font>
  <w:font w:name="Arial">
    <w:panose1 w:val="020B0604020202020204"/>
    <w:charset w:val="00"/>
    <w:family w:val="swiss"/>
    <w:pitch w:val="variable"/>
    <w:sig w:usb0="E0002AFF" w:usb1="C0007843" w:usb2="00000009" w:usb3="00000000" w:csb0="000001FF" w:csb1="00000000"/>
  </w:font>
  <w:font w:name="-webkit-standard">
    <w:altName w:val="Cambria"/>
    <w:panose1 w:val="020B0604020202020204"/>
    <w:charset w:val="00"/>
    <w:family w:val="roman"/>
    <w:pitch w:val="default"/>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sdt>
    <w:sdtPr>
      <w:id w:val="-595635894"/>
      <w:docPartObj>
        <w:docPartGallery w:val="Page Numbers (Bottom of Page)"/>
        <w:docPartUnique/>
      </w:docPartObj>
    </w:sdtPr>
    <w:sdtEndPr>
      <w:rPr>
        <w:noProof/>
      </w:rPr>
    </w:sdtEndPr>
    <w:sdtContent>
      <w:p w14:paraId="307334F0" w14:textId="77777777" w:rsidR="00F251B2" w:rsidRDefault="001D1FD5">
        <w:pPr>
          <w:pStyle w:val="Footer"/>
        </w:pPr>
        <w:r>
          <w:rPr>
            <w:lang w:val="en-GB" w:bidi="en-GB"/>
          </w:rPr>
          <w:fldChar w:fldCharType="begin"/>
        </w:r>
        <w:r>
          <w:rPr>
            <w:lang w:val="en-GB" w:bidi="en-GB"/>
          </w:rPr>
          <w:instrText xml:space="preserve"> PAGE   \* MERGEFORMAT </w:instrText>
        </w:r>
        <w:r>
          <w:rPr>
            <w:lang w:val="en-GB" w:bidi="en-GB"/>
          </w:rPr>
          <w:fldChar w:fldCharType="separate"/>
        </w:r>
        <w:r>
          <w:rPr>
            <w:noProof/>
            <w:lang w:val="en-GB" w:bidi="en-GB"/>
          </w:rPr>
          <w:t>2</w:t>
        </w:r>
        <w:r>
          <w:rPr>
            <w:noProof/>
            <w:lang w:val="en-GB" w:bidi="en-GB"/>
          </w:rPr>
          <w:fldChar w:fldCharType="end"/>
        </w:r>
      </w:p>
    </w:sdtContent>
  </w:sdt>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footnote w:type="separator" w:id="-1">
    <w:p w14:paraId="20EF2AC4" w14:textId="77777777" w:rsidR="00592FCE" w:rsidRDefault="00592FCE">
      <w:pPr>
        <w:spacing w:after="0" w:line="240" w:lineRule="auto"/>
      </w:pPr>
      <w:r>
        <w:separator/>
      </w:r>
    </w:p>
    <w:p w14:paraId="12486444" w14:textId="77777777" w:rsidR="00592FCE" w:rsidRDefault="00592FCE"/>
    <w:p w14:paraId="7E3B4DFB" w14:textId="77777777" w:rsidR="00592FCE" w:rsidRDefault="00592FCE"/>
  </w:footnote>
  <w:footnote w:type="continuationSeparator" w:id="0">
    <w:p w14:paraId="5529FD3F" w14:textId="77777777" w:rsidR="00592FCE" w:rsidRDefault="00592FCE">
      <w:pPr>
        <w:spacing w:after="0" w:line="240" w:lineRule="auto"/>
      </w:pPr>
      <w:r>
        <w:continuationSeparator/>
      </w:r>
    </w:p>
    <w:p w14:paraId="46E54F60" w14:textId="77777777" w:rsidR="00592FCE" w:rsidRDefault="00592FCE"/>
    <w:p w14:paraId="6622E885" w14:textId="77777777" w:rsidR="00592FCE" w:rsidRDefault="00592FCE"/>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abstractNum w:abstractNumId="0" w15:restartNumberingAfterBreak="0">
    <w:nsid w:val="FFFFFF7C"/>
    <w:multiLevelType w:val="singleLevel"/>
    <w:tmpl w:val="60029364"/>
    <w:lvl w:ilvl="0">
      <w:start w:val="1"/>
      <w:numFmt w:val="decimal"/>
      <w:lvlText w:val="%1."/>
      <w:lvlJc w:val="left"/>
      <w:pPr>
        <w:tabs>
          <w:tab w:val="num" w:pos="1800"/>
        </w:tabs>
        <w:ind w:left="1800" w:hanging="360"/>
      </w:pPr>
    </w:lvl>
  </w:abstractNum>
  <w:abstractNum w:abstractNumId="1" w15:restartNumberingAfterBreak="0">
    <w:nsid w:val="FFFFFF7D"/>
    <w:multiLevelType w:val="singleLevel"/>
    <w:tmpl w:val="D270B25E"/>
    <w:lvl w:ilvl="0">
      <w:start w:val="1"/>
      <w:numFmt w:val="decimal"/>
      <w:lvlText w:val="%1."/>
      <w:lvlJc w:val="left"/>
      <w:pPr>
        <w:tabs>
          <w:tab w:val="num" w:pos="1440"/>
        </w:tabs>
        <w:ind w:left="1440" w:hanging="360"/>
      </w:pPr>
    </w:lvl>
  </w:abstractNum>
  <w:abstractNum w:abstractNumId="2" w15:restartNumberingAfterBreak="0">
    <w:nsid w:val="FFFFFF7E"/>
    <w:multiLevelType w:val="singleLevel"/>
    <w:tmpl w:val="1996E9A4"/>
    <w:lvl w:ilvl="0">
      <w:start w:val="1"/>
      <w:numFmt w:val="decimal"/>
      <w:lvlText w:val="%1."/>
      <w:lvlJc w:val="left"/>
      <w:pPr>
        <w:tabs>
          <w:tab w:val="num" w:pos="1080"/>
        </w:tabs>
        <w:ind w:left="1080" w:hanging="360"/>
      </w:pPr>
    </w:lvl>
  </w:abstractNum>
  <w:abstractNum w:abstractNumId="3" w15:restartNumberingAfterBreak="0">
    <w:nsid w:val="FFFFFF7F"/>
    <w:multiLevelType w:val="singleLevel"/>
    <w:tmpl w:val="31B4141E"/>
    <w:lvl w:ilvl="0">
      <w:start w:val="1"/>
      <w:numFmt w:val="decimal"/>
      <w:lvlText w:val="%1."/>
      <w:lvlJc w:val="left"/>
      <w:pPr>
        <w:tabs>
          <w:tab w:val="num" w:pos="720"/>
        </w:tabs>
        <w:ind w:left="720" w:hanging="360"/>
      </w:pPr>
    </w:lvl>
  </w:abstractNum>
  <w:abstractNum w:abstractNumId="4" w15:restartNumberingAfterBreak="0">
    <w:nsid w:val="FFFFFF80"/>
    <w:multiLevelType w:val="singleLevel"/>
    <w:tmpl w:val="B82E4BF4"/>
    <w:lvl w:ilvl="0">
      <w:start w:val="1"/>
      <w:numFmt w:val="bullet"/>
      <w:lvlText w:val=""/>
      <w:lvlJc w:val="left"/>
      <w:pPr>
        <w:tabs>
          <w:tab w:val="num" w:pos="1800"/>
        </w:tabs>
        <w:ind w:left="1800" w:hanging="360"/>
      </w:pPr>
      <w:rPr>
        <w:rFonts w:ascii="Symbol" w:hAnsi="Symbol" w:hint="default"/>
      </w:rPr>
    </w:lvl>
  </w:abstractNum>
  <w:abstractNum w:abstractNumId="5" w15:restartNumberingAfterBreak="0">
    <w:nsid w:val="FFFFFF81"/>
    <w:multiLevelType w:val="singleLevel"/>
    <w:tmpl w:val="F3B4E408"/>
    <w:lvl w:ilvl="0">
      <w:start w:val="1"/>
      <w:numFmt w:val="bullet"/>
      <w:lvlText w:val=""/>
      <w:lvlJc w:val="left"/>
      <w:pPr>
        <w:tabs>
          <w:tab w:val="num" w:pos="1440"/>
        </w:tabs>
        <w:ind w:left="1440" w:hanging="360"/>
      </w:pPr>
      <w:rPr>
        <w:rFonts w:ascii="Symbol" w:hAnsi="Symbol" w:hint="default"/>
      </w:rPr>
    </w:lvl>
  </w:abstractNum>
  <w:abstractNum w:abstractNumId="6" w15:restartNumberingAfterBreak="0">
    <w:nsid w:val="FFFFFF82"/>
    <w:multiLevelType w:val="singleLevel"/>
    <w:tmpl w:val="06683E50"/>
    <w:lvl w:ilvl="0">
      <w:start w:val="1"/>
      <w:numFmt w:val="bullet"/>
      <w:lvlText w:val=""/>
      <w:lvlJc w:val="left"/>
      <w:pPr>
        <w:tabs>
          <w:tab w:val="num" w:pos="1080"/>
        </w:tabs>
        <w:ind w:left="1080" w:hanging="360"/>
      </w:pPr>
      <w:rPr>
        <w:rFonts w:ascii="Symbol" w:hAnsi="Symbol" w:hint="default"/>
      </w:rPr>
    </w:lvl>
  </w:abstractNum>
  <w:abstractNum w:abstractNumId="7" w15:restartNumberingAfterBreak="0">
    <w:nsid w:val="FFFFFF83"/>
    <w:multiLevelType w:val="singleLevel"/>
    <w:tmpl w:val="DA629394"/>
    <w:lvl w:ilvl="0">
      <w:start w:val="1"/>
      <w:numFmt w:val="bullet"/>
      <w:lvlText w:val=""/>
      <w:lvlJc w:val="left"/>
      <w:pPr>
        <w:tabs>
          <w:tab w:val="num" w:pos="720"/>
        </w:tabs>
        <w:ind w:left="720" w:hanging="360"/>
      </w:pPr>
      <w:rPr>
        <w:rFonts w:ascii="Symbol" w:hAnsi="Symbol" w:hint="default"/>
      </w:rPr>
    </w:lvl>
  </w:abstractNum>
  <w:abstractNum w:abstractNumId="8" w15:restartNumberingAfterBreak="0">
    <w:nsid w:val="FFFFFF88"/>
    <w:multiLevelType w:val="singleLevel"/>
    <w:tmpl w:val="44C23A14"/>
    <w:lvl w:ilvl="0">
      <w:start w:val="1"/>
      <w:numFmt w:val="decimal"/>
      <w:lvlText w:val="%1."/>
      <w:lvlJc w:val="left"/>
      <w:pPr>
        <w:tabs>
          <w:tab w:val="num" w:pos="749"/>
        </w:tabs>
        <w:ind w:left="749" w:hanging="259"/>
      </w:pPr>
      <w:rPr>
        <w:rFonts w:hint="default"/>
      </w:rPr>
    </w:lvl>
  </w:abstractNum>
  <w:abstractNum w:abstractNumId="9" w15:restartNumberingAfterBreak="0">
    <w:nsid w:val="FFFFFF89"/>
    <w:multiLevelType w:val="singleLevel"/>
    <w:tmpl w:val="BD14218A"/>
    <w:lvl w:ilvl="0">
      <w:start w:val="1"/>
      <w:numFmt w:val="bullet"/>
      <w:lvlText w:val=""/>
      <w:lvlJc w:val="left"/>
      <w:pPr>
        <w:tabs>
          <w:tab w:val="num" w:pos="360"/>
        </w:tabs>
        <w:ind w:left="360" w:hanging="360"/>
      </w:pPr>
      <w:rPr>
        <w:rFonts w:ascii="Symbol" w:hAnsi="Symbol" w:hint="default"/>
      </w:rPr>
    </w:lvl>
  </w:abstractNum>
  <w:abstractNum w:abstractNumId="10" w15:restartNumberingAfterBreak="0">
    <w:nsid w:val="04153BC6"/>
    <w:multiLevelType w:val="hybridMultilevel"/>
    <w:tmpl w:val="84C8963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1" w15:restartNumberingAfterBreak="0">
    <w:nsid w:val="0B613366"/>
    <w:multiLevelType w:val="hybridMultilevel"/>
    <w:tmpl w:val="69AAFAB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2" w15:restartNumberingAfterBreak="0">
    <w:nsid w:val="22957834"/>
    <w:multiLevelType w:val="hybridMultilevel"/>
    <w:tmpl w:val="64709B02"/>
    <w:lvl w:ilvl="0" w:tplc="D0CE1B3C">
      <w:start w:val="1"/>
      <w:numFmt w:val="bullet"/>
      <w:lvlText w:val=""/>
      <w:lvlJc w:val="left"/>
      <w:pPr>
        <w:ind w:left="749" w:hanging="259"/>
      </w:pPr>
      <w:rPr>
        <w:rFonts w:ascii="Symbol" w:hAnsi="Symbol" w:hint="default"/>
        <w:color w:val="000000" w:themeColor="text1"/>
        <w:w w:val="100"/>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3" w15:restartNumberingAfterBreak="0">
    <w:nsid w:val="2E953A18"/>
    <w:multiLevelType w:val="hybridMultilevel"/>
    <w:tmpl w:val="32B2222E"/>
    <w:lvl w:ilvl="0" w:tplc="07D82D82">
      <w:start w:val="1"/>
      <w:numFmt w:val="decimal"/>
      <w:lvlText w:val="%1."/>
      <w:lvlJc w:val="left"/>
      <w:pPr>
        <w:ind w:left="720" w:hanging="360"/>
      </w:pPr>
      <w:rPr>
        <w:rFonts w:ascii="Aptos" w:hAnsi="Apto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4" w15:restartNumberingAfterBreak="0">
    <w:nsid w:val="330E6996"/>
    <w:multiLevelType w:val="hybridMultilevel"/>
    <w:tmpl w:val="E8AEF27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5" w15:restartNumberingAfterBreak="0">
    <w:nsid w:val="33947FC4"/>
    <w:multiLevelType w:val="hybridMultilevel"/>
    <w:tmpl w:val="04B841B2"/>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6" w15:restartNumberingAfterBreak="0">
    <w:nsid w:val="39FA737A"/>
    <w:multiLevelType w:val="multilevel"/>
    <w:tmpl w:val="C58AE34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7" w15:restartNumberingAfterBreak="0">
    <w:nsid w:val="46C82C9A"/>
    <w:multiLevelType w:val="hybridMultilevel"/>
    <w:tmpl w:val="63F07864"/>
    <w:lvl w:ilvl="0" w:tplc="A552E8B8">
      <w:start w:val="1"/>
      <w:numFmt w:val="bullet"/>
      <w:lvlText w:val=""/>
      <w:lvlJc w:val="left"/>
      <w:pPr>
        <w:tabs>
          <w:tab w:val="num" w:pos="662"/>
        </w:tabs>
        <w:ind w:left="173" w:firstLine="317"/>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8" w15:restartNumberingAfterBreak="0">
    <w:nsid w:val="49BC0320"/>
    <w:multiLevelType w:val="hybridMultilevel"/>
    <w:tmpl w:val="DC3C7298"/>
    <w:lvl w:ilvl="0" w:tplc="B92C4AE4">
      <w:start w:val="1"/>
      <w:numFmt w:val="bullet"/>
      <w:lvlText w:val=""/>
      <w:lvlJc w:val="left"/>
      <w:pPr>
        <w:ind w:left="662" w:hanging="172"/>
      </w:pPr>
      <w:rPr>
        <w:rFonts w:ascii="Symbol" w:hAnsi="Symbol" w:hint="default"/>
        <w:color w:val="000000" w:themeColor="text1"/>
        <w:w w:val="100"/>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9" w15:restartNumberingAfterBreak="0">
    <w:nsid w:val="4B467954"/>
    <w:multiLevelType w:val="hybridMultilevel"/>
    <w:tmpl w:val="56101CBE"/>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0" w15:restartNumberingAfterBreak="0">
    <w:nsid w:val="52083510"/>
    <w:multiLevelType w:val="hybridMultilevel"/>
    <w:tmpl w:val="BE6E19F6"/>
    <w:lvl w:ilvl="0" w:tplc="A50A105A">
      <w:start w:val="1"/>
      <w:numFmt w:val="bullet"/>
      <w:pStyle w:val="ListBullet"/>
      <w:lvlText w:val=""/>
      <w:lvlJc w:val="left"/>
      <w:pPr>
        <w:tabs>
          <w:tab w:val="num" w:pos="749"/>
        </w:tabs>
        <w:ind w:left="749" w:hanging="259"/>
      </w:pPr>
      <w:rPr>
        <w:rFonts w:ascii="Symbol" w:hAnsi="Symbol" w:hint="default"/>
        <w:color w:val="000000" w:themeColor="text1"/>
        <w:w w:val="100"/>
      </w:rPr>
    </w:lvl>
    <w:lvl w:ilvl="1" w:tplc="04090003">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21" w15:restartNumberingAfterBreak="0">
    <w:nsid w:val="5B226C1F"/>
    <w:multiLevelType w:val="hybridMultilevel"/>
    <w:tmpl w:val="49ACD974"/>
    <w:lvl w:ilvl="0" w:tplc="2A7A1916">
      <w:start w:val="1"/>
      <w:numFmt w:val="bullet"/>
      <w:lvlText w:val=""/>
      <w:lvlJc w:val="left"/>
      <w:pPr>
        <w:ind w:left="850" w:hanging="360"/>
      </w:pPr>
      <w:rPr>
        <w:rFonts w:ascii="Symbol" w:hAnsi="Symbol" w:hint="default"/>
        <w:color w:val="000000" w:themeColor="text1"/>
        <w:w w:val="100"/>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22" w15:restartNumberingAfterBreak="0">
    <w:nsid w:val="69390EBD"/>
    <w:multiLevelType w:val="multilevel"/>
    <w:tmpl w:val="4DD6867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3" w15:restartNumberingAfterBreak="0">
    <w:nsid w:val="694B3E83"/>
    <w:multiLevelType w:val="multilevel"/>
    <w:tmpl w:val="C574706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4" w15:restartNumberingAfterBreak="0">
    <w:nsid w:val="6C901CF9"/>
    <w:multiLevelType w:val="hybridMultilevel"/>
    <w:tmpl w:val="2F4A75D8"/>
    <w:lvl w:ilvl="0" w:tplc="62A25D7A">
      <w:start w:val="1"/>
      <w:numFmt w:val="decimal"/>
      <w:pStyle w:val="ListNumber"/>
      <w:lvlText w:val="%1."/>
      <w:lvlJc w:val="left"/>
      <w:pPr>
        <w:ind w:left="720" w:hanging="360"/>
      </w:pPr>
    </w:lvl>
    <w:lvl w:ilvl="1" w:tplc="04090019">
      <w:start w:val="1"/>
      <w:numFmt w:val="lowerLetter"/>
      <w:lvlText w:val="%2."/>
      <w:lvlJc w:val="left"/>
      <w:pPr>
        <w:ind w:left="1440" w:hanging="360"/>
      </w:pPr>
    </w:lvl>
    <w:lvl w:ilvl="2" w:tplc="0409001B">
      <w:start w:val="1"/>
      <w:numFmt w:val="lowerRoman"/>
      <w:lvlText w:val="%3."/>
      <w:lvlJc w:val="right"/>
      <w:pPr>
        <w:ind w:left="2160" w:hanging="180"/>
      </w:pPr>
    </w:lvl>
    <w:lvl w:ilvl="3" w:tplc="0409000F">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25" w15:restartNumberingAfterBreak="0">
    <w:nsid w:val="73DF0314"/>
    <w:multiLevelType w:val="hybridMultilevel"/>
    <w:tmpl w:val="D206EBBA"/>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1461387601">
    <w:abstractNumId w:val="9"/>
  </w:num>
  <w:num w:numId="2" w16cid:durableId="392779480">
    <w:abstractNumId w:val="17"/>
  </w:num>
  <w:num w:numId="3" w16cid:durableId="2088375470">
    <w:abstractNumId w:val="21"/>
  </w:num>
  <w:num w:numId="4" w16cid:durableId="1660386190">
    <w:abstractNumId w:val="18"/>
  </w:num>
  <w:num w:numId="5" w16cid:durableId="106119200">
    <w:abstractNumId w:val="12"/>
  </w:num>
  <w:num w:numId="6" w16cid:durableId="1497838856">
    <w:abstractNumId w:val="7"/>
  </w:num>
  <w:num w:numId="7" w16cid:durableId="1756320995">
    <w:abstractNumId w:val="6"/>
  </w:num>
  <w:num w:numId="8" w16cid:durableId="306906551">
    <w:abstractNumId w:val="5"/>
  </w:num>
  <w:num w:numId="9" w16cid:durableId="182868119">
    <w:abstractNumId w:val="4"/>
  </w:num>
  <w:num w:numId="10" w16cid:durableId="1843425563">
    <w:abstractNumId w:val="8"/>
  </w:num>
  <w:num w:numId="11" w16cid:durableId="90200867">
    <w:abstractNumId w:val="3"/>
  </w:num>
  <w:num w:numId="12" w16cid:durableId="1378512390">
    <w:abstractNumId w:val="2"/>
  </w:num>
  <w:num w:numId="13" w16cid:durableId="1562251315">
    <w:abstractNumId w:val="1"/>
  </w:num>
  <w:num w:numId="14" w16cid:durableId="982933048">
    <w:abstractNumId w:val="0"/>
  </w:num>
  <w:num w:numId="15" w16cid:durableId="300699671">
    <w:abstractNumId w:val="20"/>
  </w:num>
  <w:num w:numId="16" w16cid:durableId="2009356852">
    <w:abstractNumId w:val="24"/>
  </w:num>
  <w:num w:numId="17" w16cid:durableId="1424230509">
    <w:abstractNumId w:val="25"/>
  </w:num>
  <w:num w:numId="18" w16cid:durableId="1960868422">
    <w:abstractNumId w:val="19"/>
  </w:num>
  <w:num w:numId="19" w16cid:durableId="686521180">
    <w:abstractNumId w:val="22"/>
  </w:num>
  <w:num w:numId="20" w16cid:durableId="1647004936">
    <w:abstractNumId w:val="16"/>
  </w:num>
  <w:num w:numId="21" w16cid:durableId="2130391516">
    <w:abstractNumId w:val="15"/>
  </w:num>
  <w:num w:numId="22" w16cid:durableId="1861624219">
    <w:abstractNumId w:val="14"/>
  </w:num>
  <w:num w:numId="23" w16cid:durableId="113453159">
    <w:abstractNumId w:val="23"/>
  </w:num>
  <w:num w:numId="24" w16cid:durableId="70085685">
    <w:abstractNumId w:val="11"/>
  </w:num>
  <w:num w:numId="25" w16cid:durableId="1303316756">
    <w:abstractNumId w:val="10"/>
  </w:num>
  <w:num w:numId="26" w16cid:durableId="1210679074">
    <w:abstractNumId w:val="1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131"/>
  <w:proofState w:spelling="clean" w:grammar="clean"/>
  <w:attachedTemplate r:id="rId1"/>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6D766E"/>
    <w:rsid w:val="00041AFE"/>
    <w:rsid w:val="000B3BCC"/>
    <w:rsid w:val="00110834"/>
    <w:rsid w:val="001A4564"/>
    <w:rsid w:val="001D1FD5"/>
    <w:rsid w:val="00222FB1"/>
    <w:rsid w:val="002628F4"/>
    <w:rsid w:val="002B5130"/>
    <w:rsid w:val="002D366E"/>
    <w:rsid w:val="003151C2"/>
    <w:rsid w:val="0035419A"/>
    <w:rsid w:val="003E02C9"/>
    <w:rsid w:val="00592FCE"/>
    <w:rsid w:val="005F6394"/>
    <w:rsid w:val="00626781"/>
    <w:rsid w:val="00656B0C"/>
    <w:rsid w:val="006D766E"/>
    <w:rsid w:val="00706B13"/>
    <w:rsid w:val="007C0BA8"/>
    <w:rsid w:val="008031A4"/>
    <w:rsid w:val="00892C3C"/>
    <w:rsid w:val="00893DDA"/>
    <w:rsid w:val="008F6F28"/>
    <w:rsid w:val="00960FE4"/>
    <w:rsid w:val="009B5374"/>
    <w:rsid w:val="00A21A5B"/>
    <w:rsid w:val="00B30222"/>
    <w:rsid w:val="00B60DB2"/>
    <w:rsid w:val="00B94654"/>
    <w:rsid w:val="00C22A36"/>
    <w:rsid w:val="00C90EF2"/>
    <w:rsid w:val="00CD0D1A"/>
    <w:rsid w:val="00D16109"/>
    <w:rsid w:val="00DB40CB"/>
    <w:rsid w:val="00DF672B"/>
    <w:rsid w:val="00F14F11"/>
    <w:rsid w:val="00F251B2"/>
  </w:rsids>
  <m:mathPr>
    <m:mathFont m:val="Cambria Math"/>
    <m:brkBin m:val="before"/>
    <m:brkBinSub m:val="--"/>
    <m:smallFrac m:val="0"/>
    <m:dispDef/>
    <m:lMargin m:val="0"/>
    <m:rMargin m:val="0"/>
    <m:defJc m:val="centerGroup"/>
    <m:wrapIndent m:val="1440"/>
    <m:intLim m:val="subSup"/>
    <m:naryLim m:val="undOvr"/>
  </m:mathPr>
  <w:themeFontLang w:val="en-US" w:eastAsia="zh-CN" w:bidi="he-IL"/>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3344686D"/>
  <w15:chartTrackingRefBased/>
  <w15:docId w15:val="{71F7B76C-9D9A-9242-BCB1-46396C624A1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heme="minorHAnsi" w:hAnsiTheme="minorHAnsi" w:cstheme="minorBidi"/>
        <w:color w:val="000000" w:themeColor="text1"/>
        <w:sz w:val="24"/>
        <w:szCs w:val="24"/>
        <w:lang w:val="en-US" w:eastAsia="ja-JP" w:bidi="ar-SA"/>
      </w:rPr>
    </w:rPrDefault>
    <w:pPrDefault>
      <w:pPr>
        <w:spacing w:after="240" w:line="312"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qFormat="1"/>
    <w:lsdException w:name="footer" w:semiHidden="1" w:unhideWhenUsed="1" w:qFormat="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qFormat="1"/>
    <w:lsdException w:name="List Number" w:qFormat="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semiHidden="1" w:uiPriority="22" w:unhideWhenUsed="1" w:qFormat="1"/>
    <w:lsdException w:name="Emphasis" w:semiHidden="1" w:uiPriority="20" w:unhideWhenUsed="1"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semiHidden="1" w:uiPriority="1" w:unhideWhenUsed="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semiHidden="1" w:uiPriority="34" w:unhideWhenUsed="1" w:qFormat="1"/>
    <w:lsdException w:name="Quote" w:uiPriority="29" w:qFormat="1"/>
    <w:lsdException w:name="Intense Quote" w:semiHidden="1" w:uiPriority="30" w:unhideWhenUsed="1"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semiHidden="1" w:uiPriority="19" w:unhideWhenUsed="1" w:qFormat="1"/>
    <w:lsdException w:name="Intense Emphasis" w:semiHidden="1" w:uiPriority="21" w:unhideWhenUsed="1" w:qFormat="1"/>
    <w:lsdException w:name="Subtle Reference" w:semiHidden="1" w:uiPriority="31" w:unhideWhenUsed="1" w:qFormat="1"/>
    <w:lsdException w:name="Intense Reference" w:semiHidden="1" w:uiPriority="32" w:unhideWhenUsed="1" w:qFormat="1"/>
    <w:lsdException w:name="Book Title" w:semiHidden="1" w:uiPriority="33" w:unhideWhenUsed="1"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pPr>
      <w:keepNext/>
      <w:keepLines/>
      <w:spacing w:before="400" w:line="240" w:lineRule="auto"/>
      <w:contextualSpacing/>
      <w:outlineLvl w:val="0"/>
    </w:pPr>
    <w:rPr>
      <w:rFonts w:asciiTheme="majorHAnsi" w:eastAsiaTheme="majorEastAsia" w:hAnsiTheme="majorHAnsi" w:cstheme="majorBidi"/>
      <w:sz w:val="42"/>
      <w:szCs w:val="32"/>
    </w:rPr>
  </w:style>
  <w:style w:type="paragraph" w:styleId="Heading2">
    <w:name w:val="heading 2"/>
    <w:basedOn w:val="Normal"/>
    <w:next w:val="Normal"/>
    <w:link w:val="Heading2Char"/>
    <w:uiPriority w:val="9"/>
    <w:unhideWhenUsed/>
    <w:qFormat/>
    <w:pPr>
      <w:keepNext/>
      <w:keepLines/>
      <w:spacing w:before="400" w:line="240" w:lineRule="auto"/>
      <w:outlineLvl w:val="1"/>
    </w:pPr>
    <w:rPr>
      <w:rFonts w:asciiTheme="majorHAnsi" w:eastAsiaTheme="majorEastAsia" w:hAnsiTheme="majorHAnsi" w:cstheme="majorBidi"/>
      <w:sz w:val="36"/>
      <w:szCs w:val="26"/>
    </w:rPr>
  </w:style>
  <w:style w:type="paragraph" w:styleId="Heading3">
    <w:name w:val="heading 3"/>
    <w:basedOn w:val="Normal"/>
    <w:next w:val="Normal"/>
    <w:link w:val="Heading3Char"/>
    <w:uiPriority w:val="9"/>
    <w:unhideWhenUsed/>
    <w:qFormat/>
    <w:pPr>
      <w:keepNext/>
      <w:keepLines/>
      <w:spacing w:before="400" w:line="240" w:lineRule="auto"/>
      <w:outlineLvl w:val="2"/>
    </w:pPr>
    <w:rPr>
      <w:rFonts w:asciiTheme="majorHAnsi" w:eastAsiaTheme="majorEastAsia" w:hAnsiTheme="majorHAnsi" w:cstheme="majorBidi"/>
      <w:sz w:val="30"/>
    </w:rPr>
  </w:style>
  <w:style w:type="paragraph" w:styleId="Heading4">
    <w:name w:val="heading 4"/>
    <w:basedOn w:val="Normal"/>
    <w:next w:val="Normal"/>
    <w:link w:val="Heading4Char"/>
    <w:uiPriority w:val="9"/>
    <w:unhideWhenUsed/>
    <w:qFormat/>
    <w:pPr>
      <w:keepNext/>
      <w:keepLines/>
      <w:spacing w:before="400" w:line="240" w:lineRule="auto"/>
      <w:outlineLvl w:val="3"/>
    </w:pPr>
    <w:rPr>
      <w:rFonts w:asciiTheme="majorHAnsi" w:eastAsiaTheme="majorEastAsia" w:hAnsiTheme="majorHAnsi" w:cstheme="majorBidi"/>
      <w:i/>
      <w:iCs/>
      <w:sz w:val="30"/>
    </w:rPr>
  </w:style>
  <w:style w:type="paragraph" w:styleId="Heading5">
    <w:name w:val="heading 5"/>
    <w:basedOn w:val="Normal"/>
    <w:next w:val="Normal"/>
    <w:link w:val="Heading5Char"/>
    <w:uiPriority w:val="9"/>
    <w:semiHidden/>
    <w:unhideWhenUsed/>
    <w:qFormat/>
    <w:pPr>
      <w:keepNext/>
      <w:keepLines/>
      <w:spacing w:before="400" w:line="240" w:lineRule="auto"/>
      <w:contextualSpacing/>
      <w:outlineLvl w:val="4"/>
    </w:pPr>
    <w:rPr>
      <w:rFonts w:asciiTheme="majorHAnsi" w:eastAsiaTheme="majorEastAsia" w:hAnsiTheme="majorHAnsi" w:cstheme="majorBidi"/>
      <w:b/>
      <w:color w:val="595959" w:themeColor="text1" w:themeTint="A6"/>
      <w:sz w:val="30"/>
    </w:rPr>
  </w:style>
  <w:style w:type="paragraph" w:styleId="Heading6">
    <w:name w:val="heading 6"/>
    <w:basedOn w:val="Normal"/>
    <w:next w:val="Normal"/>
    <w:link w:val="Heading6Char"/>
    <w:uiPriority w:val="9"/>
    <w:semiHidden/>
    <w:unhideWhenUsed/>
    <w:qFormat/>
    <w:pPr>
      <w:keepNext/>
      <w:keepLines/>
      <w:spacing w:before="400" w:line="240" w:lineRule="auto"/>
      <w:contextualSpacing/>
      <w:outlineLvl w:val="5"/>
    </w:pPr>
    <w:rPr>
      <w:rFonts w:asciiTheme="majorHAnsi" w:eastAsiaTheme="majorEastAsia" w:hAnsiTheme="majorHAnsi" w:cstheme="majorBidi"/>
      <w:b/>
      <w:i/>
      <w:color w:val="595959" w:themeColor="text1" w:themeTint="A6"/>
      <w:sz w:val="30"/>
    </w:rPr>
  </w:style>
  <w:style w:type="paragraph" w:styleId="Heading7">
    <w:name w:val="heading 7"/>
    <w:basedOn w:val="Normal"/>
    <w:next w:val="Normal"/>
    <w:link w:val="Heading7Char"/>
    <w:uiPriority w:val="9"/>
    <w:semiHidden/>
    <w:unhideWhenUsed/>
    <w:qFormat/>
    <w:pPr>
      <w:keepNext/>
      <w:keepLines/>
      <w:spacing w:before="400" w:line="240" w:lineRule="auto"/>
      <w:contextualSpacing/>
      <w:outlineLvl w:val="6"/>
    </w:pPr>
    <w:rPr>
      <w:rFonts w:asciiTheme="majorHAnsi" w:eastAsiaTheme="majorEastAsia" w:hAnsiTheme="majorHAnsi" w:cstheme="majorBidi"/>
      <w:iCs/>
      <w:color w:val="595959" w:themeColor="text1" w:themeTint="A6"/>
      <w:sz w:val="30"/>
    </w:rPr>
  </w:style>
  <w:style w:type="paragraph" w:styleId="Heading8">
    <w:name w:val="heading 8"/>
    <w:basedOn w:val="Normal"/>
    <w:next w:val="Normal"/>
    <w:link w:val="Heading8Char"/>
    <w:uiPriority w:val="9"/>
    <w:semiHidden/>
    <w:unhideWhenUsed/>
    <w:qFormat/>
    <w:pPr>
      <w:keepNext/>
      <w:keepLines/>
      <w:spacing w:before="400" w:line="240" w:lineRule="auto"/>
      <w:contextualSpacing/>
      <w:outlineLvl w:val="7"/>
    </w:pPr>
    <w:rPr>
      <w:rFonts w:asciiTheme="majorHAnsi" w:eastAsiaTheme="majorEastAsia" w:hAnsiTheme="majorHAnsi" w:cstheme="majorBidi"/>
      <w:i/>
      <w:color w:val="595959" w:themeColor="text1" w:themeTint="A6"/>
      <w:sz w:val="30"/>
      <w:szCs w:val="21"/>
    </w:rPr>
  </w:style>
  <w:style w:type="paragraph" w:styleId="Heading9">
    <w:name w:val="heading 9"/>
    <w:basedOn w:val="Normal"/>
    <w:next w:val="Normal"/>
    <w:link w:val="Heading9Char"/>
    <w:uiPriority w:val="9"/>
    <w:semiHidden/>
    <w:unhideWhenUsed/>
    <w:qFormat/>
    <w:pPr>
      <w:keepNext/>
      <w:keepLines/>
      <w:spacing w:before="400" w:line="240" w:lineRule="auto"/>
      <w:contextualSpacing/>
      <w:outlineLvl w:val="8"/>
    </w:pPr>
    <w:rPr>
      <w:rFonts w:asciiTheme="majorHAnsi" w:eastAsiaTheme="majorEastAsia" w:hAnsiTheme="majorHAnsi" w:cstheme="majorBidi"/>
      <w:b/>
      <w:iCs/>
      <w:color w:val="595959" w:themeColor="text1" w:themeTint="A6"/>
      <w:sz w:val="26"/>
      <w:szCs w:val="21"/>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Subtitle">
    <w:name w:val="Subtitle"/>
    <w:basedOn w:val="Normal"/>
    <w:link w:val="SubtitleChar"/>
    <w:uiPriority w:val="2"/>
    <w:qFormat/>
    <w:pPr>
      <w:numPr>
        <w:ilvl w:val="1"/>
      </w:numPr>
      <w:spacing w:after="300" w:line="240" w:lineRule="auto"/>
      <w:contextualSpacing/>
    </w:pPr>
    <w:rPr>
      <w:rFonts w:eastAsiaTheme="minorEastAsia"/>
      <w:sz w:val="32"/>
    </w:rPr>
  </w:style>
  <w:style w:type="character" w:customStyle="1" w:styleId="SubtitleChar">
    <w:name w:val="Subtitle Char"/>
    <w:basedOn w:val="DefaultParagraphFont"/>
    <w:link w:val="Subtitle"/>
    <w:uiPriority w:val="2"/>
    <w:rPr>
      <w:rFonts w:eastAsiaTheme="minorEastAsia"/>
      <w:sz w:val="32"/>
    </w:rPr>
  </w:style>
  <w:style w:type="paragraph" w:styleId="Title">
    <w:name w:val="Title"/>
    <w:basedOn w:val="Normal"/>
    <w:link w:val="TitleChar"/>
    <w:uiPriority w:val="1"/>
    <w:qFormat/>
    <w:pPr>
      <w:spacing w:line="240" w:lineRule="auto"/>
      <w:contextualSpacing/>
    </w:pPr>
    <w:rPr>
      <w:rFonts w:asciiTheme="majorHAnsi" w:eastAsiaTheme="majorEastAsia" w:hAnsiTheme="majorHAnsi" w:cstheme="majorBidi"/>
      <w:kern w:val="28"/>
      <w:sz w:val="56"/>
      <w:szCs w:val="56"/>
    </w:rPr>
  </w:style>
  <w:style w:type="character" w:customStyle="1" w:styleId="TitleChar">
    <w:name w:val="Title Char"/>
    <w:basedOn w:val="DefaultParagraphFont"/>
    <w:link w:val="Title"/>
    <w:uiPriority w:val="1"/>
    <w:rPr>
      <w:rFonts w:asciiTheme="majorHAnsi" w:eastAsiaTheme="majorEastAsia" w:hAnsiTheme="majorHAnsi" w:cstheme="majorBidi"/>
      <w:kern w:val="28"/>
      <w:sz w:val="56"/>
      <w:szCs w:val="56"/>
    </w:rPr>
  </w:style>
  <w:style w:type="character" w:customStyle="1" w:styleId="Heading1Char">
    <w:name w:val="Heading 1 Char"/>
    <w:basedOn w:val="DefaultParagraphFont"/>
    <w:link w:val="Heading1"/>
    <w:uiPriority w:val="9"/>
    <w:rPr>
      <w:rFonts w:asciiTheme="majorHAnsi" w:eastAsiaTheme="majorEastAsia" w:hAnsiTheme="majorHAnsi" w:cstheme="majorBidi"/>
      <w:sz w:val="42"/>
      <w:szCs w:val="32"/>
    </w:rPr>
  </w:style>
  <w:style w:type="paragraph" w:styleId="ListNumber">
    <w:name w:val="List Number"/>
    <w:basedOn w:val="Normal"/>
    <w:uiPriority w:val="13"/>
    <w:qFormat/>
    <w:pPr>
      <w:numPr>
        <w:numId w:val="16"/>
      </w:numPr>
    </w:pPr>
  </w:style>
  <w:style w:type="paragraph" w:styleId="IntenseQuote">
    <w:name w:val="Intense Quote"/>
    <w:basedOn w:val="Normal"/>
    <w:next w:val="Normal"/>
    <w:link w:val="IntenseQuoteChar"/>
    <w:uiPriority w:val="30"/>
    <w:semiHidden/>
    <w:unhideWhenUsed/>
    <w:qFormat/>
    <w:pPr>
      <w:spacing w:before="240"/>
      <w:ind w:left="490" w:right="490"/>
      <w:contextualSpacing/>
    </w:pPr>
    <w:rPr>
      <w:i/>
      <w:iCs/>
      <w:sz w:val="30"/>
    </w:rPr>
  </w:style>
  <w:style w:type="paragraph" w:styleId="Quote">
    <w:name w:val="Quote"/>
    <w:basedOn w:val="Normal"/>
    <w:next w:val="Normal"/>
    <w:link w:val="QuoteChar"/>
    <w:uiPriority w:val="29"/>
    <w:qFormat/>
    <w:pPr>
      <w:spacing w:before="240"/>
      <w:ind w:left="490" w:right="490"/>
    </w:pPr>
    <w:rPr>
      <w:i/>
      <w:iCs/>
      <w:color w:val="404040" w:themeColor="text1" w:themeTint="BF"/>
    </w:rPr>
  </w:style>
  <w:style w:type="character" w:customStyle="1" w:styleId="QuoteChar">
    <w:name w:val="Quote Char"/>
    <w:basedOn w:val="DefaultParagraphFont"/>
    <w:link w:val="Quote"/>
    <w:uiPriority w:val="29"/>
    <w:rPr>
      <w:i/>
      <w:iCs/>
      <w:color w:val="404040" w:themeColor="text1" w:themeTint="BF"/>
    </w:rPr>
  </w:style>
  <w:style w:type="paragraph" w:styleId="ListBullet">
    <w:name w:val="List Bullet"/>
    <w:basedOn w:val="Normal"/>
    <w:uiPriority w:val="12"/>
    <w:qFormat/>
    <w:pPr>
      <w:numPr>
        <w:numId w:val="15"/>
      </w:numPr>
    </w:pPr>
  </w:style>
  <w:style w:type="table" w:styleId="TableGrid">
    <w:name w:val="Table Grid"/>
    <w:basedOn w:val="TableNormal"/>
    <w:uiPriority w:val="39"/>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customStyle="1" w:styleId="Author">
    <w:name w:val="Author"/>
    <w:basedOn w:val="Normal"/>
    <w:uiPriority w:val="3"/>
    <w:qFormat/>
    <w:pPr>
      <w:pBdr>
        <w:bottom w:val="single" w:sz="8" w:space="17" w:color="000000" w:themeColor="text1"/>
      </w:pBdr>
      <w:spacing w:after="640" w:line="240" w:lineRule="auto"/>
      <w:contextualSpacing/>
    </w:pPr>
  </w:style>
  <w:style w:type="character" w:customStyle="1" w:styleId="Heading5Char">
    <w:name w:val="Heading 5 Char"/>
    <w:basedOn w:val="DefaultParagraphFont"/>
    <w:link w:val="Heading5"/>
    <w:uiPriority w:val="9"/>
    <w:semiHidden/>
    <w:rPr>
      <w:rFonts w:asciiTheme="majorHAnsi" w:eastAsiaTheme="majorEastAsia" w:hAnsiTheme="majorHAnsi" w:cstheme="majorBidi"/>
      <w:b/>
      <w:color w:val="595959" w:themeColor="text1" w:themeTint="A6"/>
      <w:sz w:val="30"/>
    </w:rPr>
  </w:style>
  <w:style w:type="character" w:customStyle="1" w:styleId="Heading6Char">
    <w:name w:val="Heading 6 Char"/>
    <w:basedOn w:val="DefaultParagraphFont"/>
    <w:link w:val="Heading6"/>
    <w:uiPriority w:val="9"/>
    <w:semiHidden/>
    <w:rPr>
      <w:rFonts w:asciiTheme="majorHAnsi" w:eastAsiaTheme="majorEastAsia" w:hAnsiTheme="majorHAnsi" w:cstheme="majorBidi"/>
      <w:b/>
      <w:i/>
      <w:color w:val="595959" w:themeColor="text1" w:themeTint="A6"/>
      <w:sz w:val="30"/>
    </w:rPr>
  </w:style>
  <w:style w:type="character" w:customStyle="1" w:styleId="Heading7Char">
    <w:name w:val="Heading 7 Char"/>
    <w:basedOn w:val="DefaultParagraphFont"/>
    <w:link w:val="Heading7"/>
    <w:uiPriority w:val="9"/>
    <w:semiHidden/>
    <w:rPr>
      <w:rFonts w:asciiTheme="majorHAnsi" w:eastAsiaTheme="majorEastAsia" w:hAnsiTheme="majorHAnsi" w:cstheme="majorBidi"/>
      <w:iCs/>
      <w:color w:val="595959" w:themeColor="text1" w:themeTint="A6"/>
      <w:sz w:val="30"/>
    </w:rPr>
  </w:style>
  <w:style w:type="character" w:customStyle="1" w:styleId="Heading8Char">
    <w:name w:val="Heading 8 Char"/>
    <w:basedOn w:val="DefaultParagraphFont"/>
    <w:link w:val="Heading8"/>
    <w:uiPriority w:val="9"/>
    <w:semiHidden/>
    <w:rPr>
      <w:rFonts w:asciiTheme="majorHAnsi" w:eastAsiaTheme="majorEastAsia" w:hAnsiTheme="majorHAnsi" w:cstheme="majorBidi"/>
      <w:i/>
      <w:color w:val="595959" w:themeColor="text1" w:themeTint="A6"/>
      <w:sz w:val="30"/>
      <w:szCs w:val="21"/>
    </w:rPr>
  </w:style>
  <w:style w:type="character" w:customStyle="1" w:styleId="Heading9Char">
    <w:name w:val="Heading 9 Char"/>
    <w:basedOn w:val="DefaultParagraphFont"/>
    <w:link w:val="Heading9"/>
    <w:uiPriority w:val="9"/>
    <w:semiHidden/>
    <w:rPr>
      <w:rFonts w:asciiTheme="majorHAnsi" w:eastAsiaTheme="majorEastAsia" w:hAnsiTheme="majorHAnsi" w:cstheme="majorBidi"/>
      <w:b/>
      <w:iCs/>
      <w:color w:val="595959" w:themeColor="text1" w:themeTint="A6"/>
      <w:sz w:val="26"/>
      <w:szCs w:val="21"/>
    </w:rPr>
  </w:style>
  <w:style w:type="character" w:styleId="SubtleEmphasis">
    <w:name w:val="Subtle Emphasis"/>
    <w:basedOn w:val="DefaultParagraphFont"/>
    <w:uiPriority w:val="19"/>
    <w:semiHidden/>
    <w:unhideWhenUsed/>
    <w:qFormat/>
    <w:rPr>
      <w:i/>
      <w:iCs/>
      <w:color w:val="000000" w:themeColor="text1"/>
    </w:rPr>
  </w:style>
  <w:style w:type="character" w:styleId="Emphasis">
    <w:name w:val="Emphasis"/>
    <w:basedOn w:val="DefaultParagraphFont"/>
    <w:uiPriority w:val="20"/>
    <w:unhideWhenUsed/>
    <w:qFormat/>
    <w:rPr>
      <w:b/>
      <w:i/>
      <w:iCs/>
    </w:rPr>
  </w:style>
  <w:style w:type="character" w:styleId="IntenseEmphasis">
    <w:name w:val="Intense Emphasis"/>
    <w:basedOn w:val="DefaultParagraphFont"/>
    <w:uiPriority w:val="21"/>
    <w:semiHidden/>
    <w:unhideWhenUsed/>
    <w:qFormat/>
    <w:rPr>
      <w:b/>
      <w:iCs/>
      <w:caps/>
      <w:smallCaps w:val="0"/>
      <w:color w:val="000000" w:themeColor="text1"/>
    </w:rPr>
  </w:style>
  <w:style w:type="character" w:styleId="SubtleReference">
    <w:name w:val="Subtle Reference"/>
    <w:basedOn w:val="DefaultParagraphFont"/>
    <w:uiPriority w:val="31"/>
    <w:semiHidden/>
    <w:unhideWhenUsed/>
    <w:qFormat/>
    <w:rPr>
      <w:caps/>
      <w:smallCaps w:val="0"/>
      <w:color w:val="000000" w:themeColor="text1"/>
    </w:rPr>
  </w:style>
  <w:style w:type="character" w:styleId="IntenseReference">
    <w:name w:val="Intense Reference"/>
    <w:basedOn w:val="DefaultParagraphFont"/>
    <w:uiPriority w:val="32"/>
    <w:semiHidden/>
    <w:unhideWhenUsed/>
    <w:qFormat/>
    <w:rPr>
      <w:b/>
      <w:bCs/>
      <w:i/>
      <w:caps/>
      <w:smallCaps w:val="0"/>
      <w:color w:val="000000" w:themeColor="text1"/>
      <w:spacing w:val="0"/>
    </w:rPr>
  </w:style>
  <w:style w:type="character" w:styleId="BookTitle">
    <w:name w:val="Book Title"/>
    <w:basedOn w:val="DefaultParagraphFont"/>
    <w:uiPriority w:val="33"/>
    <w:semiHidden/>
    <w:unhideWhenUsed/>
    <w:qFormat/>
    <w:rPr>
      <w:b w:val="0"/>
      <w:bCs/>
      <w:i w:val="0"/>
      <w:iCs/>
      <w:spacing w:val="0"/>
      <w:u w:val="single"/>
    </w:rPr>
  </w:style>
  <w:style w:type="paragraph" w:styleId="Caption">
    <w:name w:val="caption"/>
    <w:basedOn w:val="Normal"/>
    <w:next w:val="Normal"/>
    <w:uiPriority w:val="35"/>
    <w:semiHidden/>
    <w:unhideWhenUsed/>
    <w:qFormat/>
    <w:pPr>
      <w:spacing w:after="200" w:line="240" w:lineRule="auto"/>
    </w:pPr>
    <w:rPr>
      <w:i/>
      <w:iCs/>
      <w:sz w:val="20"/>
      <w:szCs w:val="18"/>
    </w:rPr>
  </w:style>
  <w:style w:type="character" w:styleId="PlaceholderText">
    <w:name w:val="Placeholder Text"/>
    <w:basedOn w:val="DefaultParagraphFont"/>
    <w:uiPriority w:val="99"/>
    <w:semiHidden/>
    <w:rPr>
      <w:color w:val="808080"/>
    </w:rPr>
  </w:style>
  <w:style w:type="paragraph" w:styleId="Footer">
    <w:name w:val="footer"/>
    <w:basedOn w:val="Normal"/>
    <w:link w:val="FooterChar"/>
    <w:uiPriority w:val="99"/>
    <w:unhideWhenUsed/>
    <w:qFormat/>
    <w:pPr>
      <w:spacing w:after="0" w:line="240" w:lineRule="auto"/>
    </w:pPr>
  </w:style>
  <w:style w:type="character" w:customStyle="1" w:styleId="FooterChar">
    <w:name w:val="Footer Char"/>
    <w:basedOn w:val="DefaultParagraphFont"/>
    <w:link w:val="Footer"/>
    <w:uiPriority w:val="99"/>
  </w:style>
  <w:style w:type="paragraph" w:styleId="TOCHeading">
    <w:name w:val="TOC Heading"/>
    <w:basedOn w:val="Heading1"/>
    <w:next w:val="Normal"/>
    <w:uiPriority w:val="39"/>
    <w:unhideWhenUsed/>
    <w:qFormat/>
    <w:pPr>
      <w:outlineLvl w:val="9"/>
    </w:pPr>
  </w:style>
  <w:style w:type="table" w:customStyle="1" w:styleId="ReportTable">
    <w:name w:val="Report Table"/>
    <w:basedOn w:val="TableNormal"/>
    <w:uiPriority w:val="99"/>
    <w:pPr>
      <w:spacing w:after="0" w:line="240" w:lineRule="auto"/>
      <w:ind w:left="374"/>
    </w:pPr>
    <w:tblPr>
      <w:tblBorders>
        <w:bottom w:val="single" w:sz="8" w:space="0" w:color="000000" w:themeColor="text1"/>
        <w:insideH w:val="single" w:sz="8" w:space="0" w:color="000000" w:themeColor="text1"/>
      </w:tblBorders>
      <w:tblCellMar>
        <w:top w:w="216" w:type="dxa"/>
        <w:left w:w="0" w:type="dxa"/>
        <w:bottom w:w="216" w:type="dxa"/>
        <w:right w:w="0" w:type="dxa"/>
      </w:tblCellMar>
    </w:tblPr>
    <w:tblStylePr w:type="firstRow">
      <w:rPr>
        <w:sz w:val="30"/>
      </w:rPr>
      <w:tblPr/>
      <w:trPr>
        <w:tblHeader/>
      </w:trPr>
      <w:tcPr>
        <w:tcBorders>
          <w:top w:val="nil"/>
          <w:left w:val="nil"/>
          <w:bottom w:val="single" w:sz="24" w:space="0" w:color="000000" w:themeColor="text1"/>
          <w:right w:val="nil"/>
          <w:insideH w:val="nil"/>
          <w:insideV w:val="nil"/>
          <w:tl2br w:val="nil"/>
          <w:tr2bl w:val="nil"/>
        </w:tcBorders>
      </w:tcPr>
    </w:tblStylePr>
    <w:tblStylePr w:type="firstCol">
      <w:pPr>
        <w:wordWrap/>
        <w:ind w:leftChars="0" w:left="0" w:rightChars="0" w:right="374"/>
        <w:jc w:val="right"/>
      </w:pPr>
      <w:rPr>
        <w:b/>
        <w:i w:val="0"/>
      </w:rPr>
    </w:tblStylePr>
  </w:style>
  <w:style w:type="character" w:customStyle="1" w:styleId="IntenseQuoteChar">
    <w:name w:val="Intense Quote Char"/>
    <w:basedOn w:val="DefaultParagraphFont"/>
    <w:link w:val="IntenseQuote"/>
    <w:uiPriority w:val="30"/>
    <w:semiHidden/>
    <w:rPr>
      <w:i/>
      <w:iCs/>
      <w:sz w:val="30"/>
    </w:rPr>
  </w:style>
  <w:style w:type="character" w:customStyle="1" w:styleId="Heading2Char">
    <w:name w:val="Heading 2 Char"/>
    <w:basedOn w:val="DefaultParagraphFont"/>
    <w:link w:val="Heading2"/>
    <w:uiPriority w:val="9"/>
    <w:rPr>
      <w:rFonts w:asciiTheme="majorHAnsi" w:eastAsiaTheme="majorEastAsia" w:hAnsiTheme="majorHAnsi" w:cstheme="majorBidi"/>
      <w:sz w:val="36"/>
      <w:szCs w:val="26"/>
    </w:rPr>
  </w:style>
  <w:style w:type="paragraph" w:styleId="Header">
    <w:name w:val="header"/>
    <w:basedOn w:val="Normal"/>
    <w:link w:val="HeaderChar"/>
    <w:uiPriority w:val="99"/>
    <w:qFormat/>
    <w:pPr>
      <w:spacing w:after="0" w:line="240" w:lineRule="auto"/>
    </w:pPr>
  </w:style>
  <w:style w:type="character" w:customStyle="1" w:styleId="Heading3Char">
    <w:name w:val="Heading 3 Char"/>
    <w:basedOn w:val="DefaultParagraphFont"/>
    <w:link w:val="Heading3"/>
    <w:uiPriority w:val="9"/>
    <w:rPr>
      <w:rFonts w:asciiTheme="majorHAnsi" w:eastAsiaTheme="majorEastAsia" w:hAnsiTheme="majorHAnsi" w:cstheme="majorBidi"/>
      <w:sz w:val="30"/>
    </w:rPr>
  </w:style>
  <w:style w:type="character" w:customStyle="1" w:styleId="HeaderChar">
    <w:name w:val="Header Char"/>
    <w:basedOn w:val="DefaultParagraphFont"/>
    <w:link w:val="Header"/>
    <w:uiPriority w:val="99"/>
  </w:style>
  <w:style w:type="character" w:customStyle="1" w:styleId="Heading4Char">
    <w:name w:val="Heading 4 Char"/>
    <w:basedOn w:val="DefaultParagraphFont"/>
    <w:link w:val="Heading4"/>
    <w:uiPriority w:val="9"/>
    <w:rPr>
      <w:rFonts w:asciiTheme="majorHAnsi" w:eastAsiaTheme="majorEastAsia" w:hAnsiTheme="majorHAnsi" w:cstheme="majorBidi"/>
      <w:i/>
      <w:iCs/>
      <w:sz w:val="30"/>
    </w:rPr>
  </w:style>
  <w:style w:type="paragraph" w:styleId="TOC1">
    <w:name w:val="toc 1"/>
    <w:basedOn w:val="Normal"/>
    <w:next w:val="Normal"/>
    <w:autoRedefine/>
    <w:uiPriority w:val="39"/>
    <w:unhideWhenUsed/>
    <w:rsid w:val="006D766E"/>
    <w:pPr>
      <w:spacing w:before="120" w:after="0"/>
    </w:pPr>
    <w:rPr>
      <w:rFonts w:cstheme="minorHAnsi"/>
      <w:b/>
      <w:bCs/>
      <w:i/>
      <w:iCs/>
    </w:rPr>
  </w:style>
  <w:style w:type="paragraph" w:styleId="TOC2">
    <w:name w:val="toc 2"/>
    <w:basedOn w:val="Normal"/>
    <w:next w:val="Normal"/>
    <w:autoRedefine/>
    <w:uiPriority w:val="39"/>
    <w:unhideWhenUsed/>
    <w:rsid w:val="006D766E"/>
    <w:pPr>
      <w:spacing w:before="120" w:after="0"/>
      <w:ind w:left="240"/>
    </w:pPr>
    <w:rPr>
      <w:rFonts w:cstheme="minorHAnsi"/>
      <w:b/>
      <w:bCs/>
      <w:sz w:val="22"/>
      <w:szCs w:val="22"/>
    </w:rPr>
  </w:style>
  <w:style w:type="character" w:styleId="Hyperlink">
    <w:name w:val="Hyperlink"/>
    <w:basedOn w:val="DefaultParagraphFont"/>
    <w:uiPriority w:val="99"/>
    <w:unhideWhenUsed/>
    <w:rsid w:val="006D766E"/>
    <w:rPr>
      <w:color w:val="5E9EA1" w:themeColor="hyperlink"/>
      <w:u w:val="single"/>
    </w:rPr>
  </w:style>
  <w:style w:type="paragraph" w:styleId="TOC3">
    <w:name w:val="toc 3"/>
    <w:basedOn w:val="Normal"/>
    <w:next w:val="Normal"/>
    <w:autoRedefine/>
    <w:uiPriority w:val="39"/>
    <w:unhideWhenUsed/>
    <w:rsid w:val="006D766E"/>
    <w:pPr>
      <w:spacing w:after="0"/>
      <w:ind w:left="480"/>
    </w:pPr>
    <w:rPr>
      <w:rFonts w:cstheme="minorHAnsi"/>
      <w:sz w:val="20"/>
      <w:szCs w:val="20"/>
    </w:rPr>
  </w:style>
  <w:style w:type="paragraph" w:styleId="TOC4">
    <w:name w:val="toc 4"/>
    <w:basedOn w:val="Normal"/>
    <w:next w:val="Normal"/>
    <w:autoRedefine/>
    <w:uiPriority w:val="39"/>
    <w:semiHidden/>
    <w:unhideWhenUsed/>
    <w:rsid w:val="006D766E"/>
    <w:pPr>
      <w:spacing w:after="0"/>
      <w:ind w:left="720"/>
    </w:pPr>
    <w:rPr>
      <w:rFonts w:cstheme="minorHAnsi"/>
      <w:sz w:val="20"/>
      <w:szCs w:val="20"/>
    </w:rPr>
  </w:style>
  <w:style w:type="paragraph" w:styleId="TOC5">
    <w:name w:val="toc 5"/>
    <w:basedOn w:val="Normal"/>
    <w:next w:val="Normal"/>
    <w:autoRedefine/>
    <w:uiPriority w:val="39"/>
    <w:semiHidden/>
    <w:unhideWhenUsed/>
    <w:rsid w:val="006D766E"/>
    <w:pPr>
      <w:spacing w:after="0"/>
      <w:ind w:left="960"/>
    </w:pPr>
    <w:rPr>
      <w:rFonts w:cstheme="minorHAnsi"/>
      <w:sz w:val="20"/>
      <w:szCs w:val="20"/>
    </w:rPr>
  </w:style>
  <w:style w:type="paragraph" w:styleId="TOC6">
    <w:name w:val="toc 6"/>
    <w:basedOn w:val="Normal"/>
    <w:next w:val="Normal"/>
    <w:autoRedefine/>
    <w:uiPriority w:val="39"/>
    <w:semiHidden/>
    <w:unhideWhenUsed/>
    <w:rsid w:val="006D766E"/>
    <w:pPr>
      <w:spacing w:after="0"/>
      <w:ind w:left="1200"/>
    </w:pPr>
    <w:rPr>
      <w:rFonts w:cstheme="minorHAnsi"/>
      <w:sz w:val="20"/>
      <w:szCs w:val="20"/>
    </w:rPr>
  </w:style>
  <w:style w:type="paragraph" w:styleId="TOC7">
    <w:name w:val="toc 7"/>
    <w:basedOn w:val="Normal"/>
    <w:next w:val="Normal"/>
    <w:autoRedefine/>
    <w:uiPriority w:val="39"/>
    <w:semiHidden/>
    <w:unhideWhenUsed/>
    <w:rsid w:val="006D766E"/>
    <w:pPr>
      <w:spacing w:after="0"/>
      <w:ind w:left="1440"/>
    </w:pPr>
    <w:rPr>
      <w:rFonts w:cstheme="minorHAnsi"/>
      <w:sz w:val="20"/>
      <w:szCs w:val="20"/>
    </w:rPr>
  </w:style>
  <w:style w:type="paragraph" w:styleId="TOC8">
    <w:name w:val="toc 8"/>
    <w:basedOn w:val="Normal"/>
    <w:next w:val="Normal"/>
    <w:autoRedefine/>
    <w:uiPriority w:val="39"/>
    <w:semiHidden/>
    <w:unhideWhenUsed/>
    <w:rsid w:val="006D766E"/>
    <w:pPr>
      <w:spacing w:after="0"/>
      <w:ind w:left="1680"/>
    </w:pPr>
    <w:rPr>
      <w:rFonts w:cstheme="minorHAnsi"/>
      <w:sz w:val="20"/>
      <w:szCs w:val="20"/>
    </w:rPr>
  </w:style>
  <w:style w:type="paragraph" w:styleId="TOC9">
    <w:name w:val="toc 9"/>
    <w:basedOn w:val="Normal"/>
    <w:next w:val="Normal"/>
    <w:autoRedefine/>
    <w:uiPriority w:val="39"/>
    <w:semiHidden/>
    <w:unhideWhenUsed/>
    <w:rsid w:val="006D766E"/>
    <w:pPr>
      <w:spacing w:after="0"/>
      <w:ind w:left="1920"/>
    </w:pPr>
    <w:rPr>
      <w:rFonts w:cstheme="minorHAnsi"/>
      <w:sz w:val="20"/>
      <w:szCs w:val="20"/>
    </w:rPr>
  </w:style>
  <w:style w:type="paragraph" w:styleId="ListParagraph">
    <w:name w:val="List Paragraph"/>
    <w:basedOn w:val="Normal"/>
    <w:uiPriority w:val="34"/>
    <w:unhideWhenUsed/>
    <w:qFormat/>
    <w:rsid w:val="006D766E"/>
    <w:pPr>
      <w:ind w:left="720"/>
      <w:contextualSpacing/>
    </w:pPr>
  </w:style>
  <w:style w:type="paragraph" w:styleId="NormalWeb">
    <w:name w:val="Normal (Web)"/>
    <w:basedOn w:val="Normal"/>
    <w:uiPriority w:val="99"/>
    <w:unhideWhenUsed/>
    <w:rsid w:val="00DF672B"/>
    <w:pPr>
      <w:spacing w:before="100" w:beforeAutospacing="1" w:after="100" w:afterAutospacing="1" w:line="240" w:lineRule="auto"/>
    </w:pPr>
    <w:rPr>
      <w:rFonts w:ascii="Times New Roman" w:eastAsia="Times New Roman" w:hAnsi="Times New Roman" w:cs="Times New Roman"/>
      <w:color w:val="auto"/>
      <w:lang w:val="en-GB" w:eastAsia="en-GB"/>
    </w:rPr>
  </w:style>
  <w:style w:type="character" w:customStyle="1" w:styleId="apple-converted-space">
    <w:name w:val="apple-converted-space"/>
    <w:basedOn w:val="DefaultParagraphFont"/>
    <w:rsid w:val="0035419A"/>
  </w:style>
  <w:style w:type="character" w:styleId="Strong">
    <w:name w:val="Strong"/>
    <w:basedOn w:val="DefaultParagraphFont"/>
    <w:uiPriority w:val="22"/>
    <w:qFormat/>
    <w:rsid w:val="0035419A"/>
    <w:rPr>
      <w:b/>
      <w:bCs/>
    </w:rPr>
  </w:style>
  <w:style w:type="character" w:customStyle="1" w:styleId="whitespace-normal">
    <w:name w:val="whitespace-normal"/>
    <w:basedOn w:val="DefaultParagraphFont"/>
    <w:rsid w:val="0035419A"/>
  </w:style>
  <w:style w:type="character" w:styleId="UnresolvedMention">
    <w:name w:val="Unresolved Mention"/>
    <w:basedOn w:val="DefaultParagraphFont"/>
    <w:uiPriority w:val="99"/>
    <w:semiHidden/>
    <w:unhideWhenUsed/>
    <w:rsid w:val="001A4564"/>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ivs>
    <w:div w:id="8604468">
      <w:bodyDiv w:val="1"/>
      <w:marLeft w:val="0"/>
      <w:marRight w:val="0"/>
      <w:marTop w:val="0"/>
      <w:marBottom w:val="0"/>
      <w:divBdr>
        <w:top w:val="none" w:sz="0" w:space="0" w:color="auto"/>
        <w:left w:val="none" w:sz="0" w:space="0" w:color="auto"/>
        <w:bottom w:val="none" w:sz="0" w:space="0" w:color="auto"/>
        <w:right w:val="none" w:sz="0" w:space="0" w:color="auto"/>
      </w:divBdr>
    </w:div>
    <w:div w:id="23098087">
      <w:bodyDiv w:val="1"/>
      <w:marLeft w:val="0"/>
      <w:marRight w:val="0"/>
      <w:marTop w:val="0"/>
      <w:marBottom w:val="0"/>
      <w:divBdr>
        <w:top w:val="none" w:sz="0" w:space="0" w:color="auto"/>
        <w:left w:val="none" w:sz="0" w:space="0" w:color="auto"/>
        <w:bottom w:val="none" w:sz="0" w:space="0" w:color="auto"/>
        <w:right w:val="none" w:sz="0" w:space="0" w:color="auto"/>
      </w:divBdr>
    </w:div>
    <w:div w:id="25913658">
      <w:bodyDiv w:val="1"/>
      <w:marLeft w:val="0"/>
      <w:marRight w:val="0"/>
      <w:marTop w:val="0"/>
      <w:marBottom w:val="0"/>
      <w:divBdr>
        <w:top w:val="none" w:sz="0" w:space="0" w:color="auto"/>
        <w:left w:val="none" w:sz="0" w:space="0" w:color="auto"/>
        <w:bottom w:val="none" w:sz="0" w:space="0" w:color="auto"/>
        <w:right w:val="none" w:sz="0" w:space="0" w:color="auto"/>
      </w:divBdr>
    </w:div>
    <w:div w:id="34890675">
      <w:bodyDiv w:val="1"/>
      <w:marLeft w:val="0"/>
      <w:marRight w:val="0"/>
      <w:marTop w:val="0"/>
      <w:marBottom w:val="0"/>
      <w:divBdr>
        <w:top w:val="none" w:sz="0" w:space="0" w:color="auto"/>
        <w:left w:val="none" w:sz="0" w:space="0" w:color="auto"/>
        <w:bottom w:val="none" w:sz="0" w:space="0" w:color="auto"/>
        <w:right w:val="none" w:sz="0" w:space="0" w:color="auto"/>
      </w:divBdr>
    </w:div>
    <w:div w:id="108283415">
      <w:bodyDiv w:val="1"/>
      <w:marLeft w:val="0"/>
      <w:marRight w:val="0"/>
      <w:marTop w:val="0"/>
      <w:marBottom w:val="0"/>
      <w:divBdr>
        <w:top w:val="none" w:sz="0" w:space="0" w:color="auto"/>
        <w:left w:val="none" w:sz="0" w:space="0" w:color="auto"/>
        <w:bottom w:val="none" w:sz="0" w:space="0" w:color="auto"/>
        <w:right w:val="none" w:sz="0" w:space="0" w:color="auto"/>
      </w:divBdr>
    </w:div>
    <w:div w:id="172767882">
      <w:bodyDiv w:val="1"/>
      <w:marLeft w:val="0"/>
      <w:marRight w:val="0"/>
      <w:marTop w:val="0"/>
      <w:marBottom w:val="0"/>
      <w:divBdr>
        <w:top w:val="none" w:sz="0" w:space="0" w:color="auto"/>
        <w:left w:val="none" w:sz="0" w:space="0" w:color="auto"/>
        <w:bottom w:val="none" w:sz="0" w:space="0" w:color="auto"/>
        <w:right w:val="none" w:sz="0" w:space="0" w:color="auto"/>
      </w:divBdr>
    </w:div>
    <w:div w:id="174417180">
      <w:bodyDiv w:val="1"/>
      <w:marLeft w:val="0"/>
      <w:marRight w:val="0"/>
      <w:marTop w:val="0"/>
      <w:marBottom w:val="0"/>
      <w:divBdr>
        <w:top w:val="none" w:sz="0" w:space="0" w:color="auto"/>
        <w:left w:val="none" w:sz="0" w:space="0" w:color="auto"/>
        <w:bottom w:val="none" w:sz="0" w:space="0" w:color="auto"/>
        <w:right w:val="none" w:sz="0" w:space="0" w:color="auto"/>
      </w:divBdr>
    </w:div>
    <w:div w:id="181364855">
      <w:bodyDiv w:val="1"/>
      <w:marLeft w:val="0"/>
      <w:marRight w:val="0"/>
      <w:marTop w:val="0"/>
      <w:marBottom w:val="0"/>
      <w:divBdr>
        <w:top w:val="none" w:sz="0" w:space="0" w:color="auto"/>
        <w:left w:val="none" w:sz="0" w:space="0" w:color="auto"/>
        <w:bottom w:val="none" w:sz="0" w:space="0" w:color="auto"/>
        <w:right w:val="none" w:sz="0" w:space="0" w:color="auto"/>
      </w:divBdr>
    </w:div>
    <w:div w:id="214394270">
      <w:bodyDiv w:val="1"/>
      <w:marLeft w:val="0"/>
      <w:marRight w:val="0"/>
      <w:marTop w:val="0"/>
      <w:marBottom w:val="0"/>
      <w:divBdr>
        <w:top w:val="none" w:sz="0" w:space="0" w:color="auto"/>
        <w:left w:val="none" w:sz="0" w:space="0" w:color="auto"/>
        <w:bottom w:val="none" w:sz="0" w:space="0" w:color="auto"/>
        <w:right w:val="none" w:sz="0" w:space="0" w:color="auto"/>
      </w:divBdr>
      <w:divsChild>
        <w:div w:id="944649443">
          <w:blockQuote w:val="1"/>
          <w:marLeft w:val="720"/>
          <w:marRight w:val="720"/>
          <w:marTop w:val="100"/>
          <w:marBottom w:val="100"/>
          <w:divBdr>
            <w:top w:val="none" w:sz="0" w:space="0" w:color="auto"/>
            <w:left w:val="none" w:sz="0" w:space="0" w:color="auto"/>
            <w:bottom w:val="none" w:sz="0" w:space="0" w:color="auto"/>
            <w:right w:val="none" w:sz="0" w:space="0" w:color="auto"/>
          </w:divBdr>
        </w:div>
      </w:divsChild>
    </w:div>
    <w:div w:id="253325316">
      <w:bodyDiv w:val="1"/>
      <w:marLeft w:val="0"/>
      <w:marRight w:val="0"/>
      <w:marTop w:val="0"/>
      <w:marBottom w:val="0"/>
      <w:divBdr>
        <w:top w:val="none" w:sz="0" w:space="0" w:color="auto"/>
        <w:left w:val="none" w:sz="0" w:space="0" w:color="auto"/>
        <w:bottom w:val="none" w:sz="0" w:space="0" w:color="auto"/>
        <w:right w:val="none" w:sz="0" w:space="0" w:color="auto"/>
      </w:divBdr>
    </w:div>
    <w:div w:id="260921891">
      <w:bodyDiv w:val="1"/>
      <w:marLeft w:val="0"/>
      <w:marRight w:val="0"/>
      <w:marTop w:val="0"/>
      <w:marBottom w:val="0"/>
      <w:divBdr>
        <w:top w:val="none" w:sz="0" w:space="0" w:color="auto"/>
        <w:left w:val="none" w:sz="0" w:space="0" w:color="auto"/>
        <w:bottom w:val="none" w:sz="0" w:space="0" w:color="auto"/>
        <w:right w:val="none" w:sz="0" w:space="0" w:color="auto"/>
      </w:divBdr>
    </w:div>
    <w:div w:id="265429717">
      <w:bodyDiv w:val="1"/>
      <w:marLeft w:val="0"/>
      <w:marRight w:val="0"/>
      <w:marTop w:val="0"/>
      <w:marBottom w:val="0"/>
      <w:divBdr>
        <w:top w:val="none" w:sz="0" w:space="0" w:color="auto"/>
        <w:left w:val="none" w:sz="0" w:space="0" w:color="auto"/>
        <w:bottom w:val="none" w:sz="0" w:space="0" w:color="auto"/>
        <w:right w:val="none" w:sz="0" w:space="0" w:color="auto"/>
      </w:divBdr>
    </w:div>
    <w:div w:id="270161769">
      <w:bodyDiv w:val="1"/>
      <w:marLeft w:val="0"/>
      <w:marRight w:val="0"/>
      <w:marTop w:val="0"/>
      <w:marBottom w:val="0"/>
      <w:divBdr>
        <w:top w:val="none" w:sz="0" w:space="0" w:color="auto"/>
        <w:left w:val="none" w:sz="0" w:space="0" w:color="auto"/>
        <w:bottom w:val="none" w:sz="0" w:space="0" w:color="auto"/>
        <w:right w:val="none" w:sz="0" w:space="0" w:color="auto"/>
      </w:divBdr>
    </w:div>
    <w:div w:id="275909994">
      <w:bodyDiv w:val="1"/>
      <w:marLeft w:val="0"/>
      <w:marRight w:val="0"/>
      <w:marTop w:val="0"/>
      <w:marBottom w:val="0"/>
      <w:divBdr>
        <w:top w:val="none" w:sz="0" w:space="0" w:color="auto"/>
        <w:left w:val="none" w:sz="0" w:space="0" w:color="auto"/>
        <w:bottom w:val="none" w:sz="0" w:space="0" w:color="auto"/>
        <w:right w:val="none" w:sz="0" w:space="0" w:color="auto"/>
      </w:divBdr>
    </w:div>
    <w:div w:id="313721527">
      <w:bodyDiv w:val="1"/>
      <w:marLeft w:val="0"/>
      <w:marRight w:val="0"/>
      <w:marTop w:val="0"/>
      <w:marBottom w:val="0"/>
      <w:divBdr>
        <w:top w:val="none" w:sz="0" w:space="0" w:color="auto"/>
        <w:left w:val="none" w:sz="0" w:space="0" w:color="auto"/>
        <w:bottom w:val="none" w:sz="0" w:space="0" w:color="auto"/>
        <w:right w:val="none" w:sz="0" w:space="0" w:color="auto"/>
      </w:divBdr>
    </w:div>
    <w:div w:id="325328997">
      <w:bodyDiv w:val="1"/>
      <w:marLeft w:val="0"/>
      <w:marRight w:val="0"/>
      <w:marTop w:val="0"/>
      <w:marBottom w:val="0"/>
      <w:divBdr>
        <w:top w:val="none" w:sz="0" w:space="0" w:color="auto"/>
        <w:left w:val="none" w:sz="0" w:space="0" w:color="auto"/>
        <w:bottom w:val="none" w:sz="0" w:space="0" w:color="auto"/>
        <w:right w:val="none" w:sz="0" w:space="0" w:color="auto"/>
      </w:divBdr>
    </w:div>
    <w:div w:id="399912413">
      <w:bodyDiv w:val="1"/>
      <w:marLeft w:val="0"/>
      <w:marRight w:val="0"/>
      <w:marTop w:val="0"/>
      <w:marBottom w:val="0"/>
      <w:divBdr>
        <w:top w:val="none" w:sz="0" w:space="0" w:color="auto"/>
        <w:left w:val="none" w:sz="0" w:space="0" w:color="auto"/>
        <w:bottom w:val="none" w:sz="0" w:space="0" w:color="auto"/>
        <w:right w:val="none" w:sz="0" w:space="0" w:color="auto"/>
      </w:divBdr>
    </w:div>
    <w:div w:id="401561316">
      <w:bodyDiv w:val="1"/>
      <w:marLeft w:val="0"/>
      <w:marRight w:val="0"/>
      <w:marTop w:val="0"/>
      <w:marBottom w:val="0"/>
      <w:divBdr>
        <w:top w:val="none" w:sz="0" w:space="0" w:color="auto"/>
        <w:left w:val="none" w:sz="0" w:space="0" w:color="auto"/>
        <w:bottom w:val="none" w:sz="0" w:space="0" w:color="auto"/>
        <w:right w:val="none" w:sz="0" w:space="0" w:color="auto"/>
      </w:divBdr>
    </w:div>
    <w:div w:id="406149479">
      <w:bodyDiv w:val="1"/>
      <w:marLeft w:val="0"/>
      <w:marRight w:val="0"/>
      <w:marTop w:val="0"/>
      <w:marBottom w:val="0"/>
      <w:divBdr>
        <w:top w:val="none" w:sz="0" w:space="0" w:color="auto"/>
        <w:left w:val="none" w:sz="0" w:space="0" w:color="auto"/>
        <w:bottom w:val="none" w:sz="0" w:space="0" w:color="auto"/>
        <w:right w:val="none" w:sz="0" w:space="0" w:color="auto"/>
      </w:divBdr>
    </w:div>
    <w:div w:id="407117479">
      <w:bodyDiv w:val="1"/>
      <w:marLeft w:val="0"/>
      <w:marRight w:val="0"/>
      <w:marTop w:val="0"/>
      <w:marBottom w:val="0"/>
      <w:divBdr>
        <w:top w:val="none" w:sz="0" w:space="0" w:color="auto"/>
        <w:left w:val="none" w:sz="0" w:space="0" w:color="auto"/>
        <w:bottom w:val="none" w:sz="0" w:space="0" w:color="auto"/>
        <w:right w:val="none" w:sz="0" w:space="0" w:color="auto"/>
      </w:divBdr>
    </w:div>
    <w:div w:id="408843490">
      <w:bodyDiv w:val="1"/>
      <w:marLeft w:val="0"/>
      <w:marRight w:val="0"/>
      <w:marTop w:val="0"/>
      <w:marBottom w:val="0"/>
      <w:divBdr>
        <w:top w:val="none" w:sz="0" w:space="0" w:color="auto"/>
        <w:left w:val="none" w:sz="0" w:space="0" w:color="auto"/>
        <w:bottom w:val="none" w:sz="0" w:space="0" w:color="auto"/>
        <w:right w:val="none" w:sz="0" w:space="0" w:color="auto"/>
      </w:divBdr>
      <w:divsChild>
        <w:div w:id="369915996">
          <w:blockQuote w:val="1"/>
          <w:marLeft w:val="720"/>
          <w:marRight w:val="720"/>
          <w:marTop w:val="100"/>
          <w:marBottom w:val="100"/>
          <w:divBdr>
            <w:top w:val="none" w:sz="0" w:space="0" w:color="auto"/>
            <w:left w:val="none" w:sz="0" w:space="0" w:color="auto"/>
            <w:bottom w:val="none" w:sz="0" w:space="0" w:color="auto"/>
            <w:right w:val="none" w:sz="0" w:space="0" w:color="auto"/>
          </w:divBdr>
        </w:div>
      </w:divsChild>
    </w:div>
    <w:div w:id="439685278">
      <w:bodyDiv w:val="1"/>
      <w:marLeft w:val="0"/>
      <w:marRight w:val="0"/>
      <w:marTop w:val="0"/>
      <w:marBottom w:val="0"/>
      <w:divBdr>
        <w:top w:val="none" w:sz="0" w:space="0" w:color="auto"/>
        <w:left w:val="none" w:sz="0" w:space="0" w:color="auto"/>
        <w:bottom w:val="none" w:sz="0" w:space="0" w:color="auto"/>
        <w:right w:val="none" w:sz="0" w:space="0" w:color="auto"/>
      </w:divBdr>
    </w:div>
    <w:div w:id="454982402">
      <w:bodyDiv w:val="1"/>
      <w:marLeft w:val="0"/>
      <w:marRight w:val="0"/>
      <w:marTop w:val="0"/>
      <w:marBottom w:val="0"/>
      <w:divBdr>
        <w:top w:val="none" w:sz="0" w:space="0" w:color="auto"/>
        <w:left w:val="none" w:sz="0" w:space="0" w:color="auto"/>
        <w:bottom w:val="none" w:sz="0" w:space="0" w:color="auto"/>
        <w:right w:val="none" w:sz="0" w:space="0" w:color="auto"/>
      </w:divBdr>
    </w:div>
    <w:div w:id="486241412">
      <w:bodyDiv w:val="1"/>
      <w:marLeft w:val="0"/>
      <w:marRight w:val="0"/>
      <w:marTop w:val="0"/>
      <w:marBottom w:val="0"/>
      <w:divBdr>
        <w:top w:val="none" w:sz="0" w:space="0" w:color="auto"/>
        <w:left w:val="none" w:sz="0" w:space="0" w:color="auto"/>
        <w:bottom w:val="none" w:sz="0" w:space="0" w:color="auto"/>
        <w:right w:val="none" w:sz="0" w:space="0" w:color="auto"/>
      </w:divBdr>
    </w:div>
    <w:div w:id="531118495">
      <w:bodyDiv w:val="1"/>
      <w:marLeft w:val="0"/>
      <w:marRight w:val="0"/>
      <w:marTop w:val="0"/>
      <w:marBottom w:val="0"/>
      <w:divBdr>
        <w:top w:val="none" w:sz="0" w:space="0" w:color="auto"/>
        <w:left w:val="none" w:sz="0" w:space="0" w:color="auto"/>
        <w:bottom w:val="none" w:sz="0" w:space="0" w:color="auto"/>
        <w:right w:val="none" w:sz="0" w:space="0" w:color="auto"/>
      </w:divBdr>
    </w:div>
    <w:div w:id="579604499">
      <w:bodyDiv w:val="1"/>
      <w:marLeft w:val="0"/>
      <w:marRight w:val="0"/>
      <w:marTop w:val="0"/>
      <w:marBottom w:val="0"/>
      <w:divBdr>
        <w:top w:val="none" w:sz="0" w:space="0" w:color="auto"/>
        <w:left w:val="none" w:sz="0" w:space="0" w:color="auto"/>
        <w:bottom w:val="none" w:sz="0" w:space="0" w:color="auto"/>
        <w:right w:val="none" w:sz="0" w:space="0" w:color="auto"/>
      </w:divBdr>
    </w:div>
    <w:div w:id="587925052">
      <w:bodyDiv w:val="1"/>
      <w:marLeft w:val="0"/>
      <w:marRight w:val="0"/>
      <w:marTop w:val="0"/>
      <w:marBottom w:val="0"/>
      <w:divBdr>
        <w:top w:val="none" w:sz="0" w:space="0" w:color="auto"/>
        <w:left w:val="none" w:sz="0" w:space="0" w:color="auto"/>
        <w:bottom w:val="none" w:sz="0" w:space="0" w:color="auto"/>
        <w:right w:val="none" w:sz="0" w:space="0" w:color="auto"/>
      </w:divBdr>
    </w:div>
    <w:div w:id="592671143">
      <w:bodyDiv w:val="1"/>
      <w:marLeft w:val="0"/>
      <w:marRight w:val="0"/>
      <w:marTop w:val="0"/>
      <w:marBottom w:val="0"/>
      <w:divBdr>
        <w:top w:val="none" w:sz="0" w:space="0" w:color="auto"/>
        <w:left w:val="none" w:sz="0" w:space="0" w:color="auto"/>
        <w:bottom w:val="none" w:sz="0" w:space="0" w:color="auto"/>
        <w:right w:val="none" w:sz="0" w:space="0" w:color="auto"/>
      </w:divBdr>
    </w:div>
    <w:div w:id="599484046">
      <w:bodyDiv w:val="1"/>
      <w:marLeft w:val="0"/>
      <w:marRight w:val="0"/>
      <w:marTop w:val="0"/>
      <w:marBottom w:val="0"/>
      <w:divBdr>
        <w:top w:val="none" w:sz="0" w:space="0" w:color="auto"/>
        <w:left w:val="none" w:sz="0" w:space="0" w:color="auto"/>
        <w:bottom w:val="none" w:sz="0" w:space="0" w:color="auto"/>
        <w:right w:val="none" w:sz="0" w:space="0" w:color="auto"/>
      </w:divBdr>
      <w:divsChild>
        <w:div w:id="1299724019">
          <w:blockQuote w:val="1"/>
          <w:marLeft w:val="720"/>
          <w:marRight w:val="720"/>
          <w:marTop w:val="100"/>
          <w:marBottom w:val="100"/>
          <w:divBdr>
            <w:top w:val="none" w:sz="0" w:space="0" w:color="auto"/>
            <w:left w:val="none" w:sz="0" w:space="0" w:color="auto"/>
            <w:bottom w:val="none" w:sz="0" w:space="0" w:color="auto"/>
            <w:right w:val="none" w:sz="0" w:space="0" w:color="auto"/>
          </w:divBdr>
        </w:div>
      </w:divsChild>
    </w:div>
    <w:div w:id="630207734">
      <w:bodyDiv w:val="1"/>
      <w:marLeft w:val="0"/>
      <w:marRight w:val="0"/>
      <w:marTop w:val="0"/>
      <w:marBottom w:val="0"/>
      <w:divBdr>
        <w:top w:val="none" w:sz="0" w:space="0" w:color="auto"/>
        <w:left w:val="none" w:sz="0" w:space="0" w:color="auto"/>
        <w:bottom w:val="none" w:sz="0" w:space="0" w:color="auto"/>
        <w:right w:val="none" w:sz="0" w:space="0" w:color="auto"/>
      </w:divBdr>
      <w:divsChild>
        <w:div w:id="545601197">
          <w:marLeft w:val="0"/>
          <w:marRight w:val="0"/>
          <w:marTop w:val="0"/>
          <w:marBottom w:val="0"/>
          <w:divBdr>
            <w:top w:val="none" w:sz="0" w:space="0" w:color="auto"/>
            <w:left w:val="none" w:sz="0" w:space="0" w:color="auto"/>
            <w:bottom w:val="none" w:sz="0" w:space="0" w:color="auto"/>
            <w:right w:val="none" w:sz="0" w:space="0" w:color="auto"/>
          </w:divBdr>
          <w:divsChild>
            <w:div w:id="1311325813">
              <w:marLeft w:val="0"/>
              <w:marRight w:val="0"/>
              <w:marTop w:val="0"/>
              <w:marBottom w:val="0"/>
              <w:divBdr>
                <w:top w:val="none" w:sz="0" w:space="0" w:color="auto"/>
                <w:left w:val="none" w:sz="0" w:space="0" w:color="auto"/>
                <w:bottom w:val="none" w:sz="0" w:space="0" w:color="auto"/>
                <w:right w:val="none" w:sz="0" w:space="0" w:color="auto"/>
              </w:divBdr>
              <w:divsChild>
                <w:div w:id="1347174954">
                  <w:marLeft w:val="0"/>
                  <w:marRight w:val="0"/>
                  <w:marTop w:val="0"/>
                  <w:marBottom w:val="0"/>
                  <w:divBdr>
                    <w:top w:val="none" w:sz="0" w:space="0" w:color="auto"/>
                    <w:left w:val="none" w:sz="0" w:space="0" w:color="auto"/>
                    <w:bottom w:val="none" w:sz="0" w:space="0" w:color="auto"/>
                    <w:right w:val="none" w:sz="0" w:space="0" w:color="auto"/>
                  </w:divBdr>
                  <w:divsChild>
                    <w:div w:id="1332370360">
                      <w:marLeft w:val="0"/>
                      <w:marRight w:val="0"/>
                      <w:marTop w:val="0"/>
                      <w:marBottom w:val="0"/>
                      <w:divBdr>
                        <w:top w:val="none" w:sz="0" w:space="0" w:color="auto"/>
                        <w:left w:val="none" w:sz="0" w:space="0" w:color="auto"/>
                        <w:bottom w:val="none" w:sz="0" w:space="0" w:color="auto"/>
                        <w:right w:val="none" w:sz="0" w:space="0" w:color="auto"/>
                      </w:divBdr>
                      <w:divsChild>
                        <w:div w:id="2057194550">
                          <w:marLeft w:val="0"/>
                          <w:marRight w:val="0"/>
                          <w:marTop w:val="0"/>
                          <w:marBottom w:val="0"/>
                          <w:divBdr>
                            <w:top w:val="none" w:sz="0" w:space="0" w:color="auto"/>
                            <w:left w:val="none" w:sz="0" w:space="0" w:color="auto"/>
                            <w:bottom w:val="none" w:sz="0" w:space="0" w:color="auto"/>
                            <w:right w:val="none" w:sz="0" w:space="0" w:color="auto"/>
                          </w:divBdr>
                          <w:divsChild>
                            <w:div w:id="1642270247">
                              <w:marLeft w:val="0"/>
                              <w:marRight w:val="0"/>
                              <w:marTop w:val="0"/>
                              <w:marBottom w:val="0"/>
                              <w:divBdr>
                                <w:top w:val="none" w:sz="0" w:space="0" w:color="auto"/>
                                <w:left w:val="none" w:sz="0" w:space="0" w:color="auto"/>
                                <w:bottom w:val="none" w:sz="0" w:space="0" w:color="auto"/>
                                <w:right w:val="none" w:sz="0" w:space="0" w:color="auto"/>
                              </w:divBdr>
                              <w:divsChild>
                                <w:div w:id="89863737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 w:id="660425785">
      <w:bodyDiv w:val="1"/>
      <w:marLeft w:val="0"/>
      <w:marRight w:val="0"/>
      <w:marTop w:val="0"/>
      <w:marBottom w:val="0"/>
      <w:divBdr>
        <w:top w:val="none" w:sz="0" w:space="0" w:color="auto"/>
        <w:left w:val="none" w:sz="0" w:space="0" w:color="auto"/>
        <w:bottom w:val="none" w:sz="0" w:space="0" w:color="auto"/>
        <w:right w:val="none" w:sz="0" w:space="0" w:color="auto"/>
      </w:divBdr>
    </w:div>
    <w:div w:id="674767550">
      <w:bodyDiv w:val="1"/>
      <w:marLeft w:val="0"/>
      <w:marRight w:val="0"/>
      <w:marTop w:val="0"/>
      <w:marBottom w:val="0"/>
      <w:divBdr>
        <w:top w:val="none" w:sz="0" w:space="0" w:color="auto"/>
        <w:left w:val="none" w:sz="0" w:space="0" w:color="auto"/>
        <w:bottom w:val="none" w:sz="0" w:space="0" w:color="auto"/>
        <w:right w:val="none" w:sz="0" w:space="0" w:color="auto"/>
      </w:divBdr>
    </w:div>
    <w:div w:id="701126518">
      <w:bodyDiv w:val="1"/>
      <w:marLeft w:val="0"/>
      <w:marRight w:val="0"/>
      <w:marTop w:val="0"/>
      <w:marBottom w:val="0"/>
      <w:divBdr>
        <w:top w:val="none" w:sz="0" w:space="0" w:color="auto"/>
        <w:left w:val="none" w:sz="0" w:space="0" w:color="auto"/>
        <w:bottom w:val="none" w:sz="0" w:space="0" w:color="auto"/>
        <w:right w:val="none" w:sz="0" w:space="0" w:color="auto"/>
      </w:divBdr>
    </w:div>
    <w:div w:id="736633574">
      <w:bodyDiv w:val="1"/>
      <w:marLeft w:val="0"/>
      <w:marRight w:val="0"/>
      <w:marTop w:val="0"/>
      <w:marBottom w:val="0"/>
      <w:divBdr>
        <w:top w:val="none" w:sz="0" w:space="0" w:color="auto"/>
        <w:left w:val="none" w:sz="0" w:space="0" w:color="auto"/>
        <w:bottom w:val="none" w:sz="0" w:space="0" w:color="auto"/>
        <w:right w:val="none" w:sz="0" w:space="0" w:color="auto"/>
      </w:divBdr>
    </w:div>
    <w:div w:id="760296021">
      <w:bodyDiv w:val="1"/>
      <w:marLeft w:val="0"/>
      <w:marRight w:val="0"/>
      <w:marTop w:val="0"/>
      <w:marBottom w:val="0"/>
      <w:divBdr>
        <w:top w:val="none" w:sz="0" w:space="0" w:color="auto"/>
        <w:left w:val="none" w:sz="0" w:space="0" w:color="auto"/>
        <w:bottom w:val="none" w:sz="0" w:space="0" w:color="auto"/>
        <w:right w:val="none" w:sz="0" w:space="0" w:color="auto"/>
      </w:divBdr>
    </w:div>
    <w:div w:id="813761285">
      <w:bodyDiv w:val="1"/>
      <w:marLeft w:val="0"/>
      <w:marRight w:val="0"/>
      <w:marTop w:val="0"/>
      <w:marBottom w:val="0"/>
      <w:divBdr>
        <w:top w:val="none" w:sz="0" w:space="0" w:color="auto"/>
        <w:left w:val="none" w:sz="0" w:space="0" w:color="auto"/>
        <w:bottom w:val="none" w:sz="0" w:space="0" w:color="auto"/>
        <w:right w:val="none" w:sz="0" w:space="0" w:color="auto"/>
      </w:divBdr>
    </w:div>
    <w:div w:id="848062000">
      <w:bodyDiv w:val="1"/>
      <w:marLeft w:val="0"/>
      <w:marRight w:val="0"/>
      <w:marTop w:val="0"/>
      <w:marBottom w:val="0"/>
      <w:divBdr>
        <w:top w:val="none" w:sz="0" w:space="0" w:color="auto"/>
        <w:left w:val="none" w:sz="0" w:space="0" w:color="auto"/>
        <w:bottom w:val="none" w:sz="0" w:space="0" w:color="auto"/>
        <w:right w:val="none" w:sz="0" w:space="0" w:color="auto"/>
      </w:divBdr>
    </w:div>
    <w:div w:id="864560505">
      <w:bodyDiv w:val="1"/>
      <w:marLeft w:val="0"/>
      <w:marRight w:val="0"/>
      <w:marTop w:val="0"/>
      <w:marBottom w:val="0"/>
      <w:divBdr>
        <w:top w:val="none" w:sz="0" w:space="0" w:color="auto"/>
        <w:left w:val="none" w:sz="0" w:space="0" w:color="auto"/>
        <w:bottom w:val="none" w:sz="0" w:space="0" w:color="auto"/>
        <w:right w:val="none" w:sz="0" w:space="0" w:color="auto"/>
      </w:divBdr>
      <w:divsChild>
        <w:div w:id="1639727984">
          <w:blockQuote w:val="1"/>
          <w:marLeft w:val="720"/>
          <w:marRight w:val="720"/>
          <w:marTop w:val="100"/>
          <w:marBottom w:val="100"/>
          <w:divBdr>
            <w:top w:val="none" w:sz="0" w:space="0" w:color="auto"/>
            <w:left w:val="none" w:sz="0" w:space="0" w:color="auto"/>
            <w:bottom w:val="none" w:sz="0" w:space="0" w:color="auto"/>
            <w:right w:val="none" w:sz="0" w:space="0" w:color="auto"/>
          </w:divBdr>
        </w:div>
      </w:divsChild>
    </w:div>
    <w:div w:id="867913232">
      <w:bodyDiv w:val="1"/>
      <w:marLeft w:val="0"/>
      <w:marRight w:val="0"/>
      <w:marTop w:val="0"/>
      <w:marBottom w:val="0"/>
      <w:divBdr>
        <w:top w:val="none" w:sz="0" w:space="0" w:color="auto"/>
        <w:left w:val="none" w:sz="0" w:space="0" w:color="auto"/>
        <w:bottom w:val="none" w:sz="0" w:space="0" w:color="auto"/>
        <w:right w:val="none" w:sz="0" w:space="0" w:color="auto"/>
      </w:divBdr>
    </w:div>
    <w:div w:id="884565333">
      <w:bodyDiv w:val="1"/>
      <w:marLeft w:val="0"/>
      <w:marRight w:val="0"/>
      <w:marTop w:val="0"/>
      <w:marBottom w:val="0"/>
      <w:divBdr>
        <w:top w:val="none" w:sz="0" w:space="0" w:color="auto"/>
        <w:left w:val="none" w:sz="0" w:space="0" w:color="auto"/>
        <w:bottom w:val="none" w:sz="0" w:space="0" w:color="auto"/>
        <w:right w:val="none" w:sz="0" w:space="0" w:color="auto"/>
      </w:divBdr>
    </w:div>
    <w:div w:id="920140919">
      <w:bodyDiv w:val="1"/>
      <w:marLeft w:val="0"/>
      <w:marRight w:val="0"/>
      <w:marTop w:val="0"/>
      <w:marBottom w:val="0"/>
      <w:divBdr>
        <w:top w:val="none" w:sz="0" w:space="0" w:color="auto"/>
        <w:left w:val="none" w:sz="0" w:space="0" w:color="auto"/>
        <w:bottom w:val="none" w:sz="0" w:space="0" w:color="auto"/>
        <w:right w:val="none" w:sz="0" w:space="0" w:color="auto"/>
      </w:divBdr>
    </w:div>
    <w:div w:id="982779486">
      <w:bodyDiv w:val="1"/>
      <w:marLeft w:val="0"/>
      <w:marRight w:val="0"/>
      <w:marTop w:val="0"/>
      <w:marBottom w:val="0"/>
      <w:divBdr>
        <w:top w:val="none" w:sz="0" w:space="0" w:color="auto"/>
        <w:left w:val="none" w:sz="0" w:space="0" w:color="auto"/>
        <w:bottom w:val="none" w:sz="0" w:space="0" w:color="auto"/>
        <w:right w:val="none" w:sz="0" w:space="0" w:color="auto"/>
      </w:divBdr>
    </w:div>
    <w:div w:id="1010447867">
      <w:bodyDiv w:val="1"/>
      <w:marLeft w:val="0"/>
      <w:marRight w:val="0"/>
      <w:marTop w:val="0"/>
      <w:marBottom w:val="0"/>
      <w:divBdr>
        <w:top w:val="none" w:sz="0" w:space="0" w:color="auto"/>
        <w:left w:val="none" w:sz="0" w:space="0" w:color="auto"/>
        <w:bottom w:val="none" w:sz="0" w:space="0" w:color="auto"/>
        <w:right w:val="none" w:sz="0" w:space="0" w:color="auto"/>
      </w:divBdr>
      <w:divsChild>
        <w:div w:id="1932663274">
          <w:blockQuote w:val="1"/>
          <w:marLeft w:val="720"/>
          <w:marRight w:val="720"/>
          <w:marTop w:val="100"/>
          <w:marBottom w:val="100"/>
          <w:divBdr>
            <w:top w:val="none" w:sz="0" w:space="0" w:color="auto"/>
            <w:left w:val="none" w:sz="0" w:space="0" w:color="auto"/>
            <w:bottom w:val="none" w:sz="0" w:space="0" w:color="auto"/>
            <w:right w:val="none" w:sz="0" w:space="0" w:color="auto"/>
          </w:divBdr>
        </w:div>
      </w:divsChild>
    </w:div>
    <w:div w:id="1042172846">
      <w:bodyDiv w:val="1"/>
      <w:marLeft w:val="0"/>
      <w:marRight w:val="0"/>
      <w:marTop w:val="0"/>
      <w:marBottom w:val="0"/>
      <w:divBdr>
        <w:top w:val="none" w:sz="0" w:space="0" w:color="auto"/>
        <w:left w:val="none" w:sz="0" w:space="0" w:color="auto"/>
        <w:bottom w:val="none" w:sz="0" w:space="0" w:color="auto"/>
        <w:right w:val="none" w:sz="0" w:space="0" w:color="auto"/>
      </w:divBdr>
    </w:div>
    <w:div w:id="1043169069">
      <w:bodyDiv w:val="1"/>
      <w:marLeft w:val="0"/>
      <w:marRight w:val="0"/>
      <w:marTop w:val="0"/>
      <w:marBottom w:val="0"/>
      <w:divBdr>
        <w:top w:val="none" w:sz="0" w:space="0" w:color="auto"/>
        <w:left w:val="none" w:sz="0" w:space="0" w:color="auto"/>
        <w:bottom w:val="none" w:sz="0" w:space="0" w:color="auto"/>
        <w:right w:val="none" w:sz="0" w:space="0" w:color="auto"/>
      </w:divBdr>
    </w:div>
    <w:div w:id="1057706412">
      <w:bodyDiv w:val="1"/>
      <w:marLeft w:val="0"/>
      <w:marRight w:val="0"/>
      <w:marTop w:val="0"/>
      <w:marBottom w:val="0"/>
      <w:divBdr>
        <w:top w:val="none" w:sz="0" w:space="0" w:color="auto"/>
        <w:left w:val="none" w:sz="0" w:space="0" w:color="auto"/>
        <w:bottom w:val="none" w:sz="0" w:space="0" w:color="auto"/>
        <w:right w:val="none" w:sz="0" w:space="0" w:color="auto"/>
      </w:divBdr>
    </w:div>
    <w:div w:id="1069962438">
      <w:bodyDiv w:val="1"/>
      <w:marLeft w:val="0"/>
      <w:marRight w:val="0"/>
      <w:marTop w:val="0"/>
      <w:marBottom w:val="0"/>
      <w:divBdr>
        <w:top w:val="none" w:sz="0" w:space="0" w:color="auto"/>
        <w:left w:val="none" w:sz="0" w:space="0" w:color="auto"/>
        <w:bottom w:val="none" w:sz="0" w:space="0" w:color="auto"/>
        <w:right w:val="none" w:sz="0" w:space="0" w:color="auto"/>
      </w:divBdr>
    </w:div>
    <w:div w:id="1079054827">
      <w:bodyDiv w:val="1"/>
      <w:marLeft w:val="0"/>
      <w:marRight w:val="0"/>
      <w:marTop w:val="0"/>
      <w:marBottom w:val="0"/>
      <w:divBdr>
        <w:top w:val="none" w:sz="0" w:space="0" w:color="auto"/>
        <w:left w:val="none" w:sz="0" w:space="0" w:color="auto"/>
        <w:bottom w:val="none" w:sz="0" w:space="0" w:color="auto"/>
        <w:right w:val="none" w:sz="0" w:space="0" w:color="auto"/>
      </w:divBdr>
      <w:divsChild>
        <w:div w:id="564223051">
          <w:blockQuote w:val="1"/>
          <w:marLeft w:val="720"/>
          <w:marRight w:val="720"/>
          <w:marTop w:val="100"/>
          <w:marBottom w:val="100"/>
          <w:divBdr>
            <w:top w:val="none" w:sz="0" w:space="0" w:color="auto"/>
            <w:left w:val="none" w:sz="0" w:space="0" w:color="auto"/>
            <w:bottom w:val="none" w:sz="0" w:space="0" w:color="auto"/>
            <w:right w:val="none" w:sz="0" w:space="0" w:color="auto"/>
          </w:divBdr>
        </w:div>
      </w:divsChild>
    </w:div>
    <w:div w:id="1093164887">
      <w:bodyDiv w:val="1"/>
      <w:marLeft w:val="0"/>
      <w:marRight w:val="0"/>
      <w:marTop w:val="0"/>
      <w:marBottom w:val="0"/>
      <w:divBdr>
        <w:top w:val="none" w:sz="0" w:space="0" w:color="auto"/>
        <w:left w:val="none" w:sz="0" w:space="0" w:color="auto"/>
        <w:bottom w:val="none" w:sz="0" w:space="0" w:color="auto"/>
        <w:right w:val="none" w:sz="0" w:space="0" w:color="auto"/>
      </w:divBdr>
    </w:div>
    <w:div w:id="1116558650">
      <w:bodyDiv w:val="1"/>
      <w:marLeft w:val="0"/>
      <w:marRight w:val="0"/>
      <w:marTop w:val="0"/>
      <w:marBottom w:val="0"/>
      <w:divBdr>
        <w:top w:val="none" w:sz="0" w:space="0" w:color="auto"/>
        <w:left w:val="none" w:sz="0" w:space="0" w:color="auto"/>
        <w:bottom w:val="none" w:sz="0" w:space="0" w:color="auto"/>
        <w:right w:val="none" w:sz="0" w:space="0" w:color="auto"/>
      </w:divBdr>
    </w:div>
    <w:div w:id="1121995444">
      <w:bodyDiv w:val="1"/>
      <w:marLeft w:val="0"/>
      <w:marRight w:val="0"/>
      <w:marTop w:val="0"/>
      <w:marBottom w:val="0"/>
      <w:divBdr>
        <w:top w:val="none" w:sz="0" w:space="0" w:color="auto"/>
        <w:left w:val="none" w:sz="0" w:space="0" w:color="auto"/>
        <w:bottom w:val="none" w:sz="0" w:space="0" w:color="auto"/>
        <w:right w:val="none" w:sz="0" w:space="0" w:color="auto"/>
      </w:divBdr>
    </w:div>
    <w:div w:id="1134984094">
      <w:bodyDiv w:val="1"/>
      <w:marLeft w:val="0"/>
      <w:marRight w:val="0"/>
      <w:marTop w:val="0"/>
      <w:marBottom w:val="0"/>
      <w:divBdr>
        <w:top w:val="none" w:sz="0" w:space="0" w:color="auto"/>
        <w:left w:val="none" w:sz="0" w:space="0" w:color="auto"/>
        <w:bottom w:val="none" w:sz="0" w:space="0" w:color="auto"/>
        <w:right w:val="none" w:sz="0" w:space="0" w:color="auto"/>
      </w:divBdr>
    </w:div>
    <w:div w:id="1147674067">
      <w:bodyDiv w:val="1"/>
      <w:marLeft w:val="0"/>
      <w:marRight w:val="0"/>
      <w:marTop w:val="0"/>
      <w:marBottom w:val="0"/>
      <w:divBdr>
        <w:top w:val="none" w:sz="0" w:space="0" w:color="auto"/>
        <w:left w:val="none" w:sz="0" w:space="0" w:color="auto"/>
        <w:bottom w:val="none" w:sz="0" w:space="0" w:color="auto"/>
        <w:right w:val="none" w:sz="0" w:space="0" w:color="auto"/>
      </w:divBdr>
    </w:div>
    <w:div w:id="1165634835">
      <w:bodyDiv w:val="1"/>
      <w:marLeft w:val="0"/>
      <w:marRight w:val="0"/>
      <w:marTop w:val="0"/>
      <w:marBottom w:val="0"/>
      <w:divBdr>
        <w:top w:val="none" w:sz="0" w:space="0" w:color="auto"/>
        <w:left w:val="none" w:sz="0" w:space="0" w:color="auto"/>
        <w:bottom w:val="none" w:sz="0" w:space="0" w:color="auto"/>
        <w:right w:val="none" w:sz="0" w:space="0" w:color="auto"/>
      </w:divBdr>
    </w:div>
    <w:div w:id="1173299096">
      <w:bodyDiv w:val="1"/>
      <w:marLeft w:val="0"/>
      <w:marRight w:val="0"/>
      <w:marTop w:val="0"/>
      <w:marBottom w:val="0"/>
      <w:divBdr>
        <w:top w:val="none" w:sz="0" w:space="0" w:color="auto"/>
        <w:left w:val="none" w:sz="0" w:space="0" w:color="auto"/>
        <w:bottom w:val="none" w:sz="0" w:space="0" w:color="auto"/>
        <w:right w:val="none" w:sz="0" w:space="0" w:color="auto"/>
      </w:divBdr>
    </w:div>
    <w:div w:id="1202982676">
      <w:bodyDiv w:val="1"/>
      <w:marLeft w:val="0"/>
      <w:marRight w:val="0"/>
      <w:marTop w:val="0"/>
      <w:marBottom w:val="0"/>
      <w:divBdr>
        <w:top w:val="none" w:sz="0" w:space="0" w:color="auto"/>
        <w:left w:val="none" w:sz="0" w:space="0" w:color="auto"/>
        <w:bottom w:val="none" w:sz="0" w:space="0" w:color="auto"/>
        <w:right w:val="none" w:sz="0" w:space="0" w:color="auto"/>
      </w:divBdr>
    </w:div>
    <w:div w:id="1212114581">
      <w:bodyDiv w:val="1"/>
      <w:marLeft w:val="0"/>
      <w:marRight w:val="0"/>
      <w:marTop w:val="0"/>
      <w:marBottom w:val="0"/>
      <w:divBdr>
        <w:top w:val="none" w:sz="0" w:space="0" w:color="auto"/>
        <w:left w:val="none" w:sz="0" w:space="0" w:color="auto"/>
        <w:bottom w:val="none" w:sz="0" w:space="0" w:color="auto"/>
        <w:right w:val="none" w:sz="0" w:space="0" w:color="auto"/>
      </w:divBdr>
    </w:div>
    <w:div w:id="1265576021">
      <w:bodyDiv w:val="1"/>
      <w:marLeft w:val="0"/>
      <w:marRight w:val="0"/>
      <w:marTop w:val="0"/>
      <w:marBottom w:val="0"/>
      <w:divBdr>
        <w:top w:val="none" w:sz="0" w:space="0" w:color="auto"/>
        <w:left w:val="none" w:sz="0" w:space="0" w:color="auto"/>
        <w:bottom w:val="none" w:sz="0" w:space="0" w:color="auto"/>
        <w:right w:val="none" w:sz="0" w:space="0" w:color="auto"/>
      </w:divBdr>
    </w:div>
    <w:div w:id="1274169519">
      <w:bodyDiv w:val="1"/>
      <w:marLeft w:val="0"/>
      <w:marRight w:val="0"/>
      <w:marTop w:val="0"/>
      <w:marBottom w:val="0"/>
      <w:divBdr>
        <w:top w:val="none" w:sz="0" w:space="0" w:color="auto"/>
        <w:left w:val="none" w:sz="0" w:space="0" w:color="auto"/>
        <w:bottom w:val="none" w:sz="0" w:space="0" w:color="auto"/>
        <w:right w:val="none" w:sz="0" w:space="0" w:color="auto"/>
      </w:divBdr>
    </w:div>
    <w:div w:id="1275677700">
      <w:bodyDiv w:val="1"/>
      <w:marLeft w:val="0"/>
      <w:marRight w:val="0"/>
      <w:marTop w:val="0"/>
      <w:marBottom w:val="0"/>
      <w:divBdr>
        <w:top w:val="none" w:sz="0" w:space="0" w:color="auto"/>
        <w:left w:val="none" w:sz="0" w:space="0" w:color="auto"/>
        <w:bottom w:val="none" w:sz="0" w:space="0" w:color="auto"/>
        <w:right w:val="none" w:sz="0" w:space="0" w:color="auto"/>
      </w:divBdr>
    </w:div>
    <w:div w:id="1278365870">
      <w:bodyDiv w:val="1"/>
      <w:marLeft w:val="0"/>
      <w:marRight w:val="0"/>
      <w:marTop w:val="0"/>
      <w:marBottom w:val="0"/>
      <w:divBdr>
        <w:top w:val="none" w:sz="0" w:space="0" w:color="auto"/>
        <w:left w:val="none" w:sz="0" w:space="0" w:color="auto"/>
        <w:bottom w:val="none" w:sz="0" w:space="0" w:color="auto"/>
        <w:right w:val="none" w:sz="0" w:space="0" w:color="auto"/>
      </w:divBdr>
    </w:div>
    <w:div w:id="1325932512">
      <w:bodyDiv w:val="1"/>
      <w:marLeft w:val="0"/>
      <w:marRight w:val="0"/>
      <w:marTop w:val="0"/>
      <w:marBottom w:val="0"/>
      <w:divBdr>
        <w:top w:val="none" w:sz="0" w:space="0" w:color="auto"/>
        <w:left w:val="none" w:sz="0" w:space="0" w:color="auto"/>
        <w:bottom w:val="none" w:sz="0" w:space="0" w:color="auto"/>
        <w:right w:val="none" w:sz="0" w:space="0" w:color="auto"/>
      </w:divBdr>
    </w:div>
    <w:div w:id="1347096106">
      <w:bodyDiv w:val="1"/>
      <w:marLeft w:val="0"/>
      <w:marRight w:val="0"/>
      <w:marTop w:val="0"/>
      <w:marBottom w:val="0"/>
      <w:divBdr>
        <w:top w:val="none" w:sz="0" w:space="0" w:color="auto"/>
        <w:left w:val="none" w:sz="0" w:space="0" w:color="auto"/>
        <w:bottom w:val="none" w:sz="0" w:space="0" w:color="auto"/>
        <w:right w:val="none" w:sz="0" w:space="0" w:color="auto"/>
      </w:divBdr>
      <w:divsChild>
        <w:div w:id="753666421">
          <w:marLeft w:val="0"/>
          <w:marRight w:val="0"/>
          <w:marTop w:val="0"/>
          <w:marBottom w:val="0"/>
          <w:divBdr>
            <w:top w:val="none" w:sz="0" w:space="0" w:color="auto"/>
            <w:left w:val="none" w:sz="0" w:space="0" w:color="auto"/>
            <w:bottom w:val="none" w:sz="0" w:space="0" w:color="auto"/>
            <w:right w:val="none" w:sz="0" w:space="0" w:color="auto"/>
          </w:divBdr>
          <w:divsChild>
            <w:div w:id="493688758">
              <w:marLeft w:val="0"/>
              <w:marRight w:val="0"/>
              <w:marTop w:val="0"/>
              <w:marBottom w:val="0"/>
              <w:divBdr>
                <w:top w:val="none" w:sz="0" w:space="0" w:color="auto"/>
                <w:left w:val="none" w:sz="0" w:space="0" w:color="auto"/>
                <w:bottom w:val="none" w:sz="0" w:space="0" w:color="auto"/>
                <w:right w:val="none" w:sz="0" w:space="0" w:color="auto"/>
              </w:divBdr>
              <w:divsChild>
                <w:div w:id="1023163894">
                  <w:marLeft w:val="0"/>
                  <w:marRight w:val="0"/>
                  <w:marTop w:val="0"/>
                  <w:marBottom w:val="0"/>
                  <w:divBdr>
                    <w:top w:val="none" w:sz="0" w:space="0" w:color="auto"/>
                    <w:left w:val="none" w:sz="0" w:space="0" w:color="auto"/>
                    <w:bottom w:val="none" w:sz="0" w:space="0" w:color="auto"/>
                    <w:right w:val="none" w:sz="0" w:space="0" w:color="auto"/>
                  </w:divBdr>
                  <w:divsChild>
                    <w:div w:id="757286485">
                      <w:marLeft w:val="0"/>
                      <w:marRight w:val="0"/>
                      <w:marTop w:val="0"/>
                      <w:marBottom w:val="0"/>
                      <w:divBdr>
                        <w:top w:val="none" w:sz="0" w:space="0" w:color="auto"/>
                        <w:left w:val="none" w:sz="0" w:space="0" w:color="auto"/>
                        <w:bottom w:val="none" w:sz="0" w:space="0" w:color="auto"/>
                        <w:right w:val="none" w:sz="0" w:space="0" w:color="auto"/>
                      </w:divBdr>
                      <w:divsChild>
                        <w:div w:id="1764574054">
                          <w:marLeft w:val="0"/>
                          <w:marRight w:val="0"/>
                          <w:marTop w:val="0"/>
                          <w:marBottom w:val="0"/>
                          <w:divBdr>
                            <w:top w:val="none" w:sz="0" w:space="0" w:color="auto"/>
                            <w:left w:val="none" w:sz="0" w:space="0" w:color="auto"/>
                            <w:bottom w:val="none" w:sz="0" w:space="0" w:color="auto"/>
                            <w:right w:val="none" w:sz="0" w:space="0" w:color="auto"/>
                          </w:divBdr>
                          <w:divsChild>
                            <w:div w:id="1094979234">
                              <w:marLeft w:val="0"/>
                              <w:marRight w:val="0"/>
                              <w:marTop w:val="0"/>
                              <w:marBottom w:val="0"/>
                              <w:divBdr>
                                <w:top w:val="none" w:sz="0" w:space="0" w:color="auto"/>
                                <w:left w:val="none" w:sz="0" w:space="0" w:color="auto"/>
                                <w:bottom w:val="none" w:sz="0" w:space="0" w:color="auto"/>
                                <w:right w:val="none" w:sz="0" w:space="0" w:color="auto"/>
                              </w:divBdr>
                              <w:divsChild>
                                <w:div w:id="162654264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 w:id="1352806039">
      <w:bodyDiv w:val="1"/>
      <w:marLeft w:val="0"/>
      <w:marRight w:val="0"/>
      <w:marTop w:val="0"/>
      <w:marBottom w:val="0"/>
      <w:divBdr>
        <w:top w:val="none" w:sz="0" w:space="0" w:color="auto"/>
        <w:left w:val="none" w:sz="0" w:space="0" w:color="auto"/>
        <w:bottom w:val="none" w:sz="0" w:space="0" w:color="auto"/>
        <w:right w:val="none" w:sz="0" w:space="0" w:color="auto"/>
      </w:divBdr>
      <w:divsChild>
        <w:div w:id="671492595">
          <w:blockQuote w:val="1"/>
          <w:marLeft w:val="720"/>
          <w:marRight w:val="720"/>
          <w:marTop w:val="100"/>
          <w:marBottom w:val="100"/>
          <w:divBdr>
            <w:top w:val="none" w:sz="0" w:space="0" w:color="auto"/>
            <w:left w:val="none" w:sz="0" w:space="0" w:color="auto"/>
            <w:bottom w:val="none" w:sz="0" w:space="0" w:color="auto"/>
            <w:right w:val="none" w:sz="0" w:space="0" w:color="auto"/>
          </w:divBdr>
        </w:div>
      </w:divsChild>
    </w:div>
    <w:div w:id="1376000537">
      <w:bodyDiv w:val="1"/>
      <w:marLeft w:val="0"/>
      <w:marRight w:val="0"/>
      <w:marTop w:val="0"/>
      <w:marBottom w:val="0"/>
      <w:divBdr>
        <w:top w:val="none" w:sz="0" w:space="0" w:color="auto"/>
        <w:left w:val="none" w:sz="0" w:space="0" w:color="auto"/>
        <w:bottom w:val="none" w:sz="0" w:space="0" w:color="auto"/>
        <w:right w:val="none" w:sz="0" w:space="0" w:color="auto"/>
      </w:divBdr>
      <w:divsChild>
        <w:div w:id="219243949">
          <w:blockQuote w:val="1"/>
          <w:marLeft w:val="720"/>
          <w:marRight w:val="720"/>
          <w:marTop w:val="100"/>
          <w:marBottom w:val="100"/>
          <w:divBdr>
            <w:top w:val="none" w:sz="0" w:space="0" w:color="auto"/>
            <w:left w:val="none" w:sz="0" w:space="0" w:color="auto"/>
            <w:bottom w:val="none" w:sz="0" w:space="0" w:color="auto"/>
            <w:right w:val="none" w:sz="0" w:space="0" w:color="auto"/>
          </w:divBdr>
        </w:div>
      </w:divsChild>
    </w:div>
    <w:div w:id="1380279422">
      <w:bodyDiv w:val="1"/>
      <w:marLeft w:val="0"/>
      <w:marRight w:val="0"/>
      <w:marTop w:val="0"/>
      <w:marBottom w:val="0"/>
      <w:divBdr>
        <w:top w:val="none" w:sz="0" w:space="0" w:color="auto"/>
        <w:left w:val="none" w:sz="0" w:space="0" w:color="auto"/>
        <w:bottom w:val="none" w:sz="0" w:space="0" w:color="auto"/>
        <w:right w:val="none" w:sz="0" w:space="0" w:color="auto"/>
      </w:divBdr>
    </w:div>
    <w:div w:id="1382092035">
      <w:bodyDiv w:val="1"/>
      <w:marLeft w:val="0"/>
      <w:marRight w:val="0"/>
      <w:marTop w:val="0"/>
      <w:marBottom w:val="0"/>
      <w:divBdr>
        <w:top w:val="none" w:sz="0" w:space="0" w:color="auto"/>
        <w:left w:val="none" w:sz="0" w:space="0" w:color="auto"/>
        <w:bottom w:val="none" w:sz="0" w:space="0" w:color="auto"/>
        <w:right w:val="none" w:sz="0" w:space="0" w:color="auto"/>
      </w:divBdr>
    </w:div>
    <w:div w:id="1383795669">
      <w:bodyDiv w:val="1"/>
      <w:marLeft w:val="0"/>
      <w:marRight w:val="0"/>
      <w:marTop w:val="0"/>
      <w:marBottom w:val="0"/>
      <w:divBdr>
        <w:top w:val="none" w:sz="0" w:space="0" w:color="auto"/>
        <w:left w:val="none" w:sz="0" w:space="0" w:color="auto"/>
        <w:bottom w:val="none" w:sz="0" w:space="0" w:color="auto"/>
        <w:right w:val="none" w:sz="0" w:space="0" w:color="auto"/>
      </w:divBdr>
      <w:divsChild>
        <w:div w:id="1357121522">
          <w:blockQuote w:val="1"/>
          <w:marLeft w:val="720"/>
          <w:marRight w:val="720"/>
          <w:marTop w:val="100"/>
          <w:marBottom w:val="100"/>
          <w:divBdr>
            <w:top w:val="none" w:sz="0" w:space="0" w:color="auto"/>
            <w:left w:val="none" w:sz="0" w:space="0" w:color="auto"/>
            <w:bottom w:val="none" w:sz="0" w:space="0" w:color="auto"/>
            <w:right w:val="none" w:sz="0" w:space="0" w:color="auto"/>
          </w:divBdr>
        </w:div>
      </w:divsChild>
    </w:div>
    <w:div w:id="1400206213">
      <w:bodyDiv w:val="1"/>
      <w:marLeft w:val="0"/>
      <w:marRight w:val="0"/>
      <w:marTop w:val="0"/>
      <w:marBottom w:val="0"/>
      <w:divBdr>
        <w:top w:val="none" w:sz="0" w:space="0" w:color="auto"/>
        <w:left w:val="none" w:sz="0" w:space="0" w:color="auto"/>
        <w:bottom w:val="none" w:sz="0" w:space="0" w:color="auto"/>
        <w:right w:val="none" w:sz="0" w:space="0" w:color="auto"/>
      </w:divBdr>
    </w:div>
    <w:div w:id="1424300246">
      <w:bodyDiv w:val="1"/>
      <w:marLeft w:val="0"/>
      <w:marRight w:val="0"/>
      <w:marTop w:val="0"/>
      <w:marBottom w:val="0"/>
      <w:divBdr>
        <w:top w:val="none" w:sz="0" w:space="0" w:color="auto"/>
        <w:left w:val="none" w:sz="0" w:space="0" w:color="auto"/>
        <w:bottom w:val="none" w:sz="0" w:space="0" w:color="auto"/>
        <w:right w:val="none" w:sz="0" w:space="0" w:color="auto"/>
      </w:divBdr>
    </w:div>
    <w:div w:id="1461219380">
      <w:bodyDiv w:val="1"/>
      <w:marLeft w:val="0"/>
      <w:marRight w:val="0"/>
      <w:marTop w:val="0"/>
      <w:marBottom w:val="0"/>
      <w:divBdr>
        <w:top w:val="none" w:sz="0" w:space="0" w:color="auto"/>
        <w:left w:val="none" w:sz="0" w:space="0" w:color="auto"/>
        <w:bottom w:val="none" w:sz="0" w:space="0" w:color="auto"/>
        <w:right w:val="none" w:sz="0" w:space="0" w:color="auto"/>
      </w:divBdr>
    </w:div>
    <w:div w:id="1461222736">
      <w:bodyDiv w:val="1"/>
      <w:marLeft w:val="0"/>
      <w:marRight w:val="0"/>
      <w:marTop w:val="0"/>
      <w:marBottom w:val="0"/>
      <w:divBdr>
        <w:top w:val="none" w:sz="0" w:space="0" w:color="auto"/>
        <w:left w:val="none" w:sz="0" w:space="0" w:color="auto"/>
        <w:bottom w:val="none" w:sz="0" w:space="0" w:color="auto"/>
        <w:right w:val="none" w:sz="0" w:space="0" w:color="auto"/>
      </w:divBdr>
    </w:div>
    <w:div w:id="1465614272">
      <w:bodyDiv w:val="1"/>
      <w:marLeft w:val="0"/>
      <w:marRight w:val="0"/>
      <w:marTop w:val="0"/>
      <w:marBottom w:val="0"/>
      <w:divBdr>
        <w:top w:val="none" w:sz="0" w:space="0" w:color="auto"/>
        <w:left w:val="none" w:sz="0" w:space="0" w:color="auto"/>
        <w:bottom w:val="none" w:sz="0" w:space="0" w:color="auto"/>
        <w:right w:val="none" w:sz="0" w:space="0" w:color="auto"/>
      </w:divBdr>
    </w:div>
    <w:div w:id="1484739395">
      <w:bodyDiv w:val="1"/>
      <w:marLeft w:val="0"/>
      <w:marRight w:val="0"/>
      <w:marTop w:val="0"/>
      <w:marBottom w:val="0"/>
      <w:divBdr>
        <w:top w:val="none" w:sz="0" w:space="0" w:color="auto"/>
        <w:left w:val="none" w:sz="0" w:space="0" w:color="auto"/>
        <w:bottom w:val="none" w:sz="0" w:space="0" w:color="auto"/>
        <w:right w:val="none" w:sz="0" w:space="0" w:color="auto"/>
      </w:divBdr>
    </w:div>
    <w:div w:id="1508516622">
      <w:bodyDiv w:val="1"/>
      <w:marLeft w:val="0"/>
      <w:marRight w:val="0"/>
      <w:marTop w:val="0"/>
      <w:marBottom w:val="0"/>
      <w:divBdr>
        <w:top w:val="none" w:sz="0" w:space="0" w:color="auto"/>
        <w:left w:val="none" w:sz="0" w:space="0" w:color="auto"/>
        <w:bottom w:val="none" w:sz="0" w:space="0" w:color="auto"/>
        <w:right w:val="none" w:sz="0" w:space="0" w:color="auto"/>
      </w:divBdr>
    </w:div>
    <w:div w:id="1509101517">
      <w:bodyDiv w:val="1"/>
      <w:marLeft w:val="0"/>
      <w:marRight w:val="0"/>
      <w:marTop w:val="0"/>
      <w:marBottom w:val="0"/>
      <w:divBdr>
        <w:top w:val="none" w:sz="0" w:space="0" w:color="auto"/>
        <w:left w:val="none" w:sz="0" w:space="0" w:color="auto"/>
        <w:bottom w:val="none" w:sz="0" w:space="0" w:color="auto"/>
        <w:right w:val="none" w:sz="0" w:space="0" w:color="auto"/>
      </w:divBdr>
      <w:divsChild>
        <w:div w:id="793139952">
          <w:blockQuote w:val="1"/>
          <w:marLeft w:val="720"/>
          <w:marRight w:val="720"/>
          <w:marTop w:val="100"/>
          <w:marBottom w:val="100"/>
          <w:divBdr>
            <w:top w:val="none" w:sz="0" w:space="0" w:color="auto"/>
            <w:left w:val="none" w:sz="0" w:space="0" w:color="auto"/>
            <w:bottom w:val="none" w:sz="0" w:space="0" w:color="auto"/>
            <w:right w:val="none" w:sz="0" w:space="0" w:color="auto"/>
          </w:divBdr>
        </w:div>
      </w:divsChild>
    </w:div>
    <w:div w:id="1514688327">
      <w:bodyDiv w:val="1"/>
      <w:marLeft w:val="0"/>
      <w:marRight w:val="0"/>
      <w:marTop w:val="0"/>
      <w:marBottom w:val="0"/>
      <w:divBdr>
        <w:top w:val="none" w:sz="0" w:space="0" w:color="auto"/>
        <w:left w:val="none" w:sz="0" w:space="0" w:color="auto"/>
        <w:bottom w:val="none" w:sz="0" w:space="0" w:color="auto"/>
        <w:right w:val="none" w:sz="0" w:space="0" w:color="auto"/>
      </w:divBdr>
    </w:div>
    <w:div w:id="1520509487">
      <w:bodyDiv w:val="1"/>
      <w:marLeft w:val="0"/>
      <w:marRight w:val="0"/>
      <w:marTop w:val="0"/>
      <w:marBottom w:val="0"/>
      <w:divBdr>
        <w:top w:val="none" w:sz="0" w:space="0" w:color="auto"/>
        <w:left w:val="none" w:sz="0" w:space="0" w:color="auto"/>
        <w:bottom w:val="none" w:sz="0" w:space="0" w:color="auto"/>
        <w:right w:val="none" w:sz="0" w:space="0" w:color="auto"/>
      </w:divBdr>
    </w:div>
    <w:div w:id="1523130074">
      <w:bodyDiv w:val="1"/>
      <w:marLeft w:val="0"/>
      <w:marRight w:val="0"/>
      <w:marTop w:val="0"/>
      <w:marBottom w:val="0"/>
      <w:divBdr>
        <w:top w:val="none" w:sz="0" w:space="0" w:color="auto"/>
        <w:left w:val="none" w:sz="0" w:space="0" w:color="auto"/>
        <w:bottom w:val="none" w:sz="0" w:space="0" w:color="auto"/>
        <w:right w:val="none" w:sz="0" w:space="0" w:color="auto"/>
      </w:divBdr>
      <w:divsChild>
        <w:div w:id="1429621327">
          <w:blockQuote w:val="1"/>
          <w:marLeft w:val="720"/>
          <w:marRight w:val="720"/>
          <w:marTop w:val="100"/>
          <w:marBottom w:val="100"/>
          <w:divBdr>
            <w:top w:val="none" w:sz="0" w:space="0" w:color="auto"/>
            <w:left w:val="none" w:sz="0" w:space="0" w:color="auto"/>
            <w:bottom w:val="none" w:sz="0" w:space="0" w:color="auto"/>
            <w:right w:val="none" w:sz="0" w:space="0" w:color="auto"/>
          </w:divBdr>
        </w:div>
      </w:divsChild>
    </w:div>
    <w:div w:id="1625162481">
      <w:bodyDiv w:val="1"/>
      <w:marLeft w:val="0"/>
      <w:marRight w:val="0"/>
      <w:marTop w:val="0"/>
      <w:marBottom w:val="0"/>
      <w:divBdr>
        <w:top w:val="none" w:sz="0" w:space="0" w:color="auto"/>
        <w:left w:val="none" w:sz="0" w:space="0" w:color="auto"/>
        <w:bottom w:val="none" w:sz="0" w:space="0" w:color="auto"/>
        <w:right w:val="none" w:sz="0" w:space="0" w:color="auto"/>
      </w:divBdr>
    </w:div>
    <w:div w:id="1649819383">
      <w:bodyDiv w:val="1"/>
      <w:marLeft w:val="0"/>
      <w:marRight w:val="0"/>
      <w:marTop w:val="0"/>
      <w:marBottom w:val="0"/>
      <w:divBdr>
        <w:top w:val="none" w:sz="0" w:space="0" w:color="auto"/>
        <w:left w:val="none" w:sz="0" w:space="0" w:color="auto"/>
        <w:bottom w:val="none" w:sz="0" w:space="0" w:color="auto"/>
        <w:right w:val="none" w:sz="0" w:space="0" w:color="auto"/>
      </w:divBdr>
    </w:div>
    <w:div w:id="1662928148">
      <w:bodyDiv w:val="1"/>
      <w:marLeft w:val="0"/>
      <w:marRight w:val="0"/>
      <w:marTop w:val="0"/>
      <w:marBottom w:val="0"/>
      <w:divBdr>
        <w:top w:val="none" w:sz="0" w:space="0" w:color="auto"/>
        <w:left w:val="none" w:sz="0" w:space="0" w:color="auto"/>
        <w:bottom w:val="none" w:sz="0" w:space="0" w:color="auto"/>
        <w:right w:val="none" w:sz="0" w:space="0" w:color="auto"/>
      </w:divBdr>
    </w:div>
    <w:div w:id="1691758668">
      <w:bodyDiv w:val="1"/>
      <w:marLeft w:val="0"/>
      <w:marRight w:val="0"/>
      <w:marTop w:val="0"/>
      <w:marBottom w:val="0"/>
      <w:divBdr>
        <w:top w:val="none" w:sz="0" w:space="0" w:color="auto"/>
        <w:left w:val="none" w:sz="0" w:space="0" w:color="auto"/>
        <w:bottom w:val="none" w:sz="0" w:space="0" w:color="auto"/>
        <w:right w:val="none" w:sz="0" w:space="0" w:color="auto"/>
      </w:divBdr>
    </w:div>
    <w:div w:id="1722093297">
      <w:bodyDiv w:val="1"/>
      <w:marLeft w:val="0"/>
      <w:marRight w:val="0"/>
      <w:marTop w:val="0"/>
      <w:marBottom w:val="0"/>
      <w:divBdr>
        <w:top w:val="none" w:sz="0" w:space="0" w:color="auto"/>
        <w:left w:val="none" w:sz="0" w:space="0" w:color="auto"/>
        <w:bottom w:val="none" w:sz="0" w:space="0" w:color="auto"/>
        <w:right w:val="none" w:sz="0" w:space="0" w:color="auto"/>
      </w:divBdr>
    </w:div>
    <w:div w:id="1722175013">
      <w:bodyDiv w:val="1"/>
      <w:marLeft w:val="0"/>
      <w:marRight w:val="0"/>
      <w:marTop w:val="0"/>
      <w:marBottom w:val="0"/>
      <w:divBdr>
        <w:top w:val="none" w:sz="0" w:space="0" w:color="auto"/>
        <w:left w:val="none" w:sz="0" w:space="0" w:color="auto"/>
        <w:bottom w:val="none" w:sz="0" w:space="0" w:color="auto"/>
        <w:right w:val="none" w:sz="0" w:space="0" w:color="auto"/>
      </w:divBdr>
    </w:div>
    <w:div w:id="1732118970">
      <w:bodyDiv w:val="1"/>
      <w:marLeft w:val="0"/>
      <w:marRight w:val="0"/>
      <w:marTop w:val="0"/>
      <w:marBottom w:val="0"/>
      <w:divBdr>
        <w:top w:val="none" w:sz="0" w:space="0" w:color="auto"/>
        <w:left w:val="none" w:sz="0" w:space="0" w:color="auto"/>
        <w:bottom w:val="none" w:sz="0" w:space="0" w:color="auto"/>
        <w:right w:val="none" w:sz="0" w:space="0" w:color="auto"/>
      </w:divBdr>
    </w:div>
    <w:div w:id="1748844506">
      <w:bodyDiv w:val="1"/>
      <w:marLeft w:val="0"/>
      <w:marRight w:val="0"/>
      <w:marTop w:val="0"/>
      <w:marBottom w:val="0"/>
      <w:divBdr>
        <w:top w:val="none" w:sz="0" w:space="0" w:color="auto"/>
        <w:left w:val="none" w:sz="0" w:space="0" w:color="auto"/>
        <w:bottom w:val="none" w:sz="0" w:space="0" w:color="auto"/>
        <w:right w:val="none" w:sz="0" w:space="0" w:color="auto"/>
      </w:divBdr>
    </w:div>
    <w:div w:id="1797798767">
      <w:bodyDiv w:val="1"/>
      <w:marLeft w:val="0"/>
      <w:marRight w:val="0"/>
      <w:marTop w:val="0"/>
      <w:marBottom w:val="0"/>
      <w:divBdr>
        <w:top w:val="none" w:sz="0" w:space="0" w:color="auto"/>
        <w:left w:val="none" w:sz="0" w:space="0" w:color="auto"/>
        <w:bottom w:val="none" w:sz="0" w:space="0" w:color="auto"/>
        <w:right w:val="none" w:sz="0" w:space="0" w:color="auto"/>
      </w:divBdr>
    </w:div>
    <w:div w:id="1807963420">
      <w:bodyDiv w:val="1"/>
      <w:marLeft w:val="0"/>
      <w:marRight w:val="0"/>
      <w:marTop w:val="0"/>
      <w:marBottom w:val="0"/>
      <w:divBdr>
        <w:top w:val="none" w:sz="0" w:space="0" w:color="auto"/>
        <w:left w:val="none" w:sz="0" w:space="0" w:color="auto"/>
        <w:bottom w:val="none" w:sz="0" w:space="0" w:color="auto"/>
        <w:right w:val="none" w:sz="0" w:space="0" w:color="auto"/>
      </w:divBdr>
    </w:div>
    <w:div w:id="1814330997">
      <w:bodyDiv w:val="1"/>
      <w:marLeft w:val="0"/>
      <w:marRight w:val="0"/>
      <w:marTop w:val="0"/>
      <w:marBottom w:val="0"/>
      <w:divBdr>
        <w:top w:val="none" w:sz="0" w:space="0" w:color="auto"/>
        <w:left w:val="none" w:sz="0" w:space="0" w:color="auto"/>
        <w:bottom w:val="none" w:sz="0" w:space="0" w:color="auto"/>
        <w:right w:val="none" w:sz="0" w:space="0" w:color="auto"/>
      </w:divBdr>
    </w:div>
    <w:div w:id="1817062360">
      <w:bodyDiv w:val="1"/>
      <w:marLeft w:val="0"/>
      <w:marRight w:val="0"/>
      <w:marTop w:val="0"/>
      <w:marBottom w:val="0"/>
      <w:divBdr>
        <w:top w:val="none" w:sz="0" w:space="0" w:color="auto"/>
        <w:left w:val="none" w:sz="0" w:space="0" w:color="auto"/>
        <w:bottom w:val="none" w:sz="0" w:space="0" w:color="auto"/>
        <w:right w:val="none" w:sz="0" w:space="0" w:color="auto"/>
      </w:divBdr>
    </w:div>
    <w:div w:id="1834098798">
      <w:bodyDiv w:val="1"/>
      <w:marLeft w:val="0"/>
      <w:marRight w:val="0"/>
      <w:marTop w:val="0"/>
      <w:marBottom w:val="0"/>
      <w:divBdr>
        <w:top w:val="none" w:sz="0" w:space="0" w:color="auto"/>
        <w:left w:val="none" w:sz="0" w:space="0" w:color="auto"/>
        <w:bottom w:val="none" w:sz="0" w:space="0" w:color="auto"/>
        <w:right w:val="none" w:sz="0" w:space="0" w:color="auto"/>
      </w:divBdr>
    </w:div>
    <w:div w:id="1839077615">
      <w:bodyDiv w:val="1"/>
      <w:marLeft w:val="0"/>
      <w:marRight w:val="0"/>
      <w:marTop w:val="0"/>
      <w:marBottom w:val="0"/>
      <w:divBdr>
        <w:top w:val="none" w:sz="0" w:space="0" w:color="auto"/>
        <w:left w:val="none" w:sz="0" w:space="0" w:color="auto"/>
        <w:bottom w:val="none" w:sz="0" w:space="0" w:color="auto"/>
        <w:right w:val="none" w:sz="0" w:space="0" w:color="auto"/>
      </w:divBdr>
      <w:divsChild>
        <w:div w:id="1884488003">
          <w:marLeft w:val="0"/>
          <w:marRight w:val="0"/>
          <w:marTop w:val="0"/>
          <w:marBottom w:val="0"/>
          <w:divBdr>
            <w:top w:val="none" w:sz="0" w:space="0" w:color="auto"/>
            <w:left w:val="none" w:sz="0" w:space="0" w:color="auto"/>
            <w:bottom w:val="none" w:sz="0" w:space="0" w:color="auto"/>
            <w:right w:val="none" w:sz="0" w:space="0" w:color="auto"/>
          </w:divBdr>
          <w:divsChild>
            <w:div w:id="1940407337">
              <w:marLeft w:val="0"/>
              <w:marRight w:val="0"/>
              <w:marTop w:val="0"/>
              <w:marBottom w:val="0"/>
              <w:divBdr>
                <w:top w:val="none" w:sz="0" w:space="0" w:color="auto"/>
                <w:left w:val="none" w:sz="0" w:space="0" w:color="auto"/>
                <w:bottom w:val="none" w:sz="0" w:space="0" w:color="auto"/>
                <w:right w:val="none" w:sz="0" w:space="0" w:color="auto"/>
              </w:divBdr>
              <w:divsChild>
                <w:div w:id="206675718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887522370">
      <w:bodyDiv w:val="1"/>
      <w:marLeft w:val="0"/>
      <w:marRight w:val="0"/>
      <w:marTop w:val="0"/>
      <w:marBottom w:val="0"/>
      <w:divBdr>
        <w:top w:val="none" w:sz="0" w:space="0" w:color="auto"/>
        <w:left w:val="none" w:sz="0" w:space="0" w:color="auto"/>
        <w:bottom w:val="none" w:sz="0" w:space="0" w:color="auto"/>
        <w:right w:val="none" w:sz="0" w:space="0" w:color="auto"/>
      </w:divBdr>
    </w:div>
    <w:div w:id="1890149336">
      <w:bodyDiv w:val="1"/>
      <w:marLeft w:val="0"/>
      <w:marRight w:val="0"/>
      <w:marTop w:val="0"/>
      <w:marBottom w:val="0"/>
      <w:divBdr>
        <w:top w:val="none" w:sz="0" w:space="0" w:color="auto"/>
        <w:left w:val="none" w:sz="0" w:space="0" w:color="auto"/>
        <w:bottom w:val="none" w:sz="0" w:space="0" w:color="auto"/>
        <w:right w:val="none" w:sz="0" w:space="0" w:color="auto"/>
      </w:divBdr>
    </w:div>
    <w:div w:id="1893081217">
      <w:bodyDiv w:val="1"/>
      <w:marLeft w:val="0"/>
      <w:marRight w:val="0"/>
      <w:marTop w:val="0"/>
      <w:marBottom w:val="0"/>
      <w:divBdr>
        <w:top w:val="none" w:sz="0" w:space="0" w:color="auto"/>
        <w:left w:val="none" w:sz="0" w:space="0" w:color="auto"/>
        <w:bottom w:val="none" w:sz="0" w:space="0" w:color="auto"/>
        <w:right w:val="none" w:sz="0" w:space="0" w:color="auto"/>
      </w:divBdr>
    </w:div>
    <w:div w:id="1897861730">
      <w:bodyDiv w:val="1"/>
      <w:marLeft w:val="0"/>
      <w:marRight w:val="0"/>
      <w:marTop w:val="0"/>
      <w:marBottom w:val="0"/>
      <w:divBdr>
        <w:top w:val="none" w:sz="0" w:space="0" w:color="auto"/>
        <w:left w:val="none" w:sz="0" w:space="0" w:color="auto"/>
        <w:bottom w:val="none" w:sz="0" w:space="0" w:color="auto"/>
        <w:right w:val="none" w:sz="0" w:space="0" w:color="auto"/>
      </w:divBdr>
    </w:div>
    <w:div w:id="1899827024">
      <w:bodyDiv w:val="1"/>
      <w:marLeft w:val="0"/>
      <w:marRight w:val="0"/>
      <w:marTop w:val="0"/>
      <w:marBottom w:val="0"/>
      <w:divBdr>
        <w:top w:val="none" w:sz="0" w:space="0" w:color="auto"/>
        <w:left w:val="none" w:sz="0" w:space="0" w:color="auto"/>
        <w:bottom w:val="none" w:sz="0" w:space="0" w:color="auto"/>
        <w:right w:val="none" w:sz="0" w:space="0" w:color="auto"/>
      </w:divBdr>
    </w:div>
    <w:div w:id="1910847258">
      <w:bodyDiv w:val="1"/>
      <w:marLeft w:val="0"/>
      <w:marRight w:val="0"/>
      <w:marTop w:val="0"/>
      <w:marBottom w:val="0"/>
      <w:divBdr>
        <w:top w:val="none" w:sz="0" w:space="0" w:color="auto"/>
        <w:left w:val="none" w:sz="0" w:space="0" w:color="auto"/>
        <w:bottom w:val="none" w:sz="0" w:space="0" w:color="auto"/>
        <w:right w:val="none" w:sz="0" w:space="0" w:color="auto"/>
      </w:divBdr>
    </w:div>
    <w:div w:id="1915897638">
      <w:bodyDiv w:val="1"/>
      <w:marLeft w:val="0"/>
      <w:marRight w:val="0"/>
      <w:marTop w:val="0"/>
      <w:marBottom w:val="0"/>
      <w:divBdr>
        <w:top w:val="none" w:sz="0" w:space="0" w:color="auto"/>
        <w:left w:val="none" w:sz="0" w:space="0" w:color="auto"/>
        <w:bottom w:val="none" w:sz="0" w:space="0" w:color="auto"/>
        <w:right w:val="none" w:sz="0" w:space="0" w:color="auto"/>
      </w:divBdr>
      <w:divsChild>
        <w:div w:id="1295677975">
          <w:blockQuote w:val="1"/>
          <w:marLeft w:val="720"/>
          <w:marRight w:val="720"/>
          <w:marTop w:val="100"/>
          <w:marBottom w:val="100"/>
          <w:divBdr>
            <w:top w:val="none" w:sz="0" w:space="0" w:color="auto"/>
            <w:left w:val="none" w:sz="0" w:space="0" w:color="auto"/>
            <w:bottom w:val="none" w:sz="0" w:space="0" w:color="auto"/>
            <w:right w:val="none" w:sz="0" w:space="0" w:color="auto"/>
          </w:divBdr>
        </w:div>
      </w:divsChild>
    </w:div>
    <w:div w:id="1983735512">
      <w:bodyDiv w:val="1"/>
      <w:marLeft w:val="0"/>
      <w:marRight w:val="0"/>
      <w:marTop w:val="0"/>
      <w:marBottom w:val="0"/>
      <w:divBdr>
        <w:top w:val="none" w:sz="0" w:space="0" w:color="auto"/>
        <w:left w:val="none" w:sz="0" w:space="0" w:color="auto"/>
        <w:bottom w:val="none" w:sz="0" w:space="0" w:color="auto"/>
        <w:right w:val="none" w:sz="0" w:space="0" w:color="auto"/>
      </w:divBdr>
    </w:div>
    <w:div w:id="2006006947">
      <w:bodyDiv w:val="1"/>
      <w:marLeft w:val="0"/>
      <w:marRight w:val="0"/>
      <w:marTop w:val="0"/>
      <w:marBottom w:val="0"/>
      <w:divBdr>
        <w:top w:val="none" w:sz="0" w:space="0" w:color="auto"/>
        <w:left w:val="none" w:sz="0" w:space="0" w:color="auto"/>
        <w:bottom w:val="none" w:sz="0" w:space="0" w:color="auto"/>
        <w:right w:val="none" w:sz="0" w:space="0" w:color="auto"/>
      </w:divBdr>
    </w:div>
    <w:div w:id="2006125205">
      <w:bodyDiv w:val="1"/>
      <w:marLeft w:val="0"/>
      <w:marRight w:val="0"/>
      <w:marTop w:val="0"/>
      <w:marBottom w:val="0"/>
      <w:divBdr>
        <w:top w:val="none" w:sz="0" w:space="0" w:color="auto"/>
        <w:left w:val="none" w:sz="0" w:space="0" w:color="auto"/>
        <w:bottom w:val="none" w:sz="0" w:space="0" w:color="auto"/>
        <w:right w:val="none" w:sz="0" w:space="0" w:color="auto"/>
      </w:divBdr>
    </w:div>
    <w:div w:id="2006471317">
      <w:bodyDiv w:val="1"/>
      <w:marLeft w:val="0"/>
      <w:marRight w:val="0"/>
      <w:marTop w:val="0"/>
      <w:marBottom w:val="0"/>
      <w:divBdr>
        <w:top w:val="none" w:sz="0" w:space="0" w:color="auto"/>
        <w:left w:val="none" w:sz="0" w:space="0" w:color="auto"/>
        <w:bottom w:val="none" w:sz="0" w:space="0" w:color="auto"/>
        <w:right w:val="none" w:sz="0" w:space="0" w:color="auto"/>
      </w:divBdr>
    </w:div>
    <w:div w:id="2017536271">
      <w:bodyDiv w:val="1"/>
      <w:marLeft w:val="0"/>
      <w:marRight w:val="0"/>
      <w:marTop w:val="0"/>
      <w:marBottom w:val="0"/>
      <w:divBdr>
        <w:top w:val="none" w:sz="0" w:space="0" w:color="auto"/>
        <w:left w:val="none" w:sz="0" w:space="0" w:color="auto"/>
        <w:bottom w:val="none" w:sz="0" w:space="0" w:color="auto"/>
        <w:right w:val="none" w:sz="0" w:space="0" w:color="auto"/>
      </w:divBdr>
    </w:div>
    <w:div w:id="2045326378">
      <w:bodyDiv w:val="1"/>
      <w:marLeft w:val="0"/>
      <w:marRight w:val="0"/>
      <w:marTop w:val="0"/>
      <w:marBottom w:val="0"/>
      <w:divBdr>
        <w:top w:val="none" w:sz="0" w:space="0" w:color="auto"/>
        <w:left w:val="none" w:sz="0" w:space="0" w:color="auto"/>
        <w:bottom w:val="none" w:sz="0" w:space="0" w:color="auto"/>
        <w:right w:val="none" w:sz="0" w:space="0" w:color="auto"/>
      </w:divBdr>
    </w:div>
    <w:div w:id="2051605451">
      <w:bodyDiv w:val="1"/>
      <w:marLeft w:val="0"/>
      <w:marRight w:val="0"/>
      <w:marTop w:val="0"/>
      <w:marBottom w:val="0"/>
      <w:divBdr>
        <w:top w:val="none" w:sz="0" w:space="0" w:color="auto"/>
        <w:left w:val="none" w:sz="0" w:space="0" w:color="auto"/>
        <w:bottom w:val="none" w:sz="0" w:space="0" w:color="auto"/>
        <w:right w:val="none" w:sz="0" w:space="0" w:color="auto"/>
      </w:divBdr>
    </w:div>
    <w:div w:id="2055419667">
      <w:bodyDiv w:val="1"/>
      <w:marLeft w:val="0"/>
      <w:marRight w:val="0"/>
      <w:marTop w:val="0"/>
      <w:marBottom w:val="0"/>
      <w:divBdr>
        <w:top w:val="none" w:sz="0" w:space="0" w:color="auto"/>
        <w:left w:val="none" w:sz="0" w:space="0" w:color="auto"/>
        <w:bottom w:val="none" w:sz="0" w:space="0" w:color="auto"/>
        <w:right w:val="none" w:sz="0" w:space="0" w:color="auto"/>
      </w:divBdr>
    </w:div>
    <w:div w:id="2079862871">
      <w:bodyDiv w:val="1"/>
      <w:marLeft w:val="0"/>
      <w:marRight w:val="0"/>
      <w:marTop w:val="0"/>
      <w:marBottom w:val="0"/>
      <w:divBdr>
        <w:top w:val="none" w:sz="0" w:space="0" w:color="auto"/>
        <w:left w:val="none" w:sz="0" w:space="0" w:color="auto"/>
        <w:bottom w:val="none" w:sz="0" w:space="0" w:color="auto"/>
        <w:right w:val="none" w:sz="0" w:space="0" w:color="auto"/>
      </w:divBdr>
    </w:div>
    <w:div w:id="2128741007">
      <w:bodyDiv w:val="1"/>
      <w:marLeft w:val="0"/>
      <w:marRight w:val="0"/>
      <w:marTop w:val="0"/>
      <w:marBottom w:val="0"/>
      <w:divBdr>
        <w:top w:val="none" w:sz="0" w:space="0" w:color="auto"/>
        <w:left w:val="none" w:sz="0" w:space="0" w:color="auto"/>
        <w:bottom w:val="none" w:sz="0" w:space="0" w:color="auto"/>
        <w:right w:val="none" w:sz="0" w:space="0" w:color="auto"/>
      </w:divBdr>
    </w:div>
    <w:div w:id="2139564807">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jpg"/><Relationship Id="rId13" Type="http://schemas.openxmlformats.org/officeDocument/2006/relationships/hyperlink" Target="https://www.rightsofwomen.org.uk/wp-content/uploads/2023/12/response-to-consultation-on-delivering-justice-for-victims-a-consultation-on-improving-victims-experiences-of-the-justice-.pdf" TargetMode="External"/><Relationship Id="rId18" Type="http://schemas.openxmlformats.org/officeDocument/2006/relationships/image" Target="media/image3.jpeg"/><Relationship Id="rId3" Type="http://schemas.openxmlformats.org/officeDocument/2006/relationships/styles" Target="styles.xml"/><Relationship Id="rId21" Type="http://schemas.openxmlformats.org/officeDocument/2006/relationships/image" Target="media/image5.svg"/><Relationship Id="rId7" Type="http://schemas.openxmlformats.org/officeDocument/2006/relationships/endnotes" Target="endnotes.xml"/><Relationship Id="rId12" Type="http://schemas.openxmlformats.org/officeDocument/2006/relationships/hyperlink" Target="https://rapecrisis.org.uk/news/new-victims-commissioner-report-reveals-harmful-impact-of-court-delays/" TargetMode="External"/><Relationship Id="rId17" Type="http://schemas.openxmlformats.org/officeDocument/2006/relationships/hyperlink" Target="https://www.cumbria.police.uk/police-forces/cumbria-constabulary/areas/campaigns/campaigns/victim-information/" TargetMode="External"/><Relationship Id="rId25" Type="http://schemas.openxmlformats.org/officeDocument/2006/relationships/theme" Target="theme/theme1.xml"/><Relationship Id="rId2" Type="http://schemas.openxmlformats.org/officeDocument/2006/relationships/numbering" Target="numbering.xml"/><Relationship Id="rId16" Type="http://schemas.openxmlformats.org/officeDocument/2006/relationships/image" Target="media/image2.png"/><Relationship Id="rId20" Type="http://schemas.openxmlformats.org/officeDocument/2006/relationships/image" Target="media/image4.png"/><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s://www.ons.gov.uk/peoplepopulationandcommunity/crimeandjustice/compendium/focusonviolentcrimeandsexualoffences/healthandcrime/yearendingmarch2024" TargetMode="External"/><Relationship Id="rId24" Type="http://schemas.openxmlformats.org/officeDocument/2006/relationships/fontTable" Target="fontTable.xml"/><Relationship Id="rId5" Type="http://schemas.openxmlformats.org/officeDocument/2006/relationships/webSettings" Target="webSettings.xml"/><Relationship Id="rId15" Type="http://schemas.openxmlformats.org/officeDocument/2006/relationships/hyperlink" Target="https://www.college.police.uk/app/investigation/investigative-interviewing/investigative-interviewing" TargetMode="External"/><Relationship Id="rId23" Type="http://schemas.openxmlformats.org/officeDocument/2006/relationships/footer" Target="footer1.xml"/><Relationship Id="rId10" Type="http://schemas.openxmlformats.org/officeDocument/2006/relationships/hyperlink" Target="https://commonslibrary.parliament.uk/research-briefings/cbp-9792/" TargetMode="External"/><Relationship Id="rId19" Type="http://schemas.openxmlformats.org/officeDocument/2006/relationships/hyperlink" Target="https://www.ons.gov.uk/peoplepopulationandcommunity/crimeandjustice/bulletins/sexualoffencesinenglandandwalesoverview/yearendingmarch2025?utm_source=chatgpt.com" TargetMode="External"/><Relationship Id="rId4" Type="http://schemas.openxmlformats.org/officeDocument/2006/relationships/settings" Target="settings.xml"/><Relationship Id="rId9" Type="http://schemas.openxmlformats.org/officeDocument/2006/relationships/hyperlink" Target="https://www.ncbi.nlm.nih.gov/pmc/articles/PMC9425723/" TargetMode="External"/><Relationship Id="rId14" Type="http://schemas.openxmlformats.org/officeDocument/2006/relationships/hyperlink" Target="https://www.westmidlands-pcc.gov.uk/deputy-pcc-publishes-review-of-vulnerable-victims-services/" TargetMode="External"/><Relationship Id="rId22" Type="http://schemas.openxmlformats.org/officeDocument/2006/relationships/image" Target="media/image6.png"/></Relationships>
</file>

<file path=word/_rels/settings.xml.rels><?xml version="1.0" encoding="UTF-8" standalone="yes"?>
<Relationships xmlns="http://schemas.openxmlformats.org/package/2006/relationships"><Relationship Id="rId1" Type="http://schemas.openxmlformats.org/officeDocument/2006/relationships/attachedTemplate" Target="file:////Users/Sadiemason/Library/Containers/com.microsoft.Word/Data/Library/Application%20Support/Microsoft/Office/16.0/DTS/en-GB%7bCF606855-B76D-E34B-9CCA-56D4C78C6651%7d/%7b58919D4C-619A-FC49-8D31-B99420B4FBA2%7dtf10002081.dotx" TargetMode="External"/></Relationships>
</file>

<file path=word/theme/theme1.xml><?xml version="1.0" encoding="utf-8"?>
<a:theme xmlns:a="http://schemas.openxmlformats.org/drawingml/2006/main" name="Office Theme">
  <a:themeElements>
    <a:clrScheme name="Custom 43">
      <a:dk1>
        <a:sysClr val="windowText" lastClr="000000"/>
      </a:dk1>
      <a:lt1>
        <a:sysClr val="window" lastClr="FFFFFF"/>
      </a:lt1>
      <a:dk2>
        <a:srgbClr val="151E1F"/>
      </a:dk2>
      <a:lt2>
        <a:srgbClr val="F1F4F4"/>
      </a:lt2>
      <a:accent1>
        <a:srgbClr val="53777A"/>
      </a:accent1>
      <a:accent2>
        <a:srgbClr val="542437"/>
      </a:accent2>
      <a:accent3>
        <a:srgbClr val="C02942"/>
      </a:accent3>
      <a:accent4>
        <a:srgbClr val="D95B43"/>
      </a:accent4>
      <a:accent5>
        <a:srgbClr val="B09169"/>
      </a:accent5>
      <a:accent6>
        <a:srgbClr val="ECD078"/>
      </a:accent6>
      <a:hlink>
        <a:srgbClr val="5E9EA1"/>
      </a:hlink>
      <a:folHlink>
        <a:srgbClr val="7A4561"/>
      </a:folHlink>
    </a:clrScheme>
    <a:fontScheme name="Style Set 9">
      <a:majorFont>
        <a:latin typeface="Times New Roman"/>
        <a:ea typeface=""/>
        <a:cs typeface=""/>
        <a:font script="Jpan" typeface="ＭＳ Ｐ明朝"/>
        <a:font script="Hang" typeface="바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Times New Roman"/>
        <a:ea typeface=""/>
        <a:cs typeface=""/>
        <a:font script="Jpan" typeface="ＭＳ Ｐ明朝"/>
        <a:font script="Hang" typeface="바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7EED0BBC-796C-EE4B-A8CC-F2EAC20644FF}">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{58919D4C-619A-FC49-8D31-B99420B4FBA2}tf10002081.dotx</Template>
  <TotalTime>230</TotalTime>
  <Pages>35</Pages>
  <Words>8678</Words>
  <Characters>49471</Characters>
  <Application>Microsoft Office Word</Application>
  <DocSecurity>0</DocSecurity>
  <Lines>412</Lines>
  <Paragraphs>116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58033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Sadie Mason </dc:creator>
  <cp:keywords/>
  <dc:description/>
  <cp:lastModifiedBy>Sadie Mason (2204171)</cp:lastModifiedBy>
  <cp:revision>16</cp:revision>
  <dcterms:created xsi:type="dcterms:W3CDTF">2025-12-12T10:02:00Z</dcterms:created>
  <dcterms:modified xsi:type="dcterms:W3CDTF">2026-01-09T20:07:00Z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AssetID">
    <vt:lpwstr>TF10002040</vt:lpwstr>
  </property>
</Properties>
</file>