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754EC" w14:textId="77777777" w:rsidR="00C002C7" w:rsidRDefault="00C002C7" w:rsidP="00C002C7">
      <w:pPr>
        <w:spacing w:line="360" w:lineRule="auto"/>
        <w:ind w:firstLine="851"/>
        <w:jc w:val="both"/>
        <w:rPr>
          <w:rFonts w:ascii="Arial" w:hAnsi="Arial" w:cs="Arial"/>
          <w:sz w:val="24"/>
          <w:szCs w:val="24"/>
        </w:rPr>
      </w:pPr>
    </w:p>
    <w:p w14:paraId="1960D155" w14:textId="43865DC8" w:rsidR="00C002C7" w:rsidRDefault="00C002C7" w:rsidP="00C002C7">
      <w:pPr>
        <w:spacing w:line="360" w:lineRule="auto"/>
        <w:ind w:firstLine="851"/>
        <w:jc w:val="both"/>
        <w:rPr>
          <w:rFonts w:ascii="Arial" w:hAnsi="Arial" w:cs="Arial"/>
          <w:sz w:val="24"/>
          <w:szCs w:val="24"/>
        </w:rPr>
      </w:pPr>
    </w:p>
    <w:p w14:paraId="14C8A1DE" w14:textId="6FF67DD0" w:rsidR="00C002C7" w:rsidRDefault="00C002C7" w:rsidP="00C002C7">
      <w:pPr>
        <w:spacing w:line="360" w:lineRule="auto"/>
        <w:ind w:firstLine="851"/>
        <w:jc w:val="both"/>
        <w:rPr>
          <w:rFonts w:ascii="Arial" w:hAnsi="Arial" w:cs="Arial"/>
          <w:sz w:val="24"/>
          <w:szCs w:val="24"/>
        </w:rPr>
      </w:pPr>
    </w:p>
    <w:p w14:paraId="5E458F4B" w14:textId="77777777" w:rsidR="00C002C7" w:rsidRDefault="00C002C7" w:rsidP="00C002C7">
      <w:pPr>
        <w:spacing w:line="360" w:lineRule="auto"/>
        <w:ind w:firstLine="851"/>
        <w:jc w:val="both"/>
        <w:rPr>
          <w:rFonts w:ascii="Arial" w:hAnsi="Arial" w:cs="Arial"/>
          <w:sz w:val="24"/>
          <w:szCs w:val="24"/>
        </w:rPr>
      </w:pPr>
    </w:p>
    <w:p w14:paraId="11C1CCCB" w14:textId="77777777" w:rsidR="00C002C7" w:rsidRDefault="00C002C7" w:rsidP="00C002C7">
      <w:pPr>
        <w:spacing w:line="360" w:lineRule="auto"/>
        <w:ind w:firstLine="851"/>
        <w:jc w:val="both"/>
        <w:rPr>
          <w:rFonts w:ascii="Arial" w:hAnsi="Arial" w:cs="Arial"/>
          <w:sz w:val="24"/>
          <w:szCs w:val="24"/>
        </w:rPr>
      </w:pPr>
    </w:p>
    <w:p w14:paraId="18A330F1" w14:textId="0680BF64" w:rsidR="00C002C7" w:rsidRDefault="00C002C7" w:rsidP="00C002C7">
      <w:pPr>
        <w:spacing w:line="360" w:lineRule="auto"/>
        <w:jc w:val="center"/>
        <w:rPr>
          <w:rFonts w:ascii="Arial" w:hAnsi="Arial" w:cs="Arial"/>
          <w:b/>
          <w:bCs/>
          <w:sz w:val="48"/>
          <w:szCs w:val="48"/>
        </w:rPr>
      </w:pPr>
      <w:r w:rsidRPr="00C002C7">
        <w:rPr>
          <w:rFonts w:ascii="Arial" w:hAnsi="Arial" w:cs="Arial"/>
          <w:b/>
          <w:bCs/>
          <w:sz w:val="48"/>
          <w:szCs w:val="48"/>
        </w:rPr>
        <w:t>How to engage employees throughout the employee lifecycle</w:t>
      </w:r>
    </w:p>
    <w:p w14:paraId="143B2278" w14:textId="77777777" w:rsidR="00C002C7" w:rsidRPr="00C002C7" w:rsidRDefault="00C002C7" w:rsidP="00C002C7">
      <w:pPr>
        <w:spacing w:line="360" w:lineRule="auto"/>
        <w:jc w:val="center"/>
        <w:rPr>
          <w:rFonts w:ascii="Arial" w:hAnsi="Arial" w:cs="Arial"/>
          <w:b/>
          <w:bCs/>
          <w:sz w:val="48"/>
          <w:szCs w:val="48"/>
        </w:rPr>
      </w:pPr>
    </w:p>
    <w:p w14:paraId="60DE72FE" w14:textId="77777777" w:rsidR="00C002C7" w:rsidRDefault="00C002C7" w:rsidP="00C002C7">
      <w:pPr>
        <w:spacing w:line="360" w:lineRule="auto"/>
        <w:ind w:firstLine="851"/>
        <w:jc w:val="both"/>
        <w:rPr>
          <w:rFonts w:ascii="Arial" w:hAnsi="Arial" w:cs="Arial"/>
          <w:sz w:val="24"/>
          <w:szCs w:val="24"/>
        </w:rPr>
      </w:pPr>
    </w:p>
    <w:p w14:paraId="657367CC" w14:textId="77777777" w:rsidR="00C002C7" w:rsidRDefault="00C002C7" w:rsidP="00C002C7">
      <w:pPr>
        <w:spacing w:line="360" w:lineRule="auto"/>
        <w:ind w:firstLine="851"/>
        <w:jc w:val="both"/>
        <w:rPr>
          <w:rFonts w:ascii="Arial" w:hAnsi="Arial" w:cs="Arial"/>
          <w:sz w:val="24"/>
          <w:szCs w:val="24"/>
        </w:rPr>
      </w:pPr>
    </w:p>
    <w:p w14:paraId="1FFB9464" w14:textId="095A04D5" w:rsidR="00C002C7" w:rsidRDefault="00C002C7" w:rsidP="00C002C7">
      <w:pPr>
        <w:spacing w:line="360" w:lineRule="auto"/>
        <w:ind w:firstLine="851"/>
        <w:jc w:val="both"/>
        <w:rPr>
          <w:rFonts w:ascii="Arial" w:hAnsi="Arial" w:cs="Arial"/>
          <w:sz w:val="24"/>
          <w:szCs w:val="24"/>
        </w:rPr>
      </w:pPr>
    </w:p>
    <w:p w14:paraId="5D781CBE" w14:textId="63F39C28" w:rsidR="00C002C7" w:rsidRDefault="00C002C7" w:rsidP="00C002C7">
      <w:pPr>
        <w:spacing w:line="360" w:lineRule="auto"/>
        <w:ind w:firstLine="851"/>
        <w:jc w:val="both"/>
        <w:rPr>
          <w:rFonts w:ascii="Arial" w:hAnsi="Arial" w:cs="Arial"/>
          <w:sz w:val="24"/>
          <w:szCs w:val="24"/>
        </w:rPr>
      </w:pPr>
    </w:p>
    <w:p w14:paraId="13BAA365" w14:textId="7A1B0CA4" w:rsidR="00C002C7" w:rsidRDefault="00C002C7" w:rsidP="00C002C7">
      <w:pPr>
        <w:spacing w:line="360" w:lineRule="auto"/>
        <w:ind w:firstLine="851"/>
        <w:jc w:val="both"/>
        <w:rPr>
          <w:rFonts w:ascii="Arial" w:hAnsi="Arial" w:cs="Arial"/>
          <w:sz w:val="24"/>
          <w:szCs w:val="24"/>
        </w:rPr>
      </w:pPr>
    </w:p>
    <w:p w14:paraId="7AC0DD32" w14:textId="53F2BD7A" w:rsidR="00C002C7" w:rsidRDefault="00C002C7" w:rsidP="00C002C7">
      <w:pPr>
        <w:spacing w:line="360" w:lineRule="auto"/>
        <w:ind w:firstLine="851"/>
        <w:jc w:val="both"/>
        <w:rPr>
          <w:rFonts w:ascii="Arial" w:hAnsi="Arial" w:cs="Arial"/>
          <w:sz w:val="24"/>
          <w:szCs w:val="24"/>
        </w:rPr>
      </w:pPr>
    </w:p>
    <w:p w14:paraId="225BC3F8" w14:textId="3579C1FC" w:rsidR="00C002C7" w:rsidRDefault="00C002C7" w:rsidP="00C002C7">
      <w:pPr>
        <w:spacing w:line="360" w:lineRule="auto"/>
        <w:ind w:firstLine="851"/>
        <w:jc w:val="both"/>
        <w:rPr>
          <w:rFonts w:ascii="Arial" w:hAnsi="Arial" w:cs="Arial"/>
          <w:sz w:val="24"/>
          <w:szCs w:val="24"/>
        </w:rPr>
      </w:pPr>
    </w:p>
    <w:p w14:paraId="1B139F90" w14:textId="5ADD27EF" w:rsidR="00C002C7" w:rsidRDefault="00C002C7" w:rsidP="00C002C7">
      <w:pPr>
        <w:spacing w:line="360" w:lineRule="auto"/>
        <w:ind w:firstLine="851"/>
        <w:jc w:val="both"/>
        <w:rPr>
          <w:rFonts w:ascii="Arial" w:hAnsi="Arial" w:cs="Arial"/>
          <w:sz w:val="24"/>
          <w:szCs w:val="24"/>
        </w:rPr>
      </w:pPr>
    </w:p>
    <w:p w14:paraId="7151E6BF" w14:textId="6E0E0EF1" w:rsidR="00C002C7" w:rsidRDefault="00C002C7" w:rsidP="00C002C7">
      <w:pPr>
        <w:spacing w:line="360" w:lineRule="auto"/>
        <w:ind w:firstLine="851"/>
        <w:jc w:val="both"/>
        <w:rPr>
          <w:rFonts w:ascii="Arial" w:hAnsi="Arial" w:cs="Arial"/>
          <w:sz w:val="24"/>
          <w:szCs w:val="24"/>
        </w:rPr>
      </w:pPr>
    </w:p>
    <w:p w14:paraId="4F2AA845" w14:textId="77777777" w:rsidR="00C002C7" w:rsidRDefault="00C002C7" w:rsidP="00C002C7">
      <w:pPr>
        <w:spacing w:line="360" w:lineRule="auto"/>
        <w:ind w:firstLine="851"/>
        <w:jc w:val="both"/>
        <w:rPr>
          <w:rFonts w:ascii="Arial" w:hAnsi="Arial" w:cs="Arial"/>
          <w:sz w:val="24"/>
          <w:szCs w:val="24"/>
        </w:rPr>
      </w:pPr>
    </w:p>
    <w:p w14:paraId="6A46D9C3" w14:textId="3B1D0401" w:rsidR="00C002C7" w:rsidRDefault="00C002C7" w:rsidP="00C002C7">
      <w:pPr>
        <w:spacing w:line="360" w:lineRule="auto"/>
        <w:ind w:firstLine="851"/>
        <w:jc w:val="both"/>
        <w:rPr>
          <w:rFonts w:ascii="Arial" w:hAnsi="Arial" w:cs="Arial"/>
          <w:sz w:val="24"/>
          <w:szCs w:val="24"/>
        </w:rPr>
      </w:pPr>
    </w:p>
    <w:p w14:paraId="632F5EFF" w14:textId="323584BB" w:rsidR="00C002C7" w:rsidRDefault="00C002C7" w:rsidP="00C002C7">
      <w:pPr>
        <w:spacing w:line="360" w:lineRule="auto"/>
        <w:ind w:firstLine="851"/>
        <w:jc w:val="both"/>
        <w:rPr>
          <w:rFonts w:ascii="Arial" w:hAnsi="Arial" w:cs="Arial"/>
          <w:sz w:val="24"/>
          <w:szCs w:val="24"/>
        </w:rPr>
      </w:pPr>
      <w:r>
        <w:rPr>
          <w:rFonts w:ascii="Arial" w:hAnsi="Arial" w:cs="Arial"/>
          <w:sz w:val="24"/>
          <w:szCs w:val="24"/>
        </w:rPr>
        <w:t>Carmen Neagu</w:t>
      </w:r>
    </w:p>
    <w:p w14:paraId="4A31DA11" w14:textId="203723E2" w:rsidR="00C002C7" w:rsidRDefault="00C002C7" w:rsidP="00C002C7">
      <w:pPr>
        <w:spacing w:line="360" w:lineRule="auto"/>
        <w:ind w:firstLine="851"/>
        <w:jc w:val="both"/>
        <w:rPr>
          <w:rFonts w:ascii="Arial" w:hAnsi="Arial" w:cs="Arial"/>
          <w:sz w:val="24"/>
          <w:szCs w:val="24"/>
        </w:rPr>
      </w:pPr>
      <w:r>
        <w:rPr>
          <w:rFonts w:ascii="Arial" w:hAnsi="Arial" w:cs="Arial"/>
          <w:sz w:val="24"/>
          <w:szCs w:val="24"/>
        </w:rPr>
        <w:t>Personnel Resourcing and Development</w:t>
      </w:r>
    </w:p>
    <w:p w14:paraId="62CBE7BE" w14:textId="2D971E78" w:rsidR="00C002C7" w:rsidRDefault="00C002C7" w:rsidP="00C002C7">
      <w:pPr>
        <w:spacing w:line="360" w:lineRule="auto"/>
        <w:ind w:firstLine="851"/>
        <w:jc w:val="both"/>
        <w:rPr>
          <w:rFonts w:ascii="Arial" w:hAnsi="Arial" w:cs="Arial"/>
          <w:sz w:val="24"/>
          <w:szCs w:val="24"/>
        </w:rPr>
      </w:pPr>
      <w:r>
        <w:rPr>
          <w:rFonts w:ascii="Arial" w:hAnsi="Arial" w:cs="Arial"/>
          <w:sz w:val="24"/>
          <w:szCs w:val="24"/>
        </w:rPr>
        <w:t>BMIH5005</w:t>
      </w:r>
    </w:p>
    <w:p w14:paraId="28697007" w14:textId="3CF20C27" w:rsidR="0040062E" w:rsidRDefault="00CB13A7" w:rsidP="00C002C7">
      <w:pPr>
        <w:spacing w:line="360" w:lineRule="auto"/>
        <w:ind w:firstLine="851"/>
        <w:jc w:val="both"/>
        <w:rPr>
          <w:rFonts w:ascii="Arial" w:hAnsi="Arial" w:cs="Arial"/>
          <w:sz w:val="24"/>
          <w:szCs w:val="24"/>
        </w:rPr>
      </w:pPr>
      <w:r w:rsidRPr="00CB13A7">
        <w:rPr>
          <w:rFonts w:ascii="Arial" w:hAnsi="Arial" w:cs="Arial"/>
          <w:sz w:val="24"/>
          <w:szCs w:val="24"/>
        </w:rPr>
        <w:t>In the hospitality sector, the human resources department is essential to maintaining employee engagement throughout their tenure with the business. To deliver excellent guest experiences that in turn promote customer loyalty and profitability, hotels in particular depend on a highly motivated and dedicated team.</w:t>
      </w:r>
      <w:r w:rsidR="00703B56" w:rsidRPr="00703B56">
        <w:t xml:space="preserve"> </w:t>
      </w:r>
      <w:r w:rsidR="00703B56" w:rsidRPr="00703B56">
        <w:rPr>
          <w:rFonts w:ascii="Arial" w:hAnsi="Arial" w:cs="Arial"/>
          <w:sz w:val="24"/>
          <w:szCs w:val="24"/>
        </w:rPr>
        <w:t>(Shaik and Vali, 2021)</w:t>
      </w:r>
      <w:r w:rsidRPr="00CB13A7">
        <w:rPr>
          <w:rFonts w:ascii="Arial" w:hAnsi="Arial" w:cs="Arial"/>
          <w:sz w:val="24"/>
          <w:szCs w:val="24"/>
        </w:rPr>
        <w:t xml:space="preserve"> As a result, it is crucial that the human resource division of large hotels implement efficient tactics that keep staff engaged from hiring to retirement. In order to promote staff engagement and retention in large hotels, the human resource department must implement a number of specific practices and initiatives, which will be addressed in this paper.</w:t>
      </w:r>
    </w:p>
    <w:p w14:paraId="1791C9A0" w14:textId="0388EE75" w:rsidR="003D31BA" w:rsidRDefault="00E52EBB" w:rsidP="00C002C7">
      <w:pPr>
        <w:spacing w:line="360" w:lineRule="auto"/>
        <w:ind w:firstLine="851"/>
        <w:jc w:val="both"/>
        <w:rPr>
          <w:rFonts w:ascii="Arial" w:hAnsi="Arial" w:cs="Arial"/>
          <w:sz w:val="24"/>
          <w:szCs w:val="24"/>
        </w:rPr>
      </w:pPr>
      <w:r w:rsidRPr="00E52EBB">
        <w:rPr>
          <w:rFonts w:ascii="Arial" w:hAnsi="Arial" w:cs="Arial"/>
          <w:sz w:val="24"/>
          <w:szCs w:val="24"/>
        </w:rPr>
        <w:t>Increased performance, productivity, and retention rates can all be a result of highly engaged workers, which eventually translates into better business results. Yet, engaging people is a continual activity that lasts the duration of an employee's lifespan, from hiring to retirement.</w:t>
      </w:r>
      <w:r>
        <w:rPr>
          <w:rFonts w:ascii="Arial" w:hAnsi="Arial" w:cs="Arial"/>
          <w:sz w:val="24"/>
          <w:szCs w:val="24"/>
        </w:rPr>
        <w:t xml:space="preserve"> </w:t>
      </w:r>
      <w:r w:rsidRPr="00E52EBB">
        <w:rPr>
          <w:rFonts w:ascii="Arial" w:hAnsi="Arial" w:cs="Arial"/>
          <w:sz w:val="24"/>
          <w:szCs w:val="24"/>
        </w:rPr>
        <w:t>The paper will look at different areas of the employee lifecycle, including hiring, training and development, performance management, pay and benefits, and career promotion, and will offer insights into how each of these areas can help to boost staff engagement. The human resource department may develop a workplace culture that attracts and maintains skilled people, improving customer happiness and fostering long-term business success, by applying a complete strategy to employee engagement.</w:t>
      </w:r>
    </w:p>
    <w:p w14:paraId="3730A9AA" w14:textId="77777777" w:rsidR="00C65681" w:rsidRDefault="00C65681" w:rsidP="00C002C7">
      <w:pPr>
        <w:spacing w:line="360" w:lineRule="auto"/>
        <w:ind w:firstLine="851"/>
        <w:jc w:val="both"/>
        <w:rPr>
          <w:rFonts w:ascii="Arial" w:hAnsi="Arial" w:cs="Arial"/>
          <w:sz w:val="24"/>
          <w:szCs w:val="24"/>
        </w:rPr>
      </w:pPr>
    </w:p>
    <w:p w14:paraId="2E28CF0D" w14:textId="58781DEB" w:rsidR="00B661EE" w:rsidRPr="00B661EE" w:rsidRDefault="00B661EE" w:rsidP="00C002C7">
      <w:pPr>
        <w:spacing w:line="360" w:lineRule="auto"/>
        <w:ind w:firstLine="851"/>
        <w:jc w:val="both"/>
        <w:rPr>
          <w:rFonts w:ascii="Arial" w:hAnsi="Arial" w:cs="Arial"/>
          <w:sz w:val="24"/>
          <w:szCs w:val="24"/>
        </w:rPr>
      </w:pPr>
      <w:r w:rsidRPr="00B661EE">
        <w:rPr>
          <w:rFonts w:ascii="Arial" w:hAnsi="Arial" w:cs="Arial"/>
          <w:sz w:val="24"/>
          <w:szCs w:val="24"/>
        </w:rPr>
        <w:t>Employee engagement is the term used to describe the emotional devotion and enthusiasm a worker has for their position and the company they work for. Employees that are engaged are driven to give their best efforts, feel the satisfaction of their work, and are dedicated to attaining the organization's objectives. Employee engagement, in essence, is a metric of how committed and content individuals are with their jobs and the organizations they work for.</w:t>
      </w:r>
      <w:r w:rsidR="00703B56">
        <w:rPr>
          <w:rFonts w:ascii="Arial" w:hAnsi="Arial" w:cs="Arial"/>
          <w:sz w:val="24"/>
          <w:szCs w:val="24"/>
        </w:rPr>
        <w:t xml:space="preserve"> (</w:t>
      </w:r>
      <w:r w:rsidR="00703B56" w:rsidRPr="00703B56">
        <w:rPr>
          <w:rFonts w:ascii="Arial" w:hAnsi="Arial" w:cs="Arial"/>
          <w:sz w:val="24"/>
          <w:szCs w:val="24"/>
        </w:rPr>
        <w:t>Robertson-Smith and Markwick, 2009)</w:t>
      </w:r>
    </w:p>
    <w:p w14:paraId="6E9BEE7A" w14:textId="198A71C4" w:rsidR="00B661EE" w:rsidRPr="00B661EE" w:rsidRDefault="00B661EE" w:rsidP="00C002C7">
      <w:pPr>
        <w:spacing w:line="360" w:lineRule="auto"/>
        <w:ind w:firstLine="851"/>
        <w:jc w:val="both"/>
        <w:rPr>
          <w:rFonts w:ascii="Arial" w:hAnsi="Arial" w:cs="Arial"/>
          <w:sz w:val="24"/>
          <w:szCs w:val="24"/>
        </w:rPr>
      </w:pPr>
      <w:r w:rsidRPr="00B661EE">
        <w:rPr>
          <w:rFonts w:ascii="Arial" w:hAnsi="Arial" w:cs="Arial"/>
          <w:sz w:val="24"/>
          <w:szCs w:val="24"/>
        </w:rPr>
        <w:t xml:space="preserve">Employee engagement is crucial in the hospitality sector, particularly in hotels. Hotel staff members that are actively engaged are more inclined to go above and beyond the call of duty and collaborate with their coworkers to accomplish the hotel's objectives. </w:t>
      </w:r>
      <w:r w:rsidR="00972255" w:rsidRPr="00972255">
        <w:rPr>
          <w:rFonts w:ascii="Arial" w:hAnsi="Arial" w:cs="Arial"/>
          <w:sz w:val="24"/>
          <w:szCs w:val="24"/>
        </w:rPr>
        <w:t>(Maria and Marques De Moura, 2021)</w:t>
      </w:r>
      <w:r w:rsidR="00972255">
        <w:rPr>
          <w:rFonts w:ascii="Arial" w:hAnsi="Arial" w:cs="Arial"/>
          <w:sz w:val="24"/>
          <w:szCs w:val="24"/>
        </w:rPr>
        <w:t xml:space="preserve"> </w:t>
      </w:r>
      <w:r w:rsidRPr="00B661EE">
        <w:rPr>
          <w:rFonts w:ascii="Arial" w:hAnsi="Arial" w:cs="Arial"/>
          <w:sz w:val="24"/>
          <w:szCs w:val="24"/>
        </w:rPr>
        <w:t>Also, engaged workers are more likely to remain with the company for an extended period of time, lowering turnover and hiring expenses.</w:t>
      </w:r>
    </w:p>
    <w:p w14:paraId="6F18A678" w14:textId="0A620912" w:rsidR="00B661EE" w:rsidRPr="00B661EE" w:rsidRDefault="00B661EE" w:rsidP="00C002C7">
      <w:pPr>
        <w:spacing w:line="360" w:lineRule="auto"/>
        <w:ind w:firstLine="851"/>
        <w:jc w:val="both"/>
        <w:rPr>
          <w:rFonts w:ascii="Arial" w:hAnsi="Arial" w:cs="Arial"/>
          <w:sz w:val="24"/>
          <w:szCs w:val="24"/>
        </w:rPr>
      </w:pPr>
      <w:r w:rsidRPr="00B661EE">
        <w:rPr>
          <w:rFonts w:ascii="Arial" w:hAnsi="Arial" w:cs="Arial"/>
          <w:sz w:val="24"/>
          <w:szCs w:val="24"/>
        </w:rPr>
        <w:t>Staff engagement increases productivity, visitor satisfaction, and the ability to come up with creative solutions to challenges. Engaged workers are more likely to positively reflect the hotel's brand and bring in new and repeat business. At the same time, disengaged staff may offer inferior customer service, be less productive, and even result in unfavorable evaluations and a tarnished reputation for the hotel.</w:t>
      </w:r>
      <w:r w:rsidR="00972255" w:rsidRPr="00972255">
        <w:t xml:space="preserve"> </w:t>
      </w:r>
      <w:r w:rsidR="008757FF">
        <w:rPr>
          <w:rFonts w:ascii="Arial" w:hAnsi="Arial" w:cs="Arial"/>
          <w:sz w:val="24"/>
          <w:szCs w:val="24"/>
        </w:rPr>
        <w:t>(</w:t>
      </w:r>
      <w:r w:rsidR="008757FF" w:rsidRPr="008757FF">
        <w:rPr>
          <w:rFonts w:ascii="Arial" w:hAnsi="Arial" w:cs="Arial"/>
          <w:sz w:val="24"/>
          <w:szCs w:val="24"/>
        </w:rPr>
        <w:t>Kang, Hee Jung</w:t>
      </w:r>
      <w:r w:rsidR="008757FF">
        <w:rPr>
          <w:rFonts w:ascii="Arial" w:hAnsi="Arial" w:cs="Arial"/>
          <w:sz w:val="24"/>
          <w:szCs w:val="24"/>
        </w:rPr>
        <w:t>, 2014)</w:t>
      </w:r>
    </w:p>
    <w:p w14:paraId="60D2C6C8" w14:textId="77777777" w:rsidR="00B661EE" w:rsidRDefault="00B661EE" w:rsidP="00C002C7">
      <w:pPr>
        <w:spacing w:line="360" w:lineRule="auto"/>
        <w:ind w:firstLine="851"/>
        <w:jc w:val="both"/>
        <w:rPr>
          <w:rFonts w:ascii="Arial" w:hAnsi="Arial" w:cs="Arial"/>
          <w:sz w:val="24"/>
          <w:szCs w:val="24"/>
        </w:rPr>
      </w:pPr>
      <w:r w:rsidRPr="00B661EE">
        <w:rPr>
          <w:rFonts w:ascii="Arial" w:hAnsi="Arial" w:cs="Arial"/>
          <w:sz w:val="24"/>
          <w:szCs w:val="24"/>
        </w:rPr>
        <w:t>Thus, it is crucial for hotels to place a high priority on employee engagement to make sure that their staff members feel appreciated, motivated, and dedicated to the success of the company. The success of the hotel as a whole can be improved by putting more focus on staff engagement, which can raise employee satisfaction, productivity, and retention rates.</w:t>
      </w:r>
    </w:p>
    <w:p w14:paraId="467F673C" w14:textId="57DBC969" w:rsidR="00B661EE" w:rsidRPr="00B661EE" w:rsidRDefault="00B661EE" w:rsidP="00C002C7">
      <w:pPr>
        <w:spacing w:line="360" w:lineRule="auto"/>
        <w:ind w:firstLine="851"/>
        <w:jc w:val="both"/>
        <w:rPr>
          <w:rFonts w:ascii="Arial" w:hAnsi="Arial" w:cs="Arial"/>
          <w:sz w:val="24"/>
          <w:szCs w:val="24"/>
        </w:rPr>
      </w:pPr>
      <w:r w:rsidRPr="00B661EE">
        <w:rPr>
          <w:rFonts w:ascii="Arial" w:hAnsi="Arial" w:cs="Arial"/>
          <w:sz w:val="24"/>
          <w:szCs w:val="24"/>
        </w:rPr>
        <w:t>Given that it is a priority for the hotel, every member of the hotel management team, including the general manager, department managers, and human resources personnel, is in charge of ensuring employee engagement.</w:t>
      </w:r>
      <w:r w:rsidR="00230BCF">
        <w:rPr>
          <w:rFonts w:ascii="Arial" w:hAnsi="Arial" w:cs="Arial"/>
          <w:sz w:val="24"/>
          <w:szCs w:val="24"/>
        </w:rPr>
        <w:t xml:space="preserve"> </w:t>
      </w:r>
      <w:r w:rsidR="00230BCF" w:rsidRPr="00230BCF">
        <w:rPr>
          <w:rFonts w:ascii="Arial" w:hAnsi="Arial" w:cs="Arial"/>
          <w:sz w:val="24"/>
          <w:szCs w:val="24"/>
        </w:rPr>
        <w:t>(Park, Johnson and Chaudhuri, 2019)</w:t>
      </w:r>
      <w:r w:rsidRPr="00B661EE">
        <w:rPr>
          <w:rFonts w:ascii="Arial" w:hAnsi="Arial" w:cs="Arial"/>
          <w:sz w:val="24"/>
          <w:szCs w:val="24"/>
        </w:rPr>
        <w:t xml:space="preserve"> Although they are all involved in this process by ensuring that staff members get the tools and training they need to do their jobs well, by setting clear expectations, giving feedback and support, encouraging teamwork and collaboration, and providing growth and development opportunities, the greatest responsibility rests within the Human Resources department. </w:t>
      </w:r>
    </w:p>
    <w:p w14:paraId="20A8458F" w14:textId="66221348" w:rsidR="00B661EE" w:rsidRPr="00B661EE" w:rsidRDefault="00B661EE" w:rsidP="00C002C7">
      <w:pPr>
        <w:spacing w:line="360" w:lineRule="auto"/>
        <w:ind w:firstLine="851"/>
        <w:jc w:val="both"/>
        <w:rPr>
          <w:rFonts w:ascii="Arial" w:hAnsi="Arial" w:cs="Arial"/>
          <w:sz w:val="24"/>
          <w:szCs w:val="24"/>
        </w:rPr>
      </w:pPr>
      <w:r w:rsidRPr="00B661EE">
        <w:rPr>
          <w:rFonts w:ascii="Arial" w:hAnsi="Arial" w:cs="Arial"/>
          <w:sz w:val="24"/>
          <w:szCs w:val="24"/>
        </w:rPr>
        <w:t>In the following paragraphs, it will be discussed the practices that a large hotel's human resources department has to use to keep staff members engaged during their time working there. To ensure employee satisfaction, retention, and productivity in a hotel, engaging employees at every stage of their careers is crucial.</w:t>
      </w:r>
      <w:r w:rsidR="008757FF" w:rsidRPr="008757FF">
        <w:t xml:space="preserve"> </w:t>
      </w:r>
      <w:r w:rsidR="008757FF" w:rsidRPr="008757FF">
        <w:rPr>
          <w:rFonts w:ascii="Arial" w:hAnsi="Arial" w:cs="Arial"/>
          <w:sz w:val="24"/>
          <w:szCs w:val="24"/>
        </w:rPr>
        <w:t>(Dipti et al., 2020)</w:t>
      </w:r>
      <w:r w:rsidRPr="00B661EE">
        <w:rPr>
          <w:rFonts w:ascii="Arial" w:hAnsi="Arial" w:cs="Arial"/>
          <w:sz w:val="24"/>
          <w:szCs w:val="24"/>
        </w:rPr>
        <w:t xml:space="preserve"> Therefore, in the first stage of the employee lifecycle, which is attraction, the human resource department has to ensure that the procedures are set up to engage workers right away. They can collaborate with recruiting managers to generate engaging job descriptions.</w:t>
      </w:r>
    </w:p>
    <w:p w14:paraId="728153D7" w14:textId="77777777" w:rsidR="00B661EE" w:rsidRPr="00B661EE" w:rsidRDefault="00B661EE" w:rsidP="00C002C7">
      <w:pPr>
        <w:spacing w:line="360" w:lineRule="auto"/>
        <w:ind w:firstLine="851"/>
        <w:jc w:val="both"/>
        <w:rPr>
          <w:rFonts w:ascii="Arial" w:hAnsi="Arial" w:cs="Arial"/>
          <w:sz w:val="24"/>
          <w:szCs w:val="24"/>
        </w:rPr>
      </w:pPr>
      <w:r w:rsidRPr="00B661EE">
        <w:rPr>
          <w:rFonts w:ascii="Arial" w:hAnsi="Arial" w:cs="Arial"/>
          <w:sz w:val="24"/>
          <w:szCs w:val="24"/>
        </w:rPr>
        <w:t>During the recruitment and onboarding stages of the employee lifecycle, the human resource department is given one of the first chances to engage employees in a large hotel. It's critical to make a good first impression and make staff members feel welcome and enthusiastic about their new roles. This can be accomplished by offering a precise and thorough job description, describing the hotel's culture and values, and outlining the demands and obligations of the position. It's crucial to offer thorough training that covers job duties, corporate policies, and procedures to engage employees during the onboarding process. Online courses, in-person training sessions, and on-the-job training are all examples of this. Creating mentorship programs can also aid in fostering a sense of belonging and support among new hires.</w:t>
      </w:r>
    </w:p>
    <w:p w14:paraId="6CE31A29" w14:textId="2B133193" w:rsidR="00B661EE" w:rsidRDefault="00B661EE" w:rsidP="00C002C7">
      <w:pPr>
        <w:spacing w:line="360" w:lineRule="auto"/>
        <w:ind w:firstLine="851"/>
        <w:jc w:val="both"/>
        <w:rPr>
          <w:rFonts w:ascii="Arial" w:hAnsi="Arial" w:cs="Arial"/>
          <w:sz w:val="24"/>
          <w:szCs w:val="24"/>
        </w:rPr>
      </w:pPr>
      <w:r w:rsidRPr="00B661EE">
        <w:rPr>
          <w:rFonts w:ascii="Arial" w:hAnsi="Arial" w:cs="Arial"/>
          <w:sz w:val="24"/>
          <w:szCs w:val="24"/>
        </w:rPr>
        <w:t xml:space="preserve">In the next two phases of the employee’s lifecycle, HR must collaborate with managers to identify training and development requirements and create initiatives that support staff development and career advancement. Also, they can help workers determine their career objectives and offer advice on how to get there. By providing training and development opportunities, HR implements a great method to engage staff and demonstrate the hotel's commitment to </w:t>
      </w:r>
      <w:r w:rsidR="00C002C7">
        <w:rPr>
          <w:rFonts w:ascii="Arial" w:hAnsi="Arial" w:cs="Arial"/>
          <w:sz w:val="24"/>
          <w:szCs w:val="24"/>
        </w:rPr>
        <w:t>their</w:t>
      </w:r>
      <w:r w:rsidRPr="00B661EE">
        <w:rPr>
          <w:rFonts w:ascii="Arial" w:hAnsi="Arial" w:cs="Arial"/>
          <w:sz w:val="24"/>
          <w:szCs w:val="24"/>
        </w:rPr>
        <w:t xml:space="preserve"> success. </w:t>
      </w:r>
      <w:r w:rsidR="008757FF" w:rsidRPr="008757FF">
        <w:rPr>
          <w:rFonts w:ascii="Arial" w:hAnsi="Arial" w:cs="Arial"/>
          <w:sz w:val="24"/>
          <w:szCs w:val="24"/>
        </w:rPr>
        <w:t>(Kwon and Park, 2019)</w:t>
      </w:r>
    </w:p>
    <w:p w14:paraId="4C27DC74" w14:textId="77777777" w:rsidR="00C002C7" w:rsidRPr="00C002C7" w:rsidRDefault="00C002C7" w:rsidP="00C002C7">
      <w:pPr>
        <w:spacing w:line="360" w:lineRule="auto"/>
        <w:ind w:firstLine="851"/>
        <w:jc w:val="both"/>
        <w:rPr>
          <w:rFonts w:ascii="Arial" w:hAnsi="Arial" w:cs="Arial"/>
          <w:sz w:val="24"/>
          <w:szCs w:val="24"/>
        </w:rPr>
      </w:pPr>
      <w:r w:rsidRPr="00C002C7">
        <w:rPr>
          <w:rFonts w:ascii="Arial" w:hAnsi="Arial" w:cs="Arial"/>
          <w:sz w:val="24"/>
          <w:szCs w:val="24"/>
        </w:rPr>
        <w:t>Regular coaching and feedback to help workers develop their abilities and accomplish their goals can increase engagement in these stages, as well. HR should contribute to the development of performance management programs that offer employees the opportunity for advancement, regular feedback, and clear objectives. Also, they can assist managers in identifying and resolving performance-related concerns and offer advice on how to approach uncomfortable talks with staff members. This can include regular check-ins or team meetings.</w:t>
      </w:r>
    </w:p>
    <w:p w14:paraId="304122F6" w14:textId="77777777" w:rsidR="00C002C7" w:rsidRPr="00C002C7" w:rsidRDefault="00C002C7" w:rsidP="00C002C7">
      <w:pPr>
        <w:spacing w:line="360" w:lineRule="auto"/>
        <w:ind w:firstLine="851"/>
        <w:jc w:val="both"/>
        <w:rPr>
          <w:rFonts w:ascii="Arial" w:hAnsi="Arial" w:cs="Arial"/>
          <w:sz w:val="24"/>
          <w:szCs w:val="24"/>
        </w:rPr>
      </w:pPr>
      <w:r w:rsidRPr="00C002C7">
        <w:rPr>
          <w:rFonts w:ascii="Arial" w:hAnsi="Arial" w:cs="Arial"/>
          <w:sz w:val="24"/>
          <w:szCs w:val="24"/>
        </w:rPr>
        <w:t xml:space="preserve">The human resource department must create and carry out initiatives that foster cooperation, teamwork, and a sense of belonging. This can be accomplished by planning team-building exercises, encouraging departmental cooperation, or motivating staff to take part in volunteer or community service activities. </w:t>
      </w:r>
    </w:p>
    <w:p w14:paraId="4DE70285" w14:textId="44F65AC3" w:rsidR="00C002C7" w:rsidRPr="00C002C7" w:rsidRDefault="00C002C7" w:rsidP="00C002C7">
      <w:pPr>
        <w:spacing w:line="360" w:lineRule="auto"/>
        <w:ind w:firstLine="851"/>
        <w:jc w:val="both"/>
        <w:rPr>
          <w:rFonts w:ascii="Arial" w:hAnsi="Arial" w:cs="Arial"/>
          <w:sz w:val="24"/>
          <w:szCs w:val="24"/>
        </w:rPr>
      </w:pPr>
      <w:r w:rsidRPr="00C002C7">
        <w:rPr>
          <w:rFonts w:ascii="Arial" w:hAnsi="Arial" w:cs="Arial"/>
          <w:sz w:val="24"/>
          <w:szCs w:val="24"/>
        </w:rPr>
        <w:t>An example from the hospitality industry of training and development opportunities offered to its employees is Hilton Hotels. Hilton’s "Elevat</w:t>
      </w:r>
      <w:r w:rsidR="00D41271">
        <w:rPr>
          <w:rFonts w:ascii="Arial" w:hAnsi="Arial" w:cs="Arial"/>
          <w:sz w:val="24"/>
          <w:szCs w:val="24"/>
        </w:rPr>
        <w:t>or</w:t>
      </w:r>
      <w:r w:rsidRPr="00C002C7">
        <w:rPr>
          <w:rFonts w:ascii="Arial" w:hAnsi="Arial" w:cs="Arial"/>
          <w:sz w:val="24"/>
          <w:szCs w:val="24"/>
        </w:rPr>
        <w:t xml:space="preserve">" leadership development program equips participants with the knowledge and expertise they require to improve their careers inside the organization. </w:t>
      </w:r>
      <w:r w:rsidR="00D41271" w:rsidRPr="00D41271">
        <w:rPr>
          <w:rFonts w:ascii="Arial" w:hAnsi="Arial" w:cs="Arial"/>
          <w:sz w:val="24"/>
          <w:szCs w:val="24"/>
        </w:rPr>
        <w:t>(Stories</w:t>
      </w:r>
      <w:r w:rsidR="00D41271">
        <w:rPr>
          <w:rFonts w:ascii="Arial" w:hAnsi="Arial" w:cs="Arial"/>
          <w:sz w:val="24"/>
          <w:szCs w:val="24"/>
        </w:rPr>
        <w:t>.</w:t>
      </w:r>
      <w:r w:rsidR="00D41271" w:rsidRPr="00D41271">
        <w:rPr>
          <w:rFonts w:ascii="Arial" w:hAnsi="Arial" w:cs="Arial"/>
          <w:sz w:val="24"/>
          <w:szCs w:val="24"/>
        </w:rPr>
        <w:t>Hilton</w:t>
      </w:r>
      <w:r w:rsidR="00D41271">
        <w:rPr>
          <w:rFonts w:ascii="Arial" w:hAnsi="Arial" w:cs="Arial"/>
          <w:sz w:val="24"/>
          <w:szCs w:val="24"/>
        </w:rPr>
        <w:t>.com</w:t>
      </w:r>
      <w:r w:rsidR="00D41271" w:rsidRPr="00D41271">
        <w:rPr>
          <w:rFonts w:ascii="Arial" w:hAnsi="Arial" w:cs="Arial"/>
          <w:sz w:val="24"/>
          <w:szCs w:val="24"/>
        </w:rPr>
        <w:t>, n.d.)</w:t>
      </w:r>
    </w:p>
    <w:p w14:paraId="573E6974" w14:textId="7C47C251" w:rsidR="00C002C7" w:rsidRPr="00C002C7" w:rsidRDefault="00C002C7" w:rsidP="00F872B9">
      <w:pPr>
        <w:spacing w:line="360" w:lineRule="auto"/>
        <w:ind w:firstLine="851"/>
        <w:jc w:val="both"/>
        <w:rPr>
          <w:rFonts w:ascii="Arial" w:hAnsi="Arial" w:cs="Arial"/>
          <w:sz w:val="24"/>
          <w:szCs w:val="24"/>
        </w:rPr>
      </w:pPr>
      <w:r w:rsidRPr="00C002C7">
        <w:rPr>
          <w:rFonts w:ascii="Arial" w:hAnsi="Arial" w:cs="Arial"/>
          <w:sz w:val="24"/>
          <w:szCs w:val="24"/>
        </w:rPr>
        <w:t>Another stage of the employee’s lifecycle which is very important in HR’s process of engaging the staff is retention. During this phase, programs for recognition and awards can be created and implemented by HR to encourage and engage workers. This can include initiatives that reward staff members for their efforts and accomplishments as well as initiatives that offer cash rewards or other benefits. Employees feel valued and appreciated in a culture of acknowledgment and appreciation. For example, Hilton Hotels offers a variety of options for staff members to receive recognition and awards for their services and accomplishments, which include monetary incentives like bonuses and promotions as well as non-financial ones like possibilities for professional growth and public acclaim. The business also offers a "Catch Me at My Best"</w:t>
      </w:r>
      <w:r w:rsidR="00F872B9">
        <w:rPr>
          <w:rFonts w:ascii="Arial" w:hAnsi="Arial" w:cs="Arial"/>
          <w:sz w:val="24"/>
          <w:szCs w:val="24"/>
        </w:rPr>
        <w:t xml:space="preserve"> </w:t>
      </w:r>
      <w:r w:rsidRPr="00C002C7">
        <w:rPr>
          <w:rFonts w:ascii="Arial" w:hAnsi="Arial" w:cs="Arial"/>
          <w:sz w:val="24"/>
          <w:szCs w:val="24"/>
        </w:rPr>
        <w:t>program that invites customers and staff to suggest coworkers who have excelled in their positions</w:t>
      </w:r>
      <w:r w:rsidR="00D41271">
        <w:rPr>
          <w:rFonts w:ascii="Arial" w:hAnsi="Arial" w:cs="Arial"/>
          <w:sz w:val="24"/>
          <w:szCs w:val="24"/>
        </w:rPr>
        <w:t xml:space="preserve">. </w:t>
      </w:r>
      <w:r w:rsidR="00D41271" w:rsidRPr="00D41271">
        <w:rPr>
          <w:rFonts w:ascii="Arial" w:hAnsi="Arial" w:cs="Arial"/>
          <w:sz w:val="24"/>
          <w:szCs w:val="24"/>
        </w:rPr>
        <w:t>(submitmycatch.com, n.d.)</w:t>
      </w:r>
      <w:r w:rsidR="00D41271">
        <w:rPr>
          <w:rFonts w:ascii="Arial" w:hAnsi="Arial" w:cs="Arial"/>
          <w:sz w:val="24"/>
          <w:szCs w:val="24"/>
        </w:rPr>
        <w:t xml:space="preserve"> Also, the </w:t>
      </w:r>
      <w:r w:rsidR="00F872B9" w:rsidRPr="00C002C7">
        <w:rPr>
          <w:rFonts w:ascii="Arial" w:hAnsi="Arial" w:cs="Arial"/>
          <w:sz w:val="24"/>
          <w:szCs w:val="24"/>
        </w:rPr>
        <w:t>"</w:t>
      </w:r>
      <w:r w:rsidR="00F872B9">
        <w:rPr>
          <w:rFonts w:ascii="Arial" w:hAnsi="Arial" w:cs="Arial"/>
          <w:sz w:val="24"/>
          <w:szCs w:val="24"/>
        </w:rPr>
        <w:t>Spirit Award</w:t>
      </w:r>
      <w:r w:rsidR="00F872B9" w:rsidRPr="00C002C7">
        <w:rPr>
          <w:rFonts w:ascii="Arial" w:hAnsi="Arial" w:cs="Arial"/>
          <w:sz w:val="24"/>
          <w:szCs w:val="24"/>
        </w:rPr>
        <w:t>"</w:t>
      </w:r>
      <w:r w:rsidR="00F872B9">
        <w:rPr>
          <w:rFonts w:ascii="Arial" w:hAnsi="Arial" w:cs="Arial"/>
          <w:sz w:val="24"/>
          <w:szCs w:val="24"/>
        </w:rPr>
        <w:t xml:space="preserve"> </w:t>
      </w:r>
      <w:r w:rsidRPr="00C002C7">
        <w:rPr>
          <w:rFonts w:ascii="Arial" w:hAnsi="Arial" w:cs="Arial"/>
          <w:sz w:val="24"/>
          <w:szCs w:val="24"/>
        </w:rPr>
        <w:t>program honors staff members who go above and beyond for clients or coworkers</w:t>
      </w:r>
      <w:r w:rsidR="00D41271">
        <w:rPr>
          <w:rFonts w:ascii="Arial" w:hAnsi="Arial" w:cs="Arial"/>
          <w:sz w:val="24"/>
          <w:szCs w:val="24"/>
        </w:rPr>
        <w:t xml:space="preserve">. </w:t>
      </w:r>
      <w:r w:rsidR="00D41271" w:rsidRPr="00D41271">
        <w:rPr>
          <w:rFonts w:ascii="Arial" w:hAnsi="Arial" w:cs="Arial"/>
          <w:sz w:val="24"/>
          <w:szCs w:val="24"/>
        </w:rPr>
        <w:t>(fd.hilton.com, n.d.)</w:t>
      </w:r>
      <w:r w:rsidRPr="00C002C7">
        <w:rPr>
          <w:rFonts w:ascii="Arial" w:hAnsi="Arial" w:cs="Arial"/>
          <w:sz w:val="24"/>
          <w:szCs w:val="24"/>
        </w:rPr>
        <w:t xml:space="preserve"> </w:t>
      </w:r>
      <w:r w:rsidR="00D41271">
        <w:rPr>
          <w:rFonts w:ascii="Arial" w:hAnsi="Arial" w:cs="Arial"/>
          <w:sz w:val="24"/>
          <w:szCs w:val="24"/>
        </w:rPr>
        <w:t>On the other hand, the</w:t>
      </w:r>
      <w:r w:rsidRPr="00C002C7">
        <w:rPr>
          <w:rFonts w:ascii="Arial" w:hAnsi="Arial" w:cs="Arial"/>
          <w:sz w:val="24"/>
          <w:szCs w:val="24"/>
        </w:rPr>
        <w:t xml:space="preserve"> "Heart of the House" initiative honors workers who do operational duties in the background. </w:t>
      </w:r>
      <w:r w:rsidR="00D41271" w:rsidRPr="00D41271">
        <w:rPr>
          <w:rFonts w:ascii="Arial" w:hAnsi="Arial" w:cs="Arial"/>
          <w:sz w:val="24"/>
          <w:szCs w:val="24"/>
        </w:rPr>
        <w:t>(jobs.hilton.com, n.d.)</w:t>
      </w:r>
    </w:p>
    <w:p w14:paraId="10607045" w14:textId="0AE54DC0" w:rsidR="00C002C7" w:rsidRPr="00C002C7" w:rsidRDefault="00C002C7" w:rsidP="00C002C7">
      <w:pPr>
        <w:spacing w:line="360" w:lineRule="auto"/>
        <w:ind w:firstLine="851"/>
        <w:jc w:val="both"/>
        <w:rPr>
          <w:rFonts w:ascii="Arial" w:hAnsi="Arial" w:cs="Arial"/>
          <w:sz w:val="24"/>
          <w:szCs w:val="24"/>
        </w:rPr>
      </w:pPr>
      <w:r w:rsidRPr="00C002C7">
        <w:rPr>
          <w:rFonts w:ascii="Arial" w:hAnsi="Arial" w:cs="Arial"/>
          <w:sz w:val="24"/>
          <w:szCs w:val="24"/>
        </w:rPr>
        <w:t>In the last stage of the employee lifecycle, separation, HR must conduct exit interviews to gather feedback and identify areas for improvement. They must cooperate with management to make sure that departing staff members have a fine experience and have a favorable opinion of the hotel. Offering alumni programs to keep in touch with former workers or offering tools to assist with the transition are both examples of how to do this.</w:t>
      </w:r>
      <w:r w:rsidR="00264C65" w:rsidRPr="00264C65">
        <w:t xml:space="preserve"> </w:t>
      </w:r>
      <w:r w:rsidR="00264C65" w:rsidRPr="00264C65">
        <w:rPr>
          <w:rFonts w:ascii="Arial" w:hAnsi="Arial" w:cs="Arial"/>
          <w:sz w:val="24"/>
          <w:szCs w:val="24"/>
        </w:rPr>
        <w:t>(alumni.hilton.com, n.d.)</w:t>
      </w:r>
      <w:r w:rsidRPr="00C002C7">
        <w:rPr>
          <w:rFonts w:ascii="Arial" w:hAnsi="Arial" w:cs="Arial"/>
          <w:sz w:val="24"/>
          <w:szCs w:val="24"/>
        </w:rPr>
        <w:t xml:space="preserve"> Hilton’s HR department has implemented very well these methods. Exit interviews, feedback sessions, and keeping good relationships with departing workers are all part of Hilton Hotels' systematic exit and offboarding process. </w:t>
      </w:r>
    </w:p>
    <w:p w14:paraId="5EBFCB79" w14:textId="1662B895" w:rsidR="00C002C7" w:rsidRPr="00C002C7" w:rsidRDefault="00C002C7" w:rsidP="00C002C7">
      <w:pPr>
        <w:spacing w:line="360" w:lineRule="auto"/>
        <w:ind w:firstLine="851"/>
        <w:jc w:val="both"/>
        <w:rPr>
          <w:rFonts w:ascii="Arial" w:hAnsi="Arial" w:cs="Arial"/>
          <w:sz w:val="24"/>
          <w:szCs w:val="24"/>
        </w:rPr>
      </w:pPr>
      <w:r w:rsidRPr="00C002C7">
        <w:rPr>
          <w:rFonts w:ascii="Arial" w:hAnsi="Arial" w:cs="Arial"/>
          <w:sz w:val="24"/>
          <w:szCs w:val="24"/>
        </w:rPr>
        <w:t xml:space="preserve">In order for HR departments to be able to create a positive employee experience and promote a culture of engagement, productivity, and well-being, it is necessary for them to apply the methods mentioned above. This can be done by implementing an engagement model. Although there are various models, I will be detailing only one of them, respectively "Job Demands-Resources (JD-R) Model" which was developed by Arnold Bakker and Evangelia Demerouti. According to this concept, employee engagement and motivation are influenced by job resources while job demands can cause stress and burnout. </w:t>
      </w:r>
      <w:r w:rsidR="00264C65" w:rsidRPr="00264C65">
        <w:rPr>
          <w:rFonts w:ascii="Arial" w:hAnsi="Arial" w:cs="Arial"/>
          <w:sz w:val="24"/>
          <w:szCs w:val="24"/>
        </w:rPr>
        <w:t>(Bakker, Demerouti and Sanz-Vergel, 2014)</w:t>
      </w:r>
    </w:p>
    <w:p w14:paraId="2840E9DD" w14:textId="62242F83" w:rsidR="002C05D8" w:rsidRDefault="00C002C7" w:rsidP="00C002C7">
      <w:pPr>
        <w:spacing w:line="360" w:lineRule="auto"/>
        <w:ind w:firstLine="851"/>
        <w:jc w:val="both"/>
        <w:rPr>
          <w:rFonts w:ascii="Arial" w:hAnsi="Arial" w:cs="Arial"/>
          <w:sz w:val="24"/>
          <w:szCs w:val="24"/>
        </w:rPr>
      </w:pPr>
      <w:r w:rsidRPr="00C002C7">
        <w:rPr>
          <w:rFonts w:ascii="Arial" w:hAnsi="Arial" w:cs="Arial"/>
          <w:sz w:val="24"/>
          <w:szCs w:val="24"/>
        </w:rPr>
        <w:t>In order to implement this model in a hotel, there are several steps and actions that need to be taken.</w:t>
      </w:r>
      <w:r w:rsidR="00264C65" w:rsidRPr="00264C65">
        <w:t xml:space="preserve"> </w:t>
      </w:r>
      <w:r w:rsidR="00264C65" w:rsidRPr="00264C65">
        <w:rPr>
          <w:rFonts w:ascii="Arial" w:hAnsi="Arial" w:cs="Arial"/>
          <w:sz w:val="24"/>
          <w:szCs w:val="24"/>
        </w:rPr>
        <w:t>(Tripathi et al., 2021)</w:t>
      </w:r>
      <w:r w:rsidRPr="00C002C7">
        <w:rPr>
          <w:rFonts w:ascii="Arial" w:hAnsi="Arial" w:cs="Arial"/>
          <w:sz w:val="24"/>
          <w:szCs w:val="24"/>
        </w:rPr>
        <w:t xml:space="preserve"> Firstly, the HR department needs to determine the work requirements and resources for hotel personnel by conducting a job analysis. Afterward, using the job analysis, the department has to find out how the hotel may increase job resources or lower job demands. In the job, demands category falls workload, time pressure, or employee autonomy. This step is followed by the creation of a plan of action to address areas that require improvement. This could entail actions like increasing employee training and resources or reorganizing job duties to lessen the workload.</w:t>
      </w:r>
      <w:r w:rsidR="00230BCF" w:rsidRPr="00230BCF">
        <w:t xml:space="preserve"> </w:t>
      </w:r>
      <w:r w:rsidR="00230BCF" w:rsidRPr="00230BCF">
        <w:rPr>
          <w:rFonts w:ascii="Arial" w:hAnsi="Arial" w:cs="Arial"/>
          <w:sz w:val="24"/>
          <w:szCs w:val="24"/>
        </w:rPr>
        <w:t>(Karatepe and Olugbade, 2009)</w:t>
      </w:r>
      <w:r w:rsidRPr="00C002C7">
        <w:rPr>
          <w:rFonts w:ascii="Arial" w:hAnsi="Arial" w:cs="Arial"/>
          <w:sz w:val="24"/>
          <w:szCs w:val="24"/>
        </w:rPr>
        <w:t xml:space="preserve"> After the plan is created, it needs to be communicated to the employees as well as to provide explanations of how it will improve their engagement. The last step is to monitor the progress and use the input to modify the action plan as necessary.</w:t>
      </w:r>
      <w:r w:rsidR="00230BCF">
        <w:rPr>
          <w:rFonts w:ascii="Arial" w:hAnsi="Arial" w:cs="Arial"/>
          <w:sz w:val="24"/>
          <w:szCs w:val="24"/>
        </w:rPr>
        <w:t xml:space="preserve"> </w:t>
      </w:r>
      <w:r w:rsidR="00230BCF" w:rsidRPr="00230BCF">
        <w:rPr>
          <w:rFonts w:ascii="Arial" w:hAnsi="Arial" w:cs="Arial"/>
          <w:sz w:val="24"/>
          <w:szCs w:val="24"/>
        </w:rPr>
        <w:t>(Schaufeli, 2017)</w:t>
      </w:r>
    </w:p>
    <w:p w14:paraId="00A2C0B0" w14:textId="09085072" w:rsidR="00C002C7" w:rsidRPr="00C002C7" w:rsidRDefault="00C002C7" w:rsidP="00C002C7">
      <w:pPr>
        <w:spacing w:line="360" w:lineRule="auto"/>
        <w:ind w:firstLine="851"/>
        <w:jc w:val="both"/>
        <w:rPr>
          <w:rFonts w:ascii="Arial" w:hAnsi="Arial" w:cs="Arial"/>
          <w:sz w:val="24"/>
          <w:szCs w:val="24"/>
        </w:rPr>
      </w:pPr>
      <w:r w:rsidRPr="00C002C7">
        <w:rPr>
          <w:rFonts w:ascii="Arial" w:hAnsi="Arial" w:cs="Arial"/>
          <w:sz w:val="24"/>
          <w:szCs w:val="24"/>
        </w:rPr>
        <w:t>There are several companies in the hotel sector that have implemented this engagement model. This list includes Hilton Hotels, Marriott International, Four Seasons Hotels and Resorts, and InterContinental Hotels Group. For example, Four Seasons Hotels and Resorts’s ,,Lead With Care’’ program is the result of the JD-R Model implementation. The program prioritizes the health and safety of both employees and visitors and includes activities such as routine health examinations for workers, instruction on safety and health procedures, and assistance with mental health.</w:t>
      </w:r>
      <w:r w:rsidR="00230BCF" w:rsidRPr="00230BCF">
        <w:t xml:space="preserve"> </w:t>
      </w:r>
      <w:r w:rsidR="00230BCF" w:rsidRPr="00230BCF">
        <w:rPr>
          <w:rFonts w:ascii="Arial" w:hAnsi="Arial" w:cs="Arial"/>
          <w:sz w:val="24"/>
          <w:szCs w:val="24"/>
        </w:rPr>
        <w:t>(Four Seasons Press Room, n.d.)</w:t>
      </w:r>
    </w:p>
    <w:p w14:paraId="7EC6DC07" w14:textId="77777777" w:rsidR="00C002C7" w:rsidRPr="00C002C7" w:rsidRDefault="00C002C7" w:rsidP="00C002C7">
      <w:pPr>
        <w:spacing w:line="360" w:lineRule="auto"/>
        <w:ind w:firstLine="851"/>
        <w:jc w:val="both"/>
        <w:rPr>
          <w:rFonts w:ascii="Arial" w:hAnsi="Arial" w:cs="Arial"/>
          <w:sz w:val="24"/>
          <w:szCs w:val="24"/>
        </w:rPr>
      </w:pPr>
      <w:r w:rsidRPr="00C002C7">
        <w:rPr>
          <w:rFonts w:ascii="Arial" w:hAnsi="Arial" w:cs="Arial"/>
          <w:sz w:val="24"/>
          <w:szCs w:val="24"/>
        </w:rPr>
        <w:t xml:space="preserve">Therefore, following what was mentioned above in this paper, I will list my recommendations of methods I would adopt for engaging my team. I would put a great accent on obtaining employee feedback by conducting routine surveys which will address topics like job satisfaction, work-life balance, possibilities for professional growth, and management communication. I would improve the employees’ engagement by encouraging employees to work together to achieve common goals and by thanking and recognizing their efforts and accomplishments through public acclaim. Another action that I find to be one of the most important steps in creating employee engagement is promoting a culture of respect, support, and collaboration. </w:t>
      </w:r>
    </w:p>
    <w:p w14:paraId="2DF3EC4F" w14:textId="77777777" w:rsidR="00C002C7" w:rsidRPr="00C002C7" w:rsidRDefault="00C002C7" w:rsidP="00C002C7">
      <w:pPr>
        <w:spacing w:line="360" w:lineRule="auto"/>
        <w:ind w:firstLine="851"/>
        <w:jc w:val="both"/>
        <w:rPr>
          <w:rFonts w:ascii="Arial" w:hAnsi="Arial" w:cs="Arial"/>
          <w:sz w:val="24"/>
          <w:szCs w:val="24"/>
        </w:rPr>
      </w:pPr>
    </w:p>
    <w:p w14:paraId="61E7BFB4" w14:textId="19789C7D" w:rsidR="00A92650" w:rsidRDefault="00C002C7" w:rsidP="00C002C7">
      <w:pPr>
        <w:spacing w:line="360" w:lineRule="auto"/>
        <w:ind w:firstLine="851"/>
        <w:jc w:val="both"/>
        <w:rPr>
          <w:rFonts w:ascii="Arial" w:hAnsi="Arial" w:cs="Arial"/>
          <w:sz w:val="24"/>
          <w:szCs w:val="24"/>
        </w:rPr>
      </w:pPr>
      <w:r w:rsidRPr="00C002C7">
        <w:rPr>
          <w:rFonts w:ascii="Arial" w:hAnsi="Arial" w:cs="Arial"/>
          <w:sz w:val="24"/>
          <w:szCs w:val="24"/>
        </w:rPr>
        <w:t>In conclusion, the success of every organization, and the hotel sector in particular, depends on engaging employees throughout their employment lifetime. Hotels can promote an environment of engagement, loyalty, and success by implementing efficient engagement techniques at every stage of the employee lifecycle, from hiring and onboarding to development and retention. By providing thorough training and development programs, recognition and reward systems, regular performance reviews, and initiatives to enhance work-life balance, human resources play a crucial role in fostering employee engagement. Employee engagement can result in higher levels of customer satisfaction, more profitability, and a positive reputation because engaged people are more driven, productive, and committed to their jobs.</w:t>
      </w:r>
    </w:p>
    <w:p w14:paraId="43183868" w14:textId="1338D52F" w:rsidR="00C002C7" w:rsidRDefault="00C002C7" w:rsidP="00C002C7">
      <w:pPr>
        <w:spacing w:line="360" w:lineRule="auto"/>
        <w:ind w:firstLine="851"/>
        <w:jc w:val="both"/>
        <w:rPr>
          <w:rFonts w:ascii="Arial" w:hAnsi="Arial" w:cs="Arial"/>
          <w:sz w:val="24"/>
          <w:szCs w:val="24"/>
        </w:rPr>
      </w:pPr>
    </w:p>
    <w:p w14:paraId="06573908" w14:textId="5B3389EC" w:rsidR="00C002C7" w:rsidRDefault="00C002C7" w:rsidP="00C002C7">
      <w:pPr>
        <w:spacing w:line="360" w:lineRule="auto"/>
        <w:ind w:firstLine="851"/>
        <w:jc w:val="both"/>
        <w:rPr>
          <w:rFonts w:ascii="Arial" w:hAnsi="Arial" w:cs="Arial"/>
          <w:sz w:val="24"/>
          <w:szCs w:val="24"/>
        </w:rPr>
      </w:pPr>
    </w:p>
    <w:p w14:paraId="633F0E68" w14:textId="0518864C" w:rsidR="00C002C7" w:rsidRDefault="00C002C7" w:rsidP="00C002C7">
      <w:pPr>
        <w:spacing w:line="360" w:lineRule="auto"/>
        <w:ind w:firstLine="851"/>
        <w:jc w:val="both"/>
        <w:rPr>
          <w:rFonts w:ascii="Arial" w:hAnsi="Arial" w:cs="Arial"/>
          <w:sz w:val="24"/>
          <w:szCs w:val="24"/>
        </w:rPr>
      </w:pPr>
    </w:p>
    <w:p w14:paraId="18E4D546" w14:textId="1DD692BB" w:rsidR="00C002C7" w:rsidRDefault="00C002C7" w:rsidP="00C002C7">
      <w:pPr>
        <w:spacing w:line="360" w:lineRule="auto"/>
        <w:ind w:firstLine="851"/>
        <w:jc w:val="both"/>
        <w:rPr>
          <w:rFonts w:ascii="Arial" w:hAnsi="Arial" w:cs="Arial"/>
          <w:sz w:val="24"/>
          <w:szCs w:val="24"/>
        </w:rPr>
      </w:pPr>
    </w:p>
    <w:p w14:paraId="4BC7E188" w14:textId="4E23F0D4" w:rsidR="00C002C7" w:rsidRDefault="00C002C7" w:rsidP="00C002C7">
      <w:pPr>
        <w:spacing w:line="360" w:lineRule="auto"/>
        <w:ind w:firstLine="851"/>
        <w:jc w:val="both"/>
        <w:rPr>
          <w:rFonts w:ascii="Arial" w:hAnsi="Arial" w:cs="Arial"/>
          <w:sz w:val="24"/>
          <w:szCs w:val="24"/>
        </w:rPr>
      </w:pPr>
    </w:p>
    <w:p w14:paraId="53DAC75C" w14:textId="0B1F062B" w:rsidR="00C002C7" w:rsidRDefault="00C002C7" w:rsidP="00C002C7">
      <w:pPr>
        <w:spacing w:line="360" w:lineRule="auto"/>
        <w:ind w:firstLine="851"/>
        <w:jc w:val="both"/>
        <w:rPr>
          <w:rFonts w:ascii="Arial" w:hAnsi="Arial" w:cs="Arial"/>
          <w:sz w:val="24"/>
          <w:szCs w:val="24"/>
        </w:rPr>
      </w:pPr>
    </w:p>
    <w:p w14:paraId="403C48C2" w14:textId="63C00999" w:rsidR="00C002C7" w:rsidRDefault="00C002C7" w:rsidP="00C002C7">
      <w:pPr>
        <w:spacing w:line="360" w:lineRule="auto"/>
        <w:ind w:firstLine="851"/>
        <w:jc w:val="both"/>
        <w:rPr>
          <w:rFonts w:ascii="Arial" w:hAnsi="Arial" w:cs="Arial"/>
          <w:sz w:val="24"/>
          <w:szCs w:val="24"/>
        </w:rPr>
      </w:pPr>
    </w:p>
    <w:p w14:paraId="593D2B97" w14:textId="1ABE271C" w:rsidR="00C002C7" w:rsidRDefault="00C002C7" w:rsidP="00C002C7">
      <w:pPr>
        <w:spacing w:line="360" w:lineRule="auto"/>
        <w:ind w:firstLine="851"/>
        <w:jc w:val="both"/>
        <w:rPr>
          <w:rFonts w:ascii="Arial" w:hAnsi="Arial" w:cs="Arial"/>
          <w:sz w:val="24"/>
          <w:szCs w:val="24"/>
        </w:rPr>
      </w:pPr>
    </w:p>
    <w:p w14:paraId="0BEF1C31" w14:textId="6F192E0F" w:rsidR="00C002C7" w:rsidRDefault="00C002C7" w:rsidP="00C002C7">
      <w:pPr>
        <w:spacing w:line="360" w:lineRule="auto"/>
        <w:ind w:firstLine="851"/>
        <w:jc w:val="both"/>
        <w:rPr>
          <w:rFonts w:ascii="Arial" w:hAnsi="Arial" w:cs="Arial"/>
          <w:sz w:val="24"/>
          <w:szCs w:val="24"/>
        </w:rPr>
      </w:pPr>
    </w:p>
    <w:p w14:paraId="3408E05F" w14:textId="53947E24" w:rsidR="00C002C7" w:rsidRDefault="00C002C7" w:rsidP="00C002C7">
      <w:pPr>
        <w:spacing w:line="360" w:lineRule="auto"/>
        <w:ind w:firstLine="851"/>
        <w:jc w:val="both"/>
        <w:rPr>
          <w:rFonts w:ascii="Arial" w:hAnsi="Arial" w:cs="Arial"/>
          <w:sz w:val="24"/>
          <w:szCs w:val="24"/>
        </w:rPr>
      </w:pPr>
    </w:p>
    <w:p w14:paraId="02B81EEC" w14:textId="6C86F02A" w:rsidR="00C002C7" w:rsidRDefault="00C002C7" w:rsidP="00C002C7">
      <w:pPr>
        <w:spacing w:line="360" w:lineRule="auto"/>
        <w:ind w:firstLine="851"/>
        <w:jc w:val="both"/>
        <w:rPr>
          <w:rFonts w:ascii="Arial" w:hAnsi="Arial" w:cs="Arial"/>
          <w:sz w:val="24"/>
          <w:szCs w:val="24"/>
        </w:rPr>
      </w:pPr>
    </w:p>
    <w:p w14:paraId="0FB87074" w14:textId="31BEB9A1" w:rsidR="00C002C7" w:rsidRDefault="00C002C7" w:rsidP="00C002C7">
      <w:pPr>
        <w:spacing w:line="360" w:lineRule="auto"/>
        <w:ind w:firstLine="851"/>
        <w:jc w:val="both"/>
        <w:rPr>
          <w:rFonts w:ascii="Arial" w:hAnsi="Arial" w:cs="Arial"/>
          <w:sz w:val="24"/>
          <w:szCs w:val="24"/>
        </w:rPr>
      </w:pPr>
    </w:p>
    <w:p w14:paraId="7CE424C2" w14:textId="57632D6C" w:rsidR="00C002C7" w:rsidRDefault="00C002C7" w:rsidP="00C002C7">
      <w:pPr>
        <w:spacing w:line="360" w:lineRule="auto"/>
        <w:ind w:firstLine="851"/>
        <w:jc w:val="both"/>
        <w:rPr>
          <w:rFonts w:ascii="Arial" w:hAnsi="Arial" w:cs="Arial"/>
          <w:sz w:val="24"/>
          <w:szCs w:val="24"/>
        </w:rPr>
      </w:pPr>
    </w:p>
    <w:p w14:paraId="12D26752" w14:textId="2CD27B86" w:rsidR="00C002C7" w:rsidRDefault="00C002C7" w:rsidP="00C002C7">
      <w:pPr>
        <w:spacing w:line="360" w:lineRule="auto"/>
        <w:ind w:firstLine="851"/>
        <w:jc w:val="both"/>
        <w:rPr>
          <w:rFonts w:ascii="Arial" w:hAnsi="Arial" w:cs="Arial"/>
          <w:sz w:val="24"/>
          <w:szCs w:val="24"/>
        </w:rPr>
      </w:pPr>
    </w:p>
    <w:p w14:paraId="21D98924" w14:textId="316EEC2B" w:rsidR="00C002C7" w:rsidRDefault="00C002C7" w:rsidP="00C002C7">
      <w:pPr>
        <w:spacing w:line="360" w:lineRule="auto"/>
        <w:ind w:firstLine="851"/>
        <w:jc w:val="both"/>
        <w:rPr>
          <w:rFonts w:ascii="Arial" w:hAnsi="Arial" w:cs="Arial"/>
          <w:sz w:val="24"/>
          <w:szCs w:val="24"/>
        </w:rPr>
      </w:pPr>
    </w:p>
    <w:p w14:paraId="0766E90B" w14:textId="1207000C" w:rsidR="00C002C7" w:rsidRDefault="00C002C7" w:rsidP="00C002C7">
      <w:pPr>
        <w:spacing w:line="360" w:lineRule="auto"/>
        <w:ind w:firstLine="851"/>
        <w:jc w:val="both"/>
        <w:rPr>
          <w:rFonts w:ascii="Arial" w:hAnsi="Arial" w:cs="Arial"/>
          <w:sz w:val="24"/>
          <w:szCs w:val="24"/>
        </w:rPr>
      </w:pPr>
    </w:p>
    <w:p w14:paraId="319996EA" w14:textId="6C3F5E94" w:rsidR="00C002C7" w:rsidRDefault="00C002C7" w:rsidP="00C002C7">
      <w:pPr>
        <w:spacing w:line="360" w:lineRule="auto"/>
        <w:ind w:firstLine="851"/>
        <w:jc w:val="both"/>
        <w:rPr>
          <w:rFonts w:ascii="Arial" w:hAnsi="Arial" w:cs="Arial"/>
          <w:sz w:val="24"/>
          <w:szCs w:val="24"/>
        </w:rPr>
      </w:pPr>
    </w:p>
    <w:p w14:paraId="561C5038" w14:textId="173E694F" w:rsidR="00C002C7" w:rsidRDefault="00C002C7" w:rsidP="00C002C7">
      <w:pPr>
        <w:spacing w:line="360" w:lineRule="auto"/>
        <w:ind w:firstLine="851"/>
        <w:jc w:val="both"/>
        <w:rPr>
          <w:rFonts w:ascii="Arial" w:hAnsi="Arial" w:cs="Arial"/>
          <w:sz w:val="24"/>
          <w:szCs w:val="24"/>
        </w:rPr>
      </w:pPr>
    </w:p>
    <w:p w14:paraId="505AC3EE" w14:textId="451B5F32" w:rsidR="00C002C7" w:rsidRDefault="00C002C7" w:rsidP="00C002C7">
      <w:pPr>
        <w:spacing w:line="360" w:lineRule="auto"/>
        <w:ind w:firstLine="851"/>
        <w:jc w:val="both"/>
        <w:rPr>
          <w:rFonts w:ascii="Arial" w:hAnsi="Arial" w:cs="Arial"/>
          <w:sz w:val="24"/>
          <w:szCs w:val="24"/>
        </w:rPr>
      </w:pPr>
    </w:p>
    <w:p w14:paraId="170176A7" w14:textId="2E3192C0" w:rsidR="00C002C7" w:rsidRDefault="00C002C7" w:rsidP="008757FF">
      <w:pPr>
        <w:spacing w:line="360" w:lineRule="auto"/>
        <w:jc w:val="both"/>
        <w:rPr>
          <w:rFonts w:ascii="Arial" w:hAnsi="Arial" w:cs="Arial"/>
          <w:sz w:val="24"/>
          <w:szCs w:val="24"/>
        </w:rPr>
      </w:pPr>
    </w:p>
    <w:p w14:paraId="3ED79E6D" w14:textId="0AFDCDB0" w:rsidR="00C002C7" w:rsidRPr="00C002C7" w:rsidRDefault="00C002C7" w:rsidP="00C002C7">
      <w:pPr>
        <w:spacing w:line="360" w:lineRule="auto"/>
        <w:rPr>
          <w:rFonts w:ascii="Arial" w:hAnsi="Arial" w:cs="Arial"/>
          <w:b/>
          <w:bCs/>
          <w:sz w:val="24"/>
          <w:szCs w:val="24"/>
        </w:rPr>
      </w:pPr>
      <w:r w:rsidRPr="00C002C7">
        <w:rPr>
          <w:rFonts w:ascii="Arial" w:hAnsi="Arial" w:cs="Arial"/>
          <w:b/>
          <w:bCs/>
          <w:sz w:val="24"/>
          <w:szCs w:val="24"/>
        </w:rPr>
        <w:t>List of references</w:t>
      </w:r>
    </w:p>
    <w:p w14:paraId="35ECCC60" w14:textId="4BB079B0" w:rsidR="008757FF" w:rsidRPr="008757FF" w:rsidRDefault="008757FF" w:rsidP="008757FF">
      <w:pPr>
        <w:pStyle w:val="NormalWeb"/>
        <w:spacing w:line="360" w:lineRule="auto"/>
        <w:jc w:val="both"/>
        <w:rPr>
          <w:rFonts w:ascii="Arial" w:hAnsi="Arial" w:cs="Arial"/>
          <w:color w:val="000000"/>
        </w:rPr>
      </w:pPr>
    </w:p>
    <w:p w14:paraId="586940F6"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230BCF">
        <w:rPr>
          <w:rFonts w:ascii="Arial" w:hAnsi="Arial" w:cs="Arial"/>
          <w:color w:val="000000"/>
        </w:rPr>
        <w:t xml:space="preserve">‌ </w:t>
      </w:r>
      <w:r w:rsidRPr="008757FF">
        <w:rPr>
          <w:rFonts w:ascii="Arial" w:hAnsi="Arial" w:cs="Arial"/>
          <w:color w:val="000000"/>
        </w:rPr>
        <w:t>Bakker, A.B., Demerouti, E. and Sanz-Vergel, A.I. (2014). Burnout and Work Engagement: The JD–R Approach. </w:t>
      </w:r>
      <w:r w:rsidRPr="008757FF">
        <w:rPr>
          <w:rFonts w:ascii="Arial" w:hAnsi="Arial" w:cs="Arial"/>
          <w:i/>
          <w:iCs/>
          <w:color w:val="000000"/>
        </w:rPr>
        <w:t>Annual Review of Organizational Psychology and Organizational Behavior</w:t>
      </w:r>
      <w:r w:rsidRPr="008757FF">
        <w:rPr>
          <w:rFonts w:ascii="Arial" w:hAnsi="Arial" w:cs="Arial"/>
          <w:color w:val="000000"/>
        </w:rPr>
        <w:t>, 1(1), pp.389–411. doi:https://doi.org/10.1146/annurev-orgpsych-031413-091235.</w:t>
      </w:r>
    </w:p>
    <w:p w14:paraId="58EDFF26"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 fd.hilton.com. (n.d.). </w:t>
      </w:r>
      <w:r w:rsidRPr="008757FF">
        <w:rPr>
          <w:rFonts w:ascii="Arial" w:hAnsi="Arial" w:cs="Arial"/>
          <w:i/>
          <w:iCs/>
          <w:color w:val="000000"/>
        </w:rPr>
        <w:t>the Lobby Login</w:t>
      </w:r>
      <w:r w:rsidRPr="008757FF">
        <w:rPr>
          <w:rFonts w:ascii="Arial" w:hAnsi="Arial" w:cs="Arial"/>
          <w:color w:val="000000"/>
        </w:rPr>
        <w:t xml:space="preserve">. [online] Available at: https://www.hilton-recognition.com/nominations </w:t>
      </w:r>
    </w:p>
    <w:p w14:paraId="3D623038"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 Hassanein, F. and Özgit, H. (2022). Sustaining Human Resources through Talent Management Strategies and Employee Engagement in the Middle East Hotel Industry. </w:t>
      </w:r>
      <w:r w:rsidRPr="008757FF">
        <w:rPr>
          <w:rFonts w:ascii="Arial" w:hAnsi="Arial" w:cs="Arial"/>
          <w:i/>
          <w:iCs/>
          <w:color w:val="000000"/>
        </w:rPr>
        <w:t>Sustainability</w:t>
      </w:r>
      <w:r w:rsidRPr="008757FF">
        <w:rPr>
          <w:rFonts w:ascii="Arial" w:hAnsi="Arial" w:cs="Arial"/>
          <w:color w:val="000000"/>
        </w:rPr>
        <w:t>, 14(22), p.15365. doi:https://doi.org/10.3390/su142215365.</w:t>
      </w:r>
    </w:p>
    <w:p w14:paraId="7AE09EE5"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 jobs.hilton.com. (n.d.). </w:t>
      </w:r>
      <w:r w:rsidRPr="008757FF">
        <w:rPr>
          <w:rFonts w:ascii="Arial" w:hAnsi="Arial" w:cs="Arial"/>
          <w:i/>
          <w:iCs/>
          <w:color w:val="000000"/>
        </w:rPr>
        <w:t>Learn more about Hilton Culture</w:t>
      </w:r>
      <w:r w:rsidRPr="008757FF">
        <w:rPr>
          <w:rFonts w:ascii="Arial" w:hAnsi="Arial" w:cs="Arial"/>
          <w:color w:val="000000"/>
        </w:rPr>
        <w:t>. [online] Available at: https://jobs.hilton.com/apac/en/culture.</w:t>
      </w:r>
    </w:p>
    <w:p w14:paraId="163CAD22" w14:textId="77777777" w:rsidR="008757FF" w:rsidRPr="008757FF" w:rsidRDefault="008757FF" w:rsidP="008757FF">
      <w:pPr>
        <w:pStyle w:val="NormalWeb"/>
        <w:numPr>
          <w:ilvl w:val="0"/>
          <w:numId w:val="1"/>
        </w:numPr>
        <w:spacing w:line="360" w:lineRule="auto"/>
        <w:jc w:val="both"/>
        <w:rPr>
          <w:rFonts w:ascii="Arial" w:hAnsi="Arial" w:cs="Arial"/>
          <w:color w:val="000000"/>
        </w:rPr>
      </w:pPr>
      <w:r w:rsidRPr="008757FF">
        <w:rPr>
          <w:rFonts w:ascii="Arial" w:hAnsi="Arial" w:cs="Arial"/>
          <w:color w:val="000000"/>
        </w:rPr>
        <w:t>‌</w:t>
      </w:r>
      <w:r w:rsidRPr="008757FF">
        <w:rPr>
          <w:rFonts w:ascii="Arial" w:hAnsi="Arial" w:cs="Arial"/>
        </w:rPr>
        <w:t xml:space="preserve"> </w:t>
      </w:r>
      <w:r w:rsidRPr="008757FF">
        <w:rPr>
          <w:rFonts w:ascii="Arial" w:hAnsi="Arial" w:cs="Arial"/>
          <w:color w:val="000000"/>
        </w:rPr>
        <w:t>Kang, Hee Jung, "A Model of Hospitality Employee Engagement" (2014). UNLV Theses, Dissertations, Professional Papers, and Capstones. 2102.</w:t>
      </w:r>
    </w:p>
    <w:p w14:paraId="30CAA13B"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 LoyaltyLobby. (2021). </w:t>
      </w:r>
      <w:r w:rsidRPr="008757FF">
        <w:rPr>
          <w:rFonts w:ascii="Arial" w:hAnsi="Arial" w:cs="Arial"/>
          <w:i/>
          <w:iCs/>
          <w:color w:val="000000"/>
        </w:rPr>
        <w:t>Hilton’s SubmitMyCatch</w:t>
      </w:r>
      <w:r w:rsidRPr="008757FF">
        <w:rPr>
          <w:rFonts w:ascii="Arial" w:hAnsi="Arial" w:cs="Arial"/>
          <w:color w:val="000000"/>
        </w:rPr>
        <w:t>. [online] Available at: https://loyaltylobby.com/2021/08/17/hiltons-submitmycatch/.</w:t>
      </w:r>
    </w:p>
    <w:p w14:paraId="689830E5"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 Park, S., Johnson, K.R. and Chaudhuri, S. (2019). Promoting work engagement in the hotel sector: review and analysis. </w:t>
      </w:r>
      <w:r w:rsidRPr="008757FF">
        <w:rPr>
          <w:rFonts w:ascii="Arial" w:hAnsi="Arial" w:cs="Arial"/>
          <w:i/>
          <w:iCs/>
          <w:color w:val="000000"/>
        </w:rPr>
        <w:t>Management Research Review</w:t>
      </w:r>
      <w:r w:rsidRPr="008757FF">
        <w:rPr>
          <w:rFonts w:ascii="Arial" w:hAnsi="Arial" w:cs="Arial"/>
          <w:color w:val="000000"/>
        </w:rPr>
        <w:t>, 42(8), pp.971–990. doi:https://doi.org/10.1108/mrr-03-2018-0126.</w:t>
      </w:r>
    </w:p>
    <w:p w14:paraId="3198A094"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 Schaufeli, W.B. (2017). Applying the Job Demands-Resources model. </w:t>
      </w:r>
      <w:r w:rsidRPr="008757FF">
        <w:rPr>
          <w:rFonts w:ascii="Arial" w:hAnsi="Arial" w:cs="Arial"/>
          <w:i/>
          <w:iCs/>
          <w:color w:val="000000"/>
        </w:rPr>
        <w:t>Organizational Dynamics</w:t>
      </w:r>
      <w:r w:rsidRPr="008757FF">
        <w:rPr>
          <w:rFonts w:ascii="Arial" w:hAnsi="Arial" w:cs="Arial"/>
          <w:color w:val="000000"/>
        </w:rPr>
        <w:t>, [online] 46(2), pp.120–132. doi:https://doi.org/10.1016/j.orgdyn.2017.04.008.</w:t>
      </w:r>
    </w:p>
    <w:p w14:paraId="47550A02"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 Tripathi, P.M., Srivastava, S., Singh, L.B., Kapoor, V. and Solanki, U. (2021). A JD-R perspective for enhancing engagement through empowerment: A study on Indian hotel industry. </w:t>
      </w:r>
      <w:r w:rsidRPr="008757FF">
        <w:rPr>
          <w:rFonts w:ascii="Arial" w:hAnsi="Arial" w:cs="Arial"/>
          <w:i/>
          <w:iCs/>
          <w:color w:val="000000"/>
        </w:rPr>
        <w:t>Journal of Hospitality and Tourism Management</w:t>
      </w:r>
      <w:r w:rsidRPr="008757FF">
        <w:rPr>
          <w:rFonts w:ascii="Arial" w:hAnsi="Arial" w:cs="Arial"/>
          <w:color w:val="000000"/>
        </w:rPr>
        <w:t>, 46, pp.12–25. doi:https://doi.org/10.1016/j.jhtm.2020.11.007.</w:t>
      </w:r>
    </w:p>
    <w:p w14:paraId="246DCA11" w14:textId="77777777" w:rsidR="008757FF" w:rsidRPr="008757FF" w:rsidRDefault="008757FF" w:rsidP="008757FF">
      <w:pPr>
        <w:pStyle w:val="NormalWeb"/>
        <w:numPr>
          <w:ilvl w:val="0"/>
          <w:numId w:val="1"/>
        </w:numPr>
        <w:spacing w:line="360" w:lineRule="auto"/>
        <w:jc w:val="both"/>
        <w:rPr>
          <w:rFonts w:ascii="Arial" w:hAnsi="Arial" w:cs="Arial"/>
          <w:color w:val="000000"/>
        </w:rPr>
      </w:pPr>
      <w:r w:rsidRPr="008757FF">
        <w:rPr>
          <w:rFonts w:ascii="Arial" w:hAnsi="Arial" w:cs="Arial"/>
          <w:color w:val="000000"/>
        </w:rPr>
        <w:t xml:space="preserve">Dipti, T., Asst, D.-A., Author, Upendra, N., Research, P. and Pune, A. (2020). The Relevance and Significance of Employee Lifecycle Management in HRD: Business Perspectives. [online] 8(9), p.3392. Available at: https://www.ijcrt.org/papers/IJCRT2009434.pdf </w:t>
      </w:r>
    </w:p>
    <w:p w14:paraId="22EDB1C3"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Four Seasons Press Room. (n.d.). </w:t>
      </w:r>
      <w:r w:rsidRPr="008757FF">
        <w:rPr>
          <w:rFonts w:ascii="Arial" w:hAnsi="Arial" w:cs="Arial"/>
          <w:i/>
          <w:iCs/>
          <w:color w:val="000000"/>
        </w:rPr>
        <w:t>Four Seasons Hotels and Resorts Announces Enhanced Health and Safety Program at Properties Worldwide</w:t>
      </w:r>
      <w:r w:rsidRPr="008757FF">
        <w:rPr>
          <w:rFonts w:ascii="Arial" w:hAnsi="Arial" w:cs="Arial"/>
          <w:color w:val="000000"/>
        </w:rPr>
        <w:t xml:space="preserve">. [online] Available at: </w:t>
      </w:r>
      <w:hyperlink r:id="rId5" w:history="1">
        <w:r w:rsidRPr="008757FF">
          <w:rPr>
            <w:rStyle w:val="Hyperlink"/>
            <w:rFonts w:ascii="Arial" w:hAnsi="Arial" w:cs="Arial"/>
          </w:rPr>
          <w:t>https://press.fourseasons.com/news-releases/2020/lead-with-care-program/</w:t>
        </w:r>
      </w:hyperlink>
      <w:r w:rsidRPr="008757FF">
        <w:rPr>
          <w:rFonts w:ascii="Arial" w:hAnsi="Arial" w:cs="Arial"/>
          <w:color w:val="000000"/>
        </w:rPr>
        <w:t>.</w:t>
      </w:r>
    </w:p>
    <w:p w14:paraId="13C9598A"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Karatepe, O.M. and Olugbade, O.A. (2009). The effects of job and personal resources on hotel employees’ work engagement. </w:t>
      </w:r>
      <w:r w:rsidRPr="008757FF">
        <w:rPr>
          <w:rFonts w:ascii="Arial" w:hAnsi="Arial" w:cs="Arial"/>
          <w:i/>
          <w:iCs/>
          <w:color w:val="000000"/>
        </w:rPr>
        <w:t>International Journal of Hospitality Management</w:t>
      </w:r>
      <w:r w:rsidRPr="008757FF">
        <w:rPr>
          <w:rFonts w:ascii="Arial" w:hAnsi="Arial" w:cs="Arial"/>
          <w:color w:val="000000"/>
        </w:rPr>
        <w:t xml:space="preserve">, [online] 28(4), p.504. Available at: https://www.academia.edu/34128649/The_effects_of_job_and_personal_resources_on_hotel_employees_work_engagement </w:t>
      </w:r>
    </w:p>
    <w:p w14:paraId="2E7CB27D" w14:textId="77777777" w:rsidR="008757FF" w:rsidRPr="008757FF" w:rsidRDefault="008757FF" w:rsidP="008757FF">
      <w:pPr>
        <w:pStyle w:val="NormalWeb"/>
        <w:numPr>
          <w:ilvl w:val="0"/>
          <w:numId w:val="1"/>
        </w:numPr>
        <w:spacing w:line="360" w:lineRule="auto"/>
        <w:jc w:val="both"/>
        <w:rPr>
          <w:rFonts w:ascii="Arial" w:hAnsi="Arial" w:cs="Arial"/>
          <w:color w:val="000000"/>
        </w:rPr>
      </w:pPr>
      <w:r w:rsidRPr="008757FF">
        <w:rPr>
          <w:rFonts w:ascii="Arial" w:hAnsi="Arial" w:cs="Arial"/>
          <w:color w:val="000000"/>
        </w:rPr>
        <w:t xml:space="preserve"> Kwon, K. and Park, J. (2019). The Life Cycle of Employee Engagement Theory in HRD Research. </w:t>
      </w:r>
      <w:r w:rsidRPr="008757FF">
        <w:rPr>
          <w:rFonts w:ascii="Arial" w:hAnsi="Arial" w:cs="Arial"/>
          <w:i/>
          <w:iCs/>
          <w:color w:val="000000"/>
        </w:rPr>
        <w:t>Advances in Developing Human Resources</w:t>
      </w:r>
      <w:r w:rsidRPr="008757FF">
        <w:rPr>
          <w:rFonts w:ascii="Arial" w:hAnsi="Arial" w:cs="Arial"/>
          <w:color w:val="000000"/>
        </w:rPr>
        <w:t>, 21(3), pp.352–370. doi:https://doi.org/10.1177/1523422319851443.</w:t>
      </w:r>
    </w:p>
    <w:p w14:paraId="00D83776"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Maria, L. and Marques De Moura, T. (2021). </w:t>
      </w:r>
      <w:r w:rsidRPr="008757FF">
        <w:rPr>
          <w:rFonts w:ascii="Arial" w:hAnsi="Arial" w:cs="Arial"/>
          <w:i/>
          <w:iCs/>
          <w:color w:val="000000"/>
        </w:rPr>
        <w:t>The Importance of Employees’ Engagement Initiatives in the Hospitality Industry in Portugal</w:t>
      </w:r>
      <w:r w:rsidRPr="008757FF">
        <w:rPr>
          <w:rFonts w:ascii="Arial" w:hAnsi="Arial" w:cs="Arial"/>
          <w:color w:val="000000"/>
        </w:rPr>
        <w:t xml:space="preserve">. [online] Available at: https://repositorio.iscte-iul.pt/bitstream/10071/24285/1/master_leonor_marques_moura.pdf </w:t>
      </w:r>
    </w:p>
    <w:p w14:paraId="01D45960"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Robertson-Smith, G. and Markwick, C. (2009). </w:t>
      </w:r>
      <w:r w:rsidRPr="008757FF">
        <w:rPr>
          <w:rFonts w:ascii="Arial" w:hAnsi="Arial" w:cs="Arial"/>
          <w:i/>
          <w:iCs/>
          <w:color w:val="000000"/>
        </w:rPr>
        <w:t>Employee engagement : a review of current thinking</w:t>
      </w:r>
      <w:r w:rsidRPr="008757FF">
        <w:rPr>
          <w:rFonts w:ascii="Arial" w:hAnsi="Arial" w:cs="Arial"/>
          <w:color w:val="000000"/>
        </w:rPr>
        <w:t>. Brighton: Inst. For Employment Studies.</w:t>
      </w:r>
    </w:p>
    <w:p w14:paraId="4A75717F"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Shaik, D. and Vali, M. (2021). </w:t>
      </w:r>
      <w:r w:rsidRPr="008757FF">
        <w:rPr>
          <w:rFonts w:ascii="Arial" w:hAnsi="Arial" w:cs="Arial"/>
          <w:i/>
          <w:iCs/>
          <w:color w:val="000000"/>
        </w:rPr>
        <w:t>Volatiles &amp; Essent. Oils</w:t>
      </w:r>
      <w:r w:rsidRPr="008757FF">
        <w:rPr>
          <w:rFonts w:ascii="Arial" w:hAnsi="Arial" w:cs="Arial"/>
          <w:color w:val="000000"/>
        </w:rPr>
        <w:t xml:space="preserve">, [online] 8(4), pp.475–484. Available at: https://www.nveo.org/index.php/journal/article/download/187/167/184 </w:t>
      </w:r>
    </w:p>
    <w:p w14:paraId="168FEE44"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 xml:space="preserve"> Simon, E. (2020). </w:t>
      </w:r>
      <w:r w:rsidRPr="008757FF">
        <w:rPr>
          <w:rFonts w:ascii="Arial" w:hAnsi="Arial" w:cs="Arial"/>
          <w:i/>
          <w:iCs/>
          <w:color w:val="000000"/>
        </w:rPr>
        <w:t>Four Seasons introduces Lead With Care</w:t>
      </w:r>
      <w:r w:rsidRPr="008757FF">
        <w:rPr>
          <w:rFonts w:ascii="Arial" w:hAnsi="Arial" w:cs="Arial"/>
          <w:color w:val="000000"/>
        </w:rPr>
        <w:t>. [online] Hotel Management. Available at: https://www.hotelmanagement.net/operate/four-seasons-introduces-lead-care.</w:t>
      </w:r>
    </w:p>
    <w:p w14:paraId="2AB458C2"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Stories From Hilton. (n.d.). </w:t>
      </w:r>
      <w:r w:rsidRPr="008757FF">
        <w:rPr>
          <w:rFonts w:ascii="Arial" w:hAnsi="Arial" w:cs="Arial"/>
          <w:i/>
          <w:iCs/>
          <w:color w:val="000000"/>
        </w:rPr>
        <w:t>20th Year of Elevator Program Honored in Caribbean and Latin America</w:t>
      </w:r>
      <w:r w:rsidRPr="008757FF">
        <w:rPr>
          <w:rFonts w:ascii="Arial" w:hAnsi="Arial" w:cs="Arial"/>
          <w:color w:val="000000"/>
        </w:rPr>
        <w:t>. [online] Available at: https://stories.hilton.com/releases/20th-year-of-elevator-program-honored-in-caribbean-and-latin-america.</w:t>
      </w:r>
    </w:p>
    <w:p w14:paraId="63BDCAD7" w14:textId="77777777" w:rsidR="008757FF" w:rsidRPr="008757FF" w:rsidRDefault="008757FF" w:rsidP="008757FF">
      <w:pPr>
        <w:pStyle w:val="NormalWeb"/>
        <w:numPr>
          <w:ilvl w:val="0"/>
          <w:numId w:val="1"/>
        </w:numPr>
        <w:spacing w:before="0" w:beforeAutospacing="0" w:after="0" w:afterAutospacing="0" w:line="360" w:lineRule="auto"/>
        <w:jc w:val="both"/>
        <w:rPr>
          <w:rFonts w:ascii="Arial" w:hAnsi="Arial" w:cs="Arial"/>
          <w:color w:val="000000"/>
        </w:rPr>
      </w:pPr>
      <w:r w:rsidRPr="008757FF">
        <w:rPr>
          <w:rFonts w:ascii="Arial" w:hAnsi="Arial" w:cs="Arial"/>
          <w:color w:val="000000"/>
        </w:rPr>
        <w:t>submitmycatch.com. (n.d.). </w:t>
      </w:r>
      <w:r w:rsidRPr="008757FF">
        <w:rPr>
          <w:rFonts w:ascii="Arial" w:hAnsi="Arial" w:cs="Arial"/>
          <w:i/>
          <w:iCs/>
          <w:color w:val="000000"/>
        </w:rPr>
        <w:t>Catch Me at My Best</w:t>
      </w:r>
      <w:r w:rsidRPr="008757FF">
        <w:rPr>
          <w:rFonts w:ascii="Arial" w:hAnsi="Arial" w:cs="Arial"/>
          <w:color w:val="000000"/>
        </w:rPr>
        <w:t>. [online] Available at: https://submitmycatch.com/.</w:t>
      </w:r>
    </w:p>
    <w:p w14:paraId="0A65729F" w14:textId="77777777" w:rsidR="008757FF" w:rsidRDefault="008757FF" w:rsidP="008757FF">
      <w:pPr>
        <w:pStyle w:val="NormalWeb"/>
        <w:rPr>
          <w:rFonts w:ascii="Calibri" w:hAnsi="Calibri" w:cs="Calibri"/>
          <w:color w:val="000000"/>
          <w:sz w:val="27"/>
          <w:szCs w:val="27"/>
        </w:rPr>
      </w:pPr>
      <w:r>
        <w:rPr>
          <w:rFonts w:ascii="Calibri" w:hAnsi="Calibri" w:cs="Calibri"/>
          <w:color w:val="000000"/>
          <w:sz w:val="27"/>
          <w:szCs w:val="27"/>
        </w:rPr>
        <w:t>‌</w:t>
      </w:r>
    </w:p>
    <w:p w14:paraId="7D5F59EC" w14:textId="70EAE446" w:rsidR="008757FF" w:rsidRDefault="008757FF" w:rsidP="008757FF">
      <w:pPr>
        <w:pStyle w:val="NormalWeb"/>
        <w:rPr>
          <w:rFonts w:ascii="Calibri" w:hAnsi="Calibri" w:cs="Calibri"/>
          <w:color w:val="000000"/>
          <w:sz w:val="27"/>
          <w:szCs w:val="27"/>
        </w:rPr>
      </w:pPr>
    </w:p>
    <w:p w14:paraId="410F2195" w14:textId="5ACEA719" w:rsidR="00230BCF" w:rsidRDefault="00230BCF" w:rsidP="008757FF">
      <w:pPr>
        <w:pStyle w:val="NormalWeb"/>
        <w:ind w:left="720"/>
        <w:rPr>
          <w:rFonts w:ascii="Calibri" w:hAnsi="Calibri" w:cs="Calibri"/>
          <w:color w:val="000000"/>
          <w:sz w:val="27"/>
          <w:szCs w:val="27"/>
        </w:rPr>
      </w:pPr>
    </w:p>
    <w:p w14:paraId="6B289A86" w14:textId="18A01D0F" w:rsidR="00264C65" w:rsidRDefault="00264C65" w:rsidP="00264C65">
      <w:pPr>
        <w:pStyle w:val="NormalWeb"/>
        <w:rPr>
          <w:rFonts w:ascii="Calibri" w:hAnsi="Calibri" w:cs="Calibri"/>
          <w:color w:val="000000"/>
          <w:sz w:val="27"/>
          <w:szCs w:val="27"/>
        </w:rPr>
      </w:pPr>
    </w:p>
    <w:p w14:paraId="624B437B" w14:textId="0FBCEC96" w:rsidR="00264C65" w:rsidRDefault="00264C65" w:rsidP="00264C65">
      <w:pPr>
        <w:pStyle w:val="NormalWeb"/>
        <w:rPr>
          <w:rFonts w:ascii="Calibri" w:hAnsi="Calibri" w:cs="Calibri"/>
          <w:color w:val="000000"/>
          <w:sz w:val="27"/>
          <w:szCs w:val="27"/>
        </w:rPr>
      </w:pPr>
    </w:p>
    <w:p w14:paraId="2DDBDF0E" w14:textId="7C689E78" w:rsidR="00264C65" w:rsidRDefault="00264C65" w:rsidP="00264C65">
      <w:pPr>
        <w:pStyle w:val="NormalWeb"/>
        <w:rPr>
          <w:rFonts w:ascii="Calibri" w:hAnsi="Calibri" w:cs="Calibri"/>
          <w:color w:val="000000"/>
          <w:sz w:val="27"/>
          <w:szCs w:val="27"/>
        </w:rPr>
      </w:pPr>
    </w:p>
    <w:p w14:paraId="356DC2F2" w14:textId="6708EE0E" w:rsidR="00D41271" w:rsidRDefault="00D41271" w:rsidP="00D41271">
      <w:pPr>
        <w:pStyle w:val="NormalWeb"/>
        <w:rPr>
          <w:rFonts w:ascii="Calibri" w:hAnsi="Calibri" w:cs="Calibri"/>
          <w:color w:val="000000"/>
          <w:sz w:val="27"/>
          <w:szCs w:val="27"/>
        </w:rPr>
      </w:pPr>
    </w:p>
    <w:p w14:paraId="79B74555" w14:textId="4EDC876B" w:rsidR="00D41271" w:rsidRDefault="00D41271" w:rsidP="00D41271">
      <w:pPr>
        <w:pStyle w:val="NormalWeb"/>
        <w:rPr>
          <w:rFonts w:ascii="Calibri" w:hAnsi="Calibri" w:cs="Calibri"/>
          <w:color w:val="000000"/>
          <w:sz w:val="27"/>
          <w:szCs w:val="27"/>
        </w:rPr>
      </w:pPr>
    </w:p>
    <w:p w14:paraId="35E181F0" w14:textId="3295ABF9" w:rsidR="00D41271" w:rsidRDefault="00D41271" w:rsidP="00D41271">
      <w:pPr>
        <w:pStyle w:val="NormalWeb"/>
        <w:rPr>
          <w:rFonts w:ascii="Calibri" w:hAnsi="Calibri" w:cs="Calibri"/>
          <w:color w:val="000000"/>
          <w:sz w:val="27"/>
          <w:szCs w:val="27"/>
        </w:rPr>
      </w:pPr>
    </w:p>
    <w:p w14:paraId="045C32EA" w14:textId="2742984D" w:rsidR="00D41271" w:rsidRDefault="00D41271" w:rsidP="00D41271">
      <w:pPr>
        <w:pStyle w:val="NormalWeb"/>
        <w:rPr>
          <w:rFonts w:ascii="Calibri" w:hAnsi="Calibri" w:cs="Calibri"/>
          <w:color w:val="000000"/>
          <w:sz w:val="27"/>
          <w:szCs w:val="27"/>
        </w:rPr>
      </w:pPr>
    </w:p>
    <w:p w14:paraId="7E6429FE" w14:textId="63ABE8E3" w:rsidR="00C002C7" w:rsidRDefault="00C002C7" w:rsidP="00D41271">
      <w:pPr>
        <w:spacing w:line="360" w:lineRule="auto"/>
        <w:jc w:val="both"/>
        <w:rPr>
          <w:rFonts w:ascii="Arial" w:hAnsi="Arial" w:cs="Arial"/>
          <w:sz w:val="24"/>
          <w:szCs w:val="24"/>
        </w:rPr>
      </w:pPr>
    </w:p>
    <w:p w14:paraId="551230CB" w14:textId="35E6BDE7" w:rsidR="00C002C7" w:rsidRDefault="00C002C7" w:rsidP="00C002C7">
      <w:pPr>
        <w:spacing w:line="360" w:lineRule="auto"/>
        <w:ind w:firstLine="851"/>
        <w:jc w:val="both"/>
        <w:rPr>
          <w:rFonts w:ascii="Arial" w:hAnsi="Arial" w:cs="Arial"/>
          <w:sz w:val="24"/>
          <w:szCs w:val="24"/>
        </w:rPr>
      </w:pPr>
    </w:p>
    <w:p w14:paraId="70101ECE" w14:textId="357AC783" w:rsidR="00C002C7" w:rsidRDefault="00C002C7" w:rsidP="00C002C7">
      <w:pPr>
        <w:spacing w:line="360" w:lineRule="auto"/>
        <w:ind w:firstLine="851"/>
        <w:jc w:val="both"/>
        <w:rPr>
          <w:rFonts w:ascii="Arial" w:hAnsi="Arial" w:cs="Arial"/>
          <w:sz w:val="24"/>
          <w:szCs w:val="24"/>
        </w:rPr>
      </w:pPr>
    </w:p>
    <w:p w14:paraId="4244BE09" w14:textId="623B4A1E" w:rsidR="00C002C7" w:rsidRDefault="00C002C7" w:rsidP="00C002C7">
      <w:pPr>
        <w:spacing w:line="360" w:lineRule="auto"/>
        <w:ind w:firstLine="851"/>
        <w:jc w:val="both"/>
        <w:rPr>
          <w:rFonts w:ascii="Arial" w:hAnsi="Arial" w:cs="Arial"/>
          <w:sz w:val="24"/>
          <w:szCs w:val="24"/>
        </w:rPr>
      </w:pPr>
    </w:p>
    <w:p w14:paraId="17973B7D" w14:textId="1FD1F50B" w:rsidR="00C002C7" w:rsidRDefault="00C002C7" w:rsidP="00C002C7">
      <w:pPr>
        <w:spacing w:line="360" w:lineRule="auto"/>
        <w:ind w:firstLine="851"/>
        <w:jc w:val="both"/>
        <w:rPr>
          <w:rFonts w:ascii="Arial" w:hAnsi="Arial" w:cs="Arial"/>
          <w:sz w:val="24"/>
          <w:szCs w:val="24"/>
        </w:rPr>
      </w:pPr>
    </w:p>
    <w:p w14:paraId="54B2572D" w14:textId="58C72B51" w:rsidR="00C002C7" w:rsidRDefault="00C002C7" w:rsidP="00C002C7">
      <w:pPr>
        <w:spacing w:line="360" w:lineRule="auto"/>
        <w:ind w:firstLine="851"/>
        <w:jc w:val="both"/>
        <w:rPr>
          <w:rFonts w:ascii="Arial" w:hAnsi="Arial" w:cs="Arial"/>
          <w:sz w:val="24"/>
          <w:szCs w:val="24"/>
        </w:rPr>
      </w:pPr>
    </w:p>
    <w:p w14:paraId="6BD5B7B0" w14:textId="00F4BF0C" w:rsidR="00C002C7" w:rsidRDefault="00C002C7" w:rsidP="00C002C7">
      <w:pPr>
        <w:spacing w:line="360" w:lineRule="auto"/>
        <w:ind w:firstLine="851"/>
        <w:jc w:val="both"/>
        <w:rPr>
          <w:rFonts w:ascii="Arial" w:hAnsi="Arial" w:cs="Arial"/>
          <w:sz w:val="24"/>
          <w:szCs w:val="24"/>
        </w:rPr>
      </w:pPr>
    </w:p>
    <w:p w14:paraId="4851D63F" w14:textId="77777777" w:rsidR="00C002C7" w:rsidRPr="00CB13A7" w:rsidRDefault="00C002C7" w:rsidP="00C002C7">
      <w:pPr>
        <w:spacing w:line="360" w:lineRule="auto"/>
        <w:ind w:firstLine="851"/>
        <w:jc w:val="both"/>
        <w:rPr>
          <w:rFonts w:ascii="Arial" w:hAnsi="Arial" w:cs="Arial"/>
          <w:sz w:val="24"/>
          <w:szCs w:val="24"/>
        </w:rPr>
      </w:pPr>
    </w:p>
    <w:sectPr w:rsidR="00C002C7" w:rsidRPr="00CB13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C3F9F"/>
    <w:multiLevelType w:val="hybridMultilevel"/>
    <w:tmpl w:val="F666495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497500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3A7"/>
    <w:rsid w:val="001C0CF5"/>
    <w:rsid w:val="00230BCF"/>
    <w:rsid w:val="00264C65"/>
    <w:rsid w:val="002C05D8"/>
    <w:rsid w:val="003353CC"/>
    <w:rsid w:val="00383B9B"/>
    <w:rsid w:val="003D31BA"/>
    <w:rsid w:val="0040062E"/>
    <w:rsid w:val="004F6E2C"/>
    <w:rsid w:val="00551409"/>
    <w:rsid w:val="005C7AE8"/>
    <w:rsid w:val="00703B56"/>
    <w:rsid w:val="007522C6"/>
    <w:rsid w:val="007A05EE"/>
    <w:rsid w:val="007B33EC"/>
    <w:rsid w:val="007F7DBA"/>
    <w:rsid w:val="008757FF"/>
    <w:rsid w:val="008F5F53"/>
    <w:rsid w:val="00972255"/>
    <w:rsid w:val="00994EDF"/>
    <w:rsid w:val="00A92650"/>
    <w:rsid w:val="00B3690A"/>
    <w:rsid w:val="00B661EE"/>
    <w:rsid w:val="00C002C7"/>
    <w:rsid w:val="00C4154E"/>
    <w:rsid w:val="00C65681"/>
    <w:rsid w:val="00CB13A7"/>
    <w:rsid w:val="00CC623F"/>
    <w:rsid w:val="00D41271"/>
    <w:rsid w:val="00D64441"/>
    <w:rsid w:val="00D71BD9"/>
    <w:rsid w:val="00E52EBB"/>
    <w:rsid w:val="00EC7AC1"/>
    <w:rsid w:val="00F10AE3"/>
    <w:rsid w:val="00F5682C"/>
    <w:rsid w:val="00F872B9"/>
    <w:rsid w:val="00FF066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FED93"/>
  <w15:chartTrackingRefBased/>
  <w15:docId w15:val="{44E1B935-B6C8-47DB-BB56-4B97031F7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1271"/>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Hyperlink">
    <w:name w:val="Hyperlink"/>
    <w:basedOn w:val="DefaultParagraphFont"/>
    <w:uiPriority w:val="99"/>
    <w:unhideWhenUsed/>
    <w:rsid w:val="00230BCF"/>
    <w:rPr>
      <w:color w:val="0563C1" w:themeColor="hyperlink"/>
      <w:u w:val="single"/>
    </w:rPr>
  </w:style>
  <w:style w:type="character" w:styleId="UnresolvedMention">
    <w:name w:val="Unresolved Mention"/>
    <w:basedOn w:val="DefaultParagraphFont"/>
    <w:uiPriority w:val="99"/>
    <w:semiHidden/>
    <w:unhideWhenUsed/>
    <w:rsid w:val="00230B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34141">
      <w:bodyDiv w:val="1"/>
      <w:marLeft w:val="0"/>
      <w:marRight w:val="0"/>
      <w:marTop w:val="0"/>
      <w:marBottom w:val="0"/>
      <w:divBdr>
        <w:top w:val="none" w:sz="0" w:space="0" w:color="auto"/>
        <w:left w:val="none" w:sz="0" w:space="0" w:color="auto"/>
        <w:bottom w:val="none" w:sz="0" w:space="0" w:color="auto"/>
        <w:right w:val="none" w:sz="0" w:space="0" w:color="auto"/>
      </w:divBdr>
    </w:div>
    <w:div w:id="179469979">
      <w:bodyDiv w:val="1"/>
      <w:marLeft w:val="0"/>
      <w:marRight w:val="0"/>
      <w:marTop w:val="0"/>
      <w:marBottom w:val="0"/>
      <w:divBdr>
        <w:top w:val="none" w:sz="0" w:space="0" w:color="auto"/>
        <w:left w:val="none" w:sz="0" w:space="0" w:color="auto"/>
        <w:bottom w:val="none" w:sz="0" w:space="0" w:color="auto"/>
        <w:right w:val="none" w:sz="0" w:space="0" w:color="auto"/>
      </w:divBdr>
    </w:div>
    <w:div w:id="207568451">
      <w:bodyDiv w:val="1"/>
      <w:marLeft w:val="0"/>
      <w:marRight w:val="0"/>
      <w:marTop w:val="0"/>
      <w:marBottom w:val="0"/>
      <w:divBdr>
        <w:top w:val="none" w:sz="0" w:space="0" w:color="auto"/>
        <w:left w:val="none" w:sz="0" w:space="0" w:color="auto"/>
        <w:bottom w:val="none" w:sz="0" w:space="0" w:color="auto"/>
        <w:right w:val="none" w:sz="0" w:space="0" w:color="auto"/>
      </w:divBdr>
    </w:div>
    <w:div w:id="230586214">
      <w:bodyDiv w:val="1"/>
      <w:marLeft w:val="0"/>
      <w:marRight w:val="0"/>
      <w:marTop w:val="0"/>
      <w:marBottom w:val="0"/>
      <w:divBdr>
        <w:top w:val="none" w:sz="0" w:space="0" w:color="auto"/>
        <w:left w:val="none" w:sz="0" w:space="0" w:color="auto"/>
        <w:bottom w:val="none" w:sz="0" w:space="0" w:color="auto"/>
        <w:right w:val="none" w:sz="0" w:space="0" w:color="auto"/>
      </w:divBdr>
    </w:div>
    <w:div w:id="364138838">
      <w:bodyDiv w:val="1"/>
      <w:marLeft w:val="0"/>
      <w:marRight w:val="0"/>
      <w:marTop w:val="0"/>
      <w:marBottom w:val="0"/>
      <w:divBdr>
        <w:top w:val="none" w:sz="0" w:space="0" w:color="auto"/>
        <w:left w:val="none" w:sz="0" w:space="0" w:color="auto"/>
        <w:bottom w:val="none" w:sz="0" w:space="0" w:color="auto"/>
        <w:right w:val="none" w:sz="0" w:space="0" w:color="auto"/>
      </w:divBdr>
    </w:div>
    <w:div w:id="633488138">
      <w:bodyDiv w:val="1"/>
      <w:marLeft w:val="0"/>
      <w:marRight w:val="0"/>
      <w:marTop w:val="0"/>
      <w:marBottom w:val="0"/>
      <w:divBdr>
        <w:top w:val="none" w:sz="0" w:space="0" w:color="auto"/>
        <w:left w:val="none" w:sz="0" w:space="0" w:color="auto"/>
        <w:bottom w:val="none" w:sz="0" w:space="0" w:color="auto"/>
        <w:right w:val="none" w:sz="0" w:space="0" w:color="auto"/>
      </w:divBdr>
    </w:div>
    <w:div w:id="640427155">
      <w:bodyDiv w:val="1"/>
      <w:marLeft w:val="0"/>
      <w:marRight w:val="0"/>
      <w:marTop w:val="0"/>
      <w:marBottom w:val="0"/>
      <w:divBdr>
        <w:top w:val="none" w:sz="0" w:space="0" w:color="auto"/>
        <w:left w:val="none" w:sz="0" w:space="0" w:color="auto"/>
        <w:bottom w:val="none" w:sz="0" w:space="0" w:color="auto"/>
        <w:right w:val="none" w:sz="0" w:space="0" w:color="auto"/>
      </w:divBdr>
    </w:div>
    <w:div w:id="683241979">
      <w:bodyDiv w:val="1"/>
      <w:marLeft w:val="0"/>
      <w:marRight w:val="0"/>
      <w:marTop w:val="0"/>
      <w:marBottom w:val="0"/>
      <w:divBdr>
        <w:top w:val="none" w:sz="0" w:space="0" w:color="auto"/>
        <w:left w:val="none" w:sz="0" w:space="0" w:color="auto"/>
        <w:bottom w:val="none" w:sz="0" w:space="0" w:color="auto"/>
        <w:right w:val="none" w:sz="0" w:space="0" w:color="auto"/>
      </w:divBdr>
    </w:div>
    <w:div w:id="713238125">
      <w:bodyDiv w:val="1"/>
      <w:marLeft w:val="0"/>
      <w:marRight w:val="0"/>
      <w:marTop w:val="0"/>
      <w:marBottom w:val="0"/>
      <w:divBdr>
        <w:top w:val="none" w:sz="0" w:space="0" w:color="auto"/>
        <w:left w:val="none" w:sz="0" w:space="0" w:color="auto"/>
        <w:bottom w:val="none" w:sz="0" w:space="0" w:color="auto"/>
        <w:right w:val="none" w:sz="0" w:space="0" w:color="auto"/>
      </w:divBdr>
    </w:div>
    <w:div w:id="820075738">
      <w:bodyDiv w:val="1"/>
      <w:marLeft w:val="0"/>
      <w:marRight w:val="0"/>
      <w:marTop w:val="0"/>
      <w:marBottom w:val="0"/>
      <w:divBdr>
        <w:top w:val="none" w:sz="0" w:space="0" w:color="auto"/>
        <w:left w:val="none" w:sz="0" w:space="0" w:color="auto"/>
        <w:bottom w:val="none" w:sz="0" w:space="0" w:color="auto"/>
        <w:right w:val="none" w:sz="0" w:space="0" w:color="auto"/>
      </w:divBdr>
    </w:div>
    <w:div w:id="967125534">
      <w:bodyDiv w:val="1"/>
      <w:marLeft w:val="0"/>
      <w:marRight w:val="0"/>
      <w:marTop w:val="0"/>
      <w:marBottom w:val="0"/>
      <w:divBdr>
        <w:top w:val="none" w:sz="0" w:space="0" w:color="auto"/>
        <w:left w:val="none" w:sz="0" w:space="0" w:color="auto"/>
        <w:bottom w:val="none" w:sz="0" w:space="0" w:color="auto"/>
        <w:right w:val="none" w:sz="0" w:space="0" w:color="auto"/>
      </w:divBdr>
    </w:div>
    <w:div w:id="1285111065">
      <w:bodyDiv w:val="1"/>
      <w:marLeft w:val="0"/>
      <w:marRight w:val="0"/>
      <w:marTop w:val="0"/>
      <w:marBottom w:val="0"/>
      <w:divBdr>
        <w:top w:val="none" w:sz="0" w:space="0" w:color="auto"/>
        <w:left w:val="none" w:sz="0" w:space="0" w:color="auto"/>
        <w:bottom w:val="none" w:sz="0" w:space="0" w:color="auto"/>
        <w:right w:val="none" w:sz="0" w:space="0" w:color="auto"/>
      </w:divBdr>
    </w:div>
    <w:div w:id="1339314261">
      <w:bodyDiv w:val="1"/>
      <w:marLeft w:val="0"/>
      <w:marRight w:val="0"/>
      <w:marTop w:val="0"/>
      <w:marBottom w:val="0"/>
      <w:divBdr>
        <w:top w:val="none" w:sz="0" w:space="0" w:color="auto"/>
        <w:left w:val="none" w:sz="0" w:space="0" w:color="auto"/>
        <w:bottom w:val="none" w:sz="0" w:space="0" w:color="auto"/>
        <w:right w:val="none" w:sz="0" w:space="0" w:color="auto"/>
      </w:divBdr>
    </w:div>
    <w:div w:id="1382360050">
      <w:bodyDiv w:val="1"/>
      <w:marLeft w:val="0"/>
      <w:marRight w:val="0"/>
      <w:marTop w:val="0"/>
      <w:marBottom w:val="0"/>
      <w:divBdr>
        <w:top w:val="none" w:sz="0" w:space="0" w:color="auto"/>
        <w:left w:val="none" w:sz="0" w:space="0" w:color="auto"/>
        <w:bottom w:val="none" w:sz="0" w:space="0" w:color="auto"/>
        <w:right w:val="none" w:sz="0" w:space="0" w:color="auto"/>
      </w:divBdr>
    </w:div>
    <w:div w:id="1461797580">
      <w:bodyDiv w:val="1"/>
      <w:marLeft w:val="0"/>
      <w:marRight w:val="0"/>
      <w:marTop w:val="0"/>
      <w:marBottom w:val="0"/>
      <w:divBdr>
        <w:top w:val="none" w:sz="0" w:space="0" w:color="auto"/>
        <w:left w:val="none" w:sz="0" w:space="0" w:color="auto"/>
        <w:bottom w:val="none" w:sz="0" w:space="0" w:color="auto"/>
        <w:right w:val="none" w:sz="0" w:space="0" w:color="auto"/>
      </w:divBdr>
    </w:div>
    <w:div w:id="1605308956">
      <w:bodyDiv w:val="1"/>
      <w:marLeft w:val="0"/>
      <w:marRight w:val="0"/>
      <w:marTop w:val="0"/>
      <w:marBottom w:val="0"/>
      <w:divBdr>
        <w:top w:val="none" w:sz="0" w:space="0" w:color="auto"/>
        <w:left w:val="none" w:sz="0" w:space="0" w:color="auto"/>
        <w:bottom w:val="none" w:sz="0" w:space="0" w:color="auto"/>
        <w:right w:val="none" w:sz="0" w:space="0" w:color="auto"/>
      </w:divBdr>
    </w:div>
    <w:div w:id="1719085684">
      <w:bodyDiv w:val="1"/>
      <w:marLeft w:val="0"/>
      <w:marRight w:val="0"/>
      <w:marTop w:val="0"/>
      <w:marBottom w:val="0"/>
      <w:divBdr>
        <w:top w:val="none" w:sz="0" w:space="0" w:color="auto"/>
        <w:left w:val="none" w:sz="0" w:space="0" w:color="auto"/>
        <w:bottom w:val="none" w:sz="0" w:space="0" w:color="auto"/>
        <w:right w:val="none" w:sz="0" w:space="0" w:color="auto"/>
      </w:divBdr>
    </w:div>
    <w:div w:id="1727223698">
      <w:bodyDiv w:val="1"/>
      <w:marLeft w:val="0"/>
      <w:marRight w:val="0"/>
      <w:marTop w:val="0"/>
      <w:marBottom w:val="0"/>
      <w:divBdr>
        <w:top w:val="none" w:sz="0" w:space="0" w:color="auto"/>
        <w:left w:val="none" w:sz="0" w:space="0" w:color="auto"/>
        <w:bottom w:val="none" w:sz="0" w:space="0" w:color="auto"/>
        <w:right w:val="none" w:sz="0" w:space="0" w:color="auto"/>
      </w:divBdr>
    </w:div>
    <w:div w:id="1811167700">
      <w:bodyDiv w:val="1"/>
      <w:marLeft w:val="0"/>
      <w:marRight w:val="0"/>
      <w:marTop w:val="0"/>
      <w:marBottom w:val="0"/>
      <w:divBdr>
        <w:top w:val="none" w:sz="0" w:space="0" w:color="auto"/>
        <w:left w:val="none" w:sz="0" w:space="0" w:color="auto"/>
        <w:bottom w:val="none" w:sz="0" w:space="0" w:color="auto"/>
        <w:right w:val="none" w:sz="0" w:space="0" w:color="auto"/>
      </w:divBdr>
    </w:div>
    <w:div w:id="1902327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press.fourseasons.com/news-releases/2020/lead-with-care-program/"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2477</Words>
  <Characters>14125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Lacatus</dc:creator>
  <cp:keywords/>
  <dc:description/>
  <cp:lastModifiedBy>447508473953</cp:lastModifiedBy>
  <cp:revision>2</cp:revision>
  <dcterms:created xsi:type="dcterms:W3CDTF">2023-03-02T19:44:00Z</dcterms:created>
  <dcterms:modified xsi:type="dcterms:W3CDTF">2023-03-02T19:44:00Z</dcterms:modified>
</cp:coreProperties>
</file>