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CA179BD" w14:textId="77777777" w:rsidR="00560201" w:rsidRPr="00085F5A" w:rsidRDefault="00560201" w:rsidP="00560201">
      <w:pPr>
        <w:jc w:val="center"/>
        <w:rPr>
          <w:rFonts w:ascii="Times New Roman" w:hAnsi="Times New Roman" w:cs="Times New Roman"/>
          <w:sz w:val="36"/>
          <w:szCs w:val="36"/>
        </w:rPr>
      </w:pPr>
    </w:p>
    <w:p w14:paraId="39C81FDA" w14:textId="77777777" w:rsidR="00085F5A" w:rsidRPr="00085F5A" w:rsidRDefault="00085F5A" w:rsidP="00560201">
      <w:pPr>
        <w:jc w:val="center"/>
        <w:rPr>
          <w:rFonts w:ascii="Times New Roman" w:hAnsi="Times New Roman" w:cs="Times New Roman"/>
          <w:sz w:val="36"/>
          <w:szCs w:val="36"/>
        </w:rPr>
      </w:pPr>
    </w:p>
    <w:p w14:paraId="4D7AC004" w14:textId="0FB6FBA1" w:rsidR="00085F5A" w:rsidRPr="00085F5A" w:rsidRDefault="00401EC2" w:rsidP="006E75B6">
      <w:pPr>
        <w:jc w:val="center"/>
        <w:rPr>
          <w:rFonts w:ascii="Times New Roman" w:hAnsi="Times New Roman" w:cs="Times New Roman"/>
          <w:b/>
          <w:sz w:val="36"/>
          <w:szCs w:val="36"/>
        </w:rPr>
      </w:pPr>
      <w:r w:rsidRPr="00F53774">
        <w:rPr>
          <w:rFonts w:ascii="Times New Roman" w:hAnsi="Times New Roman" w:cs="Times New Roman"/>
          <w:b/>
          <w:sz w:val="36"/>
          <w:szCs w:val="36"/>
        </w:rPr>
        <w:t>“</w:t>
      </w:r>
      <w:r w:rsidR="003C36C7">
        <w:rPr>
          <w:rFonts w:ascii="Times New Roman" w:hAnsi="Times New Roman" w:cs="Times New Roman"/>
          <w:b/>
          <w:sz w:val="36"/>
          <w:szCs w:val="36"/>
        </w:rPr>
        <w:t>EVALUATION OF DIFFERENT STRATEGIES FOR MULTINATIONAL CORPORATIONS IN MANAGING FOREIGN EXCHANGE RISKS</w:t>
      </w:r>
      <w:r w:rsidRPr="00F53774">
        <w:rPr>
          <w:rFonts w:ascii="Times New Roman" w:hAnsi="Times New Roman" w:cs="Times New Roman"/>
          <w:b/>
          <w:sz w:val="36"/>
          <w:szCs w:val="36"/>
        </w:rPr>
        <w:t>”</w:t>
      </w:r>
    </w:p>
    <w:p w14:paraId="792540C7" w14:textId="77777777" w:rsidR="00560201" w:rsidRPr="00085F5A" w:rsidRDefault="00560201" w:rsidP="00560201">
      <w:pPr>
        <w:jc w:val="center"/>
        <w:rPr>
          <w:rFonts w:ascii="Times New Roman" w:hAnsi="Times New Roman" w:cs="Times New Roman"/>
          <w:i/>
          <w:sz w:val="36"/>
          <w:szCs w:val="36"/>
          <w:u w:val="single"/>
        </w:rPr>
      </w:pPr>
    </w:p>
    <w:p w14:paraId="2532FEA4" w14:textId="77777777" w:rsidR="00560201" w:rsidRPr="00085F5A" w:rsidRDefault="00560201" w:rsidP="00560201">
      <w:pPr>
        <w:jc w:val="center"/>
        <w:rPr>
          <w:rFonts w:ascii="Times New Roman" w:hAnsi="Times New Roman" w:cs="Times New Roman"/>
          <w:b/>
          <w:i/>
          <w:sz w:val="36"/>
          <w:szCs w:val="36"/>
        </w:rPr>
      </w:pPr>
    </w:p>
    <w:p w14:paraId="305FA63B" w14:textId="4C88007A" w:rsidR="009367A6" w:rsidRDefault="00560201" w:rsidP="009367A6">
      <w:pPr>
        <w:rPr>
          <w:rFonts w:ascii="Times New Roman" w:hAnsi="Times New Roman" w:cs="Times New Roman"/>
          <w:sz w:val="36"/>
          <w:szCs w:val="36"/>
        </w:rPr>
      </w:pPr>
      <w:r w:rsidRPr="00085F5A">
        <w:rPr>
          <w:rFonts w:ascii="Times New Roman" w:hAnsi="Times New Roman" w:cs="Times New Roman"/>
          <w:sz w:val="36"/>
          <w:szCs w:val="36"/>
        </w:rPr>
        <w:t xml:space="preserve">Module name and code: </w:t>
      </w:r>
      <w:r w:rsidR="006E75B6" w:rsidRPr="006E75B6">
        <w:rPr>
          <w:rFonts w:ascii="Times New Roman" w:hAnsi="Times New Roman" w:cs="Times New Roman"/>
          <w:sz w:val="36"/>
          <w:szCs w:val="36"/>
        </w:rPr>
        <w:t xml:space="preserve">International </w:t>
      </w:r>
      <w:r w:rsidR="005D6EF0">
        <w:rPr>
          <w:rFonts w:ascii="Times New Roman" w:hAnsi="Times New Roman" w:cs="Times New Roman"/>
          <w:sz w:val="36"/>
          <w:szCs w:val="36"/>
        </w:rPr>
        <w:t xml:space="preserve">Financial Management </w:t>
      </w:r>
      <w:r w:rsidR="009367A6">
        <w:rPr>
          <w:rFonts w:ascii="Times New Roman" w:hAnsi="Times New Roman" w:cs="Times New Roman"/>
          <w:sz w:val="36"/>
          <w:szCs w:val="36"/>
        </w:rPr>
        <w:t>(</w:t>
      </w:r>
      <w:r w:rsidR="006E75B6">
        <w:rPr>
          <w:rFonts w:ascii="Times New Roman" w:hAnsi="Times New Roman" w:cs="Times New Roman"/>
          <w:sz w:val="36"/>
          <w:szCs w:val="36"/>
        </w:rPr>
        <w:t>LCBB600</w:t>
      </w:r>
      <w:r w:rsidR="005D6EF0">
        <w:rPr>
          <w:rFonts w:ascii="Times New Roman" w:hAnsi="Times New Roman" w:cs="Times New Roman"/>
          <w:sz w:val="36"/>
          <w:szCs w:val="36"/>
        </w:rPr>
        <w:t>2</w:t>
      </w:r>
      <w:r w:rsidR="009367A6">
        <w:rPr>
          <w:rFonts w:ascii="Times New Roman" w:hAnsi="Times New Roman" w:cs="Times New Roman"/>
          <w:sz w:val="36"/>
          <w:szCs w:val="36"/>
        </w:rPr>
        <w:t>)</w:t>
      </w:r>
    </w:p>
    <w:p w14:paraId="6078F84D" w14:textId="77777777" w:rsidR="00560201" w:rsidRPr="00085F5A" w:rsidRDefault="00560201" w:rsidP="009367A6">
      <w:pPr>
        <w:rPr>
          <w:rFonts w:ascii="Times New Roman" w:hAnsi="Times New Roman" w:cs="Times New Roman"/>
          <w:sz w:val="36"/>
          <w:szCs w:val="36"/>
        </w:rPr>
      </w:pPr>
      <w:r w:rsidRPr="00085F5A">
        <w:rPr>
          <w:rFonts w:ascii="Times New Roman" w:hAnsi="Times New Roman" w:cs="Times New Roman"/>
          <w:sz w:val="36"/>
          <w:szCs w:val="36"/>
        </w:rPr>
        <w:t xml:space="preserve">Student name: </w:t>
      </w:r>
      <w:r w:rsidR="001D2BB5">
        <w:rPr>
          <w:rFonts w:ascii="Times New Roman" w:hAnsi="Times New Roman" w:cs="Times New Roman"/>
          <w:sz w:val="36"/>
          <w:szCs w:val="36"/>
        </w:rPr>
        <w:t>Zlatko Nalbanski</w:t>
      </w:r>
      <w:r w:rsidRPr="00085F5A">
        <w:rPr>
          <w:rFonts w:ascii="Times New Roman" w:hAnsi="Times New Roman" w:cs="Times New Roman"/>
          <w:sz w:val="36"/>
          <w:szCs w:val="36"/>
        </w:rPr>
        <w:t xml:space="preserve"> </w:t>
      </w:r>
    </w:p>
    <w:p w14:paraId="1BDA9E22" w14:textId="77777777" w:rsidR="00401EC2" w:rsidRPr="00C5017E" w:rsidRDefault="00560201" w:rsidP="00401EC2">
      <w:pPr>
        <w:rPr>
          <w:rFonts w:ascii="Times New Roman" w:hAnsi="Times New Roman" w:cs="Times New Roman"/>
          <w:sz w:val="36"/>
          <w:szCs w:val="36"/>
        </w:rPr>
      </w:pPr>
      <w:r w:rsidRPr="00085F5A">
        <w:rPr>
          <w:rFonts w:ascii="Times New Roman" w:hAnsi="Times New Roman" w:cs="Times New Roman"/>
          <w:sz w:val="36"/>
          <w:szCs w:val="36"/>
        </w:rPr>
        <w:t xml:space="preserve">Student ID: </w:t>
      </w:r>
      <w:r w:rsidR="001D2BB5">
        <w:rPr>
          <w:rFonts w:ascii="Times New Roman" w:hAnsi="Times New Roman" w:cs="Times New Roman"/>
          <w:sz w:val="36"/>
          <w:szCs w:val="36"/>
        </w:rPr>
        <w:t>2124047</w:t>
      </w:r>
    </w:p>
    <w:p w14:paraId="2CF13101" w14:textId="77777777" w:rsidR="00401EC2" w:rsidRPr="00C5017E" w:rsidRDefault="00401EC2" w:rsidP="00401EC2">
      <w:pPr>
        <w:rPr>
          <w:rFonts w:ascii="Times New Roman" w:hAnsi="Times New Roman" w:cs="Times New Roman"/>
          <w:sz w:val="36"/>
          <w:szCs w:val="36"/>
        </w:rPr>
      </w:pPr>
      <w:r w:rsidRPr="00C5017E">
        <w:rPr>
          <w:rFonts w:ascii="Times New Roman" w:hAnsi="Times New Roman" w:cs="Times New Roman"/>
          <w:sz w:val="36"/>
          <w:szCs w:val="36"/>
        </w:rPr>
        <w:t xml:space="preserve">Location: </w:t>
      </w:r>
      <w:r w:rsidR="00A75635" w:rsidRPr="00AD785D">
        <w:rPr>
          <w:rFonts w:ascii="Times New Roman" w:hAnsi="Times New Roman" w:cs="Times New Roman"/>
          <w:sz w:val="36"/>
          <w:szCs w:val="36"/>
        </w:rPr>
        <w:t>London Campus (Winchester House)</w:t>
      </w:r>
    </w:p>
    <w:p w14:paraId="3BF1C51C" w14:textId="61199865" w:rsidR="00560201" w:rsidRPr="003C36C7" w:rsidRDefault="00560201" w:rsidP="006E75B6">
      <w:pPr>
        <w:rPr>
          <w:rFonts w:ascii="Times New Roman" w:hAnsi="Times New Roman" w:cs="Times New Roman"/>
          <w:sz w:val="36"/>
          <w:szCs w:val="36"/>
        </w:rPr>
      </w:pPr>
      <w:r w:rsidRPr="003C36C7">
        <w:rPr>
          <w:rFonts w:ascii="Times New Roman" w:hAnsi="Times New Roman" w:cs="Times New Roman"/>
          <w:sz w:val="36"/>
          <w:szCs w:val="36"/>
        </w:rPr>
        <w:t xml:space="preserve">Lecturer name: </w:t>
      </w:r>
      <w:r w:rsidR="006E75B6" w:rsidRPr="003C36C7">
        <w:rPr>
          <w:rFonts w:ascii="Times New Roman" w:hAnsi="Times New Roman" w:cs="Times New Roman"/>
          <w:sz w:val="36"/>
          <w:szCs w:val="36"/>
        </w:rPr>
        <w:t>Dr</w:t>
      </w:r>
      <w:r w:rsidR="003C36C7" w:rsidRPr="003C36C7">
        <w:rPr>
          <w:rFonts w:ascii="Times New Roman" w:hAnsi="Times New Roman" w:cs="Times New Roman"/>
          <w:sz w:val="36"/>
          <w:szCs w:val="36"/>
        </w:rPr>
        <w:t>. Taye Ti</w:t>
      </w:r>
      <w:r w:rsidR="003C36C7">
        <w:rPr>
          <w:rFonts w:ascii="Times New Roman" w:hAnsi="Times New Roman" w:cs="Times New Roman"/>
          <w:sz w:val="36"/>
          <w:szCs w:val="36"/>
        </w:rPr>
        <w:t>mothy Osadiya</w:t>
      </w:r>
    </w:p>
    <w:p w14:paraId="4523A388" w14:textId="77777777" w:rsidR="00560201" w:rsidRPr="003C36C7" w:rsidRDefault="00560201" w:rsidP="009558D8">
      <w:pPr>
        <w:spacing w:after="0" w:line="360" w:lineRule="auto"/>
        <w:jc w:val="both"/>
        <w:rPr>
          <w:rFonts w:ascii="Times New Roman" w:hAnsi="Times New Roman" w:cs="Times New Roman"/>
          <w:sz w:val="24"/>
          <w:szCs w:val="24"/>
        </w:rPr>
      </w:pPr>
    </w:p>
    <w:p w14:paraId="03456284" w14:textId="77777777" w:rsidR="00774723" w:rsidRPr="003C36C7" w:rsidRDefault="00774723" w:rsidP="009558D8">
      <w:pPr>
        <w:spacing w:after="0" w:line="360" w:lineRule="auto"/>
        <w:jc w:val="both"/>
        <w:rPr>
          <w:rFonts w:ascii="Times New Roman" w:hAnsi="Times New Roman" w:cs="Times New Roman"/>
          <w:sz w:val="24"/>
          <w:szCs w:val="24"/>
        </w:rPr>
      </w:pPr>
    </w:p>
    <w:p w14:paraId="17E107B8" w14:textId="77777777" w:rsidR="00085F5A" w:rsidRPr="003C36C7" w:rsidRDefault="00085F5A" w:rsidP="00085F5A">
      <w:pPr>
        <w:spacing w:after="0" w:line="360" w:lineRule="auto"/>
        <w:jc w:val="center"/>
        <w:rPr>
          <w:rFonts w:ascii="Times New Roman" w:hAnsi="Times New Roman" w:cs="Times New Roman"/>
          <w:sz w:val="24"/>
          <w:szCs w:val="24"/>
        </w:rPr>
      </w:pPr>
    </w:p>
    <w:p w14:paraId="2EF1E64E" w14:textId="77777777" w:rsidR="00085F5A" w:rsidRPr="003C36C7" w:rsidRDefault="00085F5A" w:rsidP="00085F5A">
      <w:pPr>
        <w:spacing w:after="0" w:line="360" w:lineRule="auto"/>
        <w:jc w:val="center"/>
        <w:rPr>
          <w:rFonts w:ascii="Times New Roman" w:hAnsi="Times New Roman" w:cs="Times New Roman"/>
          <w:sz w:val="24"/>
          <w:szCs w:val="24"/>
        </w:rPr>
      </w:pPr>
    </w:p>
    <w:p w14:paraId="111CFB41" w14:textId="77777777" w:rsidR="00085F5A" w:rsidRPr="003C36C7" w:rsidRDefault="00085F5A" w:rsidP="00085F5A">
      <w:pPr>
        <w:spacing w:after="0" w:line="360" w:lineRule="auto"/>
        <w:jc w:val="center"/>
        <w:rPr>
          <w:rFonts w:ascii="Times New Roman" w:hAnsi="Times New Roman" w:cs="Times New Roman"/>
          <w:sz w:val="24"/>
          <w:szCs w:val="24"/>
        </w:rPr>
      </w:pPr>
    </w:p>
    <w:p w14:paraId="1FDFB9F1" w14:textId="77777777" w:rsidR="00085F5A" w:rsidRPr="003C36C7" w:rsidRDefault="00085F5A" w:rsidP="00085F5A">
      <w:pPr>
        <w:spacing w:after="0" w:line="360" w:lineRule="auto"/>
        <w:jc w:val="center"/>
        <w:rPr>
          <w:rFonts w:ascii="Times New Roman" w:hAnsi="Times New Roman" w:cs="Times New Roman"/>
          <w:sz w:val="24"/>
          <w:szCs w:val="24"/>
        </w:rPr>
      </w:pPr>
    </w:p>
    <w:p w14:paraId="64ED1768" w14:textId="77777777" w:rsidR="00085F5A" w:rsidRPr="003C36C7" w:rsidRDefault="00085F5A" w:rsidP="00085F5A">
      <w:pPr>
        <w:spacing w:after="0" w:line="360" w:lineRule="auto"/>
        <w:jc w:val="center"/>
        <w:rPr>
          <w:rFonts w:ascii="Times New Roman" w:hAnsi="Times New Roman" w:cs="Times New Roman"/>
          <w:sz w:val="24"/>
          <w:szCs w:val="24"/>
        </w:rPr>
      </w:pPr>
    </w:p>
    <w:p w14:paraId="76A7EE35" w14:textId="77777777" w:rsidR="00085F5A" w:rsidRPr="003C36C7" w:rsidRDefault="00085F5A" w:rsidP="00085F5A">
      <w:pPr>
        <w:spacing w:after="0" w:line="360" w:lineRule="auto"/>
        <w:jc w:val="center"/>
        <w:rPr>
          <w:rFonts w:ascii="Times New Roman" w:hAnsi="Times New Roman" w:cs="Times New Roman"/>
          <w:sz w:val="24"/>
          <w:szCs w:val="24"/>
        </w:rPr>
      </w:pPr>
    </w:p>
    <w:p w14:paraId="236A6A01" w14:textId="77777777" w:rsidR="00085F5A" w:rsidRPr="003C36C7" w:rsidRDefault="00085F5A" w:rsidP="00085F5A">
      <w:pPr>
        <w:spacing w:after="0" w:line="360" w:lineRule="auto"/>
        <w:jc w:val="center"/>
        <w:rPr>
          <w:rFonts w:ascii="Times New Roman" w:hAnsi="Times New Roman" w:cs="Times New Roman"/>
          <w:sz w:val="24"/>
          <w:szCs w:val="24"/>
        </w:rPr>
      </w:pPr>
    </w:p>
    <w:p w14:paraId="447180DB" w14:textId="77777777" w:rsidR="00085F5A" w:rsidRPr="003C36C7" w:rsidRDefault="00085F5A" w:rsidP="00085F5A">
      <w:pPr>
        <w:spacing w:after="0" w:line="360" w:lineRule="auto"/>
        <w:jc w:val="center"/>
        <w:rPr>
          <w:rFonts w:ascii="Times New Roman" w:hAnsi="Times New Roman" w:cs="Times New Roman"/>
          <w:sz w:val="24"/>
          <w:szCs w:val="24"/>
        </w:rPr>
      </w:pPr>
    </w:p>
    <w:p w14:paraId="516918E4" w14:textId="77777777" w:rsidR="00085F5A" w:rsidRPr="003C36C7" w:rsidRDefault="00085F5A" w:rsidP="00085F5A">
      <w:pPr>
        <w:spacing w:after="0" w:line="360" w:lineRule="auto"/>
        <w:jc w:val="center"/>
        <w:rPr>
          <w:rFonts w:ascii="Times New Roman" w:hAnsi="Times New Roman" w:cs="Times New Roman"/>
          <w:sz w:val="24"/>
          <w:szCs w:val="24"/>
        </w:rPr>
      </w:pPr>
    </w:p>
    <w:p w14:paraId="47ECB9AB" w14:textId="77777777" w:rsidR="00774723" w:rsidRPr="005D6EF0" w:rsidRDefault="00E24A4D" w:rsidP="00085F5A">
      <w:pPr>
        <w:spacing w:after="0" w:line="360" w:lineRule="auto"/>
        <w:jc w:val="center"/>
        <w:rPr>
          <w:rFonts w:ascii="Times New Roman" w:hAnsi="Times New Roman" w:cs="Times New Roman"/>
          <w:sz w:val="24"/>
          <w:szCs w:val="24"/>
          <w:lang w:val="fr-FR"/>
        </w:rPr>
      </w:pPr>
      <w:r w:rsidRPr="005D6EF0">
        <w:rPr>
          <w:rFonts w:ascii="Times New Roman" w:hAnsi="Times New Roman" w:cs="Times New Roman"/>
          <w:sz w:val="24"/>
          <w:szCs w:val="24"/>
          <w:lang w:val="fr-FR"/>
        </w:rPr>
        <w:t>April 2024</w:t>
      </w:r>
    </w:p>
    <w:p w14:paraId="5F9BC2F7" w14:textId="77777777" w:rsidR="00774723" w:rsidRPr="005D6EF0" w:rsidRDefault="00694E07" w:rsidP="00240835">
      <w:pPr>
        <w:rPr>
          <w:rFonts w:ascii="Times New Roman" w:hAnsi="Times New Roman" w:cs="Times New Roman"/>
          <w:sz w:val="24"/>
          <w:szCs w:val="24"/>
          <w:lang w:val="fr-FR"/>
        </w:rPr>
      </w:pPr>
      <w:r w:rsidRPr="005D6EF0">
        <w:rPr>
          <w:rFonts w:ascii="Times New Roman" w:hAnsi="Times New Roman" w:cs="Times New Roman"/>
          <w:sz w:val="24"/>
          <w:szCs w:val="24"/>
          <w:lang w:val="fr-FR"/>
        </w:rPr>
        <w:br w:type="page"/>
      </w:r>
      <w:r w:rsidR="00774723" w:rsidRPr="005D6EF0">
        <w:rPr>
          <w:rFonts w:ascii="Times New Roman" w:hAnsi="Times New Roman" w:cs="Times New Roman"/>
          <w:sz w:val="24"/>
          <w:szCs w:val="24"/>
          <w:lang w:val="fr-FR"/>
        </w:rPr>
        <w:lastRenderedPageBreak/>
        <w:t>CONTENT PAGE</w:t>
      </w:r>
    </w:p>
    <w:p w14:paraId="75936282" w14:textId="77777777" w:rsidR="00774723" w:rsidRPr="005D6EF0" w:rsidRDefault="00774723" w:rsidP="009558D8">
      <w:pPr>
        <w:spacing w:after="0" w:line="360" w:lineRule="auto"/>
        <w:jc w:val="both"/>
        <w:rPr>
          <w:rFonts w:ascii="Times New Roman" w:hAnsi="Times New Roman" w:cs="Times New Roman"/>
          <w:sz w:val="24"/>
          <w:szCs w:val="24"/>
          <w:lang w:val="fr-FR"/>
        </w:rPr>
      </w:pPr>
    </w:p>
    <w:tbl>
      <w:tblPr>
        <w:tblStyle w:val="TableGridLight"/>
        <w:tblW w:w="0" w:type="auto"/>
        <w:tblLook w:val="04A0" w:firstRow="1" w:lastRow="0" w:firstColumn="1" w:lastColumn="0" w:noHBand="0" w:noVBand="1"/>
      </w:tblPr>
      <w:tblGrid>
        <w:gridCol w:w="8894"/>
        <w:gridCol w:w="456"/>
      </w:tblGrid>
      <w:tr w:rsidR="0054368E" w14:paraId="2553BF0F" w14:textId="77777777" w:rsidTr="001D33CE">
        <w:tc>
          <w:tcPr>
            <w:tcW w:w="8894" w:type="dxa"/>
          </w:tcPr>
          <w:p w14:paraId="3236FAD5" w14:textId="77777777" w:rsidR="0054368E" w:rsidRPr="0061500D" w:rsidRDefault="0054368E" w:rsidP="009558D8">
            <w:pPr>
              <w:spacing w:line="360" w:lineRule="auto"/>
              <w:jc w:val="both"/>
              <w:rPr>
                <w:rFonts w:ascii="Times New Roman" w:hAnsi="Times New Roman" w:cs="Times New Roman"/>
                <w:sz w:val="24"/>
                <w:szCs w:val="24"/>
              </w:rPr>
            </w:pPr>
            <w:r w:rsidRPr="0061500D">
              <w:rPr>
                <w:rFonts w:ascii="Times New Roman" w:hAnsi="Times New Roman" w:cs="Times New Roman"/>
                <w:sz w:val="24"/>
                <w:szCs w:val="24"/>
              </w:rPr>
              <w:t>1. INTRODUCTION</w:t>
            </w:r>
          </w:p>
        </w:tc>
        <w:tc>
          <w:tcPr>
            <w:tcW w:w="456" w:type="dxa"/>
          </w:tcPr>
          <w:p w14:paraId="02417C8C" w14:textId="77777777" w:rsidR="0054368E" w:rsidRDefault="00085F5A" w:rsidP="009558D8">
            <w:pPr>
              <w:spacing w:line="360" w:lineRule="auto"/>
              <w:jc w:val="both"/>
              <w:rPr>
                <w:rFonts w:ascii="Times New Roman" w:hAnsi="Times New Roman" w:cs="Times New Roman"/>
                <w:sz w:val="24"/>
                <w:szCs w:val="24"/>
              </w:rPr>
            </w:pPr>
            <w:r>
              <w:rPr>
                <w:rFonts w:ascii="Times New Roman" w:hAnsi="Times New Roman" w:cs="Times New Roman"/>
                <w:sz w:val="24"/>
                <w:szCs w:val="24"/>
              </w:rPr>
              <w:t>3</w:t>
            </w:r>
          </w:p>
        </w:tc>
      </w:tr>
      <w:tr w:rsidR="003C36C7" w14:paraId="6A7F4459" w14:textId="77777777" w:rsidTr="001D33CE">
        <w:tc>
          <w:tcPr>
            <w:tcW w:w="8894" w:type="dxa"/>
          </w:tcPr>
          <w:p w14:paraId="18D55EC6" w14:textId="296DA6F7" w:rsidR="003C36C7" w:rsidRPr="005D5E91" w:rsidRDefault="003C36C7" w:rsidP="005D5E91">
            <w:pPr>
              <w:widowControl w:val="0"/>
              <w:autoSpaceDE w:val="0"/>
              <w:autoSpaceDN w:val="0"/>
              <w:adjustRightInd w:val="0"/>
              <w:spacing w:line="276" w:lineRule="auto"/>
              <w:jc w:val="both"/>
              <w:rPr>
                <w:rFonts w:ascii="Times New Roman" w:hAnsi="Times New Roman" w:cs="Times New Roman"/>
                <w:sz w:val="24"/>
                <w:szCs w:val="24"/>
                <w:lang w:val="en"/>
              </w:rPr>
            </w:pPr>
            <w:r w:rsidRPr="003C36C7">
              <w:rPr>
                <w:rFonts w:ascii="Times New Roman" w:hAnsi="Times New Roman" w:cs="Times New Roman"/>
                <w:b/>
                <w:sz w:val="24"/>
                <w:szCs w:val="24"/>
              </w:rPr>
              <w:t xml:space="preserve">2. </w:t>
            </w:r>
            <w:r w:rsidRPr="003C36C7">
              <w:rPr>
                <w:rFonts w:ascii="Times New Roman" w:hAnsi="Times New Roman" w:cs="Times New Roman"/>
                <w:sz w:val="24"/>
                <w:szCs w:val="24"/>
                <w:lang w:val="en"/>
              </w:rPr>
              <w:t>THEORETICAL FRAMEWORK</w:t>
            </w:r>
          </w:p>
        </w:tc>
        <w:tc>
          <w:tcPr>
            <w:tcW w:w="456" w:type="dxa"/>
          </w:tcPr>
          <w:p w14:paraId="4CA17E83" w14:textId="77777777" w:rsidR="003C36C7" w:rsidRDefault="003C36C7" w:rsidP="003C36C7">
            <w:pPr>
              <w:spacing w:line="360" w:lineRule="auto"/>
              <w:jc w:val="both"/>
              <w:rPr>
                <w:rFonts w:ascii="Times New Roman" w:hAnsi="Times New Roman" w:cs="Times New Roman"/>
                <w:sz w:val="24"/>
                <w:szCs w:val="24"/>
              </w:rPr>
            </w:pPr>
            <w:r>
              <w:rPr>
                <w:rFonts w:ascii="Times New Roman" w:hAnsi="Times New Roman" w:cs="Times New Roman"/>
                <w:sz w:val="24"/>
                <w:szCs w:val="24"/>
              </w:rPr>
              <w:t>4</w:t>
            </w:r>
          </w:p>
        </w:tc>
      </w:tr>
      <w:tr w:rsidR="003C36C7" w14:paraId="6C11AAA7" w14:textId="77777777" w:rsidTr="001D33CE">
        <w:tc>
          <w:tcPr>
            <w:tcW w:w="8894" w:type="dxa"/>
          </w:tcPr>
          <w:p w14:paraId="2F6E0597" w14:textId="6EAB1E88" w:rsidR="003C36C7" w:rsidRPr="003C36C7" w:rsidRDefault="003C36C7" w:rsidP="005D5E91">
            <w:pPr>
              <w:widowControl w:val="0"/>
              <w:autoSpaceDE w:val="0"/>
              <w:autoSpaceDN w:val="0"/>
              <w:adjustRightInd w:val="0"/>
              <w:spacing w:line="276" w:lineRule="auto"/>
              <w:jc w:val="both"/>
              <w:rPr>
                <w:rFonts w:ascii="Times New Roman" w:hAnsi="Times New Roman" w:cs="Times New Roman"/>
                <w:sz w:val="24"/>
                <w:szCs w:val="24"/>
                <w:lang w:val="en"/>
              </w:rPr>
            </w:pPr>
            <w:r w:rsidRPr="003C36C7">
              <w:rPr>
                <w:rFonts w:ascii="Times New Roman" w:hAnsi="Times New Roman" w:cs="Times New Roman"/>
                <w:b/>
                <w:sz w:val="24"/>
                <w:szCs w:val="24"/>
              </w:rPr>
              <w:t>3.</w:t>
            </w:r>
            <w:r w:rsidRPr="003C36C7">
              <w:rPr>
                <w:rFonts w:ascii="Times New Roman" w:hAnsi="Times New Roman" w:cs="Times New Roman"/>
                <w:sz w:val="24"/>
                <w:szCs w:val="24"/>
              </w:rPr>
              <w:t xml:space="preserve"> </w:t>
            </w:r>
            <w:r w:rsidRPr="003C36C7">
              <w:rPr>
                <w:rFonts w:ascii="Times New Roman" w:hAnsi="Times New Roman" w:cs="Times New Roman"/>
                <w:sz w:val="24"/>
                <w:szCs w:val="24"/>
                <w:lang w:val="en"/>
              </w:rPr>
              <w:t>STRATEGIES FOR MANAGING FOREIGN EXCHANGE RISKS</w:t>
            </w:r>
          </w:p>
        </w:tc>
        <w:tc>
          <w:tcPr>
            <w:tcW w:w="456" w:type="dxa"/>
          </w:tcPr>
          <w:p w14:paraId="2AD943FA" w14:textId="77777777" w:rsidR="003C36C7" w:rsidRDefault="003C36C7" w:rsidP="003C36C7">
            <w:pPr>
              <w:spacing w:line="360" w:lineRule="auto"/>
              <w:jc w:val="both"/>
              <w:rPr>
                <w:rFonts w:ascii="Times New Roman" w:hAnsi="Times New Roman" w:cs="Times New Roman"/>
                <w:sz w:val="24"/>
                <w:szCs w:val="24"/>
              </w:rPr>
            </w:pPr>
            <w:r>
              <w:rPr>
                <w:rFonts w:ascii="Times New Roman" w:hAnsi="Times New Roman" w:cs="Times New Roman"/>
                <w:sz w:val="24"/>
                <w:szCs w:val="24"/>
              </w:rPr>
              <w:t>5</w:t>
            </w:r>
          </w:p>
        </w:tc>
      </w:tr>
      <w:tr w:rsidR="003C36C7" w14:paraId="5DBED1D4" w14:textId="77777777" w:rsidTr="001D33CE">
        <w:tc>
          <w:tcPr>
            <w:tcW w:w="8894" w:type="dxa"/>
          </w:tcPr>
          <w:p w14:paraId="7CCCCAE4" w14:textId="35BF2837" w:rsidR="003C36C7" w:rsidRPr="005D5E91" w:rsidRDefault="003C36C7" w:rsidP="005D5E91">
            <w:pPr>
              <w:widowControl w:val="0"/>
              <w:autoSpaceDE w:val="0"/>
              <w:autoSpaceDN w:val="0"/>
              <w:adjustRightInd w:val="0"/>
              <w:spacing w:line="276" w:lineRule="auto"/>
              <w:jc w:val="both"/>
              <w:rPr>
                <w:rFonts w:ascii="Times New Roman" w:hAnsi="Times New Roman" w:cs="Times New Roman"/>
                <w:sz w:val="24"/>
                <w:szCs w:val="24"/>
                <w:lang w:val="en"/>
              </w:rPr>
            </w:pPr>
            <w:r w:rsidRPr="003C36C7">
              <w:rPr>
                <w:rFonts w:ascii="Times New Roman" w:hAnsi="Times New Roman" w:cs="Times New Roman"/>
                <w:b/>
                <w:sz w:val="24"/>
                <w:szCs w:val="24"/>
              </w:rPr>
              <w:t xml:space="preserve">4. </w:t>
            </w:r>
            <w:r w:rsidRPr="003C36C7">
              <w:rPr>
                <w:rFonts w:ascii="Times New Roman" w:hAnsi="Times New Roman" w:cs="Times New Roman"/>
                <w:sz w:val="24"/>
                <w:szCs w:val="24"/>
                <w:lang w:val="en"/>
              </w:rPr>
              <w:t>EVALUATION OF STRATEGIES</w:t>
            </w:r>
          </w:p>
        </w:tc>
        <w:tc>
          <w:tcPr>
            <w:tcW w:w="456" w:type="dxa"/>
          </w:tcPr>
          <w:p w14:paraId="57908157" w14:textId="0F32C2F3" w:rsidR="003C36C7" w:rsidRDefault="005D5E91" w:rsidP="003C36C7">
            <w:pPr>
              <w:spacing w:line="360" w:lineRule="auto"/>
              <w:jc w:val="both"/>
              <w:rPr>
                <w:rFonts w:ascii="Times New Roman" w:hAnsi="Times New Roman" w:cs="Times New Roman"/>
                <w:sz w:val="24"/>
                <w:szCs w:val="24"/>
              </w:rPr>
            </w:pPr>
            <w:r>
              <w:rPr>
                <w:rFonts w:ascii="Times New Roman" w:hAnsi="Times New Roman" w:cs="Times New Roman"/>
                <w:sz w:val="24"/>
                <w:szCs w:val="24"/>
              </w:rPr>
              <w:t>6</w:t>
            </w:r>
          </w:p>
        </w:tc>
      </w:tr>
      <w:tr w:rsidR="005E5CCE" w14:paraId="446266D1" w14:textId="77777777" w:rsidTr="001D33CE">
        <w:tc>
          <w:tcPr>
            <w:tcW w:w="8894" w:type="dxa"/>
          </w:tcPr>
          <w:p w14:paraId="73D4C5F1" w14:textId="1E096D0B" w:rsidR="005E5CCE" w:rsidRPr="0061500D" w:rsidRDefault="005D5E91" w:rsidP="00DE3473">
            <w:pPr>
              <w:spacing w:line="360" w:lineRule="auto"/>
              <w:jc w:val="both"/>
              <w:rPr>
                <w:rFonts w:ascii="Times New Roman" w:hAnsi="Times New Roman" w:cs="Times New Roman"/>
                <w:sz w:val="24"/>
                <w:szCs w:val="24"/>
              </w:rPr>
            </w:pPr>
            <w:r>
              <w:rPr>
                <w:rFonts w:ascii="Times New Roman" w:hAnsi="Times New Roman" w:cs="Times New Roman"/>
                <w:sz w:val="24"/>
                <w:szCs w:val="24"/>
              </w:rPr>
              <w:t>5</w:t>
            </w:r>
            <w:r w:rsidR="005E5CCE">
              <w:rPr>
                <w:rFonts w:ascii="Times New Roman" w:hAnsi="Times New Roman" w:cs="Times New Roman"/>
                <w:sz w:val="24"/>
                <w:szCs w:val="24"/>
              </w:rPr>
              <w:t>. CONCLUSIONS</w:t>
            </w:r>
          </w:p>
        </w:tc>
        <w:tc>
          <w:tcPr>
            <w:tcW w:w="456" w:type="dxa"/>
          </w:tcPr>
          <w:p w14:paraId="44BA913B" w14:textId="6B4208EB" w:rsidR="005E5CCE" w:rsidRDefault="005D5E91" w:rsidP="00DE3473">
            <w:pPr>
              <w:spacing w:line="360" w:lineRule="auto"/>
              <w:jc w:val="both"/>
              <w:rPr>
                <w:rFonts w:ascii="Times New Roman" w:hAnsi="Times New Roman" w:cs="Times New Roman"/>
                <w:sz w:val="24"/>
                <w:szCs w:val="24"/>
              </w:rPr>
            </w:pPr>
            <w:r>
              <w:rPr>
                <w:rFonts w:ascii="Times New Roman" w:hAnsi="Times New Roman" w:cs="Times New Roman"/>
                <w:sz w:val="24"/>
                <w:szCs w:val="24"/>
              </w:rPr>
              <w:t>8</w:t>
            </w:r>
          </w:p>
        </w:tc>
      </w:tr>
      <w:tr w:rsidR="0054368E" w14:paraId="796D7A14" w14:textId="77777777" w:rsidTr="001D33CE">
        <w:tc>
          <w:tcPr>
            <w:tcW w:w="8894" w:type="dxa"/>
          </w:tcPr>
          <w:p w14:paraId="0E0F265D" w14:textId="77777777" w:rsidR="0054368E" w:rsidRDefault="00AE3F94" w:rsidP="009558D8">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REFERENCES </w:t>
            </w:r>
          </w:p>
        </w:tc>
        <w:tc>
          <w:tcPr>
            <w:tcW w:w="456" w:type="dxa"/>
          </w:tcPr>
          <w:p w14:paraId="763F675E" w14:textId="5290AEBA" w:rsidR="0054368E" w:rsidRDefault="005D5E91" w:rsidP="009558D8">
            <w:pPr>
              <w:spacing w:line="360" w:lineRule="auto"/>
              <w:jc w:val="both"/>
              <w:rPr>
                <w:rFonts w:ascii="Times New Roman" w:hAnsi="Times New Roman" w:cs="Times New Roman"/>
                <w:sz w:val="24"/>
                <w:szCs w:val="24"/>
              </w:rPr>
            </w:pPr>
            <w:r>
              <w:rPr>
                <w:rFonts w:ascii="Times New Roman" w:hAnsi="Times New Roman" w:cs="Times New Roman"/>
                <w:sz w:val="24"/>
                <w:szCs w:val="24"/>
              </w:rPr>
              <w:t>9</w:t>
            </w:r>
          </w:p>
        </w:tc>
      </w:tr>
    </w:tbl>
    <w:p w14:paraId="77F1580F" w14:textId="77777777" w:rsidR="00774723" w:rsidRDefault="00774723" w:rsidP="009558D8">
      <w:pPr>
        <w:spacing w:after="0" w:line="360" w:lineRule="auto"/>
        <w:jc w:val="both"/>
        <w:rPr>
          <w:rFonts w:ascii="Times New Roman" w:hAnsi="Times New Roman" w:cs="Times New Roman"/>
          <w:sz w:val="24"/>
          <w:szCs w:val="24"/>
        </w:rPr>
      </w:pPr>
    </w:p>
    <w:p w14:paraId="2322D244" w14:textId="77777777" w:rsidR="003C36C7" w:rsidRPr="0061500D" w:rsidRDefault="003C36C7" w:rsidP="003C36C7"/>
    <w:p w14:paraId="09E932FA" w14:textId="77777777" w:rsidR="003C36C7" w:rsidRPr="0061500D" w:rsidRDefault="003C36C7" w:rsidP="003C36C7">
      <w:pPr>
        <w:spacing w:line="360" w:lineRule="auto"/>
        <w:jc w:val="both"/>
        <w:rPr>
          <w:rFonts w:ascii="Times New Roman" w:hAnsi="Times New Roman" w:cs="Times New Roman"/>
          <w:sz w:val="24"/>
          <w:szCs w:val="24"/>
        </w:rPr>
      </w:pPr>
    </w:p>
    <w:p w14:paraId="5255641B" w14:textId="77777777" w:rsidR="003C36C7" w:rsidRPr="0061500D" w:rsidRDefault="003C36C7" w:rsidP="003C36C7">
      <w:pPr>
        <w:spacing w:line="360" w:lineRule="auto"/>
        <w:jc w:val="both"/>
        <w:rPr>
          <w:rFonts w:ascii="Times New Roman" w:hAnsi="Times New Roman" w:cs="Times New Roman"/>
          <w:bCs/>
        </w:rPr>
      </w:pPr>
    </w:p>
    <w:p w14:paraId="00CC2EF7" w14:textId="77777777" w:rsidR="00774723" w:rsidRDefault="00774723" w:rsidP="009558D8">
      <w:pPr>
        <w:spacing w:after="0" w:line="360" w:lineRule="auto"/>
        <w:jc w:val="both"/>
        <w:rPr>
          <w:rFonts w:ascii="Times New Roman" w:hAnsi="Times New Roman" w:cs="Times New Roman"/>
          <w:sz w:val="24"/>
          <w:szCs w:val="24"/>
        </w:rPr>
      </w:pPr>
    </w:p>
    <w:p w14:paraId="3432626B" w14:textId="77777777" w:rsidR="00774723" w:rsidRDefault="00774723" w:rsidP="009558D8">
      <w:pPr>
        <w:spacing w:after="0" w:line="360" w:lineRule="auto"/>
        <w:jc w:val="both"/>
        <w:rPr>
          <w:rFonts w:ascii="Times New Roman" w:hAnsi="Times New Roman" w:cs="Times New Roman"/>
          <w:sz w:val="24"/>
          <w:szCs w:val="24"/>
        </w:rPr>
      </w:pPr>
    </w:p>
    <w:p w14:paraId="0BF66E8E" w14:textId="77777777" w:rsidR="00774723" w:rsidRDefault="00774723" w:rsidP="009558D8">
      <w:pPr>
        <w:spacing w:after="0" w:line="360" w:lineRule="auto"/>
        <w:jc w:val="both"/>
        <w:rPr>
          <w:rFonts w:ascii="Times New Roman" w:hAnsi="Times New Roman" w:cs="Times New Roman"/>
          <w:sz w:val="24"/>
          <w:szCs w:val="24"/>
        </w:rPr>
      </w:pPr>
    </w:p>
    <w:p w14:paraId="07FBE7BD" w14:textId="77777777" w:rsidR="00774723" w:rsidRDefault="00774723" w:rsidP="009558D8">
      <w:pPr>
        <w:spacing w:after="0" w:line="360" w:lineRule="auto"/>
        <w:jc w:val="both"/>
        <w:rPr>
          <w:rFonts w:ascii="Times New Roman" w:hAnsi="Times New Roman" w:cs="Times New Roman"/>
          <w:sz w:val="24"/>
          <w:szCs w:val="24"/>
        </w:rPr>
      </w:pPr>
    </w:p>
    <w:p w14:paraId="65F5E495" w14:textId="77777777" w:rsidR="00774723" w:rsidRDefault="00774723" w:rsidP="009558D8">
      <w:pPr>
        <w:spacing w:after="0" w:line="360" w:lineRule="auto"/>
        <w:jc w:val="both"/>
        <w:rPr>
          <w:rFonts w:ascii="Times New Roman" w:hAnsi="Times New Roman" w:cs="Times New Roman"/>
          <w:sz w:val="24"/>
          <w:szCs w:val="24"/>
        </w:rPr>
      </w:pPr>
    </w:p>
    <w:p w14:paraId="254F230D" w14:textId="77777777" w:rsidR="002F7C03" w:rsidRPr="003C36C7" w:rsidRDefault="00694E07" w:rsidP="00FB4D66">
      <w:pPr>
        <w:spacing w:after="0" w:line="360" w:lineRule="auto"/>
        <w:rPr>
          <w:rFonts w:ascii="Times New Roman" w:hAnsi="Times New Roman" w:cs="Times New Roman"/>
          <w:sz w:val="24"/>
          <w:szCs w:val="24"/>
        </w:rPr>
      </w:pPr>
      <w:r>
        <w:rPr>
          <w:rFonts w:ascii="Times New Roman" w:hAnsi="Times New Roman" w:cs="Times New Roman"/>
          <w:sz w:val="24"/>
          <w:szCs w:val="24"/>
        </w:rPr>
        <w:br w:type="page"/>
      </w:r>
      <w:r w:rsidR="002F7C03" w:rsidRPr="003C36C7">
        <w:rPr>
          <w:rFonts w:ascii="Times New Roman" w:hAnsi="Times New Roman" w:cs="Times New Roman"/>
          <w:b/>
          <w:sz w:val="24"/>
          <w:szCs w:val="24"/>
        </w:rPr>
        <w:lastRenderedPageBreak/>
        <w:t>1. INTRODUCTION</w:t>
      </w:r>
    </w:p>
    <w:p w14:paraId="68006FB4" w14:textId="77777777" w:rsidR="00F154C1" w:rsidRPr="003C36C7" w:rsidRDefault="00F154C1" w:rsidP="00F154C1">
      <w:pPr>
        <w:spacing w:after="0" w:line="360" w:lineRule="auto"/>
        <w:jc w:val="both"/>
        <w:rPr>
          <w:rFonts w:ascii="Times New Roman" w:hAnsi="Times New Roman" w:cs="Times New Roman"/>
          <w:sz w:val="24"/>
          <w:szCs w:val="24"/>
        </w:rPr>
      </w:pPr>
    </w:p>
    <w:p w14:paraId="2A249505" w14:textId="77777777" w:rsidR="003C36C7" w:rsidRPr="003C36C7" w:rsidRDefault="003C36C7" w:rsidP="003C36C7">
      <w:pPr>
        <w:widowControl w:val="0"/>
        <w:autoSpaceDE w:val="0"/>
        <w:autoSpaceDN w:val="0"/>
        <w:adjustRightInd w:val="0"/>
        <w:spacing w:after="0" w:line="276" w:lineRule="auto"/>
        <w:jc w:val="both"/>
        <w:rPr>
          <w:rFonts w:ascii="Times New Roman" w:hAnsi="Times New Roman" w:cs="Times New Roman"/>
          <w:sz w:val="24"/>
          <w:szCs w:val="24"/>
          <w:lang w:val="en"/>
        </w:rPr>
      </w:pPr>
      <w:r w:rsidRPr="003C36C7">
        <w:rPr>
          <w:rFonts w:ascii="Times New Roman" w:hAnsi="Times New Roman" w:cs="Times New Roman"/>
          <w:sz w:val="24"/>
          <w:szCs w:val="24"/>
          <w:lang w:val="en"/>
        </w:rPr>
        <w:t>International Financial Management -An Overview</w:t>
      </w:r>
    </w:p>
    <w:p w14:paraId="5875A0F4" w14:textId="77777777" w:rsidR="003C36C7" w:rsidRPr="003C36C7" w:rsidRDefault="003C36C7" w:rsidP="003C36C7">
      <w:pPr>
        <w:widowControl w:val="0"/>
        <w:autoSpaceDE w:val="0"/>
        <w:autoSpaceDN w:val="0"/>
        <w:adjustRightInd w:val="0"/>
        <w:spacing w:after="0" w:line="276" w:lineRule="auto"/>
        <w:jc w:val="both"/>
        <w:rPr>
          <w:rFonts w:ascii="Times New Roman" w:hAnsi="Times New Roman" w:cs="Times New Roman"/>
          <w:sz w:val="24"/>
          <w:szCs w:val="24"/>
          <w:lang w:val="en"/>
        </w:rPr>
      </w:pPr>
    </w:p>
    <w:p w14:paraId="33AC9D10" w14:textId="77777777" w:rsidR="003C36C7" w:rsidRPr="003C36C7" w:rsidRDefault="003C36C7" w:rsidP="003C36C7">
      <w:pPr>
        <w:widowControl w:val="0"/>
        <w:autoSpaceDE w:val="0"/>
        <w:autoSpaceDN w:val="0"/>
        <w:adjustRightInd w:val="0"/>
        <w:spacing w:after="0" w:line="276" w:lineRule="auto"/>
        <w:jc w:val="both"/>
        <w:rPr>
          <w:rFonts w:ascii="Times New Roman" w:hAnsi="Times New Roman" w:cs="Times New Roman"/>
          <w:sz w:val="24"/>
          <w:szCs w:val="24"/>
          <w:lang w:val="en"/>
        </w:rPr>
      </w:pPr>
      <w:r w:rsidRPr="003C36C7">
        <w:rPr>
          <w:rFonts w:ascii="Times New Roman" w:hAnsi="Times New Roman" w:cs="Times New Roman"/>
          <w:sz w:val="24"/>
          <w:szCs w:val="24"/>
          <w:lang w:val="en"/>
        </w:rPr>
        <w:tab/>
        <w:t xml:space="preserve">The field of international financial management deals, with overseeing resources and handling risks on a scale. It encompasses tasks like assessing capital investments making financing decisions and implementing risk management measures across countries. </w:t>
      </w:r>
      <w:r w:rsidRPr="003C36C7">
        <w:rPr>
          <w:rFonts w:ascii="Times New Roman" w:hAnsi="Times New Roman" w:cs="Times New Roman"/>
          <w:sz w:val="24"/>
          <w:szCs w:val="24"/>
          <w:lang w:val="en"/>
        </w:rPr>
        <w:tab/>
        <w:t>As globalization continues to connect economies businesses are increasingly involved in trade and investment activities resulting in a rise in cross border financial transactions. The goal of management is to navigate the complexities of these transactions while ensuring maximum value for all stakeholders. (</w:t>
      </w:r>
      <w:r w:rsidRPr="003C36C7">
        <w:rPr>
          <w:rFonts w:ascii="Times New Roman" w:hAnsi="Times New Roman" w:cs="Times New Roman"/>
          <w:lang w:val="en"/>
        </w:rPr>
        <w:t xml:space="preserve">Breuer and Ruiz de Vargas, 2021) </w:t>
      </w:r>
    </w:p>
    <w:p w14:paraId="00124249" w14:textId="77777777" w:rsidR="003C36C7" w:rsidRPr="003C36C7" w:rsidRDefault="003C36C7" w:rsidP="003C36C7">
      <w:pPr>
        <w:widowControl w:val="0"/>
        <w:autoSpaceDE w:val="0"/>
        <w:autoSpaceDN w:val="0"/>
        <w:adjustRightInd w:val="0"/>
        <w:spacing w:after="0" w:line="276" w:lineRule="auto"/>
        <w:jc w:val="both"/>
        <w:rPr>
          <w:rFonts w:ascii="Times New Roman" w:hAnsi="Times New Roman" w:cs="Times New Roman"/>
          <w:sz w:val="24"/>
          <w:szCs w:val="24"/>
          <w:lang w:val="en"/>
        </w:rPr>
      </w:pPr>
      <w:r w:rsidRPr="003C36C7">
        <w:rPr>
          <w:rFonts w:ascii="Times New Roman" w:hAnsi="Times New Roman" w:cs="Times New Roman"/>
          <w:sz w:val="24"/>
          <w:szCs w:val="24"/>
          <w:lang w:val="en"/>
        </w:rPr>
        <w:tab/>
        <w:t>Multinational corporations (MNCs) face foreign exchange risks due to fluctuations in currency exchange rates, which can have impacts on their financial performance and competitiveness. In todays interconnected markets MNCs are vulnerable to currency fluctuations when conducting business transactions using currencies. (Eiteman et al., 2021)</w:t>
      </w:r>
    </w:p>
    <w:p w14:paraId="5785AB55" w14:textId="77777777" w:rsidR="003C36C7" w:rsidRPr="003C36C7" w:rsidRDefault="003C36C7" w:rsidP="003C36C7">
      <w:pPr>
        <w:widowControl w:val="0"/>
        <w:autoSpaceDE w:val="0"/>
        <w:autoSpaceDN w:val="0"/>
        <w:adjustRightInd w:val="0"/>
        <w:spacing w:after="0" w:line="276" w:lineRule="auto"/>
        <w:jc w:val="both"/>
        <w:rPr>
          <w:rFonts w:ascii="Times New Roman" w:hAnsi="Times New Roman" w:cs="Times New Roman"/>
          <w:sz w:val="24"/>
          <w:szCs w:val="24"/>
          <w:lang w:val="en"/>
        </w:rPr>
      </w:pPr>
      <w:r w:rsidRPr="003C36C7">
        <w:rPr>
          <w:rFonts w:ascii="Times New Roman" w:hAnsi="Times New Roman" w:cs="Times New Roman"/>
          <w:sz w:val="24"/>
          <w:szCs w:val="24"/>
          <w:lang w:val="en"/>
        </w:rPr>
        <w:tab/>
        <w:t>Failing to manage these risks can lead to consequences such as reduced profits, cash flow issues and diminished shareholder value. Therefore it is essential for MNCs operating globally to prioritize the management of foreign exchange risks to protect their well being and long term viability.</w:t>
      </w:r>
    </w:p>
    <w:p w14:paraId="3E0ABA4A" w14:textId="77777777" w:rsidR="003C36C7" w:rsidRPr="003C36C7" w:rsidRDefault="003C36C7" w:rsidP="003C36C7">
      <w:pPr>
        <w:widowControl w:val="0"/>
        <w:autoSpaceDE w:val="0"/>
        <w:autoSpaceDN w:val="0"/>
        <w:adjustRightInd w:val="0"/>
        <w:spacing w:after="0" w:line="276" w:lineRule="auto"/>
        <w:jc w:val="both"/>
        <w:rPr>
          <w:rFonts w:ascii="Times New Roman" w:hAnsi="Times New Roman" w:cs="Times New Roman"/>
          <w:sz w:val="24"/>
          <w:szCs w:val="24"/>
          <w:lang w:val="en"/>
        </w:rPr>
      </w:pPr>
      <w:r w:rsidRPr="003C36C7">
        <w:rPr>
          <w:rFonts w:ascii="Times New Roman" w:hAnsi="Times New Roman" w:cs="Times New Roman"/>
          <w:sz w:val="24"/>
          <w:szCs w:val="24"/>
          <w:lang w:val="en"/>
        </w:rPr>
        <w:tab/>
        <w:t>This essay aims to assess the approaches that multinational corporations adopt to mitigate their exposure, to foreign exchange risks.</w:t>
      </w:r>
    </w:p>
    <w:p w14:paraId="3C998B44" w14:textId="77777777" w:rsidR="003C36C7" w:rsidRPr="003C36C7" w:rsidRDefault="003C36C7" w:rsidP="003C36C7">
      <w:pPr>
        <w:widowControl w:val="0"/>
        <w:autoSpaceDE w:val="0"/>
        <w:autoSpaceDN w:val="0"/>
        <w:adjustRightInd w:val="0"/>
        <w:spacing w:after="0" w:line="276" w:lineRule="auto"/>
        <w:jc w:val="both"/>
        <w:rPr>
          <w:rFonts w:ascii="Times New Roman" w:hAnsi="Times New Roman" w:cs="Times New Roman"/>
          <w:sz w:val="24"/>
          <w:szCs w:val="24"/>
          <w:lang w:val="en"/>
        </w:rPr>
      </w:pPr>
      <w:r w:rsidRPr="003C36C7">
        <w:rPr>
          <w:rFonts w:ascii="Times New Roman" w:hAnsi="Times New Roman" w:cs="Times New Roman"/>
          <w:sz w:val="24"/>
          <w:szCs w:val="24"/>
          <w:lang w:val="en"/>
        </w:rPr>
        <w:tab/>
        <w:t xml:space="preserve">Although its widely recognized that handling these risks is crucial the success of approaches differs based on factors, like industry trends, market situations and unique company traits. This essay aims to examine these strategies in detail to shed light on their pros, cons and real world impacts for corporations. </w:t>
      </w:r>
    </w:p>
    <w:p w14:paraId="69807622" w14:textId="5A935217" w:rsidR="003C36C7" w:rsidRPr="003C36C7" w:rsidRDefault="003C36C7" w:rsidP="003C36C7">
      <w:pPr>
        <w:widowControl w:val="0"/>
        <w:autoSpaceDE w:val="0"/>
        <w:autoSpaceDN w:val="0"/>
        <w:adjustRightInd w:val="0"/>
        <w:spacing w:after="0" w:line="276" w:lineRule="auto"/>
        <w:jc w:val="both"/>
        <w:rPr>
          <w:rFonts w:ascii="Times New Roman" w:hAnsi="Times New Roman" w:cs="Times New Roman"/>
          <w:sz w:val="24"/>
          <w:szCs w:val="24"/>
          <w:lang w:val="en"/>
        </w:rPr>
      </w:pPr>
      <w:r w:rsidRPr="003C36C7">
        <w:rPr>
          <w:rFonts w:ascii="Times New Roman" w:hAnsi="Times New Roman" w:cs="Times New Roman"/>
          <w:sz w:val="24"/>
          <w:szCs w:val="24"/>
          <w:lang w:val="en"/>
        </w:rPr>
        <w:tab/>
      </w:r>
    </w:p>
    <w:p w14:paraId="2F5A6799" w14:textId="37649E95" w:rsidR="00DE3473" w:rsidRPr="003C36C7" w:rsidRDefault="00DE3473" w:rsidP="006E75B6">
      <w:pPr>
        <w:spacing w:after="0" w:line="360" w:lineRule="auto"/>
        <w:jc w:val="both"/>
        <w:rPr>
          <w:rFonts w:ascii="Times New Roman" w:hAnsi="Times New Roman" w:cs="Times New Roman"/>
          <w:sz w:val="24"/>
          <w:szCs w:val="24"/>
          <w:lang w:val="en"/>
        </w:rPr>
      </w:pPr>
    </w:p>
    <w:p w14:paraId="3A4521A3" w14:textId="77777777" w:rsidR="00DE3473" w:rsidRPr="003C36C7" w:rsidRDefault="00DE3473" w:rsidP="006E75B6">
      <w:pPr>
        <w:spacing w:after="0" w:line="360" w:lineRule="auto"/>
        <w:jc w:val="both"/>
        <w:rPr>
          <w:rFonts w:ascii="Times New Roman" w:hAnsi="Times New Roman" w:cs="Times New Roman"/>
          <w:b/>
          <w:sz w:val="24"/>
          <w:szCs w:val="24"/>
        </w:rPr>
      </w:pPr>
    </w:p>
    <w:p w14:paraId="092847E1" w14:textId="77777777" w:rsidR="00DE3473" w:rsidRPr="003C36C7" w:rsidRDefault="00DE3473" w:rsidP="006E75B6">
      <w:pPr>
        <w:spacing w:after="0" w:line="360" w:lineRule="auto"/>
        <w:jc w:val="both"/>
        <w:rPr>
          <w:rFonts w:ascii="Times New Roman" w:hAnsi="Times New Roman" w:cs="Times New Roman"/>
          <w:b/>
          <w:sz w:val="24"/>
          <w:szCs w:val="24"/>
        </w:rPr>
      </w:pPr>
    </w:p>
    <w:p w14:paraId="2FC4938D" w14:textId="77777777" w:rsidR="003C36C7" w:rsidRPr="003C36C7" w:rsidRDefault="003C36C7" w:rsidP="006E75B6">
      <w:pPr>
        <w:spacing w:after="0" w:line="360" w:lineRule="auto"/>
        <w:jc w:val="both"/>
        <w:rPr>
          <w:rFonts w:ascii="Times New Roman" w:hAnsi="Times New Roman" w:cs="Times New Roman"/>
          <w:b/>
          <w:sz w:val="24"/>
          <w:szCs w:val="24"/>
        </w:rPr>
      </w:pPr>
    </w:p>
    <w:p w14:paraId="4E0C8E11" w14:textId="77777777" w:rsidR="003C36C7" w:rsidRPr="003C36C7" w:rsidRDefault="003C36C7" w:rsidP="006E75B6">
      <w:pPr>
        <w:spacing w:after="0" w:line="360" w:lineRule="auto"/>
        <w:jc w:val="both"/>
        <w:rPr>
          <w:rFonts w:ascii="Times New Roman" w:hAnsi="Times New Roman" w:cs="Times New Roman"/>
          <w:b/>
          <w:sz w:val="24"/>
          <w:szCs w:val="24"/>
        </w:rPr>
      </w:pPr>
    </w:p>
    <w:p w14:paraId="35EB691A" w14:textId="77777777" w:rsidR="003C36C7" w:rsidRPr="003C36C7" w:rsidRDefault="003C36C7" w:rsidP="006E75B6">
      <w:pPr>
        <w:spacing w:after="0" w:line="360" w:lineRule="auto"/>
        <w:jc w:val="both"/>
        <w:rPr>
          <w:rFonts w:ascii="Times New Roman" w:hAnsi="Times New Roman" w:cs="Times New Roman"/>
          <w:b/>
          <w:sz w:val="24"/>
          <w:szCs w:val="24"/>
        </w:rPr>
      </w:pPr>
    </w:p>
    <w:p w14:paraId="656BBB7E" w14:textId="77777777" w:rsidR="003C36C7" w:rsidRPr="003C36C7" w:rsidRDefault="003C36C7" w:rsidP="006E75B6">
      <w:pPr>
        <w:spacing w:after="0" w:line="360" w:lineRule="auto"/>
        <w:jc w:val="both"/>
        <w:rPr>
          <w:rFonts w:ascii="Times New Roman" w:hAnsi="Times New Roman" w:cs="Times New Roman"/>
          <w:b/>
          <w:sz w:val="24"/>
          <w:szCs w:val="24"/>
        </w:rPr>
      </w:pPr>
    </w:p>
    <w:p w14:paraId="5D53E0B6" w14:textId="77777777" w:rsidR="003C36C7" w:rsidRPr="003C36C7" w:rsidRDefault="003C36C7" w:rsidP="006E75B6">
      <w:pPr>
        <w:spacing w:after="0" w:line="360" w:lineRule="auto"/>
        <w:jc w:val="both"/>
        <w:rPr>
          <w:rFonts w:ascii="Times New Roman" w:hAnsi="Times New Roman" w:cs="Times New Roman"/>
          <w:b/>
          <w:sz w:val="24"/>
          <w:szCs w:val="24"/>
        </w:rPr>
      </w:pPr>
    </w:p>
    <w:p w14:paraId="42E4114B" w14:textId="77777777" w:rsidR="003C36C7" w:rsidRPr="003C36C7" w:rsidRDefault="003C36C7" w:rsidP="006E75B6">
      <w:pPr>
        <w:spacing w:after="0" w:line="360" w:lineRule="auto"/>
        <w:jc w:val="both"/>
        <w:rPr>
          <w:rFonts w:ascii="Times New Roman" w:hAnsi="Times New Roman" w:cs="Times New Roman"/>
          <w:b/>
          <w:sz w:val="24"/>
          <w:szCs w:val="24"/>
        </w:rPr>
      </w:pPr>
    </w:p>
    <w:p w14:paraId="6BF2FD05" w14:textId="77777777" w:rsidR="003C36C7" w:rsidRDefault="003C36C7" w:rsidP="003C36C7">
      <w:pPr>
        <w:widowControl w:val="0"/>
        <w:autoSpaceDE w:val="0"/>
        <w:autoSpaceDN w:val="0"/>
        <w:adjustRightInd w:val="0"/>
        <w:spacing w:after="0" w:line="276" w:lineRule="auto"/>
        <w:jc w:val="both"/>
        <w:rPr>
          <w:rFonts w:ascii="Times New Roman" w:hAnsi="Times New Roman" w:cs="Times New Roman"/>
          <w:b/>
          <w:sz w:val="24"/>
          <w:szCs w:val="24"/>
        </w:rPr>
      </w:pPr>
    </w:p>
    <w:p w14:paraId="63407502" w14:textId="77777777" w:rsidR="003C36C7" w:rsidRDefault="003C36C7" w:rsidP="003C36C7">
      <w:pPr>
        <w:widowControl w:val="0"/>
        <w:autoSpaceDE w:val="0"/>
        <w:autoSpaceDN w:val="0"/>
        <w:adjustRightInd w:val="0"/>
        <w:spacing w:after="0" w:line="276" w:lineRule="auto"/>
        <w:jc w:val="both"/>
        <w:rPr>
          <w:rFonts w:ascii="Times New Roman" w:hAnsi="Times New Roman" w:cs="Times New Roman"/>
          <w:b/>
          <w:sz w:val="24"/>
          <w:szCs w:val="24"/>
        </w:rPr>
      </w:pPr>
    </w:p>
    <w:p w14:paraId="345C7E1C" w14:textId="63E1A9EA" w:rsidR="003C36C7" w:rsidRPr="003C36C7" w:rsidRDefault="00765689" w:rsidP="003C36C7">
      <w:pPr>
        <w:widowControl w:val="0"/>
        <w:autoSpaceDE w:val="0"/>
        <w:autoSpaceDN w:val="0"/>
        <w:adjustRightInd w:val="0"/>
        <w:spacing w:after="0" w:line="276" w:lineRule="auto"/>
        <w:jc w:val="both"/>
        <w:rPr>
          <w:rFonts w:ascii="Times New Roman" w:hAnsi="Times New Roman" w:cs="Times New Roman"/>
          <w:sz w:val="24"/>
          <w:szCs w:val="24"/>
          <w:lang w:val="en"/>
        </w:rPr>
      </w:pPr>
      <w:r w:rsidRPr="003C36C7">
        <w:rPr>
          <w:rFonts w:ascii="Times New Roman" w:hAnsi="Times New Roman" w:cs="Times New Roman"/>
          <w:b/>
          <w:sz w:val="24"/>
          <w:szCs w:val="24"/>
        </w:rPr>
        <w:lastRenderedPageBreak/>
        <w:t xml:space="preserve">2. </w:t>
      </w:r>
      <w:r w:rsidR="003C36C7" w:rsidRPr="003C36C7">
        <w:rPr>
          <w:rFonts w:ascii="Times New Roman" w:hAnsi="Times New Roman" w:cs="Times New Roman"/>
          <w:sz w:val="24"/>
          <w:szCs w:val="24"/>
          <w:lang w:val="en"/>
        </w:rPr>
        <w:t>THEORETICAL FRAMEWORK</w:t>
      </w:r>
    </w:p>
    <w:p w14:paraId="5B5ED801" w14:textId="77777777" w:rsidR="003C36C7" w:rsidRPr="003C36C7" w:rsidRDefault="003C36C7" w:rsidP="003C36C7">
      <w:pPr>
        <w:widowControl w:val="0"/>
        <w:autoSpaceDE w:val="0"/>
        <w:autoSpaceDN w:val="0"/>
        <w:adjustRightInd w:val="0"/>
        <w:spacing w:after="0" w:line="276" w:lineRule="auto"/>
        <w:jc w:val="both"/>
        <w:rPr>
          <w:rFonts w:ascii="Times New Roman" w:hAnsi="Times New Roman" w:cs="Times New Roman"/>
          <w:sz w:val="24"/>
          <w:szCs w:val="24"/>
          <w:lang w:val="en"/>
        </w:rPr>
      </w:pPr>
    </w:p>
    <w:p w14:paraId="6091846A" w14:textId="77777777" w:rsidR="003C36C7" w:rsidRPr="003C36C7" w:rsidRDefault="003C36C7" w:rsidP="003C36C7">
      <w:pPr>
        <w:widowControl w:val="0"/>
        <w:autoSpaceDE w:val="0"/>
        <w:autoSpaceDN w:val="0"/>
        <w:adjustRightInd w:val="0"/>
        <w:spacing w:after="0" w:line="276" w:lineRule="auto"/>
        <w:jc w:val="both"/>
        <w:rPr>
          <w:rFonts w:ascii="Times New Roman" w:hAnsi="Times New Roman" w:cs="Times New Roman"/>
          <w:sz w:val="24"/>
          <w:szCs w:val="24"/>
          <w:lang w:val="en"/>
        </w:rPr>
      </w:pPr>
      <w:r w:rsidRPr="003C36C7">
        <w:rPr>
          <w:rFonts w:ascii="Times New Roman" w:hAnsi="Times New Roman" w:cs="Times New Roman"/>
          <w:sz w:val="24"/>
          <w:szCs w:val="24"/>
          <w:lang w:val="en"/>
        </w:rPr>
        <w:tab/>
        <w:t>The International Fisher Effect (IFE) is an extension of the Fisher Effect, which suggests that nominal interest rates include anticipated inflation rates. The IFE takes this idea a step, on a scale by proposing that the variation in nominal interest rates between two countries equals the anticipated exchange rate fluctuation over the same period adjusted for inflation differences. In terms according to IFE variations in interest rates between two countries mirror expected changes in their currency exchange rates. (</w:t>
      </w:r>
      <w:r w:rsidRPr="003C36C7">
        <w:rPr>
          <w:rFonts w:ascii="Times New Roman" w:hAnsi="Times New Roman" w:cs="Times New Roman"/>
          <w:lang w:val="en"/>
        </w:rPr>
        <w:t xml:space="preserve">KORÁB and KAPOUNEK, 2013) </w:t>
      </w:r>
    </w:p>
    <w:p w14:paraId="4991BF7B" w14:textId="77777777" w:rsidR="003C36C7" w:rsidRPr="003C36C7" w:rsidRDefault="003C36C7" w:rsidP="003C36C7">
      <w:pPr>
        <w:widowControl w:val="0"/>
        <w:autoSpaceDE w:val="0"/>
        <w:autoSpaceDN w:val="0"/>
        <w:adjustRightInd w:val="0"/>
        <w:spacing w:after="0" w:line="276" w:lineRule="auto"/>
        <w:jc w:val="both"/>
        <w:rPr>
          <w:rFonts w:ascii="Times New Roman" w:hAnsi="Times New Roman" w:cs="Times New Roman"/>
          <w:sz w:val="24"/>
          <w:szCs w:val="24"/>
          <w:lang w:val="en"/>
        </w:rPr>
      </w:pPr>
      <w:r w:rsidRPr="003C36C7">
        <w:rPr>
          <w:rFonts w:ascii="Times New Roman" w:hAnsi="Times New Roman" w:cs="Times New Roman"/>
          <w:sz w:val="24"/>
          <w:szCs w:val="24"/>
          <w:lang w:val="en"/>
        </w:rPr>
        <w:tab/>
        <w:t>Market Imperfections Theory posits that market frictions like transaction costs limited information availability and government interventions can cause discrepancies from the predictions of Purchasing Power Parity (PPP), Interest Rate Parity (IRP) and the International Fisher Effect (IFE). These imperfections hinder markets from incorporating economic factors when determining exchange rates. (</w:t>
      </w:r>
      <w:r w:rsidRPr="003C36C7">
        <w:rPr>
          <w:rFonts w:ascii="Times New Roman" w:hAnsi="Times New Roman" w:cs="Times New Roman"/>
          <w:lang w:val="en"/>
        </w:rPr>
        <w:t xml:space="preserve">Yoon, JongCheol &amp; Min, Dai &amp; Jei, Sang. (2019). </w:t>
      </w:r>
    </w:p>
    <w:p w14:paraId="776BBDE1" w14:textId="77777777" w:rsidR="003C36C7" w:rsidRPr="003C36C7" w:rsidRDefault="003C36C7" w:rsidP="003C36C7">
      <w:pPr>
        <w:widowControl w:val="0"/>
        <w:autoSpaceDE w:val="0"/>
        <w:autoSpaceDN w:val="0"/>
        <w:adjustRightInd w:val="0"/>
        <w:spacing w:after="0" w:line="276" w:lineRule="auto"/>
        <w:jc w:val="both"/>
        <w:rPr>
          <w:rFonts w:ascii="Times New Roman" w:hAnsi="Times New Roman" w:cs="Times New Roman"/>
          <w:sz w:val="24"/>
          <w:szCs w:val="24"/>
          <w:lang w:val="en"/>
        </w:rPr>
      </w:pPr>
      <w:r w:rsidRPr="003C36C7">
        <w:rPr>
          <w:rFonts w:ascii="Times New Roman" w:hAnsi="Times New Roman" w:cs="Times New Roman"/>
          <w:sz w:val="24"/>
          <w:szCs w:val="24"/>
          <w:lang w:val="en"/>
        </w:rPr>
        <w:tab/>
        <w:t>Market Imperfections Theory emphasizes aspects such as investor sentiment, speculative actions and institutional restrictions in influencing exchange rate movements.</w:t>
      </w:r>
    </w:p>
    <w:p w14:paraId="7B6045AA" w14:textId="77777777" w:rsidR="003C36C7" w:rsidRPr="003C36C7" w:rsidRDefault="003C36C7" w:rsidP="003C36C7">
      <w:pPr>
        <w:widowControl w:val="0"/>
        <w:autoSpaceDE w:val="0"/>
        <w:autoSpaceDN w:val="0"/>
        <w:adjustRightInd w:val="0"/>
        <w:spacing w:after="0" w:line="276" w:lineRule="auto"/>
        <w:jc w:val="both"/>
        <w:rPr>
          <w:rFonts w:ascii="Times New Roman" w:hAnsi="Times New Roman" w:cs="Times New Roman"/>
          <w:sz w:val="24"/>
          <w:szCs w:val="24"/>
          <w:lang w:val="en"/>
        </w:rPr>
      </w:pPr>
    </w:p>
    <w:p w14:paraId="7B35A842" w14:textId="77777777" w:rsidR="003C36C7" w:rsidRPr="003C36C7" w:rsidRDefault="003C36C7" w:rsidP="003C36C7">
      <w:pPr>
        <w:widowControl w:val="0"/>
        <w:autoSpaceDE w:val="0"/>
        <w:autoSpaceDN w:val="0"/>
        <w:adjustRightInd w:val="0"/>
        <w:spacing w:after="0" w:line="276" w:lineRule="auto"/>
        <w:jc w:val="both"/>
        <w:rPr>
          <w:rFonts w:ascii="Times New Roman" w:hAnsi="Times New Roman" w:cs="Times New Roman"/>
          <w:sz w:val="24"/>
          <w:szCs w:val="24"/>
          <w:lang w:val="en"/>
        </w:rPr>
      </w:pPr>
      <w:r w:rsidRPr="003C36C7">
        <w:rPr>
          <w:rFonts w:ascii="Times New Roman" w:hAnsi="Times New Roman" w:cs="Times New Roman"/>
          <w:sz w:val="24"/>
          <w:szCs w:val="24"/>
          <w:lang w:val="en"/>
        </w:rPr>
        <w:t>Linking Theory to Practice:</w:t>
      </w:r>
    </w:p>
    <w:p w14:paraId="5484EA3B" w14:textId="77777777" w:rsidR="003C36C7" w:rsidRPr="003C36C7" w:rsidRDefault="003C36C7" w:rsidP="003C36C7">
      <w:pPr>
        <w:widowControl w:val="0"/>
        <w:autoSpaceDE w:val="0"/>
        <w:autoSpaceDN w:val="0"/>
        <w:adjustRightInd w:val="0"/>
        <w:spacing w:after="0" w:line="276" w:lineRule="auto"/>
        <w:jc w:val="both"/>
        <w:rPr>
          <w:rFonts w:ascii="Times New Roman" w:hAnsi="Times New Roman" w:cs="Times New Roman"/>
          <w:sz w:val="24"/>
          <w:szCs w:val="24"/>
          <w:lang w:val="en"/>
        </w:rPr>
      </w:pPr>
      <w:r w:rsidRPr="003C36C7">
        <w:rPr>
          <w:rFonts w:ascii="Times New Roman" w:hAnsi="Times New Roman" w:cs="Times New Roman"/>
          <w:sz w:val="24"/>
          <w:szCs w:val="24"/>
          <w:lang w:val="en"/>
        </w:rPr>
        <w:tab/>
        <w:t>These theoretical frameworks offer insights into the core elements affecting exchange rates and the connections among interest rates inflation levels and currency values. Grasping these theories is crucial for corporations (MNCs) as they devise strategies to mitigate their exposure, to foreign exchange risks.</w:t>
      </w:r>
    </w:p>
    <w:p w14:paraId="0A1AB5D3" w14:textId="77777777" w:rsidR="003C36C7" w:rsidRPr="003C36C7" w:rsidRDefault="003C36C7" w:rsidP="003C36C7">
      <w:pPr>
        <w:widowControl w:val="0"/>
        <w:autoSpaceDE w:val="0"/>
        <w:autoSpaceDN w:val="0"/>
        <w:adjustRightInd w:val="0"/>
        <w:spacing w:after="0" w:line="276" w:lineRule="auto"/>
        <w:jc w:val="both"/>
        <w:rPr>
          <w:rFonts w:ascii="Times New Roman" w:hAnsi="Times New Roman" w:cs="Times New Roman"/>
          <w:sz w:val="24"/>
          <w:szCs w:val="24"/>
          <w:lang w:val="en"/>
        </w:rPr>
      </w:pPr>
      <w:r w:rsidRPr="003C36C7">
        <w:rPr>
          <w:rFonts w:ascii="Times New Roman" w:hAnsi="Times New Roman" w:cs="Times New Roman"/>
          <w:sz w:val="24"/>
          <w:szCs w:val="24"/>
          <w:lang w:val="en"/>
        </w:rPr>
        <w:tab/>
        <w:t>For example Purchasing Power Parity (PPP) can assist corporations (MNCs) in predicting long term currency fluctuations while Interest Rate Parity (IRP) can offer guidance on how to manage interest rate differentials using hedging tools.</w:t>
      </w:r>
    </w:p>
    <w:p w14:paraId="3DBE11B4" w14:textId="77777777" w:rsidR="003C36C7" w:rsidRPr="003C36C7" w:rsidRDefault="003C36C7" w:rsidP="003C36C7">
      <w:pPr>
        <w:widowControl w:val="0"/>
        <w:autoSpaceDE w:val="0"/>
        <w:autoSpaceDN w:val="0"/>
        <w:adjustRightInd w:val="0"/>
        <w:spacing w:after="0" w:line="276" w:lineRule="auto"/>
        <w:jc w:val="both"/>
        <w:rPr>
          <w:rFonts w:ascii="Times New Roman" w:hAnsi="Times New Roman" w:cs="Times New Roman"/>
          <w:sz w:val="24"/>
          <w:szCs w:val="24"/>
          <w:lang w:val="en"/>
        </w:rPr>
      </w:pPr>
    </w:p>
    <w:p w14:paraId="3FBA0D1E" w14:textId="77777777" w:rsidR="003C36C7" w:rsidRPr="003C36C7" w:rsidRDefault="003C36C7" w:rsidP="003C36C7">
      <w:pPr>
        <w:widowControl w:val="0"/>
        <w:autoSpaceDE w:val="0"/>
        <w:autoSpaceDN w:val="0"/>
        <w:adjustRightInd w:val="0"/>
        <w:spacing w:after="0" w:line="276" w:lineRule="auto"/>
        <w:jc w:val="both"/>
        <w:rPr>
          <w:rFonts w:ascii="Times New Roman" w:hAnsi="Times New Roman" w:cs="Times New Roman"/>
          <w:sz w:val="24"/>
          <w:szCs w:val="24"/>
          <w:lang w:val="en"/>
        </w:rPr>
      </w:pPr>
      <w:r w:rsidRPr="003C36C7">
        <w:rPr>
          <w:rFonts w:ascii="Times New Roman" w:hAnsi="Times New Roman" w:cs="Times New Roman"/>
          <w:sz w:val="24"/>
          <w:szCs w:val="24"/>
          <w:lang w:val="en"/>
        </w:rPr>
        <w:t>Critique and Limitations of Theoretical Models:</w:t>
      </w:r>
    </w:p>
    <w:p w14:paraId="5F9612DC" w14:textId="77777777" w:rsidR="003C36C7" w:rsidRPr="003C36C7" w:rsidRDefault="003C36C7" w:rsidP="003C36C7">
      <w:pPr>
        <w:widowControl w:val="0"/>
        <w:autoSpaceDE w:val="0"/>
        <w:autoSpaceDN w:val="0"/>
        <w:adjustRightInd w:val="0"/>
        <w:spacing w:after="0" w:line="276" w:lineRule="auto"/>
        <w:jc w:val="both"/>
        <w:rPr>
          <w:rFonts w:ascii="Times New Roman" w:hAnsi="Times New Roman" w:cs="Times New Roman"/>
          <w:sz w:val="24"/>
          <w:szCs w:val="24"/>
          <w:lang w:val="en"/>
        </w:rPr>
      </w:pPr>
    </w:p>
    <w:p w14:paraId="1B5E6F65" w14:textId="77777777" w:rsidR="003C36C7" w:rsidRPr="003C36C7" w:rsidRDefault="003C36C7" w:rsidP="003C36C7">
      <w:pPr>
        <w:widowControl w:val="0"/>
        <w:autoSpaceDE w:val="0"/>
        <w:autoSpaceDN w:val="0"/>
        <w:adjustRightInd w:val="0"/>
        <w:spacing w:after="0" w:line="276" w:lineRule="auto"/>
        <w:jc w:val="both"/>
        <w:rPr>
          <w:rFonts w:ascii="Times New Roman" w:hAnsi="Times New Roman" w:cs="Times New Roman"/>
          <w:sz w:val="24"/>
          <w:szCs w:val="24"/>
          <w:lang w:val="en"/>
        </w:rPr>
      </w:pPr>
      <w:r w:rsidRPr="003C36C7">
        <w:rPr>
          <w:rFonts w:ascii="Times New Roman" w:hAnsi="Times New Roman" w:cs="Times New Roman"/>
          <w:sz w:val="24"/>
          <w:szCs w:val="24"/>
          <w:lang w:val="en"/>
        </w:rPr>
        <w:tab/>
        <w:t xml:space="preserve">Despite their theoretical elegance these models come with various constraints and may not always accurately forecast currency movements, in real world scenarios. For instance PPP assumes uniformity in goods across nations, which may not align with reality due to variations in quality, preferences and trade barriers. Similarly IRP supposes flawless capital mobility without considering factors like transaction expenses and regulatory limitations. </w:t>
      </w:r>
    </w:p>
    <w:p w14:paraId="10E437A2" w14:textId="3AD5C95C" w:rsidR="003C36C7" w:rsidRPr="003C36C7" w:rsidRDefault="003C36C7" w:rsidP="003C36C7">
      <w:pPr>
        <w:widowControl w:val="0"/>
        <w:autoSpaceDE w:val="0"/>
        <w:autoSpaceDN w:val="0"/>
        <w:adjustRightInd w:val="0"/>
        <w:spacing w:after="0" w:line="276" w:lineRule="auto"/>
        <w:jc w:val="both"/>
        <w:rPr>
          <w:rFonts w:ascii="Times New Roman" w:hAnsi="Times New Roman" w:cs="Times New Roman"/>
          <w:sz w:val="24"/>
          <w:szCs w:val="24"/>
          <w:lang w:val="en"/>
        </w:rPr>
      </w:pPr>
      <w:r w:rsidRPr="003C36C7">
        <w:rPr>
          <w:rFonts w:ascii="Times New Roman" w:hAnsi="Times New Roman" w:cs="Times New Roman"/>
          <w:sz w:val="24"/>
          <w:szCs w:val="24"/>
          <w:lang w:val="en"/>
        </w:rPr>
        <w:tab/>
        <w:t>Hence while these theoretical frameworks offer insights, into understanding currency dynamics MNCs should complement them with studies and market intelligence when devising their risk management strategies.</w:t>
      </w:r>
    </w:p>
    <w:p w14:paraId="7535A04E" w14:textId="77777777" w:rsidR="003C36C7" w:rsidRPr="003C36C7" w:rsidRDefault="003C36C7" w:rsidP="003C36C7">
      <w:pPr>
        <w:spacing w:after="0" w:line="360" w:lineRule="auto"/>
        <w:jc w:val="both"/>
        <w:rPr>
          <w:rFonts w:ascii="Times New Roman" w:hAnsi="Times New Roman" w:cs="Times New Roman"/>
          <w:b/>
          <w:sz w:val="24"/>
          <w:szCs w:val="24"/>
          <w:lang w:val="en"/>
        </w:rPr>
      </w:pPr>
    </w:p>
    <w:p w14:paraId="6486B769" w14:textId="77777777" w:rsidR="003C36C7" w:rsidRDefault="003C36C7" w:rsidP="003C36C7">
      <w:pPr>
        <w:widowControl w:val="0"/>
        <w:autoSpaceDE w:val="0"/>
        <w:autoSpaceDN w:val="0"/>
        <w:adjustRightInd w:val="0"/>
        <w:spacing w:after="0" w:line="276" w:lineRule="auto"/>
        <w:jc w:val="both"/>
        <w:rPr>
          <w:rFonts w:ascii="Times New Roman" w:hAnsi="Times New Roman" w:cs="Times New Roman"/>
          <w:b/>
          <w:sz w:val="24"/>
          <w:szCs w:val="24"/>
          <w:lang w:val="en"/>
        </w:rPr>
      </w:pPr>
    </w:p>
    <w:p w14:paraId="1F28DE7F" w14:textId="77777777" w:rsidR="003C36C7" w:rsidRDefault="003C36C7" w:rsidP="003C36C7">
      <w:pPr>
        <w:widowControl w:val="0"/>
        <w:autoSpaceDE w:val="0"/>
        <w:autoSpaceDN w:val="0"/>
        <w:adjustRightInd w:val="0"/>
        <w:spacing w:after="0" w:line="276" w:lineRule="auto"/>
        <w:jc w:val="both"/>
        <w:rPr>
          <w:rFonts w:ascii="Times New Roman" w:hAnsi="Times New Roman" w:cs="Times New Roman"/>
          <w:b/>
          <w:sz w:val="24"/>
          <w:szCs w:val="24"/>
          <w:lang w:val="en"/>
        </w:rPr>
      </w:pPr>
    </w:p>
    <w:p w14:paraId="72B9BB10" w14:textId="77777777" w:rsidR="003C36C7" w:rsidRDefault="003C36C7" w:rsidP="003C36C7">
      <w:pPr>
        <w:widowControl w:val="0"/>
        <w:autoSpaceDE w:val="0"/>
        <w:autoSpaceDN w:val="0"/>
        <w:adjustRightInd w:val="0"/>
        <w:spacing w:after="0" w:line="276" w:lineRule="auto"/>
        <w:jc w:val="both"/>
        <w:rPr>
          <w:rFonts w:ascii="Times New Roman" w:hAnsi="Times New Roman" w:cs="Times New Roman"/>
          <w:b/>
          <w:sz w:val="24"/>
          <w:szCs w:val="24"/>
          <w:lang w:val="en"/>
        </w:rPr>
      </w:pPr>
    </w:p>
    <w:p w14:paraId="6FDD5582" w14:textId="77777777" w:rsidR="003C36C7" w:rsidRDefault="003C36C7" w:rsidP="003C36C7">
      <w:pPr>
        <w:widowControl w:val="0"/>
        <w:autoSpaceDE w:val="0"/>
        <w:autoSpaceDN w:val="0"/>
        <w:adjustRightInd w:val="0"/>
        <w:spacing w:after="0" w:line="276" w:lineRule="auto"/>
        <w:jc w:val="both"/>
        <w:rPr>
          <w:rFonts w:ascii="Times New Roman" w:hAnsi="Times New Roman" w:cs="Times New Roman"/>
          <w:b/>
          <w:sz w:val="24"/>
          <w:szCs w:val="24"/>
          <w:lang w:val="en"/>
        </w:rPr>
      </w:pPr>
    </w:p>
    <w:p w14:paraId="2FC18A5B" w14:textId="5A4A4F9E" w:rsidR="003C36C7" w:rsidRPr="003C36C7" w:rsidRDefault="00765689" w:rsidP="003C36C7">
      <w:pPr>
        <w:widowControl w:val="0"/>
        <w:autoSpaceDE w:val="0"/>
        <w:autoSpaceDN w:val="0"/>
        <w:adjustRightInd w:val="0"/>
        <w:spacing w:after="0" w:line="276" w:lineRule="auto"/>
        <w:jc w:val="both"/>
        <w:rPr>
          <w:rFonts w:ascii="Times New Roman" w:hAnsi="Times New Roman" w:cs="Times New Roman"/>
          <w:sz w:val="24"/>
          <w:szCs w:val="24"/>
          <w:lang w:val="en"/>
        </w:rPr>
      </w:pPr>
      <w:r w:rsidRPr="003C36C7">
        <w:rPr>
          <w:rFonts w:ascii="Times New Roman" w:hAnsi="Times New Roman" w:cs="Times New Roman"/>
          <w:b/>
          <w:sz w:val="24"/>
          <w:szCs w:val="24"/>
        </w:rPr>
        <w:lastRenderedPageBreak/>
        <w:t>3.</w:t>
      </w:r>
      <w:r w:rsidRPr="003C36C7">
        <w:rPr>
          <w:rFonts w:ascii="Times New Roman" w:hAnsi="Times New Roman" w:cs="Times New Roman"/>
          <w:sz w:val="24"/>
          <w:szCs w:val="24"/>
        </w:rPr>
        <w:t xml:space="preserve"> </w:t>
      </w:r>
      <w:r w:rsidR="003C36C7" w:rsidRPr="003C36C7">
        <w:rPr>
          <w:rFonts w:ascii="Times New Roman" w:hAnsi="Times New Roman" w:cs="Times New Roman"/>
          <w:sz w:val="24"/>
          <w:szCs w:val="24"/>
          <w:lang w:val="en"/>
        </w:rPr>
        <w:t>STRATEGIES FOR MANAGING FOREIGN EXCHANGE RISKS</w:t>
      </w:r>
    </w:p>
    <w:p w14:paraId="2EE58BA4" w14:textId="77777777" w:rsidR="003C36C7" w:rsidRPr="003C36C7" w:rsidRDefault="003C36C7" w:rsidP="003C36C7">
      <w:pPr>
        <w:widowControl w:val="0"/>
        <w:autoSpaceDE w:val="0"/>
        <w:autoSpaceDN w:val="0"/>
        <w:adjustRightInd w:val="0"/>
        <w:spacing w:after="0" w:line="276" w:lineRule="auto"/>
        <w:jc w:val="both"/>
        <w:rPr>
          <w:rFonts w:ascii="Times New Roman" w:hAnsi="Times New Roman" w:cs="Times New Roman"/>
          <w:sz w:val="24"/>
          <w:szCs w:val="24"/>
          <w:lang w:val="en"/>
        </w:rPr>
      </w:pPr>
    </w:p>
    <w:p w14:paraId="372AF077" w14:textId="77777777" w:rsidR="003C36C7" w:rsidRPr="003C36C7" w:rsidRDefault="003C36C7" w:rsidP="003C36C7">
      <w:pPr>
        <w:widowControl w:val="0"/>
        <w:autoSpaceDE w:val="0"/>
        <w:autoSpaceDN w:val="0"/>
        <w:adjustRightInd w:val="0"/>
        <w:spacing w:after="0" w:line="276" w:lineRule="auto"/>
        <w:jc w:val="both"/>
        <w:rPr>
          <w:rFonts w:ascii="Times New Roman" w:hAnsi="Times New Roman" w:cs="Times New Roman"/>
          <w:sz w:val="24"/>
          <w:szCs w:val="24"/>
          <w:lang w:val="en"/>
        </w:rPr>
      </w:pPr>
      <w:r w:rsidRPr="003C36C7">
        <w:rPr>
          <w:rFonts w:ascii="Times New Roman" w:hAnsi="Times New Roman" w:cs="Times New Roman"/>
          <w:sz w:val="24"/>
          <w:szCs w:val="24"/>
          <w:lang w:val="en"/>
        </w:rPr>
        <w:tab/>
        <w:t xml:space="preserve">Managing the risks associated with exchange is crucial, for corporations (MNCs) that operate globally. These risks stem from fluctuations in currency exchange rates, which can have an impact on the performance and competitiveness of MNCs. </w:t>
      </w:r>
    </w:p>
    <w:p w14:paraId="0557CF90" w14:textId="77777777" w:rsidR="003C36C7" w:rsidRPr="003C36C7" w:rsidRDefault="003C36C7" w:rsidP="003C36C7">
      <w:pPr>
        <w:widowControl w:val="0"/>
        <w:autoSpaceDE w:val="0"/>
        <w:autoSpaceDN w:val="0"/>
        <w:adjustRightInd w:val="0"/>
        <w:spacing w:after="0" w:line="276" w:lineRule="auto"/>
        <w:jc w:val="both"/>
        <w:rPr>
          <w:rFonts w:ascii="Times New Roman" w:hAnsi="Times New Roman" w:cs="Times New Roman"/>
          <w:sz w:val="24"/>
          <w:szCs w:val="24"/>
          <w:lang w:val="en"/>
        </w:rPr>
      </w:pPr>
      <w:r w:rsidRPr="003C36C7">
        <w:rPr>
          <w:rFonts w:ascii="Times New Roman" w:hAnsi="Times New Roman" w:cs="Times New Roman"/>
          <w:sz w:val="24"/>
          <w:szCs w:val="24"/>
          <w:lang w:val="en"/>
        </w:rPr>
        <w:tab/>
        <w:t>To address these risks MNCs utilize strategies that fall into categories such as hedging techniques, operational hedging, financial hedging and strategic management approaches. (</w:t>
      </w:r>
      <w:r w:rsidRPr="003C36C7">
        <w:rPr>
          <w:rFonts w:ascii="Times New Roman" w:hAnsi="Times New Roman" w:cs="Times New Roman"/>
          <w:lang w:val="en"/>
        </w:rPr>
        <w:t>Abor, 2005)</w:t>
      </w:r>
    </w:p>
    <w:p w14:paraId="14C281FC" w14:textId="77777777" w:rsidR="003C36C7" w:rsidRPr="003C36C7" w:rsidRDefault="003C36C7" w:rsidP="003C36C7">
      <w:pPr>
        <w:widowControl w:val="0"/>
        <w:autoSpaceDE w:val="0"/>
        <w:autoSpaceDN w:val="0"/>
        <w:adjustRightInd w:val="0"/>
        <w:spacing w:after="0" w:line="276" w:lineRule="auto"/>
        <w:jc w:val="both"/>
        <w:rPr>
          <w:rFonts w:ascii="Times New Roman" w:hAnsi="Times New Roman" w:cs="Times New Roman"/>
          <w:sz w:val="24"/>
          <w:szCs w:val="24"/>
          <w:lang w:val="en"/>
        </w:rPr>
      </w:pPr>
    </w:p>
    <w:p w14:paraId="05015CA5" w14:textId="7FC72B1A" w:rsidR="003C36C7" w:rsidRPr="003C36C7" w:rsidRDefault="003C36C7" w:rsidP="003C36C7">
      <w:pPr>
        <w:widowControl w:val="0"/>
        <w:autoSpaceDE w:val="0"/>
        <w:autoSpaceDN w:val="0"/>
        <w:adjustRightInd w:val="0"/>
        <w:spacing w:after="0" w:line="276" w:lineRule="auto"/>
        <w:jc w:val="both"/>
        <w:rPr>
          <w:rFonts w:ascii="Times New Roman" w:hAnsi="Times New Roman" w:cs="Times New Roman"/>
          <w:sz w:val="24"/>
          <w:szCs w:val="24"/>
          <w:lang w:val="en"/>
        </w:rPr>
      </w:pPr>
      <w:r>
        <w:rPr>
          <w:rFonts w:ascii="Times New Roman" w:hAnsi="Times New Roman" w:cs="Times New Roman"/>
          <w:sz w:val="24"/>
          <w:szCs w:val="24"/>
          <w:lang w:val="en"/>
        </w:rPr>
        <w:t>A.</w:t>
      </w:r>
      <w:r w:rsidRPr="003C36C7">
        <w:rPr>
          <w:rFonts w:ascii="Times New Roman" w:hAnsi="Times New Roman" w:cs="Times New Roman"/>
          <w:sz w:val="24"/>
          <w:szCs w:val="24"/>
          <w:lang w:val="en"/>
        </w:rPr>
        <w:t xml:space="preserve"> Hedging Techniques:</w:t>
      </w:r>
    </w:p>
    <w:p w14:paraId="204BCCFB" w14:textId="77777777" w:rsidR="003C36C7" w:rsidRPr="003C36C7" w:rsidRDefault="003C36C7" w:rsidP="003C36C7">
      <w:pPr>
        <w:widowControl w:val="0"/>
        <w:autoSpaceDE w:val="0"/>
        <w:autoSpaceDN w:val="0"/>
        <w:adjustRightInd w:val="0"/>
        <w:spacing w:after="0" w:line="276" w:lineRule="auto"/>
        <w:jc w:val="both"/>
        <w:rPr>
          <w:rFonts w:ascii="Times New Roman" w:hAnsi="Times New Roman" w:cs="Times New Roman"/>
          <w:sz w:val="24"/>
          <w:szCs w:val="24"/>
          <w:lang w:val="en"/>
        </w:rPr>
      </w:pPr>
      <w:r w:rsidRPr="003C36C7">
        <w:rPr>
          <w:rFonts w:ascii="Times New Roman" w:hAnsi="Times New Roman" w:cs="Times New Roman"/>
          <w:sz w:val="24"/>
          <w:szCs w:val="24"/>
          <w:lang w:val="en"/>
        </w:rPr>
        <w:tab/>
        <w:t>Hedging techniques involve the use of tools to counterbalance the effects of movements in exchange rates. Common hedging instruments include contracts, futures contracts and options contracts.</w:t>
      </w:r>
    </w:p>
    <w:p w14:paraId="17038504" w14:textId="77777777" w:rsidR="003C36C7" w:rsidRPr="003C36C7" w:rsidRDefault="003C36C7" w:rsidP="003C36C7">
      <w:pPr>
        <w:widowControl w:val="0"/>
        <w:autoSpaceDE w:val="0"/>
        <w:autoSpaceDN w:val="0"/>
        <w:adjustRightInd w:val="0"/>
        <w:spacing w:after="0" w:line="276" w:lineRule="auto"/>
        <w:jc w:val="both"/>
        <w:rPr>
          <w:rFonts w:ascii="Times New Roman" w:hAnsi="Times New Roman" w:cs="Times New Roman"/>
          <w:sz w:val="24"/>
          <w:szCs w:val="24"/>
          <w:lang w:val="en"/>
        </w:rPr>
      </w:pPr>
      <w:r w:rsidRPr="003C36C7">
        <w:rPr>
          <w:rFonts w:ascii="Times New Roman" w:hAnsi="Times New Roman" w:cs="Times New Roman"/>
          <w:sz w:val="24"/>
          <w:szCs w:val="24"/>
          <w:lang w:val="en"/>
        </w:rPr>
        <w:tab/>
        <w:t>Forward Contracts - A forward contract represents an agreement between two parties to swap a specified amount of currency at a predetermined exchange rate on a date. By entering into contracts MNCs can gain assurance about exchange rates and safeguard themselves against potential losses resulting from adverse currency fluctuations.</w:t>
      </w:r>
    </w:p>
    <w:p w14:paraId="7D129708" w14:textId="77777777" w:rsidR="003C36C7" w:rsidRPr="003C36C7" w:rsidRDefault="003C36C7" w:rsidP="003C36C7">
      <w:pPr>
        <w:widowControl w:val="0"/>
        <w:autoSpaceDE w:val="0"/>
        <w:autoSpaceDN w:val="0"/>
        <w:adjustRightInd w:val="0"/>
        <w:spacing w:after="0" w:line="276" w:lineRule="auto"/>
        <w:jc w:val="both"/>
        <w:rPr>
          <w:rFonts w:ascii="Times New Roman" w:hAnsi="Times New Roman" w:cs="Times New Roman"/>
          <w:sz w:val="24"/>
          <w:szCs w:val="24"/>
          <w:lang w:val="en"/>
        </w:rPr>
      </w:pPr>
      <w:r w:rsidRPr="003C36C7">
        <w:rPr>
          <w:rFonts w:ascii="Times New Roman" w:hAnsi="Times New Roman" w:cs="Times New Roman"/>
          <w:sz w:val="24"/>
          <w:szCs w:val="24"/>
          <w:lang w:val="en"/>
        </w:rPr>
        <w:tab/>
        <w:t>Futures Contracts - Similar to forward contracts but traded on organized exchanges futures contracts offer standardized agreements, with fixed expiration dates and sizes.</w:t>
      </w:r>
    </w:p>
    <w:p w14:paraId="4D391108" w14:textId="77777777" w:rsidR="003C36C7" w:rsidRPr="003C36C7" w:rsidRDefault="003C36C7" w:rsidP="003C36C7">
      <w:pPr>
        <w:widowControl w:val="0"/>
        <w:autoSpaceDE w:val="0"/>
        <w:autoSpaceDN w:val="0"/>
        <w:adjustRightInd w:val="0"/>
        <w:spacing w:after="0" w:line="276" w:lineRule="auto"/>
        <w:jc w:val="both"/>
        <w:rPr>
          <w:rFonts w:ascii="Times New Roman" w:hAnsi="Times New Roman" w:cs="Times New Roman"/>
          <w:sz w:val="24"/>
          <w:szCs w:val="24"/>
          <w:lang w:val="en"/>
        </w:rPr>
      </w:pPr>
      <w:r w:rsidRPr="003C36C7">
        <w:rPr>
          <w:rFonts w:ascii="Times New Roman" w:hAnsi="Times New Roman" w:cs="Times New Roman"/>
          <w:sz w:val="24"/>
          <w:szCs w:val="24"/>
          <w:lang w:val="en"/>
        </w:rPr>
        <w:t>Futures contracts are easily tradable and clear making them a good choice, for protecting against risks.</w:t>
      </w:r>
    </w:p>
    <w:p w14:paraId="76AF2E55" w14:textId="3B09AA1E" w:rsidR="003C36C7" w:rsidRPr="003C36C7" w:rsidRDefault="003C36C7" w:rsidP="003C36C7">
      <w:pPr>
        <w:widowControl w:val="0"/>
        <w:autoSpaceDE w:val="0"/>
        <w:autoSpaceDN w:val="0"/>
        <w:adjustRightInd w:val="0"/>
        <w:spacing w:after="0" w:line="276" w:lineRule="auto"/>
        <w:jc w:val="both"/>
        <w:rPr>
          <w:rFonts w:ascii="Times New Roman" w:hAnsi="Times New Roman" w:cs="Times New Roman"/>
          <w:sz w:val="24"/>
          <w:szCs w:val="24"/>
          <w:lang w:val="en"/>
        </w:rPr>
      </w:pPr>
      <w:r w:rsidRPr="003C36C7">
        <w:rPr>
          <w:rFonts w:ascii="Times New Roman" w:hAnsi="Times New Roman" w:cs="Times New Roman"/>
          <w:sz w:val="24"/>
          <w:szCs w:val="24"/>
          <w:lang w:val="en"/>
        </w:rPr>
        <w:tab/>
      </w:r>
    </w:p>
    <w:p w14:paraId="39916DD6" w14:textId="29CEF928" w:rsidR="003C36C7" w:rsidRPr="003C36C7" w:rsidRDefault="003C36C7" w:rsidP="003C36C7">
      <w:pPr>
        <w:widowControl w:val="0"/>
        <w:autoSpaceDE w:val="0"/>
        <w:autoSpaceDN w:val="0"/>
        <w:adjustRightInd w:val="0"/>
        <w:spacing w:after="0" w:line="276" w:lineRule="auto"/>
        <w:jc w:val="both"/>
        <w:rPr>
          <w:rFonts w:ascii="Times New Roman" w:hAnsi="Times New Roman" w:cs="Times New Roman"/>
          <w:sz w:val="24"/>
          <w:szCs w:val="24"/>
          <w:lang w:val="en"/>
        </w:rPr>
      </w:pPr>
      <w:r>
        <w:rPr>
          <w:rFonts w:ascii="Times New Roman" w:hAnsi="Times New Roman" w:cs="Times New Roman"/>
          <w:sz w:val="24"/>
          <w:szCs w:val="24"/>
          <w:lang w:val="en"/>
        </w:rPr>
        <w:t>B.</w:t>
      </w:r>
      <w:r w:rsidRPr="003C36C7">
        <w:rPr>
          <w:rFonts w:ascii="Times New Roman" w:hAnsi="Times New Roman" w:cs="Times New Roman"/>
          <w:sz w:val="24"/>
          <w:szCs w:val="24"/>
          <w:lang w:val="en"/>
        </w:rPr>
        <w:t xml:space="preserve"> Operational Risk Management:</w:t>
      </w:r>
    </w:p>
    <w:p w14:paraId="1B2F876E" w14:textId="77777777" w:rsidR="003C36C7" w:rsidRPr="003C36C7" w:rsidRDefault="003C36C7" w:rsidP="003C36C7">
      <w:pPr>
        <w:widowControl w:val="0"/>
        <w:autoSpaceDE w:val="0"/>
        <w:autoSpaceDN w:val="0"/>
        <w:adjustRightInd w:val="0"/>
        <w:spacing w:after="0" w:line="276" w:lineRule="auto"/>
        <w:jc w:val="both"/>
        <w:rPr>
          <w:rFonts w:ascii="Times New Roman" w:hAnsi="Times New Roman" w:cs="Times New Roman"/>
          <w:sz w:val="24"/>
          <w:szCs w:val="24"/>
          <w:lang w:val="en"/>
        </w:rPr>
      </w:pPr>
    </w:p>
    <w:p w14:paraId="096B54E4" w14:textId="77777777" w:rsidR="003C36C7" w:rsidRPr="003C36C7" w:rsidRDefault="003C36C7" w:rsidP="003C36C7">
      <w:pPr>
        <w:widowControl w:val="0"/>
        <w:autoSpaceDE w:val="0"/>
        <w:autoSpaceDN w:val="0"/>
        <w:adjustRightInd w:val="0"/>
        <w:spacing w:after="0" w:line="276" w:lineRule="auto"/>
        <w:jc w:val="both"/>
        <w:rPr>
          <w:rFonts w:ascii="Times New Roman" w:hAnsi="Times New Roman" w:cs="Times New Roman"/>
          <w:sz w:val="24"/>
          <w:szCs w:val="24"/>
          <w:lang w:val="en"/>
        </w:rPr>
      </w:pPr>
      <w:r w:rsidRPr="003C36C7">
        <w:rPr>
          <w:rFonts w:ascii="Times New Roman" w:hAnsi="Times New Roman" w:cs="Times New Roman"/>
          <w:sz w:val="24"/>
          <w:szCs w:val="24"/>
          <w:lang w:val="en"/>
        </w:rPr>
        <w:tab/>
        <w:t>Operational risk management involves handling foreign exchange risks through decisions and practices within the business operations of companies. Key strategies for risk management include invoicing in currencies adjusting payment timings and balancing payables and receivables. (</w:t>
      </w:r>
      <w:r w:rsidRPr="003C36C7">
        <w:rPr>
          <w:rFonts w:ascii="Times New Roman" w:hAnsi="Times New Roman" w:cs="Times New Roman"/>
          <w:lang w:val="en"/>
        </w:rPr>
        <w:t>Wang, H. and Zhu, J. (2016)</w:t>
      </w:r>
    </w:p>
    <w:p w14:paraId="75A45EB4" w14:textId="77777777" w:rsidR="003C36C7" w:rsidRPr="003C36C7" w:rsidRDefault="003C36C7" w:rsidP="003C36C7">
      <w:pPr>
        <w:widowControl w:val="0"/>
        <w:autoSpaceDE w:val="0"/>
        <w:autoSpaceDN w:val="0"/>
        <w:adjustRightInd w:val="0"/>
        <w:spacing w:after="0" w:line="276" w:lineRule="auto"/>
        <w:jc w:val="both"/>
        <w:rPr>
          <w:rFonts w:ascii="Times New Roman" w:hAnsi="Times New Roman" w:cs="Times New Roman"/>
          <w:sz w:val="24"/>
          <w:szCs w:val="24"/>
          <w:lang w:val="en"/>
        </w:rPr>
      </w:pPr>
      <w:r w:rsidRPr="003C36C7">
        <w:rPr>
          <w:rFonts w:ascii="Times New Roman" w:hAnsi="Times New Roman" w:cs="Times New Roman"/>
          <w:sz w:val="24"/>
          <w:szCs w:val="24"/>
          <w:lang w:val="en"/>
        </w:rPr>
        <w:tab/>
        <w:t>Currency Invoicing - Multinational companies can lower their exposure to currency rate fluctuations by billing transactions in their currency or a stable one. This helps reduce the impact of currency volatility on revenue and expenses leading to cash flows.</w:t>
      </w:r>
    </w:p>
    <w:p w14:paraId="2E3A6473" w14:textId="6A8A62B1" w:rsidR="003C36C7" w:rsidRPr="003C36C7" w:rsidRDefault="003C36C7" w:rsidP="003C36C7">
      <w:pPr>
        <w:widowControl w:val="0"/>
        <w:autoSpaceDE w:val="0"/>
        <w:autoSpaceDN w:val="0"/>
        <w:adjustRightInd w:val="0"/>
        <w:spacing w:after="0" w:line="276" w:lineRule="auto"/>
        <w:jc w:val="both"/>
        <w:rPr>
          <w:rFonts w:ascii="Times New Roman" w:hAnsi="Times New Roman" w:cs="Times New Roman"/>
          <w:sz w:val="24"/>
          <w:szCs w:val="24"/>
          <w:lang w:val="en"/>
        </w:rPr>
      </w:pPr>
      <w:r w:rsidRPr="003C36C7">
        <w:rPr>
          <w:rFonts w:ascii="Times New Roman" w:hAnsi="Times New Roman" w:cs="Times New Roman"/>
          <w:sz w:val="24"/>
          <w:szCs w:val="24"/>
          <w:lang w:val="en"/>
        </w:rPr>
        <w:tab/>
        <w:t>Balancing Payables and Receivables - Offsetting payables and receivables in the same currency, through netting helps minimize overall exposure to exchange rate fluctuations. Matching entails adjusting the timing of cash flows to align with opposing currency positions in order to reduce the necessity, for hedging.</w:t>
      </w:r>
    </w:p>
    <w:p w14:paraId="112C541D" w14:textId="77777777" w:rsidR="003C36C7" w:rsidRPr="003C36C7" w:rsidRDefault="003C36C7" w:rsidP="003C36C7">
      <w:pPr>
        <w:widowControl w:val="0"/>
        <w:autoSpaceDE w:val="0"/>
        <w:autoSpaceDN w:val="0"/>
        <w:adjustRightInd w:val="0"/>
        <w:spacing w:after="0" w:line="276" w:lineRule="auto"/>
        <w:jc w:val="both"/>
        <w:rPr>
          <w:rFonts w:ascii="Times New Roman" w:hAnsi="Times New Roman" w:cs="Times New Roman"/>
          <w:sz w:val="24"/>
          <w:szCs w:val="24"/>
          <w:lang w:val="en"/>
        </w:rPr>
      </w:pPr>
      <w:r w:rsidRPr="003C36C7">
        <w:rPr>
          <w:rFonts w:ascii="Times New Roman" w:hAnsi="Times New Roman" w:cs="Times New Roman"/>
          <w:sz w:val="24"/>
          <w:szCs w:val="24"/>
          <w:lang w:val="en"/>
        </w:rPr>
        <w:tab/>
        <w:t>Money Market Hedges - This method involves borrowing or lending in currencies to counterbalance currency exposure. Multinational corporations (MNCs) can borrow funds in a currency where they have a hedge and invest the proceeds in a currency where they have an exposure effectively managing their currency risk.</w:t>
      </w:r>
    </w:p>
    <w:p w14:paraId="6CA3A92F" w14:textId="77777777" w:rsidR="003C36C7" w:rsidRPr="003C36C7" w:rsidRDefault="003C36C7" w:rsidP="003C36C7">
      <w:pPr>
        <w:widowControl w:val="0"/>
        <w:autoSpaceDE w:val="0"/>
        <w:autoSpaceDN w:val="0"/>
        <w:adjustRightInd w:val="0"/>
        <w:spacing w:after="0" w:line="276" w:lineRule="auto"/>
        <w:jc w:val="both"/>
        <w:rPr>
          <w:rFonts w:ascii="Times New Roman" w:hAnsi="Times New Roman" w:cs="Times New Roman"/>
          <w:sz w:val="24"/>
          <w:szCs w:val="24"/>
          <w:lang w:val="en"/>
        </w:rPr>
      </w:pPr>
      <w:r w:rsidRPr="003C36C7">
        <w:rPr>
          <w:rFonts w:ascii="Times New Roman" w:hAnsi="Times New Roman" w:cs="Times New Roman"/>
          <w:sz w:val="24"/>
          <w:szCs w:val="24"/>
          <w:lang w:val="en"/>
        </w:rPr>
        <w:tab/>
        <w:t xml:space="preserve">Currency Swaps - These swaps entail exchanging fixed or floating interest rate payments in different currencies. By swapping cash flows MNCs can mitigate their currency exposure while </w:t>
      </w:r>
      <w:r w:rsidRPr="003C36C7">
        <w:rPr>
          <w:rFonts w:ascii="Times New Roman" w:hAnsi="Times New Roman" w:cs="Times New Roman"/>
          <w:sz w:val="24"/>
          <w:szCs w:val="24"/>
          <w:lang w:val="en"/>
        </w:rPr>
        <w:lastRenderedPageBreak/>
        <w:t>maintaining their debt structure.</w:t>
      </w:r>
    </w:p>
    <w:p w14:paraId="68896787" w14:textId="59F90DEB" w:rsidR="003C36C7" w:rsidRPr="003C36C7" w:rsidRDefault="003C36C7" w:rsidP="003C36C7">
      <w:pPr>
        <w:widowControl w:val="0"/>
        <w:autoSpaceDE w:val="0"/>
        <w:autoSpaceDN w:val="0"/>
        <w:adjustRightInd w:val="0"/>
        <w:spacing w:after="0" w:line="276" w:lineRule="auto"/>
        <w:jc w:val="both"/>
        <w:rPr>
          <w:rFonts w:ascii="Times New Roman" w:hAnsi="Times New Roman" w:cs="Times New Roman"/>
          <w:sz w:val="24"/>
          <w:szCs w:val="24"/>
          <w:lang w:val="en"/>
        </w:rPr>
      </w:pPr>
      <w:r w:rsidRPr="003C36C7">
        <w:rPr>
          <w:rFonts w:ascii="Times New Roman" w:hAnsi="Times New Roman" w:cs="Times New Roman"/>
          <w:sz w:val="24"/>
          <w:szCs w:val="24"/>
          <w:lang w:val="en"/>
        </w:rPr>
        <w:tab/>
        <w:t>Currency Options and Swaps - Currency options and swaps offer MNCs flexibility in handling currency risk. Options provide protection against exchange rate movements while allowing participation in ones whereas swaps enable the exchange of cash flows in diverse currencies.</w:t>
      </w:r>
    </w:p>
    <w:p w14:paraId="7A5595E8" w14:textId="77777777" w:rsidR="003C36C7" w:rsidRPr="003C36C7" w:rsidRDefault="003C36C7" w:rsidP="003C36C7">
      <w:pPr>
        <w:widowControl w:val="0"/>
        <w:autoSpaceDE w:val="0"/>
        <w:autoSpaceDN w:val="0"/>
        <w:adjustRightInd w:val="0"/>
        <w:spacing w:after="0" w:line="276" w:lineRule="auto"/>
        <w:ind w:firstLine="720"/>
        <w:jc w:val="both"/>
        <w:rPr>
          <w:rFonts w:ascii="Times New Roman" w:hAnsi="Times New Roman" w:cs="Times New Roman"/>
          <w:sz w:val="24"/>
          <w:szCs w:val="24"/>
          <w:lang w:val="en"/>
        </w:rPr>
      </w:pPr>
      <w:r w:rsidRPr="003C36C7">
        <w:rPr>
          <w:rFonts w:ascii="Times New Roman" w:hAnsi="Times New Roman" w:cs="Times New Roman"/>
          <w:sz w:val="24"/>
          <w:szCs w:val="24"/>
          <w:lang w:val="en"/>
        </w:rPr>
        <w:t>Key strategic management methods include hedging, diversification and selective exposure management.</w:t>
      </w:r>
    </w:p>
    <w:p w14:paraId="4064ECC0" w14:textId="77777777" w:rsidR="003C36C7" w:rsidRPr="003C36C7" w:rsidRDefault="003C36C7" w:rsidP="003C36C7">
      <w:pPr>
        <w:widowControl w:val="0"/>
        <w:autoSpaceDE w:val="0"/>
        <w:autoSpaceDN w:val="0"/>
        <w:adjustRightInd w:val="0"/>
        <w:spacing w:after="0" w:line="276" w:lineRule="auto"/>
        <w:jc w:val="both"/>
        <w:rPr>
          <w:rFonts w:ascii="Times New Roman" w:hAnsi="Times New Roman" w:cs="Times New Roman"/>
          <w:sz w:val="24"/>
          <w:szCs w:val="24"/>
          <w:lang w:val="en"/>
        </w:rPr>
      </w:pPr>
      <w:r w:rsidRPr="003C36C7">
        <w:rPr>
          <w:rFonts w:ascii="Times New Roman" w:hAnsi="Times New Roman" w:cs="Times New Roman"/>
          <w:sz w:val="24"/>
          <w:szCs w:val="24"/>
          <w:lang w:val="en"/>
        </w:rPr>
        <w:tab/>
        <w:t>Hedging - Natural hedging refers to organizing business operations in a way that naturally balances out currency risks. For instance a company generating revenues, in one currency while having expenses in another can use hedging to lessen its exposure to currency risk.</w:t>
      </w:r>
    </w:p>
    <w:p w14:paraId="4EAB66A1" w14:textId="5DD4F3D5" w:rsidR="003C36C7" w:rsidRPr="003C36C7" w:rsidRDefault="003C36C7" w:rsidP="003C36C7">
      <w:pPr>
        <w:widowControl w:val="0"/>
        <w:autoSpaceDE w:val="0"/>
        <w:autoSpaceDN w:val="0"/>
        <w:adjustRightInd w:val="0"/>
        <w:spacing w:after="0" w:line="276" w:lineRule="auto"/>
        <w:jc w:val="both"/>
        <w:rPr>
          <w:rFonts w:ascii="Times New Roman" w:hAnsi="Times New Roman" w:cs="Times New Roman"/>
          <w:sz w:val="24"/>
          <w:szCs w:val="24"/>
          <w:lang w:val="en"/>
        </w:rPr>
      </w:pPr>
      <w:r w:rsidRPr="003C36C7">
        <w:rPr>
          <w:rFonts w:ascii="Times New Roman" w:hAnsi="Times New Roman" w:cs="Times New Roman"/>
          <w:sz w:val="24"/>
          <w:szCs w:val="24"/>
          <w:lang w:val="en"/>
        </w:rPr>
        <w:tab/>
        <w:t>Selective Exposure Management - Selective exposure management means actively handling currency risk exposures based on market conditions, business goals and risk tolerance. MNCs have the option to selectively hedge exposures considered significant or strategically important while leaving others unhedged.</w:t>
      </w:r>
    </w:p>
    <w:p w14:paraId="76BAB4F2" w14:textId="208CFAD8" w:rsidR="00F154C1" w:rsidRPr="003C36C7" w:rsidRDefault="00F154C1" w:rsidP="003C36C7">
      <w:pPr>
        <w:spacing w:after="0" w:line="360" w:lineRule="auto"/>
        <w:jc w:val="both"/>
        <w:rPr>
          <w:rFonts w:ascii="Times New Roman" w:hAnsi="Times New Roman" w:cs="Times New Roman"/>
          <w:sz w:val="24"/>
          <w:szCs w:val="24"/>
          <w:lang w:val="en"/>
        </w:rPr>
      </w:pPr>
    </w:p>
    <w:p w14:paraId="73BC97DB" w14:textId="77777777" w:rsidR="00F154C1" w:rsidRPr="003C36C7" w:rsidRDefault="00F154C1" w:rsidP="00712A4E">
      <w:pPr>
        <w:spacing w:after="0" w:line="360" w:lineRule="auto"/>
        <w:jc w:val="both"/>
        <w:rPr>
          <w:rFonts w:ascii="Times New Roman" w:hAnsi="Times New Roman" w:cs="Times New Roman"/>
          <w:sz w:val="24"/>
          <w:szCs w:val="24"/>
        </w:rPr>
      </w:pPr>
    </w:p>
    <w:p w14:paraId="7CBA9254" w14:textId="77777777" w:rsidR="003C36C7" w:rsidRPr="003C36C7" w:rsidRDefault="00FA0406" w:rsidP="003C36C7">
      <w:pPr>
        <w:widowControl w:val="0"/>
        <w:autoSpaceDE w:val="0"/>
        <w:autoSpaceDN w:val="0"/>
        <w:adjustRightInd w:val="0"/>
        <w:spacing w:after="0" w:line="276" w:lineRule="auto"/>
        <w:jc w:val="both"/>
        <w:rPr>
          <w:rFonts w:ascii="Times New Roman" w:hAnsi="Times New Roman" w:cs="Times New Roman"/>
          <w:sz w:val="24"/>
          <w:szCs w:val="24"/>
          <w:lang w:val="en"/>
        </w:rPr>
      </w:pPr>
      <w:r w:rsidRPr="003C36C7">
        <w:rPr>
          <w:rFonts w:ascii="Times New Roman" w:hAnsi="Times New Roman" w:cs="Times New Roman"/>
          <w:b/>
          <w:sz w:val="24"/>
          <w:szCs w:val="24"/>
        </w:rPr>
        <w:t xml:space="preserve">4. </w:t>
      </w:r>
      <w:r w:rsidR="003C36C7" w:rsidRPr="003C36C7">
        <w:rPr>
          <w:rFonts w:ascii="Times New Roman" w:hAnsi="Times New Roman" w:cs="Times New Roman"/>
          <w:sz w:val="24"/>
          <w:szCs w:val="24"/>
          <w:lang w:val="en"/>
        </w:rPr>
        <w:t>EVALUATION OF STRATEGIES</w:t>
      </w:r>
    </w:p>
    <w:p w14:paraId="1C8C9CD3" w14:textId="77777777" w:rsidR="003C36C7" w:rsidRPr="003C36C7" w:rsidRDefault="003C36C7" w:rsidP="003C36C7">
      <w:pPr>
        <w:widowControl w:val="0"/>
        <w:autoSpaceDE w:val="0"/>
        <w:autoSpaceDN w:val="0"/>
        <w:adjustRightInd w:val="0"/>
        <w:spacing w:after="0" w:line="276" w:lineRule="auto"/>
        <w:jc w:val="both"/>
        <w:rPr>
          <w:rFonts w:ascii="Times New Roman" w:hAnsi="Times New Roman" w:cs="Times New Roman"/>
          <w:sz w:val="24"/>
          <w:szCs w:val="24"/>
          <w:lang w:val="en"/>
        </w:rPr>
      </w:pPr>
    </w:p>
    <w:p w14:paraId="59690B50" w14:textId="77777777" w:rsidR="003C36C7" w:rsidRPr="003C36C7" w:rsidRDefault="003C36C7" w:rsidP="003C36C7">
      <w:pPr>
        <w:widowControl w:val="0"/>
        <w:autoSpaceDE w:val="0"/>
        <w:autoSpaceDN w:val="0"/>
        <w:adjustRightInd w:val="0"/>
        <w:spacing w:after="0" w:line="276" w:lineRule="auto"/>
        <w:jc w:val="both"/>
        <w:rPr>
          <w:rFonts w:ascii="Times New Roman" w:hAnsi="Times New Roman" w:cs="Times New Roman"/>
          <w:sz w:val="24"/>
          <w:szCs w:val="24"/>
          <w:lang w:val="en"/>
        </w:rPr>
      </w:pPr>
      <w:r w:rsidRPr="003C36C7">
        <w:rPr>
          <w:rFonts w:ascii="Times New Roman" w:hAnsi="Times New Roman" w:cs="Times New Roman"/>
          <w:sz w:val="24"/>
          <w:szCs w:val="24"/>
          <w:lang w:val="en"/>
        </w:rPr>
        <w:t>a) Effectiveness, in Managing Foreign Exchange Risks:</w:t>
      </w:r>
    </w:p>
    <w:p w14:paraId="2DE3F2E6" w14:textId="77777777" w:rsidR="003C36C7" w:rsidRPr="003C36C7" w:rsidRDefault="003C36C7" w:rsidP="003C36C7">
      <w:pPr>
        <w:widowControl w:val="0"/>
        <w:autoSpaceDE w:val="0"/>
        <w:autoSpaceDN w:val="0"/>
        <w:adjustRightInd w:val="0"/>
        <w:spacing w:after="0" w:line="276" w:lineRule="auto"/>
        <w:jc w:val="both"/>
        <w:rPr>
          <w:rFonts w:ascii="Times New Roman" w:hAnsi="Times New Roman" w:cs="Times New Roman"/>
          <w:sz w:val="24"/>
          <w:szCs w:val="24"/>
          <w:lang w:val="en"/>
        </w:rPr>
      </w:pPr>
    </w:p>
    <w:p w14:paraId="1CEA3E8B" w14:textId="77777777" w:rsidR="003C36C7" w:rsidRPr="003C36C7" w:rsidRDefault="003C36C7" w:rsidP="003C36C7">
      <w:pPr>
        <w:widowControl w:val="0"/>
        <w:autoSpaceDE w:val="0"/>
        <w:autoSpaceDN w:val="0"/>
        <w:adjustRightInd w:val="0"/>
        <w:spacing w:after="0" w:line="276" w:lineRule="auto"/>
        <w:jc w:val="both"/>
        <w:rPr>
          <w:rFonts w:ascii="Times New Roman" w:hAnsi="Times New Roman" w:cs="Times New Roman"/>
          <w:sz w:val="24"/>
          <w:szCs w:val="24"/>
          <w:lang w:val="en"/>
        </w:rPr>
      </w:pPr>
      <w:r w:rsidRPr="003C36C7">
        <w:rPr>
          <w:rFonts w:ascii="Times New Roman" w:hAnsi="Times New Roman" w:cs="Times New Roman"/>
          <w:sz w:val="24"/>
          <w:szCs w:val="24"/>
          <w:lang w:val="en"/>
        </w:rPr>
        <w:tab/>
        <w:t xml:space="preserve">The success of strategies used to handle foreign exchange risks relies on a variety of factors including the type of risks involved, market conditions and the specific situation of the corporation (MNC). </w:t>
      </w:r>
    </w:p>
    <w:p w14:paraId="616E1DEE" w14:textId="77777777" w:rsidR="003C36C7" w:rsidRPr="003C36C7" w:rsidRDefault="003C36C7" w:rsidP="003C36C7">
      <w:pPr>
        <w:widowControl w:val="0"/>
        <w:autoSpaceDE w:val="0"/>
        <w:autoSpaceDN w:val="0"/>
        <w:adjustRightInd w:val="0"/>
        <w:spacing w:after="0" w:line="276" w:lineRule="auto"/>
        <w:jc w:val="both"/>
        <w:rPr>
          <w:rFonts w:ascii="Times New Roman" w:hAnsi="Times New Roman" w:cs="Times New Roman"/>
          <w:sz w:val="24"/>
          <w:szCs w:val="24"/>
          <w:lang w:val="en"/>
        </w:rPr>
      </w:pPr>
      <w:r w:rsidRPr="003C36C7">
        <w:rPr>
          <w:rFonts w:ascii="Times New Roman" w:hAnsi="Times New Roman" w:cs="Times New Roman"/>
          <w:sz w:val="24"/>
          <w:szCs w:val="24"/>
          <w:lang w:val="en"/>
        </w:rPr>
        <w:tab/>
        <w:t xml:space="preserve">Methods like hedging practices, operational hedging, financial hedging and strategic management approaches can all play a role in reducing currency risk exposure to extents. To gauge the effectiveness of these strategies it is crucial to evaluate how well they can minimize the impact of exchange rate fluctuations on the financial performance and competitiveness of the MNC. </w:t>
      </w:r>
      <w:r w:rsidRPr="003C36C7">
        <w:rPr>
          <w:rFonts w:ascii="Times New Roman" w:hAnsi="Times New Roman" w:cs="Times New Roman"/>
          <w:sz w:val="28"/>
          <w:szCs w:val="28"/>
          <w:lang w:val="en"/>
        </w:rPr>
        <w:t>(</w:t>
      </w:r>
      <w:r w:rsidRPr="003C36C7">
        <w:rPr>
          <w:rFonts w:ascii="Times New Roman" w:hAnsi="Times New Roman" w:cs="Times New Roman"/>
          <w:sz w:val="24"/>
          <w:szCs w:val="24"/>
          <w:lang w:val="en"/>
        </w:rPr>
        <w:t xml:space="preserve">Hecht and Lampenius, 2023) </w:t>
      </w:r>
    </w:p>
    <w:p w14:paraId="587F1F95" w14:textId="77777777" w:rsidR="003C36C7" w:rsidRPr="003C36C7" w:rsidRDefault="003C36C7" w:rsidP="003C36C7">
      <w:pPr>
        <w:widowControl w:val="0"/>
        <w:autoSpaceDE w:val="0"/>
        <w:autoSpaceDN w:val="0"/>
        <w:adjustRightInd w:val="0"/>
        <w:spacing w:after="0" w:line="276" w:lineRule="auto"/>
        <w:jc w:val="both"/>
        <w:rPr>
          <w:rFonts w:ascii="Times New Roman" w:hAnsi="Times New Roman" w:cs="Times New Roman"/>
          <w:sz w:val="24"/>
          <w:szCs w:val="24"/>
          <w:lang w:val="en"/>
        </w:rPr>
      </w:pPr>
    </w:p>
    <w:p w14:paraId="1FEB7517" w14:textId="77777777" w:rsidR="003C36C7" w:rsidRPr="003C36C7" w:rsidRDefault="003C36C7" w:rsidP="003C36C7">
      <w:pPr>
        <w:widowControl w:val="0"/>
        <w:autoSpaceDE w:val="0"/>
        <w:autoSpaceDN w:val="0"/>
        <w:adjustRightInd w:val="0"/>
        <w:spacing w:after="0" w:line="276" w:lineRule="auto"/>
        <w:jc w:val="both"/>
        <w:rPr>
          <w:rFonts w:ascii="Times New Roman" w:hAnsi="Times New Roman" w:cs="Times New Roman"/>
          <w:sz w:val="24"/>
          <w:szCs w:val="24"/>
          <w:lang w:val="en"/>
        </w:rPr>
      </w:pPr>
      <w:r w:rsidRPr="003C36C7">
        <w:rPr>
          <w:rFonts w:ascii="Times New Roman" w:hAnsi="Times New Roman" w:cs="Times New Roman"/>
          <w:sz w:val="24"/>
          <w:szCs w:val="24"/>
          <w:lang w:val="en"/>
        </w:rPr>
        <w:t>b) Analysis of Costs and Benefits:</w:t>
      </w:r>
    </w:p>
    <w:p w14:paraId="26F7C4A8" w14:textId="77777777" w:rsidR="003C36C7" w:rsidRPr="003C36C7" w:rsidRDefault="003C36C7" w:rsidP="003C36C7">
      <w:pPr>
        <w:widowControl w:val="0"/>
        <w:autoSpaceDE w:val="0"/>
        <w:autoSpaceDN w:val="0"/>
        <w:adjustRightInd w:val="0"/>
        <w:spacing w:after="0" w:line="276" w:lineRule="auto"/>
        <w:jc w:val="both"/>
        <w:rPr>
          <w:rFonts w:ascii="Times New Roman" w:hAnsi="Times New Roman" w:cs="Times New Roman"/>
          <w:sz w:val="24"/>
          <w:szCs w:val="24"/>
          <w:lang w:val="en"/>
        </w:rPr>
      </w:pPr>
      <w:r w:rsidRPr="003C36C7">
        <w:rPr>
          <w:rFonts w:ascii="Times New Roman" w:hAnsi="Times New Roman" w:cs="Times New Roman"/>
          <w:sz w:val="24"/>
          <w:szCs w:val="24"/>
          <w:lang w:val="en"/>
        </w:rPr>
        <w:tab/>
        <w:t>In assessing strategies for mitigating foreign exchange risks MNCs need to take into account both the costs and benefits associated with each option. This evaluation typically includes analyzing expenses, operational implications and strategic considerations.</w:t>
      </w:r>
    </w:p>
    <w:p w14:paraId="0A401795" w14:textId="77777777" w:rsidR="003C36C7" w:rsidRPr="003C36C7" w:rsidRDefault="003C36C7" w:rsidP="003C36C7">
      <w:pPr>
        <w:widowControl w:val="0"/>
        <w:autoSpaceDE w:val="0"/>
        <w:autoSpaceDN w:val="0"/>
        <w:adjustRightInd w:val="0"/>
        <w:spacing w:after="0" w:line="276" w:lineRule="auto"/>
        <w:jc w:val="both"/>
        <w:rPr>
          <w:rFonts w:ascii="Times New Roman" w:hAnsi="Times New Roman" w:cs="Times New Roman"/>
          <w:sz w:val="24"/>
          <w:szCs w:val="24"/>
          <w:lang w:val="en"/>
        </w:rPr>
      </w:pPr>
      <w:r w:rsidRPr="003C36C7">
        <w:rPr>
          <w:rFonts w:ascii="Times New Roman" w:hAnsi="Times New Roman" w:cs="Times New Roman"/>
          <w:sz w:val="24"/>
          <w:szCs w:val="24"/>
          <w:lang w:val="en"/>
        </w:rPr>
        <w:tab/>
        <w:t>Financial Expenses- Strategies like hedging often come with costs such as transaction fees premiums for options contracts and potential losses if the hedge does not perfectly align with the exposure. MNCs must carefully weigh these expenses against savings from avoiding losses caused by movements in exchange rates. (</w:t>
      </w:r>
      <w:r w:rsidRPr="003C36C7">
        <w:rPr>
          <w:rFonts w:ascii="Times New Roman" w:hAnsi="Times New Roman" w:cs="Times New Roman"/>
          <w:lang w:val="en"/>
        </w:rPr>
        <w:t>Glaum, 2002)</w:t>
      </w:r>
    </w:p>
    <w:p w14:paraId="57D56B98" w14:textId="77777777" w:rsidR="003C36C7" w:rsidRPr="003C36C7" w:rsidRDefault="003C36C7" w:rsidP="003C36C7">
      <w:pPr>
        <w:widowControl w:val="0"/>
        <w:autoSpaceDE w:val="0"/>
        <w:autoSpaceDN w:val="0"/>
        <w:adjustRightInd w:val="0"/>
        <w:spacing w:after="0" w:line="276" w:lineRule="auto"/>
        <w:jc w:val="both"/>
        <w:rPr>
          <w:rFonts w:ascii="Times New Roman" w:hAnsi="Times New Roman" w:cs="Times New Roman"/>
          <w:sz w:val="24"/>
          <w:szCs w:val="24"/>
          <w:lang w:val="en"/>
        </w:rPr>
      </w:pPr>
      <w:r w:rsidRPr="003C36C7">
        <w:rPr>
          <w:rFonts w:ascii="Times New Roman" w:hAnsi="Times New Roman" w:cs="Times New Roman"/>
          <w:sz w:val="24"/>
          <w:szCs w:val="24"/>
          <w:lang w:val="en"/>
        </w:rPr>
        <w:tab/>
        <w:t>Implications- Putting hedging strategies into practice may have implications for MNCs including increased administrative workload, complexities in accounting and reporting procedures as well as a requirement, for specialized expertise.</w:t>
      </w:r>
    </w:p>
    <w:p w14:paraId="1FD20A74" w14:textId="77777777" w:rsidR="003C36C7" w:rsidRPr="003C36C7" w:rsidRDefault="003C36C7" w:rsidP="003C36C7">
      <w:pPr>
        <w:widowControl w:val="0"/>
        <w:autoSpaceDE w:val="0"/>
        <w:autoSpaceDN w:val="0"/>
        <w:adjustRightInd w:val="0"/>
        <w:spacing w:after="0" w:line="276" w:lineRule="auto"/>
        <w:jc w:val="both"/>
        <w:rPr>
          <w:rFonts w:ascii="Times New Roman" w:hAnsi="Times New Roman" w:cs="Times New Roman"/>
          <w:sz w:val="24"/>
          <w:szCs w:val="24"/>
          <w:lang w:val="en"/>
        </w:rPr>
      </w:pPr>
      <w:r w:rsidRPr="003C36C7">
        <w:rPr>
          <w:rFonts w:ascii="Times New Roman" w:hAnsi="Times New Roman" w:cs="Times New Roman"/>
          <w:sz w:val="24"/>
          <w:szCs w:val="24"/>
          <w:lang w:val="en"/>
        </w:rPr>
        <w:lastRenderedPageBreak/>
        <w:tab/>
        <w:t>Strategic Factors- Making hedging decisions can carry implications, for MNCs impacting their positioning, capital allocation choices and overall risk management approach. It is crucial for MNCs to align their hedging strategies with their business goals and risk tolerance to ensure they contribute to long term value creation.</w:t>
      </w:r>
    </w:p>
    <w:p w14:paraId="57E7D8F5" w14:textId="77777777" w:rsidR="003C36C7" w:rsidRPr="003C36C7" w:rsidRDefault="003C36C7" w:rsidP="003C36C7">
      <w:pPr>
        <w:widowControl w:val="0"/>
        <w:autoSpaceDE w:val="0"/>
        <w:autoSpaceDN w:val="0"/>
        <w:adjustRightInd w:val="0"/>
        <w:spacing w:after="0" w:line="276" w:lineRule="auto"/>
        <w:jc w:val="both"/>
        <w:rPr>
          <w:rFonts w:ascii="Times New Roman" w:hAnsi="Times New Roman" w:cs="Times New Roman"/>
          <w:sz w:val="24"/>
          <w:szCs w:val="24"/>
          <w:lang w:val="en"/>
        </w:rPr>
      </w:pPr>
    </w:p>
    <w:p w14:paraId="747B2084" w14:textId="77777777" w:rsidR="003C36C7" w:rsidRPr="003C36C7" w:rsidRDefault="003C36C7" w:rsidP="003C36C7">
      <w:pPr>
        <w:widowControl w:val="0"/>
        <w:autoSpaceDE w:val="0"/>
        <w:autoSpaceDN w:val="0"/>
        <w:adjustRightInd w:val="0"/>
        <w:spacing w:after="0" w:line="276" w:lineRule="auto"/>
        <w:jc w:val="both"/>
        <w:rPr>
          <w:rFonts w:ascii="Times New Roman" w:hAnsi="Times New Roman" w:cs="Times New Roman"/>
          <w:sz w:val="24"/>
          <w:szCs w:val="24"/>
          <w:lang w:val="en"/>
        </w:rPr>
      </w:pPr>
      <w:r w:rsidRPr="003C36C7">
        <w:rPr>
          <w:rFonts w:ascii="Times New Roman" w:hAnsi="Times New Roman" w:cs="Times New Roman"/>
          <w:sz w:val="24"/>
          <w:szCs w:val="24"/>
          <w:lang w:val="en"/>
        </w:rPr>
        <w:t>c) Examination of Real life Cases and Data;</w:t>
      </w:r>
    </w:p>
    <w:p w14:paraId="329B6F46" w14:textId="77777777" w:rsidR="003C36C7" w:rsidRPr="003C36C7" w:rsidRDefault="003C36C7" w:rsidP="003C36C7">
      <w:pPr>
        <w:widowControl w:val="0"/>
        <w:autoSpaceDE w:val="0"/>
        <w:autoSpaceDN w:val="0"/>
        <w:adjustRightInd w:val="0"/>
        <w:spacing w:after="0" w:line="276" w:lineRule="auto"/>
        <w:jc w:val="both"/>
        <w:rPr>
          <w:rFonts w:ascii="Times New Roman" w:hAnsi="Times New Roman" w:cs="Times New Roman"/>
          <w:sz w:val="24"/>
          <w:szCs w:val="24"/>
          <w:lang w:val="en"/>
        </w:rPr>
      </w:pPr>
    </w:p>
    <w:p w14:paraId="1008AC12" w14:textId="77777777" w:rsidR="003C36C7" w:rsidRPr="003C36C7" w:rsidRDefault="003C36C7" w:rsidP="003C36C7">
      <w:pPr>
        <w:widowControl w:val="0"/>
        <w:autoSpaceDE w:val="0"/>
        <w:autoSpaceDN w:val="0"/>
        <w:adjustRightInd w:val="0"/>
        <w:spacing w:after="0" w:line="276" w:lineRule="auto"/>
        <w:jc w:val="both"/>
        <w:rPr>
          <w:rFonts w:ascii="Times New Roman" w:hAnsi="Times New Roman" w:cs="Times New Roman"/>
          <w:sz w:val="24"/>
          <w:szCs w:val="24"/>
          <w:lang w:val="en"/>
        </w:rPr>
      </w:pPr>
      <w:r w:rsidRPr="003C36C7">
        <w:rPr>
          <w:rFonts w:ascii="Times New Roman" w:hAnsi="Times New Roman" w:cs="Times New Roman"/>
          <w:sz w:val="24"/>
          <w:szCs w:val="24"/>
          <w:lang w:val="en"/>
        </w:rPr>
        <w:tab/>
        <w:t>Studying real life cases and empirical data offers insights into the effectiveness of strategies for managing foreign exchange risks. Success stories showcase instances where MNCs have effectively employed hedging strategies to mitigate currency risk exposure and safeguard shareholder value. On the hand setbacks and lessons learned provide lessons on the obstacles and mistakes in managing foreign exchange risks presenting opportunities for enhancement.</w:t>
      </w:r>
    </w:p>
    <w:p w14:paraId="37BDE7A3" w14:textId="77777777" w:rsidR="003C36C7" w:rsidRPr="003C36C7" w:rsidRDefault="003C36C7" w:rsidP="003C36C7">
      <w:pPr>
        <w:widowControl w:val="0"/>
        <w:autoSpaceDE w:val="0"/>
        <w:autoSpaceDN w:val="0"/>
        <w:adjustRightInd w:val="0"/>
        <w:spacing w:after="0" w:line="276" w:lineRule="auto"/>
        <w:jc w:val="both"/>
        <w:rPr>
          <w:rFonts w:ascii="Times New Roman" w:hAnsi="Times New Roman" w:cs="Times New Roman"/>
          <w:sz w:val="24"/>
          <w:szCs w:val="24"/>
          <w:lang w:val="en"/>
        </w:rPr>
      </w:pPr>
    </w:p>
    <w:p w14:paraId="0B6C1B6E" w14:textId="77777777" w:rsidR="003C36C7" w:rsidRPr="003C36C7" w:rsidRDefault="003C36C7" w:rsidP="003C36C7">
      <w:pPr>
        <w:widowControl w:val="0"/>
        <w:autoSpaceDE w:val="0"/>
        <w:autoSpaceDN w:val="0"/>
        <w:adjustRightInd w:val="0"/>
        <w:spacing w:after="0" w:line="276" w:lineRule="auto"/>
        <w:jc w:val="both"/>
        <w:rPr>
          <w:rFonts w:ascii="Times New Roman" w:hAnsi="Times New Roman" w:cs="Times New Roman"/>
          <w:sz w:val="24"/>
          <w:szCs w:val="24"/>
          <w:lang w:val="en"/>
        </w:rPr>
      </w:pPr>
      <w:r w:rsidRPr="003C36C7">
        <w:rPr>
          <w:rFonts w:ascii="Times New Roman" w:hAnsi="Times New Roman" w:cs="Times New Roman"/>
          <w:sz w:val="24"/>
          <w:szCs w:val="24"/>
          <w:lang w:val="en"/>
        </w:rPr>
        <w:t>d) Comparative Evaluation of Diverse Strategies;</w:t>
      </w:r>
    </w:p>
    <w:p w14:paraId="4D64FBD0" w14:textId="77777777" w:rsidR="003C36C7" w:rsidRPr="003C36C7" w:rsidRDefault="003C36C7" w:rsidP="003C36C7">
      <w:pPr>
        <w:widowControl w:val="0"/>
        <w:autoSpaceDE w:val="0"/>
        <w:autoSpaceDN w:val="0"/>
        <w:adjustRightInd w:val="0"/>
        <w:spacing w:after="0" w:line="276" w:lineRule="auto"/>
        <w:jc w:val="both"/>
        <w:rPr>
          <w:rFonts w:ascii="Times New Roman" w:hAnsi="Times New Roman" w:cs="Times New Roman"/>
          <w:sz w:val="24"/>
          <w:szCs w:val="24"/>
          <w:lang w:val="en"/>
        </w:rPr>
      </w:pPr>
      <w:r w:rsidRPr="003C36C7">
        <w:rPr>
          <w:rFonts w:ascii="Times New Roman" w:hAnsi="Times New Roman" w:cs="Times New Roman"/>
          <w:sz w:val="24"/>
          <w:szCs w:val="24"/>
          <w:lang w:val="en"/>
        </w:rPr>
        <w:tab/>
        <w:t>By comparing different approaches, for handling foreign exchange risks MNCs can pinpoint the most appropriate methods based on their unique circumstances and objectives.</w:t>
      </w:r>
    </w:p>
    <w:p w14:paraId="361D44E3" w14:textId="77777777" w:rsidR="003C36C7" w:rsidRPr="003C36C7" w:rsidRDefault="003C36C7" w:rsidP="003C36C7">
      <w:pPr>
        <w:widowControl w:val="0"/>
        <w:autoSpaceDE w:val="0"/>
        <w:autoSpaceDN w:val="0"/>
        <w:adjustRightInd w:val="0"/>
        <w:spacing w:after="0" w:line="276" w:lineRule="auto"/>
        <w:jc w:val="both"/>
        <w:rPr>
          <w:rFonts w:ascii="Times New Roman" w:hAnsi="Times New Roman" w:cs="Times New Roman"/>
          <w:sz w:val="24"/>
          <w:szCs w:val="24"/>
          <w:lang w:val="en"/>
        </w:rPr>
      </w:pPr>
      <w:r w:rsidRPr="003C36C7">
        <w:rPr>
          <w:rFonts w:ascii="Times New Roman" w:hAnsi="Times New Roman" w:cs="Times New Roman"/>
          <w:sz w:val="24"/>
          <w:szCs w:val="24"/>
          <w:lang w:val="en"/>
        </w:rPr>
        <w:t>Key aspects to take into account in an evaluation involve assessing the effectiveness of strategies, in the term versus the long term their ability to adapt to changing market conditions and compliance with regulatory standards.</w:t>
      </w:r>
    </w:p>
    <w:p w14:paraId="1BE888A4" w14:textId="77777777" w:rsidR="003C36C7" w:rsidRPr="003C36C7" w:rsidRDefault="003C36C7" w:rsidP="003C36C7">
      <w:pPr>
        <w:widowControl w:val="0"/>
        <w:autoSpaceDE w:val="0"/>
        <w:autoSpaceDN w:val="0"/>
        <w:adjustRightInd w:val="0"/>
        <w:spacing w:after="0" w:line="276" w:lineRule="auto"/>
        <w:jc w:val="both"/>
        <w:rPr>
          <w:rFonts w:ascii="Times New Roman" w:hAnsi="Times New Roman" w:cs="Times New Roman"/>
          <w:sz w:val="24"/>
          <w:szCs w:val="24"/>
          <w:lang w:val="en"/>
        </w:rPr>
      </w:pPr>
      <w:r w:rsidRPr="003C36C7">
        <w:rPr>
          <w:rFonts w:ascii="Times New Roman" w:hAnsi="Times New Roman" w:cs="Times New Roman"/>
          <w:sz w:val="24"/>
          <w:szCs w:val="24"/>
          <w:lang w:val="en"/>
        </w:rPr>
        <w:tab/>
        <w:t>Short term vs. Long term Impact - Certain strategies may show immediate results while others may yield benefits over an extended period. Multinational corporations (MNCs) should factor in their timeframe. Risk tolerance when gauging the appropriateness of strategies. (</w:t>
      </w:r>
      <w:r w:rsidRPr="003C36C7">
        <w:rPr>
          <w:rFonts w:ascii="Times New Roman" w:hAnsi="Times New Roman" w:cs="Times New Roman"/>
          <w:lang w:val="en"/>
        </w:rPr>
        <w:t>Faulkender, 2005</w:t>
      </w:r>
      <w:r w:rsidRPr="003C36C7">
        <w:rPr>
          <w:rFonts w:ascii="Times New Roman" w:hAnsi="Times New Roman" w:cs="Times New Roman"/>
        </w:rPr>
        <w:t>)</w:t>
      </w:r>
    </w:p>
    <w:p w14:paraId="1029A639" w14:textId="527ADE89" w:rsidR="003C36C7" w:rsidRPr="003C36C7" w:rsidRDefault="003C36C7" w:rsidP="003C36C7">
      <w:pPr>
        <w:widowControl w:val="0"/>
        <w:autoSpaceDE w:val="0"/>
        <w:autoSpaceDN w:val="0"/>
        <w:adjustRightInd w:val="0"/>
        <w:spacing w:after="0" w:line="276" w:lineRule="auto"/>
        <w:jc w:val="both"/>
        <w:rPr>
          <w:rFonts w:ascii="Times New Roman" w:hAnsi="Times New Roman" w:cs="Times New Roman"/>
          <w:sz w:val="24"/>
          <w:szCs w:val="24"/>
          <w:lang w:val="en"/>
        </w:rPr>
      </w:pPr>
      <w:r w:rsidRPr="003C36C7">
        <w:rPr>
          <w:rFonts w:ascii="Times New Roman" w:hAnsi="Times New Roman" w:cs="Times New Roman"/>
          <w:sz w:val="24"/>
          <w:szCs w:val="24"/>
          <w:lang w:val="en"/>
        </w:rPr>
        <w:tab/>
        <w:t>Regulatory Compliance Considerations - Adhering to guideliness crucial for MNCs when implementing strategies to manage foreign exchange risks especially for those operating in heavily regulated sectors or regions. MNCs need to ensure that their risk mitigation practices align, with regulations and accounting principles to sidestep financial implications. (</w:t>
      </w:r>
      <w:r w:rsidRPr="003C36C7">
        <w:rPr>
          <w:rFonts w:ascii="Times New Roman" w:hAnsi="Times New Roman" w:cs="Times New Roman"/>
          <w:lang w:val="en"/>
        </w:rPr>
        <w:t>Bodnar</w:t>
      </w:r>
      <w:r w:rsidRPr="003C36C7">
        <w:rPr>
          <w:rFonts w:ascii="Times New Roman" w:hAnsi="Times New Roman" w:cs="Times New Roman"/>
        </w:rPr>
        <w:t xml:space="preserve"> et al., </w:t>
      </w:r>
      <w:r w:rsidRPr="003C36C7">
        <w:rPr>
          <w:rFonts w:ascii="Times New Roman" w:hAnsi="Times New Roman" w:cs="Times New Roman"/>
          <w:lang w:val="en"/>
        </w:rPr>
        <w:t>1998</w:t>
      </w:r>
      <w:r w:rsidRPr="003C36C7">
        <w:rPr>
          <w:rFonts w:ascii="Times New Roman" w:hAnsi="Times New Roman" w:cs="Times New Roman"/>
        </w:rPr>
        <w:t>)</w:t>
      </w:r>
    </w:p>
    <w:p w14:paraId="3D6CDEEF" w14:textId="28DA9CF8" w:rsidR="00DE3473" w:rsidRPr="003C36C7" w:rsidRDefault="00DE3473" w:rsidP="003C36C7">
      <w:pPr>
        <w:spacing w:line="360" w:lineRule="auto"/>
        <w:jc w:val="both"/>
        <w:rPr>
          <w:rFonts w:ascii="Times New Roman" w:hAnsi="Times New Roman" w:cs="Times New Roman"/>
          <w:b/>
          <w:sz w:val="24"/>
          <w:szCs w:val="24"/>
        </w:rPr>
      </w:pPr>
    </w:p>
    <w:p w14:paraId="08FF6FB2" w14:textId="77777777" w:rsidR="003C36C7" w:rsidRDefault="003C36C7" w:rsidP="00F154C1">
      <w:pPr>
        <w:spacing w:after="0" w:line="360" w:lineRule="auto"/>
        <w:jc w:val="both"/>
        <w:rPr>
          <w:rFonts w:ascii="Times New Roman" w:hAnsi="Times New Roman" w:cs="Times New Roman"/>
          <w:b/>
          <w:sz w:val="24"/>
          <w:szCs w:val="24"/>
        </w:rPr>
      </w:pPr>
    </w:p>
    <w:p w14:paraId="4785D939" w14:textId="77777777" w:rsidR="003C36C7" w:rsidRDefault="003C36C7" w:rsidP="00F154C1">
      <w:pPr>
        <w:spacing w:after="0" w:line="360" w:lineRule="auto"/>
        <w:jc w:val="both"/>
        <w:rPr>
          <w:rFonts w:ascii="Times New Roman" w:hAnsi="Times New Roman" w:cs="Times New Roman"/>
          <w:b/>
          <w:sz w:val="24"/>
          <w:szCs w:val="24"/>
        </w:rPr>
      </w:pPr>
    </w:p>
    <w:p w14:paraId="005BD268" w14:textId="77777777" w:rsidR="003C36C7" w:rsidRDefault="003C36C7" w:rsidP="00F154C1">
      <w:pPr>
        <w:spacing w:after="0" w:line="360" w:lineRule="auto"/>
        <w:jc w:val="both"/>
        <w:rPr>
          <w:rFonts w:ascii="Times New Roman" w:hAnsi="Times New Roman" w:cs="Times New Roman"/>
          <w:b/>
          <w:sz w:val="24"/>
          <w:szCs w:val="24"/>
        </w:rPr>
      </w:pPr>
    </w:p>
    <w:p w14:paraId="640242EE" w14:textId="77777777" w:rsidR="003C36C7" w:rsidRDefault="003C36C7" w:rsidP="00F154C1">
      <w:pPr>
        <w:spacing w:after="0" w:line="360" w:lineRule="auto"/>
        <w:jc w:val="both"/>
        <w:rPr>
          <w:rFonts w:ascii="Times New Roman" w:hAnsi="Times New Roman" w:cs="Times New Roman"/>
          <w:b/>
          <w:sz w:val="24"/>
          <w:szCs w:val="24"/>
        </w:rPr>
      </w:pPr>
    </w:p>
    <w:p w14:paraId="1EBBD70B" w14:textId="77777777" w:rsidR="003C36C7" w:rsidRDefault="003C36C7" w:rsidP="00F154C1">
      <w:pPr>
        <w:spacing w:after="0" w:line="360" w:lineRule="auto"/>
        <w:jc w:val="both"/>
        <w:rPr>
          <w:rFonts w:ascii="Times New Roman" w:hAnsi="Times New Roman" w:cs="Times New Roman"/>
          <w:b/>
          <w:sz w:val="24"/>
          <w:szCs w:val="24"/>
        </w:rPr>
      </w:pPr>
    </w:p>
    <w:p w14:paraId="49CA8BBB" w14:textId="77777777" w:rsidR="003C36C7" w:rsidRDefault="003C36C7" w:rsidP="00F154C1">
      <w:pPr>
        <w:spacing w:after="0" w:line="360" w:lineRule="auto"/>
        <w:jc w:val="both"/>
        <w:rPr>
          <w:rFonts w:ascii="Times New Roman" w:hAnsi="Times New Roman" w:cs="Times New Roman"/>
          <w:b/>
          <w:sz w:val="24"/>
          <w:szCs w:val="24"/>
        </w:rPr>
      </w:pPr>
    </w:p>
    <w:p w14:paraId="385EDC9E" w14:textId="77777777" w:rsidR="003C36C7" w:rsidRDefault="003C36C7" w:rsidP="00F154C1">
      <w:pPr>
        <w:spacing w:after="0" w:line="360" w:lineRule="auto"/>
        <w:jc w:val="both"/>
        <w:rPr>
          <w:rFonts w:ascii="Times New Roman" w:hAnsi="Times New Roman" w:cs="Times New Roman"/>
          <w:b/>
          <w:sz w:val="24"/>
          <w:szCs w:val="24"/>
        </w:rPr>
      </w:pPr>
    </w:p>
    <w:p w14:paraId="535FB06A" w14:textId="77777777" w:rsidR="003C36C7" w:rsidRDefault="003C36C7" w:rsidP="00F154C1">
      <w:pPr>
        <w:spacing w:after="0" w:line="360" w:lineRule="auto"/>
        <w:jc w:val="both"/>
        <w:rPr>
          <w:rFonts w:ascii="Times New Roman" w:hAnsi="Times New Roman" w:cs="Times New Roman"/>
          <w:b/>
          <w:sz w:val="24"/>
          <w:szCs w:val="24"/>
        </w:rPr>
      </w:pPr>
    </w:p>
    <w:p w14:paraId="27663742" w14:textId="77777777" w:rsidR="003C36C7" w:rsidRDefault="003C36C7" w:rsidP="00F154C1">
      <w:pPr>
        <w:spacing w:after="0" w:line="360" w:lineRule="auto"/>
        <w:jc w:val="both"/>
        <w:rPr>
          <w:rFonts w:ascii="Times New Roman" w:hAnsi="Times New Roman" w:cs="Times New Roman"/>
          <w:b/>
          <w:sz w:val="24"/>
          <w:szCs w:val="24"/>
        </w:rPr>
      </w:pPr>
    </w:p>
    <w:p w14:paraId="2E4E9C82" w14:textId="700BAAE0" w:rsidR="003C36C7" w:rsidRPr="003C36C7" w:rsidRDefault="005D5E91" w:rsidP="003C36C7">
      <w:pPr>
        <w:spacing w:after="0" w:line="360" w:lineRule="auto"/>
        <w:jc w:val="both"/>
        <w:rPr>
          <w:rFonts w:ascii="Times New Roman" w:hAnsi="Times New Roman" w:cs="Times New Roman"/>
          <w:bCs/>
          <w:sz w:val="24"/>
          <w:szCs w:val="24"/>
        </w:rPr>
      </w:pPr>
      <w:r>
        <w:rPr>
          <w:rFonts w:ascii="Times New Roman" w:hAnsi="Times New Roman" w:cs="Times New Roman"/>
          <w:bCs/>
          <w:sz w:val="24"/>
          <w:szCs w:val="24"/>
        </w:rPr>
        <w:lastRenderedPageBreak/>
        <w:t>5</w:t>
      </w:r>
      <w:r w:rsidR="00FA0406" w:rsidRPr="003C36C7">
        <w:rPr>
          <w:rFonts w:ascii="Times New Roman" w:hAnsi="Times New Roman" w:cs="Times New Roman"/>
          <w:bCs/>
          <w:sz w:val="24"/>
          <w:szCs w:val="24"/>
        </w:rPr>
        <w:t>. CONCLUSION</w:t>
      </w:r>
      <w:r w:rsidR="005757A2" w:rsidRPr="003C36C7">
        <w:rPr>
          <w:rFonts w:ascii="Times New Roman" w:hAnsi="Times New Roman" w:cs="Times New Roman"/>
          <w:bCs/>
          <w:sz w:val="24"/>
          <w:szCs w:val="24"/>
        </w:rPr>
        <w:t>S</w:t>
      </w:r>
      <w:r w:rsidR="003C36C7" w:rsidRPr="003C36C7">
        <w:rPr>
          <w:rFonts w:ascii="Times New Roman" w:hAnsi="Times New Roman" w:cs="Times New Roman"/>
          <w:bCs/>
          <w:sz w:val="24"/>
          <w:szCs w:val="24"/>
        </w:rPr>
        <w:t xml:space="preserve"> - </w:t>
      </w:r>
      <w:r w:rsidR="003C36C7" w:rsidRPr="003C36C7">
        <w:rPr>
          <w:rFonts w:ascii="Times New Roman" w:hAnsi="Times New Roman" w:cs="Times New Roman"/>
          <w:bCs/>
          <w:sz w:val="24"/>
          <w:szCs w:val="24"/>
          <w:lang w:val="en"/>
        </w:rPr>
        <w:t>CHALLENGES AND FUTURE TRENDS</w:t>
      </w:r>
    </w:p>
    <w:p w14:paraId="18D6E053" w14:textId="77777777" w:rsidR="003C36C7" w:rsidRPr="003C36C7" w:rsidRDefault="003C36C7" w:rsidP="003C36C7">
      <w:pPr>
        <w:widowControl w:val="0"/>
        <w:autoSpaceDE w:val="0"/>
        <w:autoSpaceDN w:val="0"/>
        <w:adjustRightInd w:val="0"/>
        <w:spacing w:after="0" w:line="276" w:lineRule="auto"/>
        <w:jc w:val="both"/>
        <w:rPr>
          <w:rFonts w:ascii="Times New Roman" w:hAnsi="Times New Roman" w:cs="Times New Roman"/>
          <w:sz w:val="24"/>
          <w:szCs w:val="24"/>
          <w:lang w:val="en"/>
        </w:rPr>
      </w:pPr>
    </w:p>
    <w:p w14:paraId="0668935E" w14:textId="77777777" w:rsidR="003C36C7" w:rsidRPr="003C36C7" w:rsidRDefault="003C36C7" w:rsidP="003C36C7">
      <w:pPr>
        <w:widowControl w:val="0"/>
        <w:autoSpaceDE w:val="0"/>
        <w:autoSpaceDN w:val="0"/>
        <w:adjustRightInd w:val="0"/>
        <w:spacing w:after="0" w:line="276" w:lineRule="auto"/>
        <w:jc w:val="both"/>
        <w:rPr>
          <w:rFonts w:ascii="Times New Roman" w:hAnsi="Times New Roman" w:cs="Times New Roman"/>
          <w:sz w:val="24"/>
          <w:szCs w:val="24"/>
          <w:lang w:val="en"/>
        </w:rPr>
      </w:pPr>
      <w:r w:rsidRPr="003C36C7">
        <w:rPr>
          <w:rFonts w:ascii="Times New Roman" w:hAnsi="Times New Roman" w:cs="Times New Roman"/>
          <w:sz w:val="24"/>
          <w:szCs w:val="24"/>
          <w:lang w:val="en"/>
        </w:rPr>
        <w:tab/>
        <w:t>When multinational corporations (MNCs) navigate the complexities of managing foreign exchange risks they must also. Address emerging challenges and future trends, in financial management.</w:t>
      </w:r>
    </w:p>
    <w:p w14:paraId="74EA2E00" w14:textId="77777777" w:rsidR="003C36C7" w:rsidRPr="003C36C7" w:rsidRDefault="003C36C7" w:rsidP="003C36C7">
      <w:pPr>
        <w:widowControl w:val="0"/>
        <w:autoSpaceDE w:val="0"/>
        <w:autoSpaceDN w:val="0"/>
        <w:adjustRightInd w:val="0"/>
        <w:spacing w:after="0" w:line="276" w:lineRule="auto"/>
        <w:jc w:val="both"/>
        <w:rPr>
          <w:rFonts w:ascii="Times New Roman" w:hAnsi="Times New Roman" w:cs="Times New Roman"/>
          <w:sz w:val="24"/>
          <w:szCs w:val="24"/>
          <w:lang w:val="en"/>
        </w:rPr>
      </w:pPr>
      <w:r w:rsidRPr="003C36C7">
        <w:rPr>
          <w:rFonts w:ascii="Times New Roman" w:hAnsi="Times New Roman" w:cs="Times New Roman"/>
          <w:sz w:val="24"/>
          <w:szCs w:val="24"/>
          <w:lang w:val="en"/>
        </w:rPr>
        <w:tab/>
        <w:t>Emerging Risks in Foreign Exchange Markets - Foreign exchange markets face emerging risks, such as tensions, economic uncertainty and unforeseen events like natural disasters or pandemics. These risks can result in increased volatility and greater exposure to currency risk for MNCs. Moreover the increasing interconnectedness of markets magnifies the impact of these risks requiring MNCs to be vigilant and adaptable in their risk management strategies.</w:t>
      </w:r>
    </w:p>
    <w:p w14:paraId="5B5A6066" w14:textId="3D57C277" w:rsidR="003C36C7" w:rsidRPr="003C36C7" w:rsidRDefault="003C36C7" w:rsidP="003C36C7">
      <w:pPr>
        <w:widowControl w:val="0"/>
        <w:autoSpaceDE w:val="0"/>
        <w:autoSpaceDN w:val="0"/>
        <w:adjustRightInd w:val="0"/>
        <w:spacing w:after="0" w:line="276" w:lineRule="auto"/>
        <w:jc w:val="both"/>
        <w:rPr>
          <w:rFonts w:ascii="Times New Roman" w:hAnsi="Times New Roman" w:cs="Times New Roman"/>
          <w:sz w:val="24"/>
          <w:szCs w:val="24"/>
          <w:lang w:val="en"/>
        </w:rPr>
      </w:pPr>
      <w:r w:rsidRPr="003C36C7">
        <w:rPr>
          <w:rFonts w:ascii="Times New Roman" w:hAnsi="Times New Roman" w:cs="Times New Roman"/>
          <w:sz w:val="24"/>
          <w:szCs w:val="24"/>
          <w:lang w:val="en"/>
        </w:rPr>
        <w:tab/>
        <w:t>Changes in Regulations and Compliance Demands - Regulatory shifts and compliance obligations present hurdles for MNCs operating across jurisdictions. Changes, in tax regulations accounting norms and regulatory frameworks can impact the efficacy and cost effectiveness of hedging strategies while raising compliance expenses.</w:t>
      </w:r>
    </w:p>
    <w:p w14:paraId="35311780" w14:textId="77777777" w:rsidR="003C36C7" w:rsidRPr="003C36C7" w:rsidRDefault="003C36C7" w:rsidP="003C36C7">
      <w:pPr>
        <w:widowControl w:val="0"/>
        <w:autoSpaceDE w:val="0"/>
        <w:autoSpaceDN w:val="0"/>
        <w:adjustRightInd w:val="0"/>
        <w:spacing w:after="0" w:line="276" w:lineRule="auto"/>
        <w:jc w:val="both"/>
        <w:rPr>
          <w:rFonts w:ascii="Times New Roman" w:hAnsi="Times New Roman" w:cs="Times New Roman"/>
          <w:sz w:val="24"/>
          <w:szCs w:val="24"/>
          <w:lang w:val="en"/>
        </w:rPr>
      </w:pPr>
      <w:r w:rsidRPr="003C36C7">
        <w:rPr>
          <w:rFonts w:ascii="Times New Roman" w:hAnsi="Times New Roman" w:cs="Times New Roman"/>
          <w:sz w:val="24"/>
          <w:szCs w:val="24"/>
          <w:lang w:val="en"/>
        </w:rPr>
        <w:tab/>
        <w:t>Multinational corporations need to keep up with changes, in regulations and make sure their risk management strategies align with the laws.</w:t>
      </w:r>
    </w:p>
    <w:p w14:paraId="375F594D" w14:textId="77777777" w:rsidR="003C36C7" w:rsidRPr="003C36C7" w:rsidRDefault="003C36C7" w:rsidP="003C36C7">
      <w:pPr>
        <w:widowControl w:val="0"/>
        <w:autoSpaceDE w:val="0"/>
        <w:autoSpaceDN w:val="0"/>
        <w:adjustRightInd w:val="0"/>
        <w:spacing w:after="0" w:line="276" w:lineRule="auto"/>
        <w:jc w:val="both"/>
        <w:rPr>
          <w:rFonts w:ascii="Times New Roman" w:hAnsi="Times New Roman" w:cs="Times New Roman"/>
          <w:sz w:val="24"/>
          <w:szCs w:val="24"/>
          <w:lang w:val="en"/>
        </w:rPr>
      </w:pPr>
      <w:r w:rsidRPr="003C36C7">
        <w:rPr>
          <w:rFonts w:ascii="Times New Roman" w:hAnsi="Times New Roman" w:cs="Times New Roman"/>
          <w:sz w:val="24"/>
          <w:szCs w:val="24"/>
          <w:lang w:val="en"/>
        </w:rPr>
        <w:tab/>
        <w:t xml:space="preserve">Looking into the future of management it's clear that globalization, technological progress and evolving regulatory environments will have a significant impact. Multinational corporations can anticipate a continued focus on risk management emphasizing integrated approaches that take both nonfinancial risks into account. </w:t>
      </w:r>
    </w:p>
    <w:p w14:paraId="5FF1A39B" w14:textId="77777777" w:rsidR="003C36C7" w:rsidRPr="003C36C7" w:rsidRDefault="003C36C7" w:rsidP="003C36C7">
      <w:pPr>
        <w:widowControl w:val="0"/>
        <w:autoSpaceDE w:val="0"/>
        <w:autoSpaceDN w:val="0"/>
        <w:adjustRightInd w:val="0"/>
        <w:spacing w:after="0" w:line="276" w:lineRule="auto"/>
        <w:jc w:val="both"/>
        <w:rPr>
          <w:rFonts w:ascii="Times New Roman" w:hAnsi="Times New Roman" w:cs="Times New Roman"/>
          <w:sz w:val="24"/>
          <w:szCs w:val="24"/>
          <w:lang w:val="en"/>
        </w:rPr>
      </w:pPr>
      <w:r w:rsidRPr="003C36C7">
        <w:rPr>
          <w:rFonts w:ascii="Times New Roman" w:hAnsi="Times New Roman" w:cs="Times New Roman"/>
          <w:sz w:val="24"/>
          <w:szCs w:val="24"/>
          <w:lang w:val="en"/>
        </w:rPr>
        <w:tab/>
        <w:t xml:space="preserve">To sum up managing foreign exchange risks is crucial for corporations involved in financial management. Despite challenges, like emerging risks, technological disruptions and regulatory shifts MNCs can overcome these obstacles by implementing risk management frameworks embracing technological advancements and staying informed about regulatory updates. </w:t>
      </w:r>
    </w:p>
    <w:p w14:paraId="541E59D5" w14:textId="77777777" w:rsidR="003C36C7" w:rsidRDefault="003C36C7" w:rsidP="003C36C7">
      <w:pPr>
        <w:widowControl w:val="0"/>
        <w:autoSpaceDE w:val="0"/>
        <w:autoSpaceDN w:val="0"/>
        <w:adjustRightInd w:val="0"/>
        <w:spacing w:after="0" w:line="276" w:lineRule="auto"/>
        <w:jc w:val="both"/>
        <w:rPr>
          <w:rFonts w:ascii="Times New Roman" w:hAnsi="Times New Roman" w:cs="Times New Roman"/>
          <w:sz w:val="24"/>
          <w:szCs w:val="24"/>
          <w:lang w:val="en"/>
        </w:rPr>
      </w:pPr>
      <w:r w:rsidRPr="003C36C7">
        <w:rPr>
          <w:rFonts w:ascii="Times New Roman" w:hAnsi="Times New Roman" w:cs="Times New Roman"/>
          <w:sz w:val="24"/>
          <w:szCs w:val="24"/>
          <w:lang w:val="en"/>
        </w:rPr>
        <w:tab/>
        <w:t>By tackling these challenges and adapting to trends multinational corporations can strengthen their resilience and competitiveness within the ever evolving global financial landscape</w:t>
      </w:r>
      <w:r>
        <w:rPr>
          <w:rFonts w:ascii="Times New Roman" w:hAnsi="Times New Roman" w:cs="Times New Roman"/>
          <w:sz w:val="24"/>
          <w:szCs w:val="24"/>
          <w:lang w:val="en"/>
        </w:rPr>
        <w:t>.</w:t>
      </w:r>
    </w:p>
    <w:p w14:paraId="4068E691" w14:textId="77777777" w:rsidR="00B01221" w:rsidRPr="003C36C7" w:rsidRDefault="00B01221" w:rsidP="009558D8">
      <w:pPr>
        <w:spacing w:after="0" w:line="360" w:lineRule="auto"/>
        <w:jc w:val="both"/>
        <w:rPr>
          <w:rFonts w:ascii="Times New Roman" w:hAnsi="Times New Roman" w:cs="Times New Roman"/>
          <w:sz w:val="24"/>
          <w:szCs w:val="24"/>
          <w:lang w:val="en"/>
        </w:rPr>
      </w:pPr>
    </w:p>
    <w:p w14:paraId="13622930" w14:textId="77777777" w:rsidR="00B01221" w:rsidRDefault="00B01221" w:rsidP="009558D8">
      <w:pPr>
        <w:spacing w:after="0" w:line="360" w:lineRule="auto"/>
        <w:jc w:val="both"/>
        <w:rPr>
          <w:rFonts w:ascii="Times New Roman" w:hAnsi="Times New Roman" w:cs="Times New Roman"/>
          <w:sz w:val="24"/>
          <w:szCs w:val="24"/>
        </w:rPr>
      </w:pPr>
    </w:p>
    <w:p w14:paraId="37D2C81E" w14:textId="77777777" w:rsidR="00B01221" w:rsidRDefault="00B01221" w:rsidP="009558D8">
      <w:pPr>
        <w:spacing w:after="0" w:line="360" w:lineRule="auto"/>
        <w:jc w:val="both"/>
        <w:rPr>
          <w:rFonts w:ascii="Times New Roman" w:hAnsi="Times New Roman" w:cs="Times New Roman"/>
          <w:sz w:val="24"/>
          <w:szCs w:val="24"/>
        </w:rPr>
      </w:pPr>
    </w:p>
    <w:p w14:paraId="2C53EAC9" w14:textId="77777777" w:rsidR="00317E8C" w:rsidRDefault="00317E8C" w:rsidP="009558D8">
      <w:pPr>
        <w:spacing w:after="0" w:line="360" w:lineRule="auto"/>
        <w:jc w:val="both"/>
        <w:rPr>
          <w:rFonts w:ascii="Times New Roman" w:hAnsi="Times New Roman" w:cs="Times New Roman"/>
          <w:sz w:val="24"/>
          <w:szCs w:val="24"/>
        </w:rPr>
      </w:pPr>
    </w:p>
    <w:p w14:paraId="2A62EA3A" w14:textId="77777777" w:rsidR="00317E8C" w:rsidRDefault="00317E8C" w:rsidP="009558D8">
      <w:pPr>
        <w:spacing w:after="0" w:line="360" w:lineRule="auto"/>
        <w:jc w:val="both"/>
        <w:rPr>
          <w:rFonts w:ascii="Times New Roman" w:hAnsi="Times New Roman" w:cs="Times New Roman"/>
          <w:sz w:val="24"/>
          <w:szCs w:val="24"/>
        </w:rPr>
      </w:pPr>
    </w:p>
    <w:p w14:paraId="2FC0784E" w14:textId="77777777" w:rsidR="00317E8C" w:rsidRDefault="00317E8C" w:rsidP="009558D8">
      <w:pPr>
        <w:spacing w:after="0" w:line="360" w:lineRule="auto"/>
        <w:jc w:val="both"/>
        <w:rPr>
          <w:rFonts w:ascii="Times New Roman" w:hAnsi="Times New Roman" w:cs="Times New Roman"/>
          <w:sz w:val="24"/>
          <w:szCs w:val="24"/>
        </w:rPr>
      </w:pPr>
    </w:p>
    <w:p w14:paraId="05D41BE3" w14:textId="77777777" w:rsidR="00317E8C" w:rsidRDefault="00317E8C" w:rsidP="009558D8">
      <w:pPr>
        <w:spacing w:after="0" w:line="360" w:lineRule="auto"/>
        <w:jc w:val="both"/>
        <w:rPr>
          <w:rFonts w:ascii="Times New Roman" w:hAnsi="Times New Roman" w:cs="Times New Roman"/>
          <w:sz w:val="24"/>
          <w:szCs w:val="24"/>
        </w:rPr>
      </w:pPr>
    </w:p>
    <w:p w14:paraId="353E74E2" w14:textId="77777777" w:rsidR="00317E8C" w:rsidRDefault="00317E8C" w:rsidP="009558D8">
      <w:pPr>
        <w:spacing w:after="0" w:line="360" w:lineRule="auto"/>
        <w:jc w:val="both"/>
        <w:rPr>
          <w:rFonts w:ascii="Times New Roman" w:hAnsi="Times New Roman" w:cs="Times New Roman"/>
          <w:sz w:val="24"/>
          <w:szCs w:val="24"/>
        </w:rPr>
      </w:pPr>
    </w:p>
    <w:p w14:paraId="3816DC64" w14:textId="77777777" w:rsidR="00B01221" w:rsidRDefault="00B01221" w:rsidP="009558D8">
      <w:pPr>
        <w:spacing w:after="0" w:line="360" w:lineRule="auto"/>
        <w:jc w:val="both"/>
        <w:rPr>
          <w:rFonts w:ascii="Times New Roman" w:hAnsi="Times New Roman" w:cs="Times New Roman"/>
          <w:sz w:val="24"/>
          <w:szCs w:val="24"/>
        </w:rPr>
      </w:pPr>
    </w:p>
    <w:p w14:paraId="6011BD72" w14:textId="77777777" w:rsidR="00DE3473" w:rsidRDefault="00DE3473" w:rsidP="009558D8">
      <w:pPr>
        <w:spacing w:after="0" w:line="360" w:lineRule="auto"/>
        <w:jc w:val="both"/>
        <w:rPr>
          <w:rFonts w:ascii="Times New Roman" w:hAnsi="Times New Roman" w:cs="Times New Roman"/>
          <w:sz w:val="24"/>
          <w:szCs w:val="24"/>
        </w:rPr>
      </w:pPr>
    </w:p>
    <w:p w14:paraId="71E0B085" w14:textId="45845CC2" w:rsidR="00B01221" w:rsidRDefault="00B01221" w:rsidP="009558D8">
      <w:pPr>
        <w:spacing w:after="0"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REFFERENCES</w:t>
      </w:r>
    </w:p>
    <w:p w14:paraId="53E0E1AA" w14:textId="77777777" w:rsidR="00C71C78" w:rsidRDefault="00C71C78" w:rsidP="0096490A">
      <w:pPr>
        <w:spacing w:after="0" w:line="360" w:lineRule="auto"/>
        <w:jc w:val="both"/>
        <w:rPr>
          <w:rFonts w:ascii="Times New Roman" w:hAnsi="Times New Roman" w:cs="Times New Roman"/>
          <w:sz w:val="24"/>
          <w:szCs w:val="24"/>
        </w:rPr>
      </w:pPr>
    </w:p>
    <w:p w14:paraId="302F1500" w14:textId="77777777" w:rsidR="003C36C7" w:rsidRPr="003C36C7" w:rsidRDefault="003C36C7" w:rsidP="003C36C7">
      <w:pPr>
        <w:spacing w:after="0" w:line="360" w:lineRule="auto"/>
        <w:ind w:firstLine="720"/>
        <w:jc w:val="both"/>
        <w:rPr>
          <w:rFonts w:ascii="Times New Roman" w:hAnsi="Times New Roman" w:cs="Times New Roman"/>
          <w:sz w:val="24"/>
          <w:szCs w:val="24"/>
        </w:rPr>
      </w:pPr>
      <w:r w:rsidRPr="003C36C7">
        <w:rPr>
          <w:rFonts w:ascii="Times New Roman" w:hAnsi="Times New Roman" w:cs="Times New Roman"/>
          <w:sz w:val="24"/>
          <w:szCs w:val="24"/>
        </w:rPr>
        <w:t xml:space="preserve">Breuer, W., Ruiz de Vargas, S. (2021) Some key developments in international financial management. J Bus Econ 91, 595–615 (2021). </w:t>
      </w:r>
    </w:p>
    <w:p w14:paraId="194574B3" w14:textId="77777777" w:rsidR="003C36C7" w:rsidRPr="003C36C7" w:rsidRDefault="003C36C7" w:rsidP="003C36C7">
      <w:pPr>
        <w:spacing w:after="0" w:line="360" w:lineRule="auto"/>
        <w:ind w:firstLine="720"/>
        <w:jc w:val="both"/>
        <w:rPr>
          <w:rFonts w:ascii="Times New Roman" w:hAnsi="Times New Roman" w:cs="Times New Roman"/>
          <w:sz w:val="24"/>
          <w:szCs w:val="24"/>
        </w:rPr>
      </w:pPr>
      <w:r w:rsidRPr="003C36C7">
        <w:rPr>
          <w:rFonts w:ascii="Times New Roman" w:hAnsi="Times New Roman" w:cs="Times New Roman"/>
          <w:sz w:val="24"/>
          <w:szCs w:val="24"/>
        </w:rPr>
        <w:t>Eiteman DK, Stonehill AI, Moffett MH (2021) Fundamentals of multinational finance, global edition, 6th edn. Pearson, Boston</w:t>
      </w:r>
    </w:p>
    <w:p w14:paraId="189AA662" w14:textId="0466B727" w:rsidR="003C36C7" w:rsidRPr="003C36C7" w:rsidRDefault="003C36C7" w:rsidP="003C36C7">
      <w:pPr>
        <w:spacing w:after="0" w:line="360" w:lineRule="auto"/>
        <w:ind w:firstLine="720"/>
        <w:jc w:val="both"/>
        <w:rPr>
          <w:rFonts w:ascii="Times New Roman" w:hAnsi="Times New Roman" w:cs="Times New Roman"/>
          <w:sz w:val="24"/>
          <w:szCs w:val="24"/>
        </w:rPr>
      </w:pPr>
      <w:r w:rsidRPr="003C36C7">
        <w:rPr>
          <w:rFonts w:ascii="Times New Roman" w:hAnsi="Times New Roman" w:cs="Times New Roman"/>
          <w:sz w:val="24"/>
          <w:szCs w:val="24"/>
        </w:rPr>
        <w:t>koráb</w:t>
      </w:r>
      <w:r>
        <w:rPr>
          <w:rFonts w:ascii="Times New Roman" w:hAnsi="Times New Roman" w:cs="Times New Roman"/>
          <w:sz w:val="24"/>
          <w:szCs w:val="24"/>
        </w:rPr>
        <w:t>, p.,</w:t>
      </w:r>
      <w:r w:rsidRPr="003C36C7">
        <w:rPr>
          <w:rFonts w:ascii="Times New Roman" w:hAnsi="Times New Roman" w:cs="Times New Roman"/>
          <w:sz w:val="24"/>
          <w:szCs w:val="24"/>
        </w:rPr>
        <w:t xml:space="preserve"> kapounek</w:t>
      </w:r>
      <w:r>
        <w:rPr>
          <w:rFonts w:ascii="Times New Roman" w:hAnsi="Times New Roman" w:cs="Times New Roman"/>
          <w:sz w:val="24"/>
          <w:szCs w:val="24"/>
        </w:rPr>
        <w:t>, s.,</w:t>
      </w:r>
      <w:r w:rsidRPr="003C36C7">
        <w:rPr>
          <w:rFonts w:ascii="Times New Roman" w:hAnsi="Times New Roman" w:cs="Times New Roman"/>
          <w:sz w:val="24"/>
          <w:szCs w:val="24"/>
        </w:rPr>
        <w:t xml:space="preserve"> (2013) international fisher effect under exchange rate regime shifts: evidence from 10 examples</w:t>
      </w:r>
      <w:r>
        <w:rPr>
          <w:rFonts w:ascii="Times New Roman" w:hAnsi="Times New Roman" w:cs="Times New Roman"/>
          <w:sz w:val="24"/>
          <w:szCs w:val="24"/>
        </w:rPr>
        <w:t>,</w:t>
      </w:r>
      <w:r w:rsidRPr="003C36C7">
        <w:rPr>
          <w:rFonts w:ascii="Times New Roman" w:hAnsi="Times New Roman" w:cs="Times New Roman"/>
          <w:sz w:val="24"/>
          <w:szCs w:val="24"/>
        </w:rPr>
        <w:t xml:space="preserve"> society and economy vol. 35, no. 4 (december 2013), pp. 451-469</w:t>
      </w:r>
    </w:p>
    <w:p w14:paraId="7FEDCFA5" w14:textId="77777777" w:rsidR="003C36C7" w:rsidRPr="003C36C7" w:rsidRDefault="003C36C7" w:rsidP="003C36C7">
      <w:pPr>
        <w:spacing w:after="0" w:line="360" w:lineRule="auto"/>
        <w:ind w:firstLine="720"/>
        <w:jc w:val="both"/>
        <w:rPr>
          <w:rFonts w:ascii="Times New Roman" w:hAnsi="Times New Roman" w:cs="Times New Roman"/>
          <w:sz w:val="24"/>
          <w:szCs w:val="24"/>
        </w:rPr>
      </w:pPr>
      <w:r w:rsidRPr="003C36C7">
        <w:rPr>
          <w:rFonts w:ascii="Times New Roman" w:hAnsi="Times New Roman" w:cs="Times New Roman"/>
          <w:sz w:val="24"/>
          <w:szCs w:val="24"/>
          <w:lang w:val="fr-FR"/>
        </w:rPr>
        <w:t xml:space="preserve">Yoon, JongCheol &amp; Min, Dai &amp; Jei, Sang. </w:t>
      </w:r>
      <w:r w:rsidRPr="003C36C7">
        <w:rPr>
          <w:rFonts w:ascii="Times New Roman" w:hAnsi="Times New Roman" w:cs="Times New Roman"/>
          <w:sz w:val="24"/>
          <w:szCs w:val="24"/>
        </w:rPr>
        <w:t xml:space="preserve">(2019). Purchasing power parity vs. uncovered interest rate parity for NAFTA countries: The value of incorporating time-varying parameter model. Economic Modelling. 90. 10.1016/j.econmod.2019.11.034. </w:t>
      </w:r>
    </w:p>
    <w:p w14:paraId="6143E92C" w14:textId="77777777" w:rsidR="003C36C7" w:rsidRPr="003C36C7" w:rsidRDefault="003C36C7" w:rsidP="003C36C7">
      <w:pPr>
        <w:spacing w:after="0" w:line="360" w:lineRule="auto"/>
        <w:ind w:firstLine="720"/>
        <w:jc w:val="both"/>
        <w:rPr>
          <w:rFonts w:ascii="Times New Roman" w:hAnsi="Times New Roman" w:cs="Times New Roman"/>
          <w:sz w:val="24"/>
          <w:szCs w:val="24"/>
        </w:rPr>
      </w:pPr>
      <w:r w:rsidRPr="003C36C7">
        <w:rPr>
          <w:rFonts w:ascii="Times New Roman" w:hAnsi="Times New Roman" w:cs="Times New Roman"/>
          <w:sz w:val="24"/>
          <w:szCs w:val="24"/>
        </w:rPr>
        <w:t>Abor, J. (2005), "Managing foreign exchange risk among Ghanaian firms", Journal of Risk Finance, Vol. 6 No. 4, pp. 306-318</w:t>
      </w:r>
    </w:p>
    <w:p w14:paraId="05551D1F" w14:textId="77777777" w:rsidR="003C36C7" w:rsidRPr="003C36C7" w:rsidRDefault="003C36C7" w:rsidP="003C36C7">
      <w:pPr>
        <w:spacing w:after="0" w:line="360" w:lineRule="auto"/>
        <w:ind w:firstLine="720"/>
        <w:jc w:val="both"/>
        <w:rPr>
          <w:rFonts w:ascii="Times New Roman" w:hAnsi="Times New Roman" w:cs="Times New Roman"/>
          <w:sz w:val="24"/>
          <w:szCs w:val="24"/>
        </w:rPr>
      </w:pPr>
      <w:r w:rsidRPr="003C36C7">
        <w:rPr>
          <w:rFonts w:ascii="Times New Roman" w:hAnsi="Times New Roman" w:cs="Times New Roman"/>
          <w:sz w:val="24"/>
          <w:szCs w:val="24"/>
        </w:rPr>
        <w:t>Wang, H. and Zhu, J. (2016), "The influence of USD/CNY foreign exchange rate, RMB NEER and spatial effects on China’s foreign trade", China Finance Review International, Vol. 6 No. 3, pp. 304-318.</w:t>
      </w:r>
    </w:p>
    <w:p w14:paraId="2D4AE376" w14:textId="77777777" w:rsidR="003C36C7" w:rsidRPr="003C36C7" w:rsidRDefault="003C36C7" w:rsidP="003C36C7">
      <w:pPr>
        <w:spacing w:after="0" w:line="360" w:lineRule="auto"/>
        <w:ind w:firstLine="720"/>
        <w:jc w:val="both"/>
        <w:rPr>
          <w:rFonts w:ascii="Times New Roman" w:hAnsi="Times New Roman" w:cs="Times New Roman"/>
          <w:sz w:val="24"/>
          <w:szCs w:val="24"/>
        </w:rPr>
      </w:pPr>
      <w:r w:rsidRPr="003C36C7">
        <w:rPr>
          <w:rFonts w:ascii="Times New Roman" w:hAnsi="Times New Roman" w:cs="Times New Roman"/>
          <w:sz w:val="24"/>
          <w:szCs w:val="24"/>
        </w:rPr>
        <w:t xml:space="preserve">Hecht A, Lampenius N. How Do Firms Manage Their Foreign Exchange Exposure? Journal of Risk and Financial Management. 2023; 16(8):359. </w:t>
      </w:r>
    </w:p>
    <w:p w14:paraId="2D04FE5C" w14:textId="77777777" w:rsidR="003C36C7" w:rsidRPr="003C36C7" w:rsidRDefault="003C36C7" w:rsidP="003C36C7">
      <w:pPr>
        <w:spacing w:after="0" w:line="360" w:lineRule="auto"/>
        <w:ind w:firstLine="720"/>
        <w:jc w:val="both"/>
        <w:rPr>
          <w:rFonts w:ascii="Times New Roman" w:hAnsi="Times New Roman" w:cs="Times New Roman"/>
          <w:sz w:val="24"/>
          <w:szCs w:val="24"/>
        </w:rPr>
      </w:pPr>
      <w:r w:rsidRPr="003C36C7">
        <w:rPr>
          <w:rFonts w:ascii="Times New Roman" w:hAnsi="Times New Roman" w:cs="Times New Roman"/>
          <w:sz w:val="24"/>
          <w:szCs w:val="24"/>
        </w:rPr>
        <w:t>Glaum, Martin. 2002. The Determinants of Selective Hedging—Evidence from German Non-Financial Corporations. Journal of Applied Corporate Finance 14: 108–21</w:t>
      </w:r>
    </w:p>
    <w:p w14:paraId="339ED6C1" w14:textId="77777777" w:rsidR="003C36C7" w:rsidRPr="003C36C7" w:rsidRDefault="003C36C7" w:rsidP="003C36C7">
      <w:pPr>
        <w:spacing w:after="0" w:line="360" w:lineRule="auto"/>
        <w:ind w:firstLine="720"/>
        <w:jc w:val="both"/>
        <w:rPr>
          <w:rFonts w:ascii="Times New Roman" w:hAnsi="Times New Roman" w:cs="Times New Roman"/>
          <w:sz w:val="24"/>
          <w:szCs w:val="24"/>
        </w:rPr>
      </w:pPr>
      <w:r w:rsidRPr="003C36C7">
        <w:rPr>
          <w:rFonts w:ascii="Times New Roman" w:hAnsi="Times New Roman" w:cs="Times New Roman"/>
          <w:sz w:val="24"/>
          <w:szCs w:val="24"/>
        </w:rPr>
        <w:t>Faulkender, Michael. 2005. Hedging or Market Timing? Selecting the Interest Rate Exposure of Corporate Debt. Journal of Finance 60: 931–62.</w:t>
      </w:r>
    </w:p>
    <w:p w14:paraId="59F9CDBF" w14:textId="6FA180F4" w:rsidR="00E3632F" w:rsidRPr="0096490A" w:rsidRDefault="003C36C7" w:rsidP="003C36C7">
      <w:pPr>
        <w:spacing w:after="0" w:line="360" w:lineRule="auto"/>
        <w:ind w:firstLine="720"/>
        <w:jc w:val="both"/>
        <w:rPr>
          <w:rFonts w:ascii="Times New Roman" w:hAnsi="Times New Roman" w:cs="Times New Roman"/>
          <w:sz w:val="24"/>
          <w:szCs w:val="24"/>
        </w:rPr>
      </w:pPr>
      <w:r w:rsidRPr="003C36C7">
        <w:rPr>
          <w:rFonts w:ascii="Times New Roman" w:hAnsi="Times New Roman" w:cs="Times New Roman"/>
          <w:sz w:val="24"/>
          <w:szCs w:val="24"/>
        </w:rPr>
        <w:t>Bodnar, Gordon M., Richard C. Marston, and Greg Hayt. 1998. Survey of Financial Risk Management by U.S. Non-Financial Firms. Financial Management 4: 70–91.</w:t>
      </w:r>
    </w:p>
    <w:sectPr w:rsidR="00E3632F" w:rsidRPr="0096490A" w:rsidSect="0054368E">
      <w:footerReference w:type="even" r:id="rId8"/>
      <w:footerReference w:type="default" r:id="rId9"/>
      <w:footerReference w:type="first" r:id="rId10"/>
      <w:pgSz w:w="12240" w:h="15840"/>
      <w:pgMar w:top="1440" w:right="1440" w:bottom="1440" w:left="1440" w:header="720" w:footer="270" w:gutter="0"/>
      <w:pgNumType w:start="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053C5C3" w14:textId="77777777" w:rsidR="001A79D9" w:rsidRDefault="001A79D9" w:rsidP="00694E07">
      <w:pPr>
        <w:spacing w:after="0" w:line="240" w:lineRule="auto"/>
      </w:pPr>
      <w:r>
        <w:separator/>
      </w:r>
    </w:p>
  </w:endnote>
  <w:endnote w:type="continuationSeparator" w:id="0">
    <w:p w14:paraId="2E12B338" w14:textId="77777777" w:rsidR="001A79D9" w:rsidRDefault="001A79D9" w:rsidP="00694E0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F5456B" w14:textId="176C8650" w:rsidR="005D6EF0" w:rsidRDefault="005D6EF0">
    <w:pPr>
      <w:pStyle w:val="Footer"/>
    </w:pPr>
    <w:r>
      <w:rPr>
        <w:noProof/>
      </w:rPr>
      <mc:AlternateContent>
        <mc:Choice Requires="wps">
          <w:drawing>
            <wp:anchor distT="0" distB="0" distL="0" distR="0" simplePos="0" relativeHeight="251659264" behindDoc="0" locked="0" layoutInCell="1" allowOverlap="1" wp14:anchorId="39695699" wp14:editId="7DB7AD28">
              <wp:simplePos x="635" y="635"/>
              <wp:positionH relativeFrom="page">
                <wp:align>right</wp:align>
              </wp:positionH>
              <wp:positionV relativeFrom="page">
                <wp:align>bottom</wp:align>
              </wp:positionV>
              <wp:extent cx="443865" cy="443865"/>
              <wp:effectExtent l="0" t="0" r="0" b="0"/>
              <wp:wrapNone/>
              <wp:docPr id="2" name="Text Box 2" descr="Confidential C">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4D3CAECD" w14:textId="2C0AD640" w:rsidR="005D6EF0" w:rsidRPr="005D6EF0" w:rsidRDefault="005D6EF0" w:rsidP="005D6EF0">
                          <w:pPr>
                            <w:spacing w:after="0"/>
                            <w:rPr>
                              <w:rFonts w:ascii="Arial" w:eastAsia="Arial" w:hAnsi="Arial" w:cs="Arial"/>
                              <w:noProof/>
                              <w:color w:val="000000"/>
                              <w:sz w:val="20"/>
                              <w:szCs w:val="20"/>
                            </w:rPr>
                          </w:pPr>
                          <w:r w:rsidRPr="005D6EF0">
                            <w:rPr>
                              <w:rFonts w:ascii="Arial" w:eastAsia="Arial" w:hAnsi="Arial" w:cs="Arial"/>
                              <w:noProof/>
                              <w:color w:val="000000"/>
                              <w:sz w:val="20"/>
                              <w:szCs w:val="20"/>
                            </w:rPr>
                            <w:t>Confidential C</w:t>
                          </w:r>
                        </w:p>
                      </w:txbxContent>
                    </wps:txbx>
                    <wps:bodyPr rot="0" spcFirstLastPara="0" vertOverflow="overflow" horzOverflow="overflow" vert="horz" wrap="none" lIns="0" tIns="0" rIns="254000" bIns="190500" numCol="1" spcCol="0" rtlCol="0" fromWordArt="0" anchor="b" anchorCtr="0" forceAA="0" compatLnSpc="1">
                      <a:prstTxWarp prst="textNoShape">
                        <a:avLst/>
                      </a:prstTxWarp>
                      <a:spAutoFit/>
                    </wps:bodyPr>
                  </wps:wsp>
                </a:graphicData>
              </a:graphic>
            </wp:anchor>
          </w:drawing>
        </mc:Choice>
        <mc:Fallback>
          <w:pict>
            <v:shapetype w14:anchorId="39695699" id="_x0000_t202" coordsize="21600,21600" o:spt="202" path="m,l,21600r21600,l21600,xe">
              <v:stroke joinstyle="miter"/>
              <v:path gradientshapeok="t" o:connecttype="rect"/>
            </v:shapetype>
            <v:shape id="Text Box 2" o:spid="_x0000_s1026" type="#_x0000_t202" alt="Confidential C" style="position:absolute;margin-left:-16.25pt;margin-top:0;width:34.95pt;height:34.95pt;z-index:251659264;visibility:visible;mso-wrap-style:none;mso-wrap-distance-left:0;mso-wrap-distance-top:0;mso-wrap-distance-right:0;mso-wrap-distance-bottom:0;mso-position-horizontal:righ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" filled="f" stroked="f">
              <v:fill o:detectmouseclick="t"/>
              <v:textbox style="mso-fit-shape-to-text:t" inset="0,0,20pt,15pt">
                <w:txbxContent>
                  <w:p w14:paraId="4D3CAECD" w14:textId="2C0AD640" w:rsidR="005D6EF0" w:rsidRPr="005D6EF0" w:rsidRDefault="005D6EF0" w:rsidP="005D6EF0">
                    <w:pPr>
                      <w:spacing w:after="0"/>
                      <w:rPr>
                        <w:rFonts w:ascii="Arial" w:eastAsia="Arial" w:hAnsi="Arial" w:cs="Arial"/>
                        <w:noProof/>
                        <w:color w:val="000000"/>
                        <w:sz w:val="20"/>
                        <w:szCs w:val="20"/>
                      </w:rPr>
                    </w:pPr>
                    <w:r w:rsidRPr="005D6EF0">
                      <w:rPr>
                        <w:rFonts w:ascii="Arial" w:eastAsia="Arial" w:hAnsi="Arial" w:cs="Arial"/>
                        <w:noProof/>
                        <w:color w:val="000000"/>
                        <w:sz w:val="20"/>
                        <w:szCs w:val="20"/>
                      </w:rPr>
                      <w:t>Confidential C</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68A92F" w14:textId="23EFCD6D" w:rsidR="00694E07" w:rsidRDefault="005D6EF0">
    <w:pPr>
      <w:pStyle w:val="Footer"/>
      <w:jc w:val="right"/>
    </w:pPr>
    <w:r>
      <w:rPr>
        <w:noProof/>
      </w:rPr>
      <mc:AlternateContent>
        <mc:Choice Requires="wps">
          <w:drawing>
            <wp:anchor distT="0" distB="0" distL="0" distR="0" simplePos="0" relativeHeight="251660288" behindDoc="0" locked="0" layoutInCell="1" allowOverlap="1" wp14:anchorId="41A88A64" wp14:editId="14651CD5">
              <wp:simplePos x="915035" y="9546590"/>
              <wp:positionH relativeFrom="page">
                <wp:align>right</wp:align>
              </wp:positionH>
              <wp:positionV relativeFrom="page">
                <wp:align>bottom</wp:align>
              </wp:positionV>
              <wp:extent cx="443865" cy="443865"/>
              <wp:effectExtent l="0" t="0" r="0" b="0"/>
              <wp:wrapNone/>
              <wp:docPr id="3" name="Text Box 3" descr="Confidential C">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4BD6647A" w14:textId="7AD9872A" w:rsidR="005D6EF0" w:rsidRPr="005D6EF0" w:rsidRDefault="005D6EF0" w:rsidP="005D6EF0">
                          <w:pPr>
                            <w:spacing w:after="0"/>
                            <w:rPr>
                              <w:rFonts w:ascii="Arial" w:eastAsia="Arial" w:hAnsi="Arial" w:cs="Arial"/>
                              <w:noProof/>
                              <w:color w:val="000000"/>
                              <w:sz w:val="20"/>
                              <w:szCs w:val="20"/>
                            </w:rPr>
                          </w:pPr>
                          <w:r w:rsidRPr="005D6EF0">
                            <w:rPr>
                              <w:rFonts w:ascii="Arial" w:eastAsia="Arial" w:hAnsi="Arial" w:cs="Arial"/>
                              <w:noProof/>
                              <w:color w:val="000000"/>
                              <w:sz w:val="20"/>
                              <w:szCs w:val="20"/>
                            </w:rPr>
                            <w:t>Confidential C</w:t>
                          </w:r>
                        </w:p>
                      </w:txbxContent>
                    </wps:txbx>
                    <wps:bodyPr rot="0" spcFirstLastPara="0" vertOverflow="overflow" horzOverflow="overflow" vert="horz" wrap="none" lIns="0" tIns="0" rIns="254000" bIns="190500" numCol="1" spcCol="0" rtlCol="0" fromWordArt="0" anchor="b" anchorCtr="0" forceAA="0" compatLnSpc="1">
                      <a:prstTxWarp prst="textNoShape">
                        <a:avLst/>
                      </a:prstTxWarp>
                      <a:spAutoFit/>
                    </wps:bodyPr>
                  </wps:wsp>
                </a:graphicData>
              </a:graphic>
            </wp:anchor>
          </w:drawing>
        </mc:Choice>
        <mc:Fallback>
          <w:pict>
            <v:shapetype w14:anchorId="41A88A64" id="_x0000_t202" coordsize="21600,21600" o:spt="202" path="m,l,21600r21600,l21600,xe">
              <v:stroke joinstyle="miter"/>
              <v:path gradientshapeok="t" o:connecttype="rect"/>
            </v:shapetype>
            <v:shape id="Text Box 3" o:spid="_x0000_s1027" type="#_x0000_t202" alt="Confidential C" style="position:absolute;left:0;text-align:left;margin-left:-16.25pt;margin-top:0;width:34.95pt;height:34.95pt;z-index:251660288;visibility:visible;mso-wrap-style:none;mso-wrap-distance-left:0;mso-wrap-distance-top:0;mso-wrap-distance-right:0;mso-wrap-distance-bottom:0;mso-position-horizontal:righ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" filled="f" stroked="f">
              <v:fill o:detectmouseclick="t"/>
              <v:textbox style="mso-fit-shape-to-text:t" inset="0,0,20pt,15pt">
                <w:txbxContent>
                  <w:p w14:paraId="4BD6647A" w14:textId="7AD9872A" w:rsidR="005D6EF0" w:rsidRPr="005D6EF0" w:rsidRDefault="005D6EF0" w:rsidP="005D6EF0">
                    <w:pPr>
                      <w:spacing w:after="0"/>
                      <w:rPr>
                        <w:rFonts w:ascii="Arial" w:eastAsia="Arial" w:hAnsi="Arial" w:cs="Arial"/>
                        <w:noProof/>
                        <w:color w:val="000000"/>
                        <w:sz w:val="20"/>
                        <w:szCs w:val="20"/>
                      </w:rPr>
                    </w:pPr>
                    <w:r w:rsidRPr="005D6EF0">
                      <w:rPr>
                        <w:rFonts w:ascii="Arial" w:eastAsia="Arial" w:hAnsi="Arial" w:cs="Arial"/>
                        <w:noProof/>
                        <w:color w:val="000000"/>
                        <w:sz w:val="20"/>
                        <w:szCs w:val="20"/>
                      </w:rPr>
                      <w:t>Confidential C</w:t>
                    </w:r>
                  </w:p>
                </w:txbxContent>
              </v:textbox>
              <w10:wrap anchorx="page" anchory="page"/>
            </v:shape>
          </w:pict>
        </mc:Fallback>
      </mc:AlternateContent>
    </w:r>
    <w:sdt>
      <w:sdtPr>
        <w:id w:val="11188380"/>
        <w:docPartObj>
          <w:docPartGallery w:val="Page Numbers (Bottom of Page)"/>
          <w:docPartUnique/>
        </w:docPartObj>
      </w:sdtPr>
      <w:sdtContent>
        <w:r w:rsidR="00075799">
          <w:fldChar w:fldCharType="begin"/>
        </w:r>
        <w:r w:rsidR="0094378A">
          <w:instrText xml:space="preserve"> PAGE   \* MERGEFORMAT </w:instrText>
        </w:r>
        <w:r w:rsidR="00075799">
          <w:fldChar w:fldCharType="separate"/>
        </w:r>
        <w:r w:rsidR="005E5CCE">
          <w:rPr>
            <w:noProof/>
          </w:rPr>
          <w:t>14</w:t>
        </w:r>
        <w:r w:rsidR="00075799">
          <w:rPr>
            <w:noProof/>
          </w:rPr>
          <w:fldChar w:fldCharType="end"/>
        </w:r>
      </w:sdtContent>
    </w:sdt>
  </w:p>
  <w:p w14:paraId="1B2F2101" w14:textId="77777777" w:rsidR="00694E07" w:rsidRDefault="00694E07">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34DBAE" w14:textId="4FC5E306" w:rsidR="005D6EF0" w:rsidRDefault="005D6EF0">
    <w:pPr>
      <w:pStyle w:val="Footer"/>
    </w:pPr>
    <w:r>
      <w:rPr>
        <w:noProof/>
      </w:rPr>
      <mc:AlternateContent>
        <mc:Choice Requires="wps">
          <w:drawing>
            <wp:anchor distT="0" distB="0" distL="0" distR="0" simplePos="0" relativeHeight="251658240" behindDoc="0" locked="0" layoutInCell="1" allowOverlap="1" wp14:anchorId="75A33165" wp14:editId="641B4D18">
              <wp:simplePos x="914400" y="9715500"/>
              <wp:positionH relativeFrom="page">
                <wp:align>right</wp:align>
              </wp:positionH>
              <wp:positionV relativeFrom="page">
                <wp:align>bottom</wp:align>
              </wp:positionV>
              <wp:extent cx="443865" cy="443865"/>
              <wp:effectExtent l="0" t="0" r="0" b="0"/>
              <wp:wrapNone/>
              <wp:docPr id="1" name="Text Box 1" descr="Confidential C">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431F975C" w14:textId="2DFE8DFF" w:rsidR="005D6EF0" w:rsidRPr="005D6EF0" w:rsidRDefault="005D6EF0" w:rsidP="005D6EF0">
                          <w:pPr>
                            <w:spacing w:after="0"/>
                            <w:rPr>
                              <w:rFonts w:ascii="Arial" w:eastAsia="Arial" w:hAnsi="Arial" w:cs="Arial"/>
                              <w:noProof/>
                              <w:color w:val="000000"/>
                              <w:sz w:val="20"/>
                              <w:szCs w:val="20"/>
                            </w:rPr>
                          </w:pPr>
                          <w:r w:rsidRPr="005D6EF0">
                            <w:rPr>
                              <w:rFonts w:ascii="Arial" w:eastAsia="Arial" w:hAnsi="Arial" w:cs="Arial"/>
                              <w:noProof/>
                              <w:color w:val="000000"/>
                              <w:sz w:val="20"/>
                              <w:szCs w:val="20"/>
                            </w:rPr>
                            <w:t>Confidential C</w:t>
                          </w:r>
                        </w:p>
                      </w:txbxContent>
                    </wps:txbx>
                    <wps:bodyPr rot="0" spcFirstLastPara="0" vertOverflow="overflow" horzOverflow="overflow" vert="horz" wrap="none" lIns="0" tIns="0" rIns="254000" bIns="190500" numCol="1" spcCol="0" rtlCol="0" fromWordArt="0" anchor="b" anchorCtr="0" forceAA="0" compatLnSpc="1">
                      <a:prstTxWarp prst="textNoShape">
                        <a:avLst/>
                      </a:prstTxWarp>
                      <a:spAutoFit/>
                    </wps:bodyPr>
                  </wps:wsp>
                </a:graphicData>
              </a:graphic>
            </wp:anchor>
          </w:drawing>
        </mc:Choice>
        <mc:Fallback>
          <w:pict>
            <v:shapetype w14:anchorId="75A33165" id="_x0000_t202" coordsize="21600,21600" o:spt="202" path="m,l,21600r21600,l21600,xe">
              <v:stroke joinstyle="miter"/>
              <v:path gradientshapeok="t" o:connecttype="rect"/>
            </v:shapetype>
            <v:shape id="Text Box 1" o:spid="_x0000_s1028" type="#_x0000_t202" alt="Confidential C" style="position:absolute;margin-left:-16.25pt;margin-top:0;width:34.95pt;height:34.95pt;z-index:251658240;visibility:visible;mso-wrap-style:none;mso-wrap-distance-left:0;mso-wrap-distance-top:0;mso-wrap-distance-right:0;mso-wrap-distance-bottom:0;mso-position-horizontal:righ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" filled="f" stroked="f">
              <v:fill o:detectmouseclick="t"/>
              <v:textbox style="mso-fit-shape-to-text:t" inset="0,0,20pt,15pt">
                <w:txbxContent>
                  <w:p w14:paraId="431F975C" w14:textId="2DFE8DFF" w:rsidR="005D6EF0" w:rsidRPr="005D6EF0" w:rsidRDefault="005D6EF0" w:rsidP="005D6EF0">
                    <w:pPr>
                      <w:spacing w:after="0"/>
                      <w:rPr>
                        <w:rFonts w:ascii="Arial" w:eastAsia="Arial" w:hAnsi="Arial" w:cs="Arial"/>
                        <w:noProof/>
                        <w:color w:val="000000"/>
                        <w:sz w:val="20"/>
                        <w:szCs w:val="20"/>
                      </w:rPr>
                    </w:pPr>
                    <w:r w:rsidRPr="005D6EF0">
                      <w:rPr>
                        <w:rFonts w:ascii="Arial" w:eastAsia="Arial" w:hAnsi="Arial" w:cs="Arial"/>
                        <w:noProof/>
                        <w:color w:val="000000"/>
                        <w:sz w:val="20"/>
                        <w:szCs w:val="20"/>
                      </w:rPr>
                      <w:t>Confidential C</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A535B23" w14:textId="77777777" w:rsidR="001A79D9" w:rsidRDefault="001A79D9" w:rsidP="00694E07">
      <w:pPr>
        <w:spacing w:after="0" w:line="240" w:lineRule="auto"/>
      </w:pPr>
      <w:r>
        <w:separator/>
      </w:r>
    </w:p>
  </w:footnote>
  <w:footnote w:type="continuationSeparator" w:id="0">
    <w:p w14:paraId="7DCBE2E3" w14:textId="77777777" w:rsidR="001A79D9" w:rsidRDefault="001A79D9" w:rsidP="00694E0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5B3837"/>
    <w:multiLevelType w:val="hybridMultilevel"/>
    <w:tmpl w:val="21B43AB0"/>
    <w:lvl w:ilvl="0" w:tplc="A2DEADDA">
      <w:numFmt w:val="bullet"/>
      <w:lvlText w:val="•"/>
      <w:lvlJc w:val="left"/>
      <w:pPr>
        <w:ind w:left="1440" w:hanging="72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9856F84"/>
    <w:multiLevelType w:val="multilevel"/>
    <w:tmpl w:val="DCB6D41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2C130E5"/>
    <w:multiLevelType w:val="multilevel"/>
    <w:tmpl w:val="01101CF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8830F84"/>
    <w:multiLevelType w:val="multilevel"/>
    <w:tmpl w:val="DA32611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21C401D6"/>
    <w:multiLevelType w:val="multilevel"/>
    <w:tmpl w:val="1D90603A"/>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26A8223A"/>
    <w:multiLevelType w:val="multilevel"/>
    <w:tmpl w:val="778A4714"/>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CE75C0F"/>
    <w:multiLevelType w:val="multilevel"/>
    <w:tmpl w:val="EF22B5B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E9B1B31"/>
    <w:multiLevelType w:val="multilevel"/>
    <w:tmpl w:val="A8544DD0"/>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3EF16AE5"/>
    <w:multiLevelType w:val="multilevel"/>
    <w:tmpl w:val="31C2330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44802697"/>
    <w:multiLevelType w:val="multilevel"/>
    <w:tmpl w:val="691CB4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46C3580F"/>
    <w:multiLevelType w:val="multilevel"/>
    <w:tmpl w:val="1C70534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483A158A"/>
    <w:multiLevelType w:val="multilevel"/>
    <w:tmpl w:val="00C0469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50D0073E"/>
    <w:multiLevelType w:val="multilevel"/>
    <w:tmpl w:val="FB8E2C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52B64425"/>
    <w:multiLevelType w:val="multilevel"/>
    <w:tmpl w:val="22800C1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53202AE3"/>
    <w:multiLevelType w:val="multilevel"/>
    <w:tmpl w:val="236A223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568D260B"/>
    <w:multiLevelType w:val="hybridMultilevel"/>
    <w:tmpl w:val="76063C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75D77BDF"/>
    <w:multiLevelType w:val="multilevel"/>
    <w:tmpl w:val="D1927E3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7824616A"/>
    <w:multiLevelType w:val="multilevel"/>
    <w:tmpl w:val="C4A457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78BA3B84"/>
    <w:multiLevelType w:val="multilevel"/>
    <w:tmpl w:val="13F2762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046640164">
    <w:abstractNumId w:val="16"/>
  </w:num>
  <w:num w:numId="2" w16cid:durableId="322009185">
    <w:abstractNumId w:val="11"/>
  </w:num>
  <w:num w:numId="3" w16cid:durableId="1090278646">
    <w:abstractNumId w:val="2"/>
  </w:num>
  <w:num w:numId="4" w16cid:durableId="453017370">
    <w:abstractNumId w:val="6"/>
  </w:num>
  <w:num w:numId="5" w16cid:durableId="2000190774">
    <w:abstractNumId w:val="9"/>
  </w:num>
  <w:num w:numId="6" w16cid:durableId="974945087">
    <w:abstractNumId w:val="14"/>
  </w:num>
  <w:num w:numId="7" w16cid:durableId="2068330940">
    <w:abstractNumId w:val="17"/>
  </w:num>
  <w:num w:numId="8" w16cid:durableId="923033690">
    <w:abstractNumId w:val="12"/>
  </w:num>
  <w:num w:numId="9" w16cid:durableId="1081221398">
    <w:abstractNumId w:val="10"/>
  </w:num>
  <w:num w:numId="10" w16cid:durableId="1590773807">
    <w:abstractNumId w:val="18"/>
  </w:num>
  <w:num w:numId="11" w16cid:durableId="1257130268">
    <w:abstractNumId w:val="13"/>
  </w:num>
  <w:num w:numId="12" w16cid:durableId="48499926">
    <w:abstractNumId w:val="1"/>
  </w:num>
  <w:num w:numId="13" w16cid:durableId="593978235">
    <w:abstractNumId w:val="3"/>
  </w:num>
  <w:num w:numId="14" w16cid:durableId="957838102">
    <w:abstractNumId w:val="5"/>
  </w:num>
  <w:num w:numId="15" w16cid:durableId="2058048870">
    <w:abstractNumId w:val="4"/>
  </w:num>
  <w:num w:numId="16" w16cid:durableId="552888999">
    <w:abstractNumId w:val="8"/>
  </w:num>
  <w:num w:numId="17" w16cid:durableId="2019119698">
    <w:abstractNumId w:val="7"/>
  </w:num>
  <w:num w:numId="18" w16cid:durableId="2043285044">
    <w:abstractNumId w:val="15"/>
  </w:num>
  <w:num w:numId="19" w16cid:durableId="182061546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B4476"/>
    <w:rsid w:val="0001225E"/>
    <w:rsid w:val="000139A5"/>
    <w:rsid w:val="00017307"/>
    <w:rsid w:val="00020533"/>
    <w:rsid w:val="00026589"/>
    <w:rsid w:val="00033459"/>
    <w:rsid w:val="00036EF2"/>
    <w:rsid w:val="00040B63"/>
    <w:rsid w:val="00040D4C"/>
    <w:rsid w:val="000549DB"/>
    <w:rsid w:val="00056003"/>
    <w:rsid w:val="00062CE7"/>
    <w:rsid w:val="0006407C"/>
    <w:rsid w:val="00075799"/>
    <w:rsid w:val="00085F5A"/>
    <w:rsid w:val="000A18D7"/>
    <w:rsid w:val="000A2B1D"/>
    <w:rsid w:val="000B2AD9"/>
    <w:rsid w:val="000D010F"/>
    <w:rsid w:val="000E5F09"/>
    <w:rsid w:val="000F089C"/>
    <w:rsid w:val="00101A7D"/>
    <w:rsid w:val="0010710C"/>
    <w:rsid w:val="001124DC"/>
    <w:rsid w:val="00120862"/>
    <w:rsid w:val="00130F25"/>
    <w:rsid w:val="001837B1"/>
    <w:rsid w:val="00193FC9"/>
    <w:rsid w:val="0019478F"/>
    <w:rsid w:val="001A79D9"/>
    <w:rsid w:val="001B2918"/>
    <w:rsid w:val="001B4E81"/>
    <w:rsid w:val="001C435B"/>
    <w:rsid w:val="001D228D"/>
    <w:rsid w:val="001D2BB5"/>
    <w:rsid w:val="001D33CE"/>
    <w:rsid w:val="001D5F83"/>
    <w:rsid w:val="001D7E04"/>
    <w:rsid w:val="001F1BFE"/>
    <w:rsid w:val="001F2EE8"/>
    <w:rsid w:val="001F5CEF"/>
    <w:rsid w:val="002122B3"/>
    <w:rsid w:val="00227DD9"/>
    <w:rsid w:val="00235C66"/>
    <w:rsid w:val="00237545"/>
    <w:rsid w:val="00240835"/>
    <w:rsid w:val="002559B8"/>
    <w:rsid w:val="002702D2"/>
    <w:rsid w:val="0027116B"/>
    <w:rsid w:val="00285617"/>
    <w:rsid w:val="00292B78"/>
    <w:rsid w:val="002B7CA7"/>
    <w:rsid w:val="002F00B7"/>
    <w:rsid w:val="002F6E2F"/>
    <w:rsid w:val="002F7C03"/>
    <w:rsid w:val="00301A63"/>
    <w:rsid w:val="00310B2A"/>
    <w:rsid w:val="00317E8C"/>
    <w:rsid w:val="003303BE"/>
    <w:rsid w:val="00344FC6"/>
    <w:rsid w:val="00355F63"/>
    <w:rsid w:val="00356B8A"/>
    <w:rsid w:val="00363E0F"/>
    <w:rsid w:val="00371C6B"/>
    <w:rsid w:val="0037336F"/>
    <w:rsid w:val="003871D4"/>
    <w:rsid w:val="003878B7"/>
    <w:rsid w:val="00392532"/>
    <w:rsid w:val="003C252C"/>
    <w:rsid w:val="003C36C7"/>
    <w:rsid w:val="003D2566"/>
    <w:rsid w:val="003F1377"/>
    <w:rsid w:val="00401EC2"/>
    <w:rsid w:val="00402E6D"/>
    <w:rsid w:val="00411A08"/>
    <w:rsid w:val="0043576F"/>
    <w:rsid w:val="0045309D"/>
    <w:rsid w:val="00461904"/>
    <w:rsid w:val="00474BF5"/>
    <w:rsid w:val="004751B5"/>
    <w:rsid w:val="004A2ECE"/>
    <w:rsid w:val="004B261E"/>
    <w:rsid w:val="004B2A52"/>
    <w:rsid w:val="004B7298"/>
    <w:rsid w:val="004C6318"/>
    <w:rsid w:val="004D4AA5"/>
    <w:rsid w:val="004E52A8"/>
    <w:rsid w:val="005060A1"/>
    <w:rsid w:val="0052127A"/>
    <w:rsid w:val="005408D0"/>
    <w:rsid w:val="0054368E"/>
    <w:rsid w:val="00553826"/>
    <w:rsid w:val="00555FB5"/>
    <w:rsid w:val="00560201"/>
    <w:rsid w:val="0056365F"/>
    <w:rsid w:val="00566493"/>
    <w:rsid w:val="00566949"/>
    <w:rsid w:val="005757A2"/>
    <w:rsid w:val="0058612D"/>
    <w:rsid w:val="0059312F"/>
    <w:rsid w:val="00595168"/>
    <w:rsid w:val="005B4FB8"/>
    <w:rsid w:val="005D4135"/>
    <w:rsid w:val="005D5E91"/>
    <w:rsid w:val="005D6EF0"/>
    <w:rsid w:val="005E5CCE"/>
    <w:rsid w:val="005E65E5"/>
    <w:rsid w:val="005F7ADC"/>
    <w:rsid w:val="006076A2"/>
    <w:rsid w:val="006130FF"/>
    <w:rsid w:val="0061500D"/>
    <w:rsid w:val="006311DA"/>
    <w:rsid w:val="006326A9"/>
    <w:rsid w:val="006739BB"/>
    <w:rsid w:val="006856EA"/>
    <w:rsid w:val="00694E07"/>
    <w:rsid w:val="006A3959"/>
    <w:rsid w:val="006B6112"/>
    <w:rsid w:val="006E75B6"/>
    <w:rsid w:val="006F4D9D"/>
    <w:rsid w:val="007022F3"/>
    <w:rsid w:val="00712A4E"/>
    <w:rsid w:val="00722DA6"/>
    <w:rsid w:val="007262F1"/>
    <w:rsid w:val="00732097"/>
    <w:rsid w:val="00744F7F"/>
    <w:rsid w:val="007536CC"/>
    <w:rsid w:val="00765689"/>
    <w:rsid w:val="0077237A"/>
    <w:rsid w:val="00774723"/>
    <w:rsid w:val="00776364"/>
    <w:rsid w:val="007804EC"/>
    <w:rsid w:val="007A4B80"/>
    <w:rsid w:val="007E4A82"/>
    <w:rsid w:val="00800857"/>
    <w:rsid w:val="00802216"/>
    <w:rsid w:val="00845C10"/>
    <w:rsid w:val="00846659"/>
    <w:rsid w:val="00847BB4"/>
    <w:rsid w:val="00850015"/>
    <w:rsid w:val="00860761"/>
    <w:rsid w:val="00862C45"/>
    <w:rsid w:val="008759B4"/>
    <w:rsid w:val="00875DAE"/>
    <w:rsid w:val="00880389"/>
    <w:rsid w:val="00885457"/>
    <w:rsid w:val="008A640D"/>
    <w:rsid w:val="008B1A4A"/>
    <w:rsid w:val="008B4476"/>
    <w:rsid w:val="008C0C6D"/>
    <w:rsid w:val="008C5E50"/>
    <w:rsid w:val="008C5F5B"/>
    <w:rsid w:val="008D06DA"/>
    <w:rsid w:val="008D2D6A"/>
    <w:rsid w:val="008E3881"/>
    <w:rsid w:val="008F17C8"/>
    <w:rsid w:val="00902DA7"/>
    <w:rsid w:val="009066B5"/>
    <w:rsid w:val="009367A6"/>
    <w:rsid w:val="0094378A"/>
    <w:rsid w:val="00950DF4"/>
    <w:rsid w:val="009558D8"/>
    <w:rsid w:val="00964820"/>
    <w:rsid w:val="0096490A"/>
    <w:rsid w:val="00986443"/>
    <w:rsid w:val="009C3B56"/>
    <w:rsid w:val="009D3524"/>
    <w:rsid w:val="009D40A0"/>
    <w:rsid w:val="009E1D00"/>
    <w:rsid w:val="009E7669"/>
    <w:rsid w:val="009F7A4C"/>
    <w:rsid w:val="00A10311"/>
    <w:rsid w:val="00A16335"/>
    <w:rsid w:val="00A434C8"/>
    <w:rsid w:val="00A543C1"/>
    <w:rsid w:val="00A62AD5"/>
    <w:rsid w:val="00A71596"/>
    <w:rsid w:val="00A75635"/>
    <w:rsid w:val="00A84F30"/>
    <w:rsid w:val="00A9451C"/>
    <w:rsid w:val="00AA59D5"/>
    <w:rsid w:val="00AC62D8"/>
    <w:rsid w:val="00AD4628"/>
    <w:rsid w:val="00AE3351"/>
    <w:rsid w:val="00AE3F94"/>
    <w:rsid w:val="00AF2427"/>
    <w:rsid w:val="00AF5604"/>
    <w:rsid w:val="00AF77AB"/>
    <w:rsid w:val="00B01221"/>
    <w:rsid w:val="00B05DBE"/>
    <w:rsid w:val="00B36D99"/>
    <w:rsid w:val="00B50780"/>
    <w:rsid w:val="00BA5010"/>
    <w:rsid w:val="00BD0A6E"/>
    <w:rsid w:val="00BE001F"/>
    <w:rsid w:val="00C008C7"/>
    <w:rsid w:val="00C048C9"/>
    <w:rsid w:val="00C15D63"/>
    <w:rsid w:val="00C26395"/>
    <w:rsid w:val="00C35F52"/>
    <w:rsid w:val="00C41DFF"/>
    <w:rsid w:val="00C51749"/>
    <w:rsid w:val="00C52D35"/>
    <w:rsid w:val="00C71C78"/>
    <w:rsid w:val="00C74C02"/>
    <w:rsid w:val="00C8449E"/>
    <w:rsid w:val="00C87577"/>
    <w:rsid w:val="00CA7FC1"/>
    <w:rsid w:val="00CC75DC"/>
    <w:rsid w:val="00CD6847"/>
    <w:rsid w:val="00CD7BF5"/>
    <w:rsid w:val="00CF068C"/>
    <w:rsid w:val="00D4562D"/>
    <w:rsid w:val="00D5483D"/>
    <w:rsid w:val="00D56393"/>
    <w:rsid w:val="00D63ADF"/>
    <w:rsid w:val="00D668D6"/>
    <w:rsid w:val="00D6749A"/>
    <w:rsid w:val="00D92736"/>
    <w:rsid w:val="00DB3615"/>
    <w:rsid w:val="00DB4E05"/>
    <w:rsid w:val="00DE2671"/>
    <w:rsid w:val="00DE3473"/>
    <w:rsid w:val="00E02655"/>
    <w:rsid w:val="00E06AD1"/>
    <w:rsid w:val="00E06FB6"/>
    <w:rsid w:val="00E173E7"/>
    <w:rsid w:val="00E17877"/>
    <w:rsid w:val="00E24A4D"/>
    <w:rsid w:val="00E3632F"/>
    <w:rsid w:val="00E50B32"/>
    <w:rsid w:val="00E63360"/>
    <w:rsid w:val="00E6697A"/>
    <w:rsid w:val="00E70AFA"/>
    <w:rsid w:val="00E858C7"/>
    <w:rsid w:val="00EA2DC0"/>
    <w:rsid w:val="00EB3962"/>
    <w:rsid w:val="00EF1D9F"/>
    <w:rsid w:val="00F03063"/>
    <w:rsid w:val="00F05BA1"/>
    <w:rsid w:val="00F154C1"/>
    <w:rsid w:val="00F25AD7"/>
    <w:rsid w:val="00F26156"/>
    <w:rsid w:val="00F31625"/>
    <w:rsid w:val="00F46F86"/>
    <w:rsid w:val="00F53774"/>
    <w:rsid w:val="00F8157B"/>
    <w:rsid w:val="00F86A8B"/>
    <w:rsid w:val="00FA0406"/>
    <w:rsid w:val="00FA2109"/>
    <w:rsid w:val="00FB4D66"/>
    <w:rsid w:val="00FD63A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7E45523"/>
  <w15:docId w15:val="{B0A31664-62E3-4117-8636-65DC751524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9478F"/>
  </w:style>
  <w:style w:type="paragraph" w:styleId="Heading1">
    <w:name w:val="heading 1"/>
    <w:basedOn w:val="Normal"/>
    <w:next w:val="Normal"/>
    <w:link w:val="Heading1Char"/>
    <w:uiPriority w:val="9"/>
    <w:qFormat/>
    <w:rsid w:val="00C52D35"/>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link w:val="Heading2Char"/>
    <w:uiPriority w:val="9"/>
    <w:qFormat/>
    <w:rsid w:val="001F5CEF"/>
    <w:p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Heading3">
    <w:name w:val="heading 3"/>
    <w:basedOn w:val="Normal"/>
    <w:next w:val="Normal"/>
    <w:link w:val="Heading3Char"/>
    <w:uiPriority w:val="9"/>
    <w:unhideWhenUsed/>
    <w:qFormat/>
    <w:rsid w:val="00F154C1"/>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next w:val="Normal"/>
    <w:link w:val="Heading4Char"/>
    <w:uiPriority w:val="9"/>
    <w:semiHidden/>
    <w:unhideWhenUsed/>
    <w:qFormat/>
    <w:rsid w:val="008C5E50"/>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9558D8"/>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eading2Char">
    <w:name w:val="Heading 2 Char"/>
    <w:basedOn w:val="DefaultParagraphFont"/>
    <w:link w:val="Heading2"/>
    <w:uiPriority w:val="9"/>
    <w:rsid w:val="001F5CEF"/>
    <w:rPr>
      <w:rFonts w:ascii="Times New Roman" w:eastAsia="Times New Roman" w:hAnsi="Times New Roman" w:cs="Times New Roman"/>
      <w:b/>
      <w:bCs/>
      <w:sz w:val="36"/>
      <w:szCs w:val="36"/>
    </w:rPr>
  </w:style>
  <w:style w:type="character" w:styleId="Strong">
    <w:name w:val="Strong"/>
    <w:basedOn w:val="DefaultParagraphFont"/>
    <w:uiPriority w:val="22"/>
    <w:qFormat/>
    <w:rsid w:val="00AE3351"/>
    <w:rPr>
      <w:b/>
      <w:bCs/>
    </w:rPr>
  </w:style>
  <w:style w:type="character" w:styleId="Emphasis">
    <w:name w:val="Emphasis"/>
    <w:basedOn w:val="DefaultParagraphFont"/>
    <w:uiPriority w:val="20"/>
    <w:qFormat/>
    <w:rsid w:val="00AE3351"/>
    <w:rPr>
      <w:i/>
      <w:iCs/>
    </w:rPr>
  </w:style>
  <w:style w:type="paragraph" w:styleId="BalloonText">
    <w:name w:val="Balloon Text"/>
    <w:basedOn w:val="Normal"/>
    <w:link w:val="BalloonTextChar"/>
    <w:uiPriority w:val="99"/>
    <w:semiHidden/>
    <w:unhideWhenUsed/>
    <w:rsid w:val="0077472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74723"/>
    <w:rPr>
      <w:rFonts w:ascii="Tahoma" w:hAnsi="Tahoma" w:cs="Tahoma"/>
      <w:sz w:val="16"/>
      <w:szCs w:val="16"/>
    </w:rPr>
  </w:style>
  <w:style w:type="paragraph" w:styleId="ListParagraph">
    <w:name w:val="List Paragraph"/>
    <w:basedOn w:val="Normal"/>
    <w:uiPriority w:val="34"/>
    <w:qFormat/>
    <w:rsid w:val="008C5F5B"/>
    <w:pPr>
      <w:ind w:left="720"/>
      <w:contextualSpacing/>
    </w:pPr>
  </w:style>
  <w:style w:type="paragraph" w:styleId="Header">
    <w:name w:val="header"/>
    <w:basedOn w:val="Normal"/>
    <w:link w:val="HeaderChar"/>
    <w:uiPriority w:val="99"/>
    <w:unhideWhenUsed/>
    <w:rsid w:val="00694E07"/>
    <w:pPr>
      <w:tabs>
        <w:tab w:val="center" w:pos="4513"/>
        <w:tab w:val="right" w:pos="9026"/>
      </w:tabs>
      <w:spacing w:after="0" w:line="240" w:lineRule="auto"/>
    </w:pPr>
  </w:style>
  <w:style w:type="character" w:customStyle="1" w:styleId="HeaderChar">
    <w:name w:val="Header Char"/>
    <w:basedOn w:val="DefaultParagraphFont"/>
    <w:link w:val="Header"/>
    <w:uiPriority w:val="99"/>
    <w:rsid w:val="00694E07"/>
  </w:style>
  <w:style w:type="paragraph" w:styleId="Footer">
    <w:name w:val="footer"/>
    <w:basedOn w:val="Normal"/>
    <w:link w:val="FooterChar"/>
    <w:uiPriority w:val="99"/>
    <w:unhideWhenUsed/>
    <w:rsid w:val="00694E07"/>
    <w:pPr>
      <w:tabs>
        <w:tab w:val="center" w:pos="4513"/>
        <w:tab w:val="right" w:pos="9026"/>
      </w:tabs>
      <w:spacing w:after="0" w:line="240" w:lineRule="auto"/>
    </w:pPr>
  </w:style>
  <w:style w:type="character" w:customStyle="1" w:styleId="FooterChar">
    <w:name w:val="Footer Char"/>
    <w:basedOn w:val="DefaultParagraphFont"/>
    <w:link w:val="Footer"/>
    <w:uiPriority w:val="99"/>
    <w:rsid w:val="00694E07"/>
  </w:style>
  <w:style w:type="table" w:styleId="TableGrid">
    <w:name w:val="Table Grid"/>
    <w:basedOn w:val="TableNormal"/>
    <w:uiPriority w:val="39"/>
    <w:rsid w:val="0054368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C52D35"/>
    <w:rPr>
      <w:rFonts w:asciiTheme="majorHAnsi" w:eastAsiaTheme="majorEastAsia" w:hAnsiTheme="majorHAnsi" w:cstheme="majorBidi"/>
      <w:color w:val="2E74B5" w:themeColor="accent1" w:themeShade="BF"/>
      <w:sz w:val="32"/>
      <w:szCs w:val="32"/>
    </w:rPr>
  </w:style>
  <w:style w:type="character" w:styleId="Hyperlink">
    <w:name w:val="Hyperlink"/>
    <w:basedOn w:val="DefaultParagraphFont"/>
    <w:uiPriority w:val="99"/>
    <w:unhideWhenUsed/>
    <w:rsid w:val="009E7669"/>
    <w:rPr>
      <w:color w:val="0563C1" w:themeColor="hyperlink"/>
      <w:u w:val="single"/>
    </w:rPr>
  </w:style>
  <w:style w:type="character" w:customStyle="1" w:styleId="Heading3Char">
    <w:name w:val="Heading 3 Char"/>
    <w:basedOn w:val="DefaultParagraphFont"/>
    <w:link w:val="Heading3"/>
    <w:uiPriority w:val="9"/>
    <w:rsid w:val="00F154C1"/>
    <w:rPr>
      <w:rFonts w:asciiTheme="majorHAnsi" w:eastAsiaTheme="majorEastAsia" w:hAnsiTheme="majorHAnsi" w:cstheme="majorBidi"/>
      <w:color w:val="1F4D78" w:themeColor="accent1" w:themeShade="7F"/>
      <w:sz w:val="24"/>
      <w:szCs w:val="24"/>
    </w:rPr>
  </w:style>
  <w:style w:type="character" w:customStyle="1" w:styleId="Heading4Char">
    <w:name w:val="Heading 4 Char"/>
    <w:basedOn w:val="DefaultParagraphFont"/>
    <w:link w:val="Heading4"/>
    <w:uiPriority w:val="9"/>
    <w:semiHidden/>
    <w:rsid w:val="008C5E50"/>
    <w:rPr>
      <w:rFonts w:asciiTheme="majorHAnsi" w:eastAsiaTheme="majorEastAsia" w:hAnsiTheme="majorHAnsi" w:cstheme="majorBidi"/>
      <w:i/>
      <w:iCs/>
      <w:color w:val="2E74B5" w:themeColor="accent1" w:themeShade="BF"/>
    </w:rPr>
  </w:style>
  <w:style w:type="table" w:styleId="TableGridLight">
    <w:name w:val="Grid Table Light"/>
    <w:basedOn w:val="TableNormal"/>
    <w:uiPriority w:val="40"/>
    <w:rsid w:val="001D33CE"/>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622174">
      <w:bodyDiv w:val="1"/>
      <w:marLeft w:val="0"/>
      <w:marRight w:val="0"/>
      <w:marTop w:val="0"/>
      <w:marBottom w:val="0"/>
      <w:divBdr>
        <w:top w:val="none" w:sz="0" w:space="0" w:color="auto"/>
        <w:left w:val="none" w:sz="0" w:space="0" w:color="auto"/>
        <w:bottom w:val="none" w:sz="0" w:space="0" w:color="auto"/>
        <w:right w:val="none" w:sz="0" w:space="0" w:color="auto"/>
      </w:divBdr>
    </w:div>
    <w:div w:id="32734107">
      <w:bodyDiv w:val="1"/>
      <w:marLeft w:val="0"/>
      <w:marRight w:val="0"/>
      <w:marTop w:val="0"/>
      <w:marBottom w:val="0"/>
      <w:divBdr>
        <w:top w:val="none" w:sz="0" w:space="0" w:color="auto"/>
        <w:left w:val="none" w:sz="0" w:space="0" w:color="auto"/>
        <w:bottom w:val="none" w:sz="0" w:space="0" w:color="auto"/>
        <w:right w:val="none" w:sz="0" w:space="0" w:color="auto"/>
      </w:divBdr>
    </w:div>
    <w:div w:id="91123724">
      <w:bodyDiv w:val="1"/>
      <w:marLeft w:val="0"/>
      <w:marRight w:val="0"/>
      <w:marTop w:val="0"/>
      <w:marBottom w:val="0"/>
      <w:divBdr>
        <w:top w:val="none" w:sz="0" w:space="0" w:color="auto"/>
        <w:left w:val="none" w:sz="0" w:space="0" w:color="auto"/>
        <w:bottom w:val="none" w:sz="0" w:space="0" w:color="auto"/>
        <w:right w:val="none" w:sz="0" w:space="0" w:color="auto"/>
      </w:divBdr>
    </w:div>
    <w:div w:id="92164279">
      <w:bodyDiv w:val="1"/>
      <w:marLeft w:val="0"/>
      <w:marRight w:val="0"/>
      <w:marTop w:val="0"/>
      <w:marBottom w:val="0"/>
      <w:divBdr>
        <w:top w:val="none" w:sz="0" w:space="0" w:color="auto"/>
        <w:left w:val="none" w:sz="0" w:space="0" w:color="auto"/>
        <w:bottom w:val="none" w:sz="0" w:space="0" w:color="auto"/>
        <w:right w:val="none" w:sz="0" w:space="0" w:color="auto"/>
      </w:divBdr>
    </w:div>
    <w:div w:id="97532657">
      <w:bodyDiv w:val="1"/>
      <w:marLeft w:val="0"/>
      <w:marRight w:val="0"/>
      <w:marTop w:val="0"/>
      <w:marBottom w:val="0"/>
      <w:divBdr>
        <w:top w:val="none" w:sz="0" w:space="0" w:color="auto"/>
        <w:left w:val="none" w:sz="0" w:space="0" w:color="auto"/>
        <w:bottom w:val="none" w:sz="0" w:space="0" w:color="auto"/>
        <w:right w:val="none" w:sz="0" w:space="0" w:color="auto"/>
      </w:divBdr>
    </w:div>
    <w:div w:id="183443575">
      <w:bodyDiv w:val="1"/>
      <w:marLeft w:val="0"/>
      <w:marRight w:val="0"/>
      <w:marTop w:val="0"/>
      <w:marBottom w:val="0"/>
      <w:divBdr>
        <w:top w:val="none" w:sz="0" w:space="0" w:color="auto"/>
        <w:left w:val="none" w:sz="0" w:space="0" w:color="auto"/>
        <w:bottom w:val="none" w:sz="0" w:space="0" w:color="auto"/>
        <w:right w:val="none" w:sz="0" w:space="0" w:color="auto"/>
      </w:divBdr>
    </w:div>
    <w:div w:id="244270340">
      <w:bodyDiv w:val="1"/>
      <w:marLeft w:val="0"/>
      <w:marRight w:val="0"/>
      <w:marTop w:val="0"/>
      <w:marBottom w:val="0"/>
      <w:divBdr>
        <w:top w:val="none" w:sz="0" w:space="0" w:color="auto"/>
        <w:left w:val="none" w:sz="0" w:space="0" w:color="auto"/>
        <w:bottom w:val="none" w:sz="0" w:space="0" w:color="auto"/>
        <w:right w:val="none" w:sz="0" w:space="0" w:color="auto"/>
      </w:divBdr>
    </w:div>
    <w:div w:id="267466055">
      <w:bodyDiv w:val="1"/>
      <w:marLeft w:val="0"/>
      <w:marRight w:val="0"/>
      <w:marTop w:val="0"/>
      <w:marBottom w:val="0"/>
      <w:divBdr>
        <w:top w:val="none" w:sz="0" w:space="0" w:color="auto"/>
        <w:left w:val="none" w:sz="0" w:space="0" w:color="auto"/>
        <w:bottom w:val="none" w:sz="0" w:space="0" w:color="auto"/>
        <w:right w:val="none" w:sz="0" w:space="0" w:color="auto"/>
      </w:divBdr>
    </w:div>
    <w:div w:id="335771975">
      <w:bodyDiv w:val="1"/>
      <w:marLeft w:val="0"/>
      <w:marRight w:val="0"/>
      <w:marTop w:val="0"/>
      <w:marBottom w:val="0"/>
      <w:divBdr>
        <w:top w:val="none" w:sz="0" w:space="0" w:color="auto"/>
        <w:left w:val="none" w:sz="0" w:space="0" w:color="auto"/>
        <w:bottom w:val="none" w:sz="0" w:space="0" w:color="auto"/>
        <w:right w:val="none" w:sz="0" w:space="0" w:color="auto"/>
      </w:divBdr>
    </w:div>
    <w:div w:id="351104123">
      <w:bodyDiv w:val="1"/>
      <w:marLeft w:val="0"/>
      <w:marRight w:val="0"/>
      <w:marTop w:val="0"/>
      <w:marBottom w:val="0"/>
      <w:divBdr>
        <w:top w:val="none" w:sz="0" w:space="0" w:color="auto"/>
        <w:left w:val="none" w:sz="0" w:space="0" w:color="auto"/>
        <w:bottom w:val="none" w:sz="0" w:space="0" w:color="auto"/>
        <w:right w:val="none" w:sz="0" w:space="0" w:color="auto"/>
      </w:divBdr>
      <w:divsChild>
        <w:div w:id="1024481223">
          <w:marLeft w:val="0"/>
          <w:marRight w:val="0"/>
          <w:marTop w:val="0"/>
          <w:marBottom w:val="0"/>
          <w:divBdr>
            <w:top w:val="none" w:sz="0" w:space="0" w:color="auto"/>
            <w:left w:val="none" w:sz="0" w:space="0" w:color="auto"/>
            <w:bottom w:val="none" w:sz="0" w:space="0" w:color="auto"/>
            <w:right w:val="none" w:sz="0" w:space="0" w:color="auto"/>
          </w:divBdr>
        </w:div>
        <w:div w:id="423306346">
          <w:marLeft w:val="0"/>
          <w:marRight w:val="0"/>
          <w:marTop w:val="0"/>
          <w:marBottom w:val="0"/>
          <w:divBdr>
            <w:top w:val="none" w:sz="0" w:space="0" w:color="auto"/>
            <w:left w:val="none" w:sz="0" w:space="0" w:color="auto"/>
            <w:bottom w:val="none" w:sz="0" w:space="0" w:color="auto"/>
            <w:right w:val="none" w:sz="0" w:space="0" w:color="auto"/>
          </w:divBdr>
        </w:div>
        <w:div w:id="107045228">
          <w:marLeft w:val="0"/>
          <w:marRight w:val="0"/>
          <w:marTop w:val="0"/>
          <w:marBottom w:val="0"/>
          <w:divBdr>
            <w:top w:val="none" w:sz="0" w:space="0" w:color="auto"/>
            <w:left w:val="none" w:sz="0" w:space="0" w:color="auto"/>
            <w:bottom w:val="none" w:sz="0" w:space="0" w:color="auto"/>
            <w:right w:val="none" w:sz="0" w:space="0" w:color="auto"/>
          </w:divBdr>
        </w:div>
      </w:divsChild>
    </w:div>
    <w:div w:id="355353109">
      <w:bodyDiv w:val="1"/>
      <w:marLeft w:val="0"/>
      <w:marRight w:val="0"/>
      <w:marTop w:val="0"/>
      <w:marBottom w:val="0"/>
      <w:divBdr>
        <w:top w:val="none" w:sz="0" w:space="0" w:color="auto"/>
        <w:left w:val="none" w:sz="0" w:space="0" w:color="auto"/>
        <w:bottom w:val="none" w:sz="0" w:space="0" w:color="auto"/>
        <w:right w:val="none" w:sz="0" w:space="0" w:color="auto"/>
      </w:divBdr>
    </w:div>
    <w:div w:id="360789081">
      <w:bodyDiv w:val="1"/>
      <w:marLeft w:val="0"/>
      <w:marRight w:val="0"/>
      <w:marTop w:val="0"/>
      <w:marBottom w:val="0"/>
      <w:divBdr>
        <w:top w:val="none" w:sz="0" w:space="0" w:color="auto"/>
        <w:left w:val="none" w:sz="0" w:space="0" w:color="auto"/>
        <w:bottom w:val="none" w:sz="0" w:space="0" w:color="auto"/>
        <w:right w:val="none" w:sz="0" w:space="0" w:color="auto"/>
      </w:divBdr>
    </w:div>
    <w:div w:id="376243241">
      <w:bodyDiv w:val="1"/>
      <w:marLeft w:val="0"/>
      <w:marRight w:val="0"/>
      <w:marTop w:val="0"/>
      <w:marBottom w:val="0"/>
      <w:divBdr>
        <w:top w:val="none" w:sz="0" w:space="0" w:color="auto"/>
        <w:left w:val="none" w:sz="0" w:space="0" w:color="auto"/>
        <w:bottom w:val="none" w:sz="0" w:space="0" w:color="auto"/>
        <w:right w:val="none" w:sz="0" w:space="0" w:color="auto"/>
      </w:divBdr>
    </w:div>
    <w:div w:id="394358958">
      <w:bodyDiv w:val="1"/>
      <w:marLeft w:val="0"/>
      <w:marRight w:val="0"/>
      <w:marTop w:val="0"/>
      <w:marBottom w:val="0"/>
      <w:divBdr>
        <w:top w:val="none" w:sz="0" w:space="0" w:color="auto"/>
        <w:left w:val="none" w:sz="0" w:space="0" w:color="auto"/>
        <w:bottom w:val="none" w:sz="0" w:space="0" w:color="auto"/>
        <w:right w:val="none" w:sz="0" w:space="0" w:color="auto"/>
      </w:divBdr>
    </w:div>
    <w:div w:id="397896638">
      <w:bodyDiv w:val="1"/>
      <w:marLeft w:val="0"/>
      <w:marRight w:val="0"/>
      <w:marTop w:val="0"/>
      <w:marBottom w:val="0"/>
      <w:divBdr>
        <w:top w:val="none" w:sz="0" w:space="0" w:color="auto"/>
        <w:left w:val="none" w:sz="0" w:space="0" w:color="auto"/>
        <w:bottom w:val="none" w:sz="0" w:space="0" w:color="auto"/>
        <w:right w:val="none" w:sz="0" w:space="0" w:color="auto"/>
      </w:divBdr>
      <w:divsChild>
        <w:div w:id="1412508441">
          <w:marLeft w:val="0"/>
          <w:marRight w:val="0"/>
          <w:marTop w:val="0"/>
          <w:marBottom w:val="0"/>
          <w:divBdr>
            <w:top w:val="none" w:sz="0" w:space="0" w:color="auto"/>
            <w:left w:val="none" w:sz="0" w:space="0" w:color="auto"/>
            <w:bottom w:val="none" w:sz="0" w:space="0" w:color="auto"/>
            <w:right w:val="none" w:sz="0" w:space="0" w:color="auto"/>
          </w:divBdr>
        </w:div>
        <w:div w:id="1879972889">
          <w:marLeft w:val="0"/>
          <w:marRight w:val="0"/>
          <w:marTop w:val="0"/>
          <w:marBottom w:val="0"/>
          <w:divBdr>
            <w:top w:val="none" w:sz="0" w:space="0" w:color="auto"/>
            <w:left w:val="none" w:sz="0" w:space="0" w:color="auto"/>
            <w:bottom w:val="none" w:sz="0" w:space="0" w:color="auto"/>
            <w:right w:val="none" w:sz="0" w:space="0" w:color="auto"/>
          </w:divBdr>
        </w:div>
        <w:div w:id="140387298">
          <w:marLeft w:val="0"/>
          <w:marRight w:val="0"/>
          <w:marTop w:val="0"/>
          <w:marBottom w:val="0"/>
          <w:divBdr>
            <w:top w:val="none" w:sz="0" w:space="0" w:color="auto"/>
            <w:left w:val="none" w:sz="0" w:space="0" w:color="auto"/>
            <w:bottom w:val="none" w:sz="0" w:space="0" w:color="auto"/>
            <w:right w:val="none" w:sz="0" w:space="0" w:color="auto"/>
          </w:divBdr>
        </w:div>
      </w:divsChild>
    </w:div>
    <w:div w:id="404882552">
      <w:bodyDiv w:val="1"/>
      <w:marLeft w:val="0"/>
      <w:marRight w:val="0"/>
      <w:marTop w:val="0"/>
      <w:marBottom w:val="0"/>
      <w:divBdr>
        <w:top w:val="none" w:sz="0" w:space="0" w:color="auto"/>
        <w:left w:val="none" w:sz="0" w:space="0" w:color="auto"/>
        <w:bottom w:val="none" w:sz="0" w:space="0" w:color="auto"/>
        <w:right w:val="none" w:sz="0" w:space="0" w:color="auto"/>
      </w:divBdr>
    </w:div>
    <w:div w:id="410545944">
      <w:bodyDiv w:val="1"/>
      <w:marLeft w:val="0"/>
      <w:marRight w:val="0"/>
      <w:marTop w:val="0"/>
      <w:marBottom w:val="0"/>
      <w:divBdr>
        <w:top w:val="none" w:sz="0" w:space="0" w:color="auto"/>
        <w:left w:val="none" w:sz="0" w:space="0" w:color="auto"/>
        <w:bottom w:val="none" w:sz="0" w:space="0" w:color="auto"/>
        <w:right w:val="none" w:sz="0" w:space="0" w:color="auto"/>
      </w:divBdr>
    </w:div>
    <w:div w:id="426778994">
      <w:bodyDiv w:val="1"/>
      <w:marLeft w:val="0"/>
      <w:marRight w:val="0"/>
      <w:marTop w:val="0"/>
      <w:marBottom w:val="0"/>
      <w:divBdr>
        <w:top w:val="none" w:sz="0" w:space="0" w:color="auto"/>
        <w:left w:val="none" w:sz="0" w:space="0" w:color="auto"/>
        <w:bottom w:val="none" w:sz="0" w:space="0" w:color="auto"/>
        <w:right w:val="none" w:sz="0" w:space="0" w:color="auto"/>
      </w:divBdr>
    </w:div>
    <w:div w:id="445849806">
      <w:bodyDiv w:val="1"/>
      <w:marLeft w:val="0"/>
      <w:marRight w:val="0"/>
      <w:marTop w:val="0"/>
      <w:marBottom w:val="0"/>
      <w:divBdr>
        <w:top w:val="none" w:sz="0" w:space="0" w:color="auto"/>
        <w:left w:val="none" w:sz="0" w:space="0" w:color="auto"/>
        <w:bottom w:val="none" w:sz="0" w:space="0" w:color="auto"/>
        <w:right w:val="none" w:sz="0" w:space="0" w:color="auto"/>
      </w:divBdr>
    </w:div>
    <w:div w:id="587664086">
      <w:bodyDiv w:val="1"/>
      <w:marLeft w:val="0"/>
      <w:marRight w:val="0"/>
      <w:marTop w:val="0"/>
      <w:marBottom w:val="0"/>
      <w:divBdr>
        <w:top w:val="none" w:sz="0" w:space="0" w:color="auto"/>
        <w:left w:val="none" w:sz="0" w:space="0" w:color="auto"/>
        <w:bottom w:val="none" w:sz="0" w:space="0" w:color="auto"/>
        <w:right w:val="none" w:sz="0" w:space="0" w:color="auto"/>
      </w:divBdr>
    </w:div>
    <w:div w:id="609900123">
      <w:bodyDiv w:val="1"/>
      <w:marLeft w:val="0"/>
      <w:marRight w:val="0"/>
      <w:marTop w:val="0"/>
      <w:marBottom w:val="0"/>
      <w:divBdr>
        <w:top w:val="none" w:sz="0" w:space="0" w:color="auto"/>
        <w:left w:val="none" w:sz="0" w:space="0" w:color="auto"/>
        <w:bottom w:val="none" w:sz="0" w:space="0" w:color="auto"/>
        <w:right w:val="none" w:sz="0" w:space="0" w:color="auto"/>
      </w:divBdr>
    </w:div>
    <w:div w:id="619412413">
      <w:bodyDiv w:val="1"/>
      <w:marLeft w:val="0"/>
      <w:marRight w:val="0"/>
      <w:marTop w:val="0"/>
      <w:marBottom w:val="0"/>
      <w:divBdr>
        <w:top w:val="none" w:sz="0" w:space="0" w:color="auto"/>
        <w:left w:val="none" w:sz="0" w:space="0" w:color="auto"/>
        <w:bottom w:val="none" w:sz="0" w:space="0" w:color="auto"/>
        <w:right w:val="none" w:sz="0" w:space="0" w:color="auto"/>
      </w:divBdr>
    </w:div>
    <w:div w:id="631208208">
      <w:bodyDiv w:val="1"/>
      <w:marLeft w:val="0"/>
      <w:marRight w:val="0"/>
      <w:marTop w:val="0"/>
      <w:marBottom w:val="0"/>
      <w:divBdr>
        <w:top w:val="none" w:sz="0" w:space="0" w:color="auto"/>
        <w:left w:val="none" w:sz="0" w:space="0" w:color="auto"/>
        <w:bottom w:val="none" w:sz="0" w:space="0" w:color="auto"/>
        <w:right w:val="none" w:sz="0" w:space="0" w:color="auto"/>
      </w:divBdr>
    </w:div>
    <w:div w:id="654338067">
      <w:bodyDiv w:val="1"/>
      <w:marLeft w:val="0"/>
      <w:marRight w:val="0"/>
      <w:marTop w:val="0"/>
      <w:marBottom w:val="0"/>
      <w:divBdr>
        <w:top w:val="none" w:sz="0" w:space="0" w:color="auto"/>
        <w:left w:val="none" w:sz="0" w:space="0" w:color="auto"/>
        <w:bottom w:val="none" w:sz="0" w:space="0" w:color="auto"/>
        <w:right w:val="none" w:sz="0" w:space="0" w:color="auto"/>
      </w:divBdr>
    </w:div>
    <w:div w:id="665401908">
      <w:bodyDiv w:val="1"/>
      <w:marLeft w:val="0"/>
      <w:marRight w:val="0"/>
      <w:marTop w:val="0"/>
      <w:marBottom w:val="0"/>
      <w:divBdr>
        <w:top w:val="none" w:sz="0" w:space="0" w:color="auto"/>
        <w:left w:val="none" w:sz="0" w:space="0" w:color="auto"/>
        <w:bottom w:val="none" w:sz="0" w:space="0" w:color="auto"/>
        <w:right w:val="none" w:sz="0" w:space="0" w:color="auto"/>
      </w:divBdr>
    </w:div>
    <w:div w:id="692148430">
      <w:bodyDiv w:val="1"/>
      <w:marLeft w:val="0"/>
      <w:marRight w:val="0"/>
      <w:marTop w:val="0"/>
      <w:marBottom w:val="0"/>
      <w:divBdr>
        <w:top w:val="none" w:sz="0" w:space="0" w:color="auto"/>
        <w:left w:val="none" w:sz="0" w:space="0" w:color="auto"/>
        <w:bottom w:val="none" w:sz="0" w:space="0" w:color="auto"/>
        <w:right w:val="none" w:sz="0" w:space="0" w:color="auto"/>
      </w:divBdr>
    </w:div>
    <w:div w:id="746196494">
      <w:bodyDiv w:val="1"/>
      <w:marLeft w:val="0"/>
      <w:marRight w:val="0"/>
      <w:marTop w:val="0"/>
      <w:marBottom w:val="0"/>
      <w:divBdr>
        <w:top w:val="none" w:sz="0" w:space="0" w:color="auto"/>
        <w:left w:val="none" w:sz="0" w:space="0" w:color="auto"/>
        <w:bottom w:val="none" w:sz="0" w:space="0" w:color="auto"/>
        <w:right w:val="none" w:sz="0" w:space="0" w:color="auto"/>
      </w:divBdr>
    </w:div>
    <w:div w:id="795485640">
      <w:bodyDiv w:val="1"/>
      <w:marLeft w:val="0"/>
      <w:marRight w:val="0"/>
      <w:marTop w:val="0"/>
      <w:marBottom w:val="0"/>
      <w:divBdr>
        <w:top w:val="none" w:sz="0" w:space="0" w:color="auto"/>
        <w:left w:val="none" w:sz="0" w:space="0" w:color="auto"/>
        <w:bottom w:val="none" w:sz="0" w:space="0" w:color="auto"/>
        <w:right w:val="none" w:sz="0" w:space="0" w:color="auto"/>
      </w:divBdr>
    </w:div>
    <w:div w:id="850950485">
      <w:bodyDiv w:val="1"/>
      <w:marLeft w:val="0"/>
      <w:marRight w:val="0"/>
      <w:marTop w:val="0"/>
      <w:marBottom w:val="0"/>
      <w:divBdr>
        <w:top w:val="none" w:sz="0" w:space="0" w:color="auto"/>
        <w:left w:val="none" w:sz="0" w:space="0" w:color="auto"/>
        <w:bottom w:val="none" w:sz="0" w:space="0" w:color="auto"/>
        <w:right w:val="none" w:sz="0" w:space="0" w:color="auto"/>
      </w:divBdr>
    </w:div>
    <w:div w:id="862866223">
      <w:bodyDiv w:val="1"/>
      <w:marLeft w:val="0"/>
      <w:marRight w:val="0"/>
      <w:marTop w:val="0"/>
      <w:marBottom w:val="0"/>
      <w:divBdr>
        <w:top w:val="none" w:sz="0" w:space="0" w:color="auto"/>
        <w:left w:val="none" w:sz="0" w:space="0" w:color="auto"/>
        <w:bottom w:val="none" w:sz="0" w:space="0" w:color="auto"/>
        <w:right w:val="none" w:sz="0" w:space="0" w:color="auto"/>
      </w:divBdr>
    </w:div>
    <w:div w:id="870655660">
      <w:bodyDiv w:val="1"/>
      <w:marLeft w:val="0"/>
      <w:marRight w:val="0"/>
      <w:marTop w:val="0"/>
      <w:marBottom w:val="0"/>
      <w:divBdr>
        <w:top w:val="none" w:sz="0" w:space="0" w:color="auto"/>
        <w:left w:val="none" w:sz="0" w:space="0" w:color="auto"/>
        <w:bottom w:val="none" w:sz="0" w:space="0" w:color="auto"/>
        <w:right w:val="none" w:sz="0" w:space="0" w:color="auto"/>
      </w:divBdr>
    </w:div>
    <w:div w:id="895165888">
      <w:bodyDiv w:val="1"/>
      <w:marLeft w:val="0"/>
      <w:marRight w:val="0"/>
      <w:marTop w:val="0"/>
      <w:marBottom w:val="0"/>
      <w:divBdr>
        <w:top w:val="none" w:sz="0" w:space="0" w:color="auto"/>
        <w:left w:val="none" w:sz="0" w:space="0" w:color="auto"/>
        <w:bottom w:val="none" w:sz="0" w:space="0" w:color="auto"/>
        <w:right w:val="none" w:sz="0" w:space="0" w:color="auto"/>
      </w:divBdr>
    </w:div>
    <w:div w:id="895699292">
      <w:bodyDiv w:val="1"/>
      <w:marLeft w:val="0"/>
      <w:marRight w:val="0"/>
      <w:marTop w:val="0"/>
      <w:marBottom w:val="0"/>
      <w:divBdr>
        <w:top w:val="none" w:sz="0" w:space="0" w:color="auto"/>
        <w:left w:val="none" w:sz="0" w:space="0" w:color="auto"/>
        <w:bottom w:val="none" w:sz="0" w:space="0" w:color="auto"/>
        <w:right w:val="none" w:sz="0" w:space="0" w:color="auto"/>
      </w:divBdr>
    </w:div>
    <w:div w:id="898322191">
      <w:bodyDiv w:val="1"/>
      <w:marLeft w:val="0"/>
      <w:marRight w:val="0"/>
      <w:marTop w:val="0"/>
      <w:marBottom w:val="0"/>
      <w:divBdr>
        <w:top w:val="none" w:sz="0" w:space="0" w:color="auto"/>
        <w:left w:val="none" w:sz="0" w:space="0" w:color="auto"/>
        <w:bottom w:val="none" w:sz="0" w:space="0" w:color="auto"/>
        <w:right w:val="none" w:sz="0" w:space="0" w:color="auto"/>
      </w:divBdr>
    </w:div>
    <w:div w:id="901015401">
      <w:bodyDiv w:val="1"/>
      <w:marLeft w:val="0"/>
      <w:marRight w:val="0"/>
      <w:marTop w:val="0"/>
      <w:marBottom w:val="0"/>
      <w:divBdr>
        <w:top w:val="none" w:sz="0" w:space="0" w:color="auto"/>
        <w:left w:val="none" w:sz="0" w:space="0" w:color="auto"/>
        <w:bottom w:val="none" w:sz="0" w:space="0" w:color="auto"/>
        <w:right w:val="none" w:sz="0" w:space="0" w:color="auto"/>
      </w:divBdr>
      <w:divsChild>
        <w:div w:id="1492868777">
          <w:marLeft w:val="0"/>
          <w:marRight w:val="0"/>
          <w:marTop w:val="0"/>
          <w:marBottom w:val="0"/>
          <w:divBdr>
            <w:top w:val="none" w:sz="0" w:space="0" w:color="auto"/>
            <w:left w:val="none" w:sz="0" w:space="0" w:color="auto"/>
            <w:bottom w:val="none" w:sz="0" w:space="0" w:color="auto"/>
            <w:right w:val="none" w:sz="0" w:space="0" w:color="auto"/>
          </w:divBdr>
        </w:div>
        <w:div w:id="657465434">
          <w:marLeft w:val="0"/>
          <w:marRight w:val="0"/>
          <w:marTop w:val="0"/>
          <w:marBottom w:val="0"/>
          <w:divBdr>
            <w:top w:val="none" w:sz="0" w:space="0" w:color="auto"/>
            <w:left w:val="none" w:sz="0" w:space="0" w:color="auto"/>
            <w:bottom w:val="none" w:sz="0" w:space="0" w:color="auto"/>
            <w:right w:val="none" w:sz="0" w:space="0" w:color="auto"/>
          </w:divBdr>
        </w:div>
        <w:div w:id="821891809">
          <w:marLeft w:val="0"/>
          <w:marRight w:val="0"/>
          <w:marTop w:val="0"/>
          <w:marBottom w:val="0"/>
          <w:divBdr>
            <w:top w:val="none" w:sz="0" w:space="0" w:color="auto"/>
            <w:left w:val="none" w:sz="0" w:space="0" w:color="auto"/>
            <w:bottom w:val="none" w:sz="0" w:space="0" w:color="auto"/>
            <w:right w:val="none" w:sz="0" w:space="0" w:color="auto"/>
          </w:divBdr>
        </w:div>
        <w:div w:id="1147278398">
          <w:marLeft w:val="0"/>
          <w:marRight w:val="0"/>
          <w:marTop w:val="0"/>
          <w:marBottom w:val="0"/>
          <w:divBdr>
            <w:top w:val="none" w:sz="0" w:space="0" w:color="auto"/>
            <w:left w:val="none" w:sz="0" w:space="0" w:color="auto"/>
            <w:bottom w:val="none" w:sz="0" w:space="0" w:color="auto"/>
            <w:right w:val="none" w:sz="0" w:space="0" w:color="auto"/>
          </w:divBdr>
        </w:div>
        <w:div w:id="398407069">
          <w:marLeft w:val="0"/>
          <w:marRight w:val="0"/>
          <w:marTop w:val="0"/>
          <w:marBottom w:val="0"/>
          <w:divBdr>
            <w:top w:val="none" w:sz="0" w:space="0" w:color="auto"/>
            <w:left w:val="none" w:sz="0" w:space="0" w:color="auto"/>
            <w:bottom w:val="none" w:sz="0" w:space="0" w:color="auto"/>
            <w:right w:val="none" w:sz="0" w:space="0" w:color="auto"/>
          </w:divBdr>
        </w:div>
        <w:div w:id="1812206713">
          <w:marLeft w:val="0"/>
          <w:marRight w:val="0"/>
          <w:marTop w:val="0"/>
          <w:marBottom w:val="0"/>
          <w:divBdr>
            <w:top w:val="none" w:sz="0" w:space="0" w:color="auto"/>
            <w:left w:val="none" w:sz="0" w:space="0" w:color="auto"/>
            <w:bottom w:val="none" w:sz="0" w:space="0" w:color="auto"/>
            <w:right w:val="none" w:sz="0" w:space="0" w:color="auto"/>
          </w:divBdr>
        </w:div>
        <w:div w:id="1999769906">
          <w:marLeft w:val="0"/>
          <w:marRight w:val="0"/>
          <w:marTop w:val="0"/>
          <w:marBottom w:val="0"/>
          <w:divBdr>
            <w:top w:val="none" w:sz="0" w:space="0" w:color="auto"/>
            <w:left w:val="none" w:sz="0" w:space="0" w:color="auto"/>
            <w:bottom w:val="none" w:sz="0" w:space="0" w:color="auto"/>
            <w:right w:val="none" w:sz="0" w:space="0" w:color="auto"/>
          </w:divBdr>
        </w:div>
      </w:divsChild>
    </w:div>
    <w:div w:id="917322924">
      <w:bodyDiv w:val="1"/>
      <w:marLeft w:val="0"/>
      <w:marRight w:val="0"/>
      <w:marTop w:val="0"/>
      <w:marBottom w:val="0"/>
      <w:divBdr>
        <w:top w:val="none" w:sz="0" w:space="0" w:color="auto"/>
        <w:left w:val="none" w:sz="0" w:space="0" w:color="auto"/>
        <w:bottom w:val="none" w:sz="0" w:space="0" w:color="auto"/>
        <w:right w:val="none" w:sz="0" w:space="0" w:color="auto"/>
      </w:divBdr>
    </w:div>
    <w:div w:id="963850716">
      <w:bodyDiv w:val="1"/>
      <w:marLeft w:val="0"/>
      <w:marRight w:val="0"/>
      <w:marTop w:val="0"/>
      <w:marBottom w:val="0"/>
      <w:divBdr>
        <w:top w:val="none" w:sz="0" w:space="0" w:color="auto"/>
        <w:left w:val="none" w:sz="0" w:space="0" w:color="auto"/>
        <w:bottom w:val="none" w:sz="0" w:space="0" w:color="auto"/>
        <w:right w:val="none" w:sz="0" w:space="0" w:color="auto"/>
      </w:divBdr>
      <w:divsChild>
        <w:div w:id="453643919">
          <w:marLeft w:val="0"/>
          <w:marRight w:val="0"/>
          <w:marTop w:val="0"/>
          <w:marBottom w:val="0"/>
          <w:divBdr>
            <w:top w:val="none" w:sz="0" w:space="0" w:color="auto"/>
            <w:left w:val="none" w:sz="0" w:space="0" w:color="auto"/>
            <w:bottom w:val="none" w:sz="0" w:space="0" w:color="auto"/>
            <w:right w:val="none" w:sz="0" w:space="0" w:color="auto"/>
          </w:divBdr>
          <w:divsChild>
            <w:div w:id="640307026">
              <w:marLeft w:val="0"/>
              <w:marRight w:val="0"/>
              <w:marTop w:val="0"/>
              <w:marBottom w:val="0"/>
              <w:divBdr>
                <w:top w:val="none" w:sz="0" w:space="0" w:color="auto"/>
                <w:left w:val="none" w:sz="0" w:space="0" w:color="auto"/>
                <w:bottom w:val="none" w:sz="0" w:space="0" w:color="auto"/>
                <w:right w:val="none" w:sz="0" w:space="0" w:color="auto"/>
              </w:divBdr>
              <w:divsChild>
                <w:div w:id="112410069">
                  <w:marLeft w:val="0"/>
                  <w:marRight w:val="0"/>
                  <w:marTop w:val="0"/>
                  <w:marBottom w:val="0"/>
                  <w:divBdr>
                    <w:top w:val="none" w:sz="0" w:space="0" w:color="auto"/>
                    <w:left w:val="none" w:sz="0" w:space="0" w:color="auto"/>
                    <w:bottom w:val="none" w:sz="0" w:space="0" w:color="auto"/>
                    <w:right w:val="none" w:sz="0" w:space="0" w:color="auto"/>
                  </w:divBdr>
                  <w:divsChild>
                    <w:div w:id="1096905593">
                      <w:marLeft w:val="0"/>
                      <w:marRight w:val="0"/>
                      <w:marTop w:val="0"/>
                      <w:marBottom w:val="0"/>
                      <w:divBdr>
                        <w:top w:val="none" w:sz="0" w:space="0" w:color="auto"/>
                        <w:left w:val="none" w:sz="0" w:space="0" w:color="auto"/>
                        <w:bottom w:val="none" w:sz="0" w:space="0" w:color="auto"/>
                        <w:right w:val="none" w:sz="0" w:space="0" w:color="auto"/>
                      </w:divBdr>
                      <w:divsChild>
                        <w:div w:id="810830131">
                          <w:marLeft w:val="0"/>
                          <w:marRight w:val="0"/>
                          <w:marTop w:val="0"/>
                          <w:marBottom w:val="0"/>
                          <w:divBdr>
                            <w:top w:val="none" w:sz="0" w:space="0" w:color="auto"/>
                            <w:left w:val="none" w:sz="0" w:space="0" w:color="auto"/>
                            <w:bottom w:val="none" w:sz="0" w:space="0" w:color="auto"/>
                            <w:right w:val="none" w:sz="0" w:space="0" w:color="auto"/>
                          </w:divBdr>
                          <w:divsChild>
                            <w:div w:id="1027755175">
                              <w:marLeft w:val="0"/>
                              <w:marRight w:val="0"/>
                              <w:marTop w:val="0"/>
                              <w:marBottom w:val="0"/>
                              <w:divBdr>
                                <w:top w:val="none" w:sz="0" w:space="0" w:color="auto"/>
                                <w:left w:val="none" w:sz="0" w:space="0" w:color="auto"/>
                                <w:bottom w:val="none" w:sz="0" w:space="0" w:color="auto"/>
                                <w:right w:val="none" w:sz="0" w:space="0" w:color="auto"/>
                              </w:divBdr>
                              <w:divsChild>
                                <w:div w:id="625545165">
                                  <w:marLeft w:val="0"/>
                                  <w:marRight w:val="0"/>
                                  <w:marTop w:val="0"/>
                                  <w:marBottom w:val="0"/>
                                  <w:divBdr>
                                    <w:top w:val="none" w:sz="0" w:space="0" w:color="auto"/>
                                    <w:left w:val="none" w:sz="0" w:space="0" w:color="auto"/>
                                    <w:bottom w:val="none" w:sz="0" w:space="0" w:color="auto"/>
                                    <w:right w:val="none" w:sz="0" w:space="0" w:color="auto"/>
                                  </w:divBdr>
                                  <w:divsChild>
                                    <w:div w:id="14968009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144540261">
          <w:marLeft w:val="0"/>
          <w:marRight w:val="0"/>
          <w:marTop w:val="0"/>
          <w:marBottom w:val="0"/>
          <w:divBdr>
            <w:top w:val="none" w:sz="0" w:space="0" w:color="auto"/>
            <w:left w:val="none" w:sz="0" w:space="0" w:color="auto"/>
            <w:bottom w:val="none" w:sz="0" w:space="0" w:color="auto"/>
            <w:right w:val="none" w:sz="0" w:space="0" w:color="auto"/>
          </w:divBdr>
          <w:divsChild>
            <w:div w:id="1515999257">
              <w:marLeft w:val="0"/>
              <w:marRight w:val="0"/>
              <w:marTop w:val="0"/>
              <w:marBottom w:val="0"/>
              <w:divBdr>
                <w:top w:val="none" w:sz="0" w:space="0" w:color="auto"/>
                <w:left w:val="none" w:sz="0" w:space="0" w:color="auto"/>
                <w:bottom w:val="none" w:sz="0" w:space="0" w:color="auto"/>
                <w:right w:val="none" w:sz="0" w:space="0" w:color="auto"/>
              </w:divBdr>
              <w:divsChild>
                <w:div w:id="83693168">
                  <w:marLeft w:val="0"/>
                  <w:marRight w:val="0"/>
                  <w:marTop w:val="0"/>
                  <w:marBottom w:val="0"/>
                  <w:divBdr>
                    <w:top w:val="none" w:sz="0" w:space="0" w:color="auto"/>
                    <w:left w:val="none" w:sz="0" w:space="0" w:color="auto"/>
                    <w:bottom w:val="none" w:sz="0" w:space="0" w:color="auto"/>
                    <w:right w:val="none" w:sz="0" w:space="0" w:color="auto"/>
                  </w:divBdr>
                  <w:divsChild>
                    <w:div w:id="1183205318">
                      <w:marLeft w:val="0"/>
                      <w:marRight w:val="0"/>
                      <w:marTop w:val="0"/>
                      <w:marBottom w:val="0"/>
                      <w:divBdr>
                        <w:top w:val="none" w:sz="0" w:space="0" w:color="auto"/>
                        <w:left w:val="none" w:sz="0" w:space="0" w:color="auto"/>
                        <w:bottom w:val="none" w:sz="0" w:space="0" w:color="auto"/>
                        <w:right w:val="none" w:sz="0" w:space="0" w:color="auto"/>
                      </w:divBdr>
                      <w:divsChild>
                        <w:div w:id="1769038246">
                          <w:marLeft w:val="0"/>
                          <w:marRight w:val="0"/>
                          <w:marTop w:val="0"/>
                          <w:marBottom w:val="0"/>
                          <w:divBdr>
                            <w:top w:val="none" w:sz="0" w:space="0" w:color="auto"/>
                            <w:left w:val="none" w:sz="0" w:space="0" w:color="auto"/>
                            <w:bottom w:val="none" w:sz="0" w:space="0" w:color="auto"/>
                            <w:right w:val="none" w:sz="0" w:space="0" w:color="auto"/>
                          </w:divBdr>
                          <w:divsChild>
                            <w:div w:id="939029618">
                              <w:marLeft w:val="0"/>
                              <w:marRight w:val="0"/>
                              <w:marTop w:val="0"/>
                              <w:marBottom w:val="0"/>
                              <w:divBdr>
                                <w:top w:val="none" w:sz="0" w:space="0" w:color="auto"/>
                                <w:left w:val="none" w:sz="0" w:space="0" w:color="auto"/>
                                <w:bottom w:val="none" w:sz="0" w:space="0" w:color="auto"/>
                                <w:right w:val="none" w:sz="0" w:space="0" w:color="auto"/>
                              </w:divBdr>
                              <w:divsChild>
                                <w:div w:id="3519519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990599247">
      <w:bodyDiv w:val="1"/>
      <w:marLeft w:val="0"/>
      <w:marRight w:val="0"/>
      <w:marTop w:val="0"/>
      <w:marBottom w:val="0"/>
      <w:divBdr>
        <w:top w:val="none" w:sz="0" w:space="0" w:color="auto"/>
        <w:left w:val="none" w:sz="0" w:space="0" w:color="auto"/>
        <w:bottom w:val="none" w:sz="0" w:space="0" w:color="auto"/>
        <w:right w:val="none" w:sz="0" w:space="0" w:color="auto"/>
      </w:divBdr>
    </w:div>
    <w:div w:id="1005089508">
      <w:bodyDiv w:val="1"/>
      <w:marLeft w:val="0"/>
      <w:marRight w:val="0"/>
      <w:marTop w:val="0"/>
      <w:marBottom w:val="0"/>
      <w:divBdr>
        <w:top w:val="none" w:sz="0" w:space="0" w:color="auto"/>
        <w:left w:val="none" w:sz="0" w:space="0" w:color="auto"/>
        <w:bottom w:val="none" w:sz="0" w:space="0" w:color="auto"/>
        <w:right w:val="none" w:sz="0" w:space="0" w:color="auto"/>
      </w:divBdr>
    </w:div>
    <w:div w:id="1018773660">
      <w:bodyDiv w:val="1"/>
      <w:marLeft w:val="0"/>
      <w:marRight w:val="0"/>
      <w:marTop w:val="0"/>
      <w:marBottom w:val="0"/>
      <w:divBdr>
        <w:top w:val="none" w:sz="0" w:space="0" w:color="auto"/>
        <w:left w:val="none" w:sz="0" w:space="0" w:color="auto"/>
        <w:bottom w:val="none" w:sz="0" w:space="0" w:color="auto"/>
        <w:right w:val="none" w:sz="0" w:space="0" w:color="auto"/>
      </w:divBdr>
      <w:divsChild>
        <w:div w:id="1956448659">
          <w:marLeft w:val="0"/>
          <w:marRight w:val="0"/>
          <w:marTop w:val="0"/>
          <w:marBottom w:val="0"/>
          <w:divBdr>
            <w:top w:val="none" w:sz="0" w:space="0" w:color="auto"/>
            <w:left w:val="none" w:sz="0" w:space="0" w:color="auto"/>
            <w:bottom w:val="none" w:sz="0" w:space="0" w:color="auto"/>
            <w:right w:val="none" w:sz="0" w:space="0" w:color="auto"/>
          </w:divBdr>
          <w:divsChild>
            <w:div w:id="1276710395">
              <w:marLeft w:val="0"/>
              <w:marRight w:val="0"/>
              <w:marTop w:val="0"/>
              <w:marBottom w:val="0"/>
              <w:divBdr>
                <w:top w:val="none" w:sz="0" w:space="0" w:color="auto"/>
                <w:left w:val="none" w:sz="0" w:space="0" w:color="auto"/>
                <w:bottom w:val="none" w:sz="0" w:space="0" w:color="auto"/>
                <w:right w:val="none" w:sz="0" w:space="0" w:color="auto"/>
              </w:divBdr>
              <w:divsChild>
                <w:div w:id="373173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95234062">
          <w:marLeft w:val="0"/>
          <w:marRight w:val="0"/>
          <w:marTop w:val="0"/>
          <w:marBottom w:val="0"/>
          <w:divBdr>
            <w:top w:val="none" w:sz="0" w:space="0" w:color="auto"/>
            <w:left w:val="none" w:sz="0" w:space="0" w:color="auto"/>
            <w:bottom w:val="none" w:sz="0" w:space="0" w:color="auto"/>
            <w:right w:val="none" w:sz="0" w:space="0" w:color="auto"/>
          </w:divBdr>
          <w:divsChild>
            <w:div w:id="426079143">
              <w:marLeft w:val="0"/>
              <w:marRight w:val="0"/>
              <w:marTop w:val="0"/>
              <w:marBottom w:val="0"/>
              <w:divBdr>
                <w:top w:val="none" w:sz="0" w:space="0" w:color="auto"/>
                <w:left w:val="none" w:sz="0" w:space="0" w:color="auto"/>
                <w:bottom w:val="none" w:sz="0" w:space="0" w:color="auto"/>
                <w:right w:val="none" w:sz="0" w:space="0" w:color="auto"/>
              </w:divBdr>
              <w:divsChild>
                <w:div w:id="1552574545">
                  <w:marLeft w:val="0"/>
                  <w:marRight w:val="0"/>
                  <w:marTop w:val="0"/>
                  <w:marBottom w:val="0"/>
                  <w:divBdr>
                    <w:top w:val="none" w:sz="0" w:space="0" w:color="auto"/>
                    <w:left w:val="none" w:sz="0" w:space="0" w:color="auto"/>
                    <w:bottom w:val="none" w:sz="0" w:space="0" w:color="auto"/>
                    <w:right w:val="none" w:sz="0" w:space="0" w:color="auto"/>
                  </w:divBdr>
                </w:div>
              </w:divsChild>
            </w:div>
            <w:div w:id="121272483">
              <w:marLeft w:val="0"/>
              <w:marRight w:val="0"/>
              <w:marTop w:val="0"/>
              <w:marBottom w:val="0"/>
              <w:divBdr>
                <w:top w:val="none" w:sz="0" w:space="0" w:color="auto"/>
                <w:left w:val="none" w:sz="0" w:space="0" w:color="auto"/>
                <w:bottom w:val="none" w:sz="0" w:space="0" w:color="auto"/>
                <w:right w:val="none" w:sz="0" w:space="0" w:color="auto"/>
              </w:divBdr>
              <w:divsChild>
                <w:div w:id="192795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19358095">
      <w:bodyDiv w:val="1"/>
      <w:marLeft w:val="0"/>
      <w:marRight w:val="0"/>
      <w:marTop w:val="0"/>
      <w:marBottom w:val="0"/>
      <w:divBdr>
        <w:top w:val="none" w:sz="0" w:space="0" w:color="auto"/>
        <w:left w:val="none" w:sz="0" w:space="0" w:color="auto"/>
        <w:bottom w:val="none" w:sz="0" w:space="0" w:color="auto"/>
        <w:right w:val="none" w:sz="0" w:space="0" w:color="auto"/>
      </w:divBdr>
    </w:div>
    <w:div w:id="1047992809">
      <w:bodyDiv w:val="1"/>
      <w:marLeft w:val="0"/>
      <w:marRight w:val="0"/>
      <w:marTop w:val="0"/>
      <w:marBottom w:val="0"/>
      <w:divBdr>
        <w:top w:val="none" w:sz="0" w:space="0" w:color="auto"/>
        <w:left w:val="none" w:sz="0" w:space="0" w:color="auto"/>
        <w:bottom w:val="none" w:sz="0" w:space="0" w:color="auto"/>
        <w:right w:val="none" w:sz="0" w:space="0" w:color="auto"/>
      </w:divBdr>
    </w:div>
    <w:div w:id="1108889328">
      <w:bodyDiv w:val="1"/>
      <w:marLeft w:val="0"/>
      <w:marRight w:val="0"/>
      <w:marTop w:val="0"/>
      <w:marBottom w:val="0"/>
      <w:divBdr>
        <w:top w:val="none" w:sz="0" w:space="0" w:color="auto"/>
        <w:left w:val="none" w:sz="0" w:space="0" w:color="auto"/>
        <w:bottom w:val="none" w:sz="0" w:space="0" w:color="auto"/>
        <w:right w:val="none" w:sz="0" w:space="0" w:color="auto"/>
      </w:divBdr>
    </w:div>
    <w:div w:id="1166938817">
      <w:bodyDiv w:val="1"/>
      <w:marLeft w:val="0"/>
      <w:marRight w:val="0"/>
      <w:marTop w:val="0"/>
      <w:marBottom w:val="0"/>
      <w:divBdr>
        <w:top w:val="none" w:sz="0" w:space="0" w:color="auto"/>
        <w:left w:val="none" w:sz="0" w:space="0" w:color="auto"/>
        <w:bottom w:val="none" w:sz="0" w:space="0" w:color="auto"/>
        <w:right w:val="none" w:sz="0" w:space="0" w:color="auto"/>
      </w:divBdr>
    </w:div>
    <w:div w:id="1195969452">
      <w:bodyDiv w:val="1"/>
      <w:marLeft w:val="0"/>
      <w:marRight w:val="0"/>
      <w:marTop w:val="0"/>
      <w:marBottom w:val="0"/>
      <w:divBdr>
        <w:top w:val="none" w:sz="0" w:space="0" w:color="auto"/>
        <w:left w:val="none" w:sz="0" w:space="0" w:color="auto"/>
        <w:bottom w:val="none" w:sz="0" w:space="0" w:color="auto"/>
        <w:right w:val="none" w:sz="0" w:space="0" w:color="auto"/>
      </w:divBdr>
    </w:div>
    <w:div w:id="1200700580">
      <w:bodyDiv w:val="1"/>
      <w:marLeft w:val="0"/>
      <w:marRight w:val="0"/>
      <w:marTop w:val="0"/>
      <w:marBottom w:val="0"/>
      <w:divBdr>
        <w:top w:val="none" w:sz="0" w:space="0" w:color="auto"/>
        <w:left w:val="none" w:sz="0" w:space="0" w:color="auto"/>
        <w:bottom w:val="none" w:sz="0" w:space="0" w:color="auto"/>
        <w:right w:val="none" w:sz="0" w:space="0" w:color="auto"/>
      </w:divBdr>
    </w:div>
    <w:div w:id="1203782052">
      <w:bodyDiv w:val="1"/>
      <w:marLeft w:val="0"/>
      <w:marRight w:val="0"/>
      <w:marTop w:val="0"/>
      <w:marBottom w:val="0"/>
      <w:divBdr>
        <w:top w:val="none" w:sz="0" w:space="0" w:color="auto"/>
        <w:left w:val="none" w:sz="0" w:space="0" w:color="auto"/>
        <w:bottom w:val="none" w:sz="0" w:space="0" w:color="auto"/>
        <w:right w:val="none" w:sz="0" w:space="0" w:color="auto"/>
      </w:divBdr>
      <w:divsChild>
        <w:div w:id="699475843">
          <w:marLeft w:val="0"/>
          <w:marRight w:val="0"/>
          <w:marTop w:val="0"/>
          <w:marBottom w:val="0"/>
          <w:divBdr>
            <w:top w:val="none" w:sz="0" w:space="0" w:color="auto"/>
            <w:left w:val="none" w:sz="0" w:space="0" w:color="auto"/>
            <w:bottom w:val="none" w:sz="0" w:space="0" w:color="auto"/>
            <w:right w:val="none" w:sz="0" w:space="0" w:color="auto"/>
          </w:divBdr>
        </w:div>
        <w:div w:id="1440025467">
          <w:marLeft w:val="0"/>
          <w:marRight w:val="0"/>
          <w:marTop w:val="0"/>
          <w:marBottom w:val="0"/>
          <w:divBdr>
            <w:top w:val="none" w:sz="0" w:space="0" w:color="auto"/>
            <w:left w:val="none" w:sz="0" w:space="0" w:color="auto"/>
            <w:bottom w:val="none" w:sz="0" w:space="0" w:color="auto"/>
            <w:right w:val="none" w:sz="0" w:space="0" w:color="auto"/>
          </w:divBdr>
        </w:div>
        <w:div w:id="100538898">
          <w:marLeft w:val="0"/>
          <w:marRight w:val="0"/>
          <w:marTop w:val="0"/>
          <w:marBottom w:val="0"/>
          <w:divBdr>
            <w:top w:val="none" w:sz="0" w:space="0" w:color="auto"/>
            <w:left w:val="none" w:sz="0" w:space="0" w:color="auto"/>
            <w:bottom w:val="none" w:sz="0" w:space="0" w:color="auto"/>
            <w:right w:val="none" w:sz="0" w:space="0" w:color="auto"/>
          </w:divBdr>
        </w:div>
        <w:div w:id="937055406">
          <w:marLeft w:val="0"/>
          <w:marRight w:val="0"/>
          <w:marTop w:val="0"/>
          <w:marBottom w:val="0"/>
          <w:divBdr>
            <w:top w:val="none" w:sz="0" w:space="0" w:color="auto"/>
            <w:left w:val="none" w:sz="0" w:space="0" w:color="auto"/>
            <w:bottom w:val="none" w:sz="0" w:space="0" w:color="auto"/>
            <w:right w:val="none" w:sz="0" w:space="0" w:color="auto"/>
          </w:divBdr>
        </w:div>
      </w:divsChild>
    </w:div>
    <w:div w:id="1206021664">
      <w:bodyDiv w:val="1"/>
      <w:marLeft w:val="0"/>
      <w:marRight w:val="0"/>
      <w:marTop w:val="0"/>
      <w:marBottom w:val="0"/>
      <w:divBdr>
        <w:top w:val="none" w:sz="0" w:space="0" w:color="auto"/>
        <w:left w:val="none" w:sz="0" w:space="0" w:color="auto"/>
        <w:bottom w:val="none" w:sz="0" w:space="0" w:color="auto"/>
        <w:right w:val="none" w:sz="0" w:space="0" w:color="auto"/>
      </w:divBdr>
    </w:div>
    <w:div w:id="1231116892">
      <w:bodyDiv w:val="1"/>
      <w:marLeft w:val="0"/>
      <w:marRight w:val="0"/>
      <w:marTop w:val="0"/>
      <w:marBottom w:val="0"/>
      <w:divBdr>
        <w:top w:val="none" w:sz="0" w:space="0" w:color="auto"/>
        <w:left w:val="none" w:sz="0" w:space="0" w:color="auto"/>
        <w:bottom w:val="none" w:sz="0" w:space="0" w:color="auto"/>
        <w:right w:val="none" w:sz="0" w:space="0" w:color="auto"/>
      </w:divBdr>
    </w:div>
    <w:div w:id="1281372746">
      <w:bodyDiv w:val="1"/>
      <w:marLeft w:val="0"/>
      <w:marRight w:val="0"/>
      <w:marTop w:val="0"/>
      <w:marBottom w:val="0"/>
      <w:divBdr>
        <w:top w:val="none" w:sz="0" w:space="0" w:color="auto"/>
        <w:left w:val="none" w:sz="0" w:space="0" w:color="auto"/>
        <w:bottom w:val="none" w:sz="0" w:space="0" w:color="auto"/>
        <w:right w:val="none" w:sz="0" w:space="0" w:color="auto"/>
      </w:divBdr>
    </w:div>
    <w:div w:id="1281572999">
      <w:bodyDiv w:val="1"/>
      <w:marLeft w:val="0"/>
      <w:marRight w:val="0"/>
      <w:marTop w:val="0"/>
      <w:marBottom w:val="0"/>
      <w:divBdr>
        <w:top w:val="none" w:sz="0" w:space="0" w:color="auto"/>
        <w:left w:val="none" w:sz="0" w:space="0" w:color="auto"/>
        <w:bottom w:val="none" w:sz="0" w:space="0" w:color="auto"/>
        <w:right w:val="none" w:sz="0" w:space="0" w:color="auto"/>
      </w:divBdr>
    </w:div>
    <w:div w:id="1313558073">
      <w:bodyDiv w:val="1"/>
      <w:marLeft w:val="0"/>
      <w:marRight w:val="0"/>
      <w:marTop w:val="0"/>
      <w:marBottom w:val="0"/>
      <w:divBdr>
        <w:top w:val="none" w:sz="0" w:space="0" w:color="auto"/>
        <w:left w:val="none" w:sz="0" w:space="0" w:color="auto"/>
        <w:bottom w:val="none" w:sz="0" w:space="0" w:color="auto"/>
        <w:right w:val="none" w:sz="0" w:space="0" w:color="auto"/>
      </w:divBdr>
    </w:div>
    <w:div w:id="1330134469">
      <w:bodyDiv w:val="1"/>
      <w:marLeft w:val="0"/>
      <w:marRight w:val="0"/>
      <w:marTop w:val="0"/>
      <w:marBottom w:val="0"/>
      <w:divBdr>
        <w:top w:val="none" w:sz="0" w:space="0" w:color="auto"/>
        <w:left w:val="none" w:sz="0" w:space="0" w:color="auto"/>
        <w:bottom w:val="none" w:sz="0" w:space="0" w:color="auto"/>
        <w:right w:val="none" w:sz="0" w:space="0" w:color="auto"/>
      </w:divBdr>
    </w:div>
    <w:div w:id="1334184188">
      <w:bodyDiv w:val="1"/>
      <w:marLeft w:val="0"/>
      <w:marRight w:val="0"/>
      <w:marTop w:val="0"/>
      <w:marBottom w:val="0"/>
      <w:divBdr>
        <w:top w:val="none" w:sz="0" w:space="0" w:color="auto"/>
        <w:left w:val="none" w:sz="0" w:space="0" w:color="auto"/>
        <w:bottom w:val="none" w:sz="0" w:space="0" w:color="auto"/>
        <w:right w:val="none" w:sz="0" w:space="0" w:color="auto"/>
      </w:divBdr>
      <w:divsChild>
        <w:div w:id="573323603">
          <w:marLeft w:val="0"/>
          <w:marRight w:val="0"/>
          <w:marTop w:val="0"/>
          <w:marBottom w:val="0"/>
          <w:divBdr>
            <w:top w:val="none" w:sz="0" w:space="0" w:color="auto"/>
            <w:left w:val="none" w:sz="0" w:space="0" w:color="auto"/>
            <w:bottom w:val="none" w:sz="0" w:space="0" w:color="auto"/>
            <w:right w:val="none" w:sz="0" w:space="0" w:color="auto"/>
          </w:divBdr>
        </w:div>
        <w:div w:id="837623254">
          <w:marLeft w:val="0"/>
          <w:marRight w:val="0"/>
          <w:marTop w:val="0"/>
          <w:marBottom w:val="0"/>
          <w:divBdr>
            <w:top w:val="none" w:sz="0" w:space="0" w:color="auto"/>
            <w:left w:val="none" w:sz="0" w:space="0" w:color="auto"/>
            <w:bottom w:val="none" w:sz="0" w:space="0" w:color="auto"/>
            <w:right w:val="none" w:sz="0" w:space="0" w:color="auto"/>
          </w:divBdr>
        </w:div>
        <w:div w:id="510073806">
          <w:marLeft w:val="0"/>
          <w:marRight w:val="0"/>
          <w:marTop w:val="0"/>
          <w:marBottom w:val="0"/>
          <w:divBdr>
            <w:top w:val="none" w:sz="0" w:space="0" w:color="auto"/>
            <w:left w:val="none" w:sz="0" w:space="0" w:color="auto"/>
            <w:bottom w:val="none" w:sz="0" w:space="0" w:color="auto"/>
            <w:right w:val="none" w:sz="0" w:space="0" w:color="auto"/>
          </w:divBdr>
        </w:div>
      </w:divsChild>
    </w:div>
    <w:div w:id="1342855461">
      <w:bodyDiv w:val="1"/>
      <w:marLeft w:val="0"/>
      <w:marRight w:val="0"/>
      <w:marTop w:val="0"/>
      <w:marBottom w:val="0"/>
      <w:divBdr>
        <w:top w:val="none" w:sz="0" w:space="0" w:color="auto"/>
        <w:left w:val="none" w:sz="0" w:space="0" w:color="auto"/>
        <w:bottom w:val="none" w:sz="0" w:space="0" w:color="auto"/>
        <w:right w:val="none" w:sz="0" w:space="0" w:color="auto"/>
      </w:divBdr>
    </w:div>
    <w:div w:id="1350982410">
      <w:bodyDiv w:val="1"/>
      <w:marLeft w:val="0"/>
      <w:marRight w:val="0"/>
      <w:marTop w:val="0"/>
      <w:marBottom w:val="0"/>
      <w:divBdr>
        <w:top w:val="none" w:sz="0" w:space="0" w:color="auto"/>
        <w:left w:val="none" w:sz="0" w:space="0" w:color="auto"/>
        <w:bottom w:val="none" w:sz="0" w:space="0" w:color="auto"/>
        <w:right w:val="none" w:sz="0" w:space="0" w:color="auto"/>
      </w:divBdr>
    </w:div>
    <w:div w:id="1361777212">
      <w:bodyDiv w:val="1"/>
      <w:marLeft w:val="0"/>
      <w:marRight w:val="0"/>
      <w:marTop w:val="0"/>
      <w:marBottom w:val="0"/>
      <w:divBdr>
        <w:top w:val="none" w:sz="0" w:space="0" w:color="auto"/>
        <w:left w:val="none" w:sz="0" w:space="0" w:color="auto"/>
        <w:bottom w:val="none" w:sz="0" w:space="0" w:color="auto"/>
        <w:right w:val="none" w:sz="0" w:space="0" w:color="auto"/>
      </w:divBdr>
      <w:divsChild>
        <w:div w:id="541358126">
          <w:marLeft w:val="0"/>
          <w:marRight w:val="0"/>
          <w:marTop w:val="0"/>
          <w:marBottom w:val="0"/>
          <w:divBdr>
            <w:top w:val="single" w:sz="2" w:space="0" w:color="D9D9E3"/>
            <w:left w:val="single" w:sz="2" w:space="0" w:color="D9D9E3"/>
            <w:bottom w:val="single" w:sz="2" w:space="0" w:color="D9D9E3"/>
            <w:right w:val="single" w:sz="2" w:space="0" w:color="D9D9E3"/>
          </w:divBdr>
          <w:divsChild>
            <w:div w:id="109739428">
              <w:marLeft w:val="0"/>
              <w:marRight w:val="0"/>
              <w:marTop w:val="0"/>
              <w:marBottom w:val="0"/>
              <w:divBdr>
                <w:top w:val="single" w:sz="2" w:space="0" w:color="D9D9E3"/>
                <w:left w:val="single" w:sz="2" w:space="0" w:color="D9D9E3"/>
                <w:bottom w:val="single" w:sz="2" w:space="0" w:color="D9D9E3"/>
                <w:right w:val="single" w:sz="2" w:space="0" w:color="D9D9E3"/>
              </w:divBdr>
              <w:divsChild>
                <w:div w:id="1236664503">
                  <w:marLeft w:val="0"/>
                  <w:marRight w:val="0"/>
                  <w:marTop w:val="0"/>
                  <w:marBottom w:val="0"/>
                  <w:divBdr>
                    <w:top w:val="single" w:sz="2" w:space="0" w:color="D9D9E3"/>
                    <w:left w:val="single" w:sz="2" w:space="0" w:color="D9D9E3"/>
                    <w:bottom w:val="single" w:sz="2" w:space="0" w:color="D9D9E3"/>
                    <w:right w:val="single" w:sz="2" w:space="0" w:color="D9D9E3"/>
                  </w:divBdr>
                  <w:divsChild>
                    <w:div w:id="1051074637">
                      <w:marLeft w:val="0"/>
                      <w:marRight w:val="0"/>
                      <w:marTop w:val="0"/>
                      <w:marBottom w:val="0"/>
                      <w:divBdr>
                        <w:top w:val="single" w:sz="2" w:space="0" w:color="D9D9E3"/>
                        <w:left w:val="single" w:sz="2" w:space="0" w:color="D9D9E3"/>
                        <w:bottom w:val="single" w:sz="2" w:space="0" w:color="D9D9E3"/>
                        <w:right w:val="single" w:sz="2" w:space="0" w:color="D9D9E3"/>
                      </w:divBdr>
                      <w:divsChild>
                        <w:div w:id="1200512508">
                          <w:marLeft w:val="0"/>
                          <w:marRight w:val="0"/>
                          <w:marTop w:val="0"/>
                          <w:marBottom w:val="0"/>
                          <w:divBdr>
                            <w:top w:val="single" w:sz="2" w:space="0" w:color="auto"/>
                            <w:left w:val="single" w:sz="2" w:space="0" w:color="auto"/>
                            <w:bottom w:val="single" w:sz="6" w:space="0" w:color="auto"/>
                            <w:right w:val="single" w:sz="2" w:space="0" w:color="auto"/>
                          </w:divBdr>
                          <w:divsChild>
                            <w:div w:id="1904945810">
                              <w:marLeft w:val="0"/>
                              <w:marRight w:val="0"/>
                              <w:marTop w:val="100"/>
                              <w:marBottom w:val="100"/>
                              <w:divBdr>
                                <w:top w:val="single" w:sz="2" w:space="0" w:color="D9D9E3"/>
                                <w:left w:val="single" w:sz="2" w:space="0" w:color="D9D9E3"/>
                                <w:bottom w:val="single" w:sz="2" w:space="0" w:color="D9D9E3"/>
                                <w:right w:val="single" w:sz="2" w:space="0" w:color="D9D9E3"/>
                              </w:divBdr>
                              <w:divsChild>
                                <w:div w:id="521087982">
                                  <w:marLeft w:val="0"/>
                                  <w:marRight w:val="0"/>
                                  <w:marTop w:val="0"/>
                                  <w:marBottom w:val="0"/>
                                  <w:divBdr>
                                    <w:top w:val="single" w:sz="2" w:space="0" w:color="D9D9E3"/>
                                    <w:left w:val="single" w:sz="2" w:space="0" w:color="D9D9E3"/>
                                    <w:bottom w:val="single" w:sz="2" w:space="0" w:color="D9D9E3"/>
                                    <w:right w:val="single" w:sz="2" w:space="0" w:color="D9D9E3"/>
                                  </w:divBdr>
                                  <w:divsChild>
                                    <w:div w:id="865867521">
                                      <w:marLeft w:val="0"/>
                                      <w:marRight w:val="0"/>
                                      <w:marTop w:val="0"/>
                                      <w:marBottom w:val="0"/>
                                      <w:divBdr>
                                        <w:top w:val="single" w:sz="2" w:space="0" w:color="D9D9E3"/>
                                        <w:left w:val="single" w:sz="2" w:space="0" w:color="D9D9E3"/>
                                        <w:bottom w:val="single" w:sz="2" w:space="0" w:color="D9D9E3"/>
                                        <w:right w:val="single" w:sz="2" w:space="0" w:color="D9D9E3"/>
                                      </w:divBdr>
                                      <w:divsChild>
                                        <w:div w:id="304704634">
                                          <w:marLeft w:val="0"/>
                                          <w:marRight w:val="0"/>
                                          <w:marTop w:val="0"/>
                                          <w:marBottom w:val="0"/>
                                          <w:divBdr>
                                            <w:top w:val="single" w:sz="2" w:space="0" w:color="D9D9E3"/>
                                            <w:left w:val="single" w:sz="2" w:space="0" w:color="D9D9E3"/>
                                            <w:bottom w:val="single" w:sz="2" w:space="0" w:color="D9D9E3"/>
                                            <w:right w:val="single" w:sz="2" w:space="0" w:color="D9D9E3"/>
                                          </w:divBdr>
                                          <w:divsChild>
                                            <w:div w:id="150298428">
                                              <w:marLeft w:val="0"/>
                                              <w:marRight w:val="0"/>
                                              <w:marTop w:val="0"/>
                                              <w:marBottom w:val="0"/>
                                              <w:divBdr>
                                                <w:top w:val="single" w:sz="2" w:space="0" w:color="D9D9E3"/>
                                                <w:left w:val="single" w:sz="2" w:space="0" w:color="D9D9E3"/>
                                                <w:bottom w:val="single" w:sz="2" w:space="0" w:color="D9D9E3"/>
                                                <w:right w:val="single" w:sz="2" w:space="0" w:color="D9D9E3"/>
                                              </w:divBdr>
                                              <w:divsChild>
                                                <w:div w:id="140518418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 w:id="2061705220">
          <w:marLeft w:val="0"/>
          <w:marRight w:val="0"/>
          <w:marTop w:val="0"/>
          <w:marBottom w:val="0"/>
          <w:divBdr>
            <w:top w:val="none" w:sz="0" w:space="0" w:color="auto"/>
            <w:left w:val="none" w:sz="0" w:space="0" w:color="auto"/>
            <w:bottom w:val="none" w:sz="0" w:space="0" w:color="auto"/>
            <w:right w:val="none" w:sz="0" w:space="0" w:color="auto"/>
          </w:divBdr>
        </w:div>
      </w:divsChild>
    </w:div>
    <w:div w:id="1375275507">
      <w:bodyDiv w:val="1"/>
      <w:marLeft w:val="0"/>
      <w:marRight w:val="0"/>
      <w:marTop w:val="0"/>
      <w:marBottom w:val="0"/>
      <w:divBdr>
        <w:top w:val="none" w:sz="0" w:space="0" w:color="auto"/>
        <w:left w:val="none" w:sz="0" w:space="0" w:color="auto"/>
        <w:bottom w:val="none" w:sz="0" w:space="0" w:color="auto"/>
        <w:right w:val="none" w:sz="0" w:space="0" w:color="auto"/>
      </w:divBdr>
    </w:div>
    <w:div w:id="1375278308">
      <w:bodyDiv w:val="1"/>
      <w:marLeft w:val="0"/>
      <w:marRight w:val="0"/>
      <w:marTop w:val="0"/>
      <w:marBottom w:val="0"/>
      <w:divBdr>
        <w:top w:val="none" w:sz="0" w:space="0" w:color="auto"/>
        <w:left w:val="none" w:sz="0" w:space="0" w:color="auto"/>
        <w:bottom w:val="none" w:sz="0" w:space="0" w:color="auto"/>
        <w:right w:val="none" w:sz="0" w:space="0" w:color="auto"/>
      </w:divBdr>
    </w:div>
    <w:div w:id="1408304993">
      <w:bodyDiv w:val="1"/>
      <w:marLeft w:val="0"/>
      <w:marRight w:val="0"/>
      <w:marTop w:val="0"/>
      <w:marBottom w:val="0"/>
      <w:divBdr>
        <w:top w:val="none" w:sz="0" w:space="0" w:color="auto"/>
        <w:left w:val="none" w:sz="0" w:space="0" w:color="auto"/>
        <w:bottom w:val="none" w:sz="0" w:space="0" w:color="auto"/>
        <w:right w:val="none" w:sz="0" w:space="0" w:color="auto"/>
      </w:divBdr>
      <w:divsChild>
        <w:div w:id="1386488284">
          <w:marLeft w:val="0"/>
          <w:marRight w:val="0"/>
          <w:marTop w:val="0"/>
          <w:marBottom w:val="0"/>
          <w:divBdr>
            <w:top w:val="none" w:sz="0" w:space="0" w:color="auto"/>
            <w:left w:val="none" w:sz="0" w:space="0" w:color="auto"/>
            <w:bottom w:val="none" w:sz="0" w:space="0" w:color="auto"/>
            <w:right w:val="none" w:sz="0" w:space="0" w:color="auto"/>
          </w:divBdr>
        </w:div>
        <w:div w:id="30228151">
          <w:marLeft w:val="0"/>
          <w:marRight w:val="0"/>
          <w:marTop w:val="0"/>
          <w:marBottom w:val="0"/>
          <w:divBdr>
            <w:top w:val="none" w:sz="0" w:space="0" w:color="auto"/>
            <w:left w:val="none" w:sz="0" w:space="0" w:color="auto"/>
            <w:bottom w:val="none" w:sz="0" w:space="0" w:color="auto"/>
            <w:right w:val="none" w:sz="0" w:space="0" w:color="auto"/>
          </w:divBdr>
        </w:div>
        <w:div w:id="2059357281">
          <w:marLeft w:val="0"/>
          <w:marRight w:val="0"/>
          <w:marTop w:val="0"/>
          <w:marBottom w:val="0"/>
          <w:divBdr>
            <w:top w:val="none" w:sz="0" w:space="0" w:color="auto"/>
            <w:left w:val="none" w:sz="0" w:space="0" w:color="auto"/>
            <w:bottom w:val="none" w:sz="0" w:space="0" w:color="auto"/>
            <w:right w:val="none" w:sz="0" w:space="0" w:color="auto"/>
          </w:divBdr>
        </w:div>
      </w:divsChild>
    </w:div>
    <w:div w:id="1433353565">
      <w:bodyDiv w:val="1"/>
      <w:marLeft w:val="0"/>
      <w:marRight w:val="0"/>
      <w:marTop w:val="0"/>
      <w:marBottom w:val="0"/>
      <w:divBdr>
        <w:top w:val="none" w:sz="0" w:space="0" w:color="auto"/>
        <w:left w:val="none" w:sz="0" w:space="0" w:color="auto"/>
        <w:bottom w:val="none" w:sz="0" w:space="0" w:color="auto"/>
        <w:right w:val="none" w:sz="0" w:space="0" w:color="auto"/>
      </w:divBdr>
    </w:div>
    <w:div w:id="1470048914">
      <w:bodyDiv w:val="1"/>
      <w:marLeft w:val="0"/>
      <w:marRight w:val="0"/>
      <w:marTop w:val="0"/>
      <w:marBottom w:val="0"/>
      <w:divBdr>
        <w:top w:val="none" w:sz="0" w:space="0" w:color="auto"/>
        <w:left w:val="none" w:sz="0" w:space="0" w:color="auto"/>
        <w:bottom w:val="none" w:sz="0" w:space="0" w:color="auto"/>
        <w:right w:val="none" w:sz="0" w:space="0" w:color="auto"/>
      </w:divBdr>
    </w:div>
    <w:div w:id="1472595938">
      <w:bodyDiv w:val="1"/>
      <w:marLeft w:val="0"/>
      <w:marRight w:val="0"/>
      <w:marTop w:val="0"/>
      <w:marBottom w:val="0"/>
      <w:divBdr>
        <w:top w:val="none" w:sz="0" w:space="0" w:color="auto"/>
        <w:left w:val="none" w:sz="0" w:space="0" w:color="auto"/>
        <w:bottom w:val="none" w:sz="0" w:space="0" w:color="auto"/>
        <w:right w:val="none" w:sz="0" w:space="0" w:color="auto"/>
      </w:divBdr>
    </w:div>
    <w:div w:id="1475177159">
      <w:bodyDiv w:val="1"/>
      <w:marLeft w:val="0"/>
      <w:marRight w:val="0"/>
      <w:marTop w:val="0"/>
      <w:marBottom w:val="0"/>
      <w:divBdr>
        <w:top w:val="none" w:sz="0" w:space="0" w:color="auto"/>
        <w:left w:val="none" w:sz="0" w:space="0" w:color="auto"/>
        <w:bottom w:val="none" w:sz="0" w:space="0" w:color="auto"/>
        <w:right w:val="none" w:sz="0" w:space="0" w:color="auto"/>
      </w:divBdr>
    </w:div>
    <w:div w:id="1540125619">
      <w:bodyDiv w:val="1"/>
      <w:marLeft w:val="0"/>
      <w:marRight w:val="0"/>
      <w:marTop w:val="0"/>
      <w:marBottom w:val="0"/>
      <w:divBdr>
        <w:top w:val="none" w:sz="0" w:space="0" w:color="auto"/>
        <w:left w:val="none" w:sz="0" w:space="0" w:color="auto"/>
        <w:bottom w:val="none" w:sz="0" w:space="0" w:color="auto"/>
        <w:right w:val="none" w:sz="0" w:space="0" w:color="auto"/>
      </w:divBdr>
    </w:div>
    <w:div w:id="1564632642">
      <w:bodyDiv w:val="1"/>
      <w:marLeft w:val="0"/>
      <w:marRight w:val="0"/>
      <w:marTop w:val="0"/>
      <w:marBottom w:val="0"/>
      <w:divBdr>
        <w:top w:val="none" w:sz="0" w:space="0" w:color="auto"/>
        <w:left w:val="none" w:sz="0" w:space="0" w:color="auto"/>
        <w:bottom w:val="none" w:sz="0" w:space="0" w:color="auto"/>
        <w:right w:val="none" w:sz="0" w:space="0" w:color="auto"/>
      </w:divBdr>
      <w:divsChild>
        <w:div w:id="1568609787">
          <w:marLeft w:val="0"/>
          <w:marRight w:val="0"/>
          <w:marTop w:val="0"/>
          <w:marBottom w:val="0"/>
          <w:divBdr>
            <w:top w:val="none" w:sz="0" w:space="0" w:color="auto"/>
            <w:left w:val="none" w:sz="0" w:space="0" w:color="auto"/>
            <w:bottom w:val="none" w:sz="0" w:space="0" w:color="auto"/>
            <w:right w:val="none" w:sz="0" w:space="0" w:color="auto"/>
          </w:divBdr>
        </w:div>
        <w:div w:id="1317610934">
          <w:marLeft w:val="0"/>
          <w:marRight w:val="0"/>
          <w:marTop w:val="0"/>
          <w:marBottom w:val="0"/>
          <w:divBdr>
            <w:top w:val="none" w:sz="0" w:space="0" w:color="auto"/>
            <w:left w:val="none" w:sz="0" w:space="0" w:color="auto"/>
            <w:bottom w:val="none" w:sz="0" w:space="0" w:color="auto"/>
            <w:right w:val="none" w:sz="0" w:space="0" w:color="auto"/>
          </w:divBdr>
        </w:div>
        <w:div w:id="1519660661">
          <w:marLeft w:val="0"/>
          <w:marRight w:val="0"/>
          <w:marTop w:val="0"/>
          <w:marBottom w:val="0"/>
          <w:divBdr>
            <w:top w:val="none" w:sz="0" w:space="0" w:color="auto"/>
            <w:left w:val="none" w:sz="0" w:space="0" w:color="auto"/>
            <w:bottom w:val="none" w:sz="0" w:space="0" w:color="auto"/>
            <w:right w:val="none" w:sz="0" w:space="0" w:color="auto"/>
          </w:divBdr>
        </w:div>
      </w:divsChild>
    </w:div>
    <w:div w:id="1583875475">
      <w:bodyDiv w:val="1"/>
      <w:marLeft w:val="0"/>
      <w:marRight w:val="0"/>
      <w:marTop w:val="0"/>
      <w:marBottom w:val="0"/>
      <w:divBdr>
        <w:top w:val="none" w:sz="0" w:space="0" w:color="auto"/>
        <w:left w:val="none" w:sz="0" w:space="0" w:color="auto"/>
        <w:bottom w:val="none" w:sz="0" w:space="0" w:color="auto"/>
        <w:right w:val="none" w:sz="0" w:space="0" w:color="auto"/>
      </w:divBdr>
    </w:div>
    <w:div w:id="1594164400">
      <w:bodyDiv w:val="1"/>
      <w:marLeft w:val="0"/>
      <w:marRight w:val="0"/>
      <w:marTop w:val="0"/>
      <w:marBottom w:val="0"/>
      <w:divBdr>
        <w:top w:val="none" w:sz="0" w:space="0" w:color="auto"/>
        <w:left w:val="none" w:sz="0" w:space="0" w:color="auto"/>
        <w:bottom w:val="none" w:sz="0" w:space="0" w:color="auto"/>
        <w:right w:val="none" w:sz="0" w:space="0" w:color="auto"/>
      </w:divBdr>
    </w:div>
    <w:div w:id="1612513310">
      <w:bodyDiv w:val="1"/>
      <w:marLeft w:val="0"/>
      <w:marRight w:val="0"/>
      <w:marTop w:val="0"/>
      <w:marBottom w:val="0"/>
      <w:divBdr>
        <w:top w:val="none" w:sz="0" w:space="0" w:color="auto"/>
        <w:left w:val="none" w:sz="0" w:space="0" w:color="auto"/>
        <w:bottom w:val="none" w:sz="0" w:space="0" w:color="auto"/>
        <w:right w:val="none" w:sz="0" w:space="0" w:color="auto"/>
      </w:divBdr>
    </w:div>
    <w:div w:id="1640763924">
      <w:bodyDiv w:val="1"/>
      <w:marLeft w:val="0"/>
      <w:marRight w:val="0"/>
      <w:marTop w:val="0"/>
      <w:marBottom w:val="0"/>
      <w:divBdr>
        <w:top w:val="none" w:sz="0" w:space="0" w:color="auto"/>
        <w:left w:val="none" w:sz="0" w:space="0" w:color="auto"/>
        <w:bottom w:val="none" w:sz="0" w:space="0" w:color="auto"/>
        <w:right w:val="none" w:sz="0" w:space="0" w:color="auto"/>
      </w:divBdr>
    </w:div>
    <w:div w:id="1684546355">
      <w:bodyDiv w:val="1"/>
      <w:marLeft w:val="0"/>
      <w:marRight w:val="0"/>
      <w:marTop w:val="0"/>
      <w:marBottom w:val="0"/>
      <w:divBdr>
        <w:top w:val="none" w:sz="0" w:space="0" w:color="auto"/>
        <w:left w:val="none" w:sz="0" w:space="0" w:color="auto"/>
        <w:bottom w:val="none" w:sz="0" w:space="0" w:color="auto"/>
        <w:right w:val="none" w:sz="0" w:space="0" w:color="auto"/>
      </w:divBdr>
      <w:divsChild>
        <w:div w:id="44531610">
          <w:marLeft w:val="0"/>
          <w:marRight w:val="0"/>
          <w:marTop w:val="0"/>
          <w:marBottom w:val="0"/>
          <w:divBdr>
            <w:top w:val="none" w:sz="0" w:space="0" w:color="auto"/>
            <w:left w:val="none" w:sz="0" w:space="0" w:color="auto"/>
            <w:bottom w:val="none" w:sz="0" w:space="0" w:color="auto"/>
            <w:right w:val="none" w:sz="0" w:space="0" w:color="auto"/>
          </w:divBdr>
        </w:div>
      </w:divsChild>
    </w:div>
    <w:div w:id="1709530945">
      <w:bodyDiv w:val="1"/>
      <w:marLeft w:val="0"/>
      <w:marRight w:val="0"/>
      <w:marTop w:val="0"/>
      <w:marBottom w:val="0"/>
      <w:divBdr>
        <w:top w:val="none" w:sz="0" w:space="0" w:color="auto"/>
        <w:left w:val="none" w:sz="0" w:space="0" w:color="auto"/>
        <w:bottom w:val="none" w:sz="0" w:space="0" w:color="auto"/>
        <w:right w:val="none" w:sz="0" w:space="0" w:color="auto"/>
      </w:divBdr>
    </w:div>
    <w:div w:id="1736973905">
      <w:bodyDiv w:val="1"/>
      <w:marLeft w:val="0"/>
      <w:marRight w:val="0"/>
      <w:marTop w:val="0"/>
      <w:marBottom w:val="0"/>
      <w:divBdr>
        <w:top w:val="none" w:sz="0" w:space="0" w:color="auto"/>
        <w:left w:val="none" w:sz="0" w:space="0" w:color="auto"/>
        <w:bottom w:val="none" w:sz="0" w:space="0" w:color="auto"/>
        <w:right w:val="none" w:sz="0" w:space="0" w:color="auto"/>
      </w:divBdr>
    </w:div>
    <w:div w:id="1762753784">
      <w:bodyDiv w:val="1"/>
      <w:marLeft w:val="0"/>
      <w:marRight w:val="0"/>
      <w:marTop w:val="0"/>
      <w:marBottom w:val="0"/>
      <w:divBdr>
        <w:top w:val="none" w:sz="0" w:space="0" w:color="auto"/>
        <w:left w:val="none" w:sz="0" w:space="0" w:color="auto"/>
        <w:bottom w:val="none" w:sz="0" w:space="0" w:color="auto"/>
        <w:right w:val="none" w:sz="0" w:space="0" w:color="auto"/>
      </w:divBdr>
    </w:div>
    <w:div w:id="1767265864">
      <w:bodyDiv w:val="1"/>
      <w:marLeft w:val="0"/>
      <w:marRight w:val="0"/>
      <w:marTop w:val="0"/>
      <w:marBottom w:val="0"/>
      <w:divBdr>
        <w:top w:val="none" w:sz="0" w:space="0" w:color="auto"/>
        <w:left w:val="none" w:sz="0" w:space="0" w:color="auto"/>
        <w:bottom w:val="none" w:sz="0" w:space="0" w:color="auto"/>
        <w:right w:val="none" w:sz="0" w:space="0" w:color="auto"/>
      </w:divBdr>
    </w:div>
    <w:div w:id="1774326232">
      <w:bodyDiv w:val="1"/>
      <w:marLeft w:val="0"/>
      <w:marRight w:val="0"/>
      <w:marTop w:val="0"/>
      <w:marBottom w:val="0"/>
      <w:divBdr>
        <w:top w:val="none" w:sz="0" w:space="0" w:color="auto"/>
        <w:left w:val="none" w:sz="0" w:space="0" w:color="auto"/>
        <w:bottom w:val="none" w:sz="0" w:space="0" w:color="auto"/>
        <w:right w:val="none" w:sz="0" w:space="0" w:color="auto"/>
      </w:divBdr>
    </w:div>
    <w:div w:id="1812405910">
      <w:bodyDiv w:val="1"/>
      <w:marLeft w:val="0"/>
      <w:marRight w:val="0"/>
      <w:marTop w:val="0"/>
      <w:marBottom w:val="0"/>
      <w:divBdr>
        <w:top w:val="none" w:sz="0" w:space="0" w:color="auto"/>
        <w:left w:val="none" w:sz="0" w:space="0" w:color="auto"/>
        <w:bottom w:val="none" w:sz="0" w:space="0" w:color="auto"/>
        <w:right w:val="none" w:sz="0" w:space="0" w:color="auto"/>
      </w:divBdr>
    </w:div>
    <w:div w:id="1856918839">
      <w:bodyDiv w:val="1"/>
      <w:marLeft w:val="0"/>
      <w:marRight w:val="0"/>
      <w:marTop w:val="0"/>
      <w:marBottom w:val="0"/>
      <w:divBdr>
        <w:top w:val="none" w:sz="0" w:space="0" w:color="auto"/>
        <w:left w:val="none" w:sz="0" w:space="0" w:color="auto"/>
        <w:bottom w:val="none" w:sz="0" w:space="0" w:color="auto"/>
        <w:right w:val="none" w:sz="0" w:space="0" w:color="auto"/>
      </w:divBdr>
    </w:div>
    <w:div w:id="1858692513">
      <w:bodyDiv w:val="1"/>
      <w:marLeft w:val="0"/>
      <w:marRight w:val="0"/>
      <w:marTop w:val="0"/>
      <w:marBottom w:val="0"/>
      <w:divBdr>
        <w:top w:val="none" w:sz="0" w:space="0" w:color="auto"/>
        <w:left w:val="none" w:sz="0" w:space="0" w:color="auto"/>
        <w:bottom w:val="none" w:sz="0" w:space="0" w:color="auto"/>
        <w:right w:val="none" w:sz="0" w:space="0" w:color="auto"/>
      </w:divBdr>
    </w:div>
    <w:div w:id="1865752032">
      <w:bodyDiv w:val="1"/>
      <w:marLeft w:val="0"/>
      <w:marRight w:val="0"/>
      <w:marTop w:val="0"/>
      <w:marBottom w:val="0"/>
      <w:divBdr>
        <w:top w:val="none" w:sz="0" w:space="0" w:color="auto"/>
        <w:left w:val="none" w:sz="0" w:space="0" w:color="auto"/>
        <w:bottom w:val="none" w:sz="0" w:space="0" w:color="auto"/>
        <w:right w:val="none" w:sz="0" w:space="0" w:color="auto"/>
      </w:divBdr>
    </w:div>
    <w:div w:id="1883325269">
      <w:bodyDiv w:val="1"/>
      <w:marLeft w:val="0"/>
      <w:marRight w:val="0"/>
      <w:marTop w:val="0"/>
      <w:marBottom w:val="0"/>
      <w:divBdr>
        <w:top w:val="none" w:sz="0" w:space="0" w:color="auto"/>
        <w:left w:val="none" w:sz="0" w:space="0" w:color="auto"/>
        <w:bottom w:val="none" w:sz="0" w:space="0" w:color="auto"/>
        <w:right w:val="none" w:sz="0" w:space="0" w:color="auto"/>
      </w:divBdr>
    </w:div>
    <w:div w:id="1899243647">
      <w:bodyDiv w:val="1"/>
      <w:marLeft w:val="0"/>
      <w:marRight w:val="0"/>
      <w:marTop w:val="0"/>
      <w:marBottom w:val="0"/>
      <w:divBdr>
        <w:top w:val="none" w:sz="0" w:space="0" w:color="auto"/>
        <w:left w:val="none" w:sz="0" w:space="0" w:color="auto"/>
        <w:bottom w:val="none" w:sz="0" w:space="0" w:color="auto"/>
        <w:right w:val="none" w:sz="0" w:space="0" w:color="auto"/>
      </w:divBdr>
    </w:div>
    <w:div w:id="1903248279">
      <w:bodyDiv w:val="1"/>
      <w:marLeft w:val="0"/>
      <w:marRight w:val="0"/>
      <w:marTop w:val="0"/>
      <w:marBottom w:val="0"/>
      <w:divBdr>
        <w:top w:val="none" w:sz="0" w:space="0" w:color="auto"/>
        <w:left w:val="none" w:sz="0" w:space="0" w:color="auto"/>
        <w:bottom w:val="none" w:sz="0" w:space="0" w:color="auto"/>
        <w:right w:val="none" w:sz="0" w:space="0" w:color="auto"/>
      </w:divBdr>
    </w:div>
    <w:div w:id="1993213881">
      <w:bodyDiv w:val="1"/>
      <w:marLeft w:val="0"/>
      <w:marRight w:val="0"/>
      <w:marTop w:val="0"/>
      <w:marBottom w:val="0"/>
      <w:divBdr>
        <w:top w:val="none" w:sz="0" w:space="0" w:color="auto"/>
        <w:left w:val="none" w:sz="0" w:space="0" w:color="auto"/>
        <w:bottom w:val="none" w:sz="0" w:space="0" w:color="auto"/>
        <w:right w:val="none" w:sz="0" w:space="0" w:color="auto"/>
      </w:divBdr>
      <w:divsChild>
        <w:div w:id="1312752561">
          <w:marLeft w:val="0"/>
          <w:marRight w:val="0"/>
          <w:marTop w:val="0"/>
          <w:marBottom w:val="0"/>
          <w:divBdr>
            <w:top w:val="none" w:sz="0" w:space="0" w:color="auto"/>
            <w:left w:val="none" w:sz="0" w:space="0" w:color="auto"/>
            <w:bottom w:val="none" w:sz="0" w:space="0" w:color="auto"/>
            <w:right w:val="none" w:sz="0" w:space="0" w:color="auto"/>
          </w:divBdr>
        </w:div>
        <w:div w:id="803735331">
          <w:marLeft w:val="0"/>
          <w:marRight w:val="0"/>
          <w:marTop w:val="0"/>
          <w:marBottom w:val="0"/>
          <w:divBdr>
            <w:top w:val="none" w:sz="0" w:space="0" w:color="auto"/>
            <w:left w:val="none" w:sz="0" w:space="0" w:color="auto"/>
            <w:bottom w:val="none" w:sz="0" w:space="0" w:color="auto"/>
            <w:right w:val="none" w:sz="0" w:space="0" w:color="auto"/>
          </w:divBdr>
        </w:div>
        <w:div w:id="1226407688">
          <w:marLeft w:val="0"/>
          <w:marRight w:val="0"/>
          <w:marTop w:val="0"/>
          <w:marBottom w:val="0"/>
          <w:divBdr>
            <w:top w:val="none" w:sz="0" w:space="0" w:color="auto"/>
            <w:left w:val="none" w:sz="0" w:space="0" w:color="auto"/>
            <w:bottom w:val="none" w:sz="0" w:space="0" w:color="auto"/>
            <w:right w:val="none" w:sz="0" w:space="0" w:color="auto"/>
          </w:divBdr>
        </w:div>
      </w:divsChild>
    </w:div>
    <w:div w:id="2041277721">
      <w:bodyDiv w:val="1"/>
      <w:marLeft w:val="0"/>
      <w:marRight w:val="0"/>
      <w:marTop w:val="0"/>
      <w:marBottom w:val="0"/>
      <w:divBdr>
        <w:top w:val="none" w:sz="0" w:space="0" w:color="auto"/>
        <w:left w:val="none" w:sz="0" w:space="0" w:color="auto"/>
        <w:bottom w:val="none" w:sz="0" w:space="0" w:color="auto"/>
        <w:right w:val="none" w:sz="0" w:space="0" w:color="auto"/>
      </w:divBdr>
    </w:div>
    <w:div w:id="2095664373">
      <w:bodyDiv w:val="1"/>
      <w:marLeft w:val="0"/>
      <w:marRight w:val="0"/>
      <w:marTop w:val="0"/>
      <w:marBottom w:val="0"/>
      <w:divBdr>
        <w:top w:val="none" w:sz="0" w:space="0" w:color="auto"/>
        <w:left w:val="none" w:sz="0" w:space="0" w:color="auto"/>
        <w:bottom w:val="none" w:sz="0" w:space="0" w:color="auto"/>
        <w:right w:val="none" w:sz="0" w:space="0" w:color="auto"/>
      </w:divBdr>
    </w:div>
    <w:div w:id="21424588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BB27DDD-40E7-4A46-AFD2-703DE9A6AF20}">
  <ds:schemaRefs>
    <ds:schemaRef ds:uri="http://schemas.openxmlformats.org/officeDocument/2006/bibliography"/>
  </ds:schemaRefs>
</ds:datastoreItem>
</file>

<file path=docMetadata/LabelInfo.xml><?xml version="1.0" encoding="utf-8"?>
<clbl:labelList xmlns:clbl="http://schemas.microsoft.com/office/2020/mipLabelMetadata">
  <clbl:label id="{fd1c0902-ed92-4fed-896d-2e7725de02d4}" enabled="1" method="Standard" siteId="{d6b0bbee-7cd9-4d60-bce6-4a67b543e2ae}" contentBits="2" removed="0"/>
</clbl:labelList>
</file>

<file path=docProps/app.xml><?xml version="1.0" encoding="utf-8"?>
<Properties xmlns="http://schemas.openxmlformats.org/officeDocument/2006/extended-properties" xmlns:vt="http://schemas.openxmlformats.org/officeDocument/2006/docPropsVTypes">
  <Template>Normal</Template>
  <TotalTime>12</TotalTime>
  <Pages>9</Pages>
  <Words>2335</Words>
  <Characters>13314</Characters>
  <Application>Microsoft Office Word</Application>
  <DocSecurity>0</DocSecurity>
  <Lines>110</Lines>
  <Paragraphs>31</Paragraphs>
  <ScaleCrop>false</ScaleCrop>
  <HeadingPairs>
    <vt:vector size="2" baseType="variant">
      <vt:variant>
        <vt:lpstr>Title</vt:lpstr>
      </vt:variant>
      <vt:variant>
        <vt:i4>1</vt:i4>
      </vt:variant>
    </vt:vector>
  </HeadingPairs>
  <TitlesOfParts>
    <vt:vector size="1" baseType="lpstr">
      <vt:lpstr/>
    </vt:vector>
  </TitlesOfParts>
  <Company>Agilent Technologies, Inc.</Company>
  <LinksUpToDate>false</LinksUpToDate>
  <CharactersWithSpaces>15618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Fanfa</dc:creator>
  <cp:lastModifiedBy>SPATARU Catalin-Ilie</cp:lastModifiedBy>
  <cp:revision>3</cp:revision>
  <dcterms:created xsi:type="dcterms:W3CDTF">2024-04-02T12:38:00Z</dcterms:created>
  <dcterms:modified xsi:type="dcterms:W3CDTF">2024-04-02T12:49:00Z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lassificationContentMarkingFooterShapeIds">
    <vt:lpwstr>1,2,3</vt:lpwstr>
  </property>
  <property fmtid="{D5CDD505-2E9C-101B-9397-08002B2CF9AE}" pid="3" name="ClassificationContentMarkingFooterFontProps">
    <vt:lpwstr>#000000,10,Arial</vt:lpwstr>
  </property>
  <property fmtid="{D5CDD505-2E9C-101B-9397-08002B2CF9AE}" pid="4" name="ClassificationContentMarkingFooterText">
    <vt:lpwstr>Confidential C</vt:lpwstr>
  </property>
</Properties>
</file>