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A8D03C" w14:textId="77777777" w:rsidR="00130A96" w:rsidRDefault="00130A96" w:rsidP="00130A96">
      <w:pPr>
        <w:spacing w:before="0" w:after="160"/>
        <w:jc w:val="center"/>
        <w:rPr>
          <w:rFonts w:cs="Times New Roman"/>
          <w:b/>
          <w:bCs/>
          <w:szCs w:val="24"/>
        </w:rPr>
      </w:pPr>
    </w:p>
    <w:p w14:paraId="32272FC4" w14:textId="77777777" w:rsidR="00130A96" w:rsidRDefault="00130A96" w:rsidP="00130A96">
      <w:pPr>
        <w:spacing w:before="0" w:after="160"/>
        <w:jc w:val="center"/>
        <w:rPr>
          <w:rFonts w:cs="Times New Roman"/>
          <w:b/>
          <w:bCs/>
          <w:szCs w:val="24"/>
        </w:rPr>
      </w:pPr>
    </w:p>
    <w:p w14:paraId="06A50DB3" w14:textId="77777777" w:rsidR="00130A96" w:rsidRPr="00612AD1" w:rsidRDefault="00130A96" w:rsidP="00130A96">
      <w:pPr>
        <w:spacing w:before="0" w:after="160" w:line="259" w:lineRule="auto"/>
        <w:jc w:val="center"/>
        <w:rPr>
          <w:rFonts w:ascii="Arial" w:hAnsi="Arial" w:cs="Arial"/>
          <w:b/>
          <w:bCs/>
          <w:sz w:val="22"/>
        </w:rPr>
      </w:pPr>
    </w:p>
    <w:p w14:paraId="1AD811D1" w14:textId="77777777" w:rsidR="00130A96" w:rsidRPr="00612AD1" w:rsidRDefault="00130A96" w:rsidP="00130A96">
      <w:pPr>
        <w:spacing w:before="0" w:after="160" w:line="259" w:lineRule="auto"/>
        <w:jc w:val="center"/>
        <w:rPr>
          <w:rFonts w:ascii="Arial" w:hAnsi="Arial" w:cs="Arial"/>
          <w:b/>
          <w:bCs/>
          <w:sz w:val="22"/>
        </w:rPr>
      </w:pPr>
    </w:p>
    <w:p w14:paraId="49413424" w14:textId="77777777" w:rsidR="00130A96" w:rsidRDefault="00130A96" w:rsidP="00130A96">
      <w:pPr>
        <w:spacing w:before="0" w:after="160" w:line="259" w:lineRule="auto"/>
        <w:jc w:val="center"/>
        <w:rPr>
          <w:rFonts w:ascii="Arial" w:hAnsi="Arial" w:cs="Arial"/>
          <w:b/>
          <w:bCs/>
          <w:sz w:val="22"/>
        </w:rPr>
      </w:pPr>
    </w:p>
    <w:p w14:paraId="32EDFABA" w14:textId="77777777" w:rsidR="004E377A" w:rsidRDefault="004E377A" w:rsidP="00130A96">
      <w:pPr>
        <w:spacing w:before="0" w:after="160" w:line="259" w:lineRule="auto"/>
        <w:jc w:val="center"/>
        <w:rPr>
          <w:rFonts w:ascii="Arial" w:hAnsi="Arial" w:cs="Arial"/>
          <w:b/>
          <w:bCs/>
          <w:sz w:val="22"/>
        </w:rPr>
      </w:pPr>
    </w:p>
    <w:p w14:paraId="38395349" w14:textId="77777777" w:rsidR="004E377A" w:rsidRDefault="004E377A" w:rsidP="00130A96">
      <w:pPr>
        <w:spacing w:before="0" w:after="160" w:line="259" w:lineRule="auto"/>
        <w:jc w:val="center"/>
        <w:rPr>
          <w:rFonts w:ascii="Arial" w:hAnsi="Arial" w:cs="Arial"/>
          <w:b/>
          <w:bCs/>
          <w:sz w:val="22"/>
        </w:rPr>
      </w:pPr>
    </w:p>
    <w:p w14:paraId="5B555283" w14:textId="77777777" w:rsidR="004E377A" w:rsidRPr="00612AD1" w:rsidRDefault="004E377A" w:rsidP="00130A96">
      <w:pPr>
        <w:spacing w:before="0" w:after="160" w:line="259" w:lineRule="auto"/>
        <w:jc w:val="center"/>
        <w:rPr>
          <w:rFonts w:ascii="Arial" w:hAnsi="Arial" w:cs="Arial"/>
          <w:b/>
          <w:bCs/>
          <w:sz w:val="22"/>
        </w:rPr>
      </w:pPr>
    </w:p>
    <w:p w14:paraId="7CF636BD" w14:textId="77777777" w:rsidR="00387509" w:rsidRPr="00387509" w:rsidRDefault="00387509" w:rsidP="00387509">
      <w:pPr>
        <w:spacing w:before="0" w:after="160" w:line="259" w:lineRule="auto"/>
        <w:jc w:val="center"/>
        <w:rPr>
          <w:rFonts w:ascii="Arial" w:hAnsi="Arial" w:cs="Arial"/>
          <w:b/>
          <w:bCs/>
          <w:sz w:val="22"/>
        </w:rPr>
      </w:pPr>
      <w:r w:rsidRPr="00387509">
        <w:rPr>
          <w:rFonts w:ascii="Arial" w:hAnsi="Arial" w:cs="Arial"/>
          <w:b/>
          <w:bCs/>
          <w:sz w:val="22"/>
        </w:rPr>
        <w:t xml:space="preserve">Name: </w:t>
      </w:r>
      <w:proofErr w:type="spellStart"/>
      <w:r w:rsidRPr="00387509">
        <w:rPr>
          <w:rFonts w:ascii="Arial" w:hAnsi="Arial" w:cs="Arial"/>
          <w:b/>
          <w:bCs/>
          <w:sz w:val="22"/>
        </w:rPr>
        <w:t>Shabila</w:t>
      </w:r>
      <w:proofErr w:type="spellEnd"/>
      <w:r w:rsidRPr="00387509">
        <w:rPr>
          <w:rFonts w:ascii="Arial" w:hAnsi="Arial" w:cs="Arial"/>
          <w:b/>
          <w:bCs/>
          <w:sz w:val="22"/>
        </w:rPr>
        <w:t xml:space="preserve"> Hussain</w:t>
      </w:r>
    </w:p>
    <w:p w14:paraId="0C9EFAFB" w14:textId="77777777" w:rsidR="00387509" w:rsidRPr="00387509" w:rsidRDefault="00387509" w:rsidP="00387509">
      <w:pPr>
        <w:spacing w:before="0" w:after="160" w:line="259" w:lineRule="auto"/>
        <w:jc w:val="center"/>
        <w:rPr>
          <w:rFonts w:ascii="Arial" w:hAnsi="Arial" w:cs="Arial"/>
          <w:b/>
          <w:bCs/>
          <w:sz w:val="22"/>
        </w:rPr>
      </w:pPr>
      <w:r w:rsidRPr="00387509">
        <w:rPr>
          <w:rFonts w:ascii="Arial" w:hAnsi="Arial" w:cs="Arial"/>
          <w:b/>
          <w:bCs/>
          <w:sz w:val="22"/>
        </w:rPr>
        <w:t>Student Number: 2410302</w:t>
      </w:r>
    </w:p>
    <w:p w14:paraId="4A0F2EA6" w14:textId="429AF87E" w:rsidR="00387509" w:rsidRPr="00387509" w:rsidRDefault="00387509" w:rsidP="00387509">
      <w:pPr>
        <w:spacing w:before="0" w:after="160" w:line="259" w:lineRule="auto"/>
        <w:jc w:val="center"/>
        <w:rPr>
          <w:rFonts w:ascii="Arial" w:hAnsi="Arial" w:cs="Arial"/>
          <w:b/>
          <w:bCs/>
          <w:sz w:val="22"/>
        </w:rPr>
      </w:pPr>
      <w:r w:rsidRPr="00387509">
        <w:rPr>
          <w:rFonts w:ascii="Arial" w:hAnsi="Arial" w:cs="Arial"/>
          <w:b/>
          <w:bCs/>
          <w:sz w:val="22"/>
        </w:rPr>
        <w:t>Module Code: BMHP501</w:t>
      </w:r>
      <w:r>
        <w:rPr>
          <w:rFonts w:ascii="Arial" w:hAnsi="Arial" w:cs="Arial"/>
          <w:b/>
          <w:bCs/>
          <w:sz w:val="22"/>
        </w:rPr>
        <w:t>9</w:t>
      </w:r>
    </w:p>
    <w:p w14:paraId="437D6A60" w14:textId="6D74066A" w:rsidR="00387509" w:rsidRPr="00387509" w:rsidRDefault="00387509" w:rsidP="00387509">
      <w:pPr>
        <w:spacing w:before="0" w:after="160" w:line="259" w:lineRule="auto"/>
        <w:jc w:val="center"/>
        <w:rPr>
          <w:rFonts w:ascii="Arial" w:hAnsi="Arial" w:cs="Arial"/>
          <w:b/>
          <w:bCs/>
          <w:sz w:val="22"/>
        </w:rPr>
      </w:pPr>
      <w:r w:rsidRPr="00387509">
        <w:rPr>
          <w:rFonts w:ascii="Arial" w:hAnsi="Arial" w:cs="Arial"/>
          <w:b/>
          <w:bCs/>
          <w:sz w:val="22"/>
        </w:rPr>
        <w:t xml:space="preserve">Module Title: </w:t>
      </w:r>
      <w:r w:rsidR="004E377A" w:rsidRPr="004E377A">
        <w:rPr>
          <w:rFonts w:ascii="Arial" w:hAnsi="Arial" w:cs="Arial"/>
          <w:b/>
          <w:bCs/>
          <w:sz w:val="22"/>
        </w:rPr>
        <w:t>Introduction to Independent Research Skills</w:t>
      </w:r>
    </w:p>
    <w:p w14:paraId="3D66B712" w14:textId="77777777" w:rsidR="00387509" w:rsidRPr="00387509" w:rsidRDefault="00387509" w:rsidP="00387509">
      <w:pPr>
        <w:spacing w:before="0" w:after="160" w:line="259" w:lineRule="auto"/>
        <w:jc w:val="center"/>
        <w:rPr>
          <w:rFonts w:ascii="Arial" w:hAnsi="Arial" w:cs="Arial"/>
          <w:b/>
          <w:bCs/>
          <w:sz w:val="22"/>
        </w:rPr>
      </w:pPr>
      <w:r w:rsidRPr="00387509">
        <w:rPr>
          <w:rFonts w:ascii="Arial" w:hAnsi="Arial" w:cs="Arial"/>
          <w:b/>
          <w:bCs/>
          <w:sz w:val="22"/>
        </w:rPr>
        <w:t xml:space="preserve">Lecturer Name: Precious </w:t>
      </w:r>
      <w:proofErr w:type="spellStart"/>
      <w:r w:rsidRPr="00387509">
        <w:rPr>
          <w:rFonts w:ascii="Arial" w:hAnsi="Arial" w:cs="Arial"/>
          <w:b/>
          <w:bCs/>
          <w:sz w:val="22"/>
        </w:rPr>
        <w:t>Igbingie</w:t>
      </w:r>
      <w:proofErr w:type="spellEnd"/>
    </w:p>
    <w:p w14:paraId="288A1158" w14:textId="1142E989" w:rsidR="00387509" w:rsidRPr="00387509" w:rsidRDefault="00387509" w:rsidP="00387509">
      <w:pPr>
        <w:spacing w:before="0" w:after="160" w:line="259" w:lineRule="auto"/>
        <w:jc w:val="center"/>
        <w:rPr>
          <w:rFonts w:ascii="Arial" w:hAnsi="Arial" w:cs="Arial"/>
          <w:b/>
          <w:bCs/>
          <w:sz w:val="22"/>
        </w:rPr>
      </w:pPr>
      <w:r w:rsidRPr="00387509">
        <w:rPr>
          <w:rFonts w:ascii="Arial" w:hAnsi="Arial" w:cs="Arial"/>
          <w:b/>
          <w:bCs/>
          <w:sz w:val="22"/>
        </w:rPr>
        <w:t xml:space="preserve">Assignment Title: </w:t>
      </w:r>
      <w:r w:rsidR="004E377A" w:rsidRPr="004E377A">
        <w:rPr>
          <w:rFonts w:ascii="Arial" w:hAnsi="Arial" w:cs="Arial"/>
          <w:b/>
          <w:bCs/>
          <w:sz w:val="22"/>
        </w:rPr>
        <w:t xml:space="preserve">Component 1 </w:t>
      </w:r>
    </w:p>
    <w:p w14:paraId="1C85C16C" w14:textId="77777777" w:rsidR="00130A96" w:rsidRPr="00612AD1" w:rsidRDefault="00130A96" w:rsidP="00130A96">
      <w:pPr>
        <w:spacing w:before="0" w:after="160" w:line="259" w:lineRule="auto"/>
        <w:jc w:val="center"/>
        <w:rPr>
          <w:rFonts w:ascii="Arial" w:hAnsi="Arial" w:cs="Arial"/>
          <w:b/>
          <w:bCs/>
          <w:sz w:val="22"/>
        </w:rPr>
      </w:pPr>
    </w:p>
    <w:p w14:paraId="6209F6E8" w14:textId="77777777" w:rsidR="00130A96" w:rsidRPr="00612AD1" w:rsidRDefault="00130A96" w:rsidP="00130A96">
      <w:pPr>
        <w:spacing w:before="0" w:after="160" w:line="259" w:lineRule="auto"/>
        <w:jc w:val="center"/>
        <w:rPr>
          <w:rFonts w:ascii="Arial" w:hAnsi="Arial" w:cs="Arial"/>
          <w:b/>
          <w:bCs/>
          <w:sz w:val="22"/>
        </w:rPr>
      </w:pPr>
    </w:p>
    <w:p w14:paraId="102870D9" w14:textId="77777777" w:rsidR="00387509" w:rsidRDefault="00387509" w:rsidP="00130A96">
      <w:pPr>
        <w:spacing w:before="0" w:after="160" w:line="259" w:lineRule="auto"/>
        <w:jc w:val="center"/>
        <w:rPr>
          <w:rFonts w:ascii="Arial" w:hAnsi="Arial" w:cs="Arial"/>
          <w:b/>
          <w:bCs/>
          <w:sz w:val="22"/>
        </w:rPr>
      </w:pPr>
    </w:p>
    <w:p w14:paraId="4DC133CA" w14:textId="77777777" w:rsidR="00387509" w:rsidRDefault="00387509" w:rsidP="00130A96">
      <w:pPr>
        <w:spacing w:before="0" w:after="160" w:line="259" w:lineRule="auto"/>
        <w:jc w:val="center"/>
        <w:rPr>
          <w:rFonts w:ascii="Arial" w:hAnsi="Arial" w:cs="Arial"/>
          <w:b/>
          <w:bCs/>
          <w:sz w:val="22"/>
        </w:rPr>
      </w:pPr>
    </w:p>
    <w:p w14:paraId="1E2199D4" w14:textId="77777777" w:rsidR="00387509" w:rsidRDefault="00387509" w:rsidP="00130A96">
      <w:pPr>
        <w:spacing w:before="0" w:after="160" w:line="259" w:lineRule="auto"/>
        <w:jc w:val="center"/>
        <w:rPr>
          <w:rFonts w:ascii="Arial" w:hAnsi="Arial" w:cs="Arial"/>
          <w:b/>
          <w:bCs/>
          <w:sz w:val="22"/>
        </w:rPr>
      </w:pPr>
    </w:p>
    <w:p w14:paraId="32CC1CAB" w14:textId="77777777" w:rsidR="00387509" w:rsidRDefault="00387509" w:rsidP="00130A96">
      <w:pPr>
        <w:spacing w:before="0" w:after="160" w:line="259" w:lineRule="auto"/>
        <w:jc w:val="center"/>
        <w:rPr>
          <w:rFonts w:ascii="Arial" w:hAnsi="Arial" w:cs="Arial"/>
          <w:b/>
          <w:bCs/>
          <w:sz w:val="22"/>
        </w:rPr>
      </w:pPr>
    </w:p>
    <w:p w14:paraId="5A3606AE" w14:textId="77777777" w:rsidR="00612AD1" w:rsidRDefault="00612AD1" w:rsidP="00612AD1">
      <w:pPr>
        <w:spacing w:before="0" w:after="160" w:line="259" w:lineRule="auto"/>
        <w:jc w:val="left"/>
        <w:rPr>
          <w:rFonts w:ascii="Arial" w:hAnsi="Arial" w:cs="Arial"/>
          <w:b/>
          <w:bCs/>
          <w:sz w:val="22"/>
        </w:rPr>
      </w:pPr>
    </w:p>
    <w:p w14:paraId="73E2A93B" w14:textId="77777777" w:rsidR="00612AD1" w:rsidRDefault="00612AD1" w:rsidP="00612AD1">
      <w:pPr>
        <w:spacing w:before="0" w:after="160" w:line="259" w:lineRule="auto"/>
        <w:jc w:val="left"/>
        <w:rPr>
          <w:rFonts w:ascii="Arial" w:hAnsi="Arial" w:cs="Arial"/>
          <w:b/>
          <w:bCs/>
          <w:sz w:val="22"/>
        </w:rPr>
      </w:pPr>
    </w:p>
    <w:p w14:paraId="1A8C0D09" w14:textId="77777777" w:rsidR="00612AD1" w:rsidRDefault="00612AD1" w:rsidP="00612AD1">
      <w:pPr>
        <w:spacing w:before="0" w:after="160" w:line="259" w:lineRule="auto"/>
        <w:jc w:val="left"/>
        <w:rPr>
          <w:rFonts w:ascii="Arial" w:hAnsi="Arial" w:cs="Arial"/>
          <w:b/>
          <w:bCs/>
          <w:sz w:val="22"/>
        </w:rPr>
      </w:pPr>
    </w:p>
    <w:p w14:paraId="74F7296D" w14:textId="77777777" w:rsidR="00612AD1" w:rsidRDefault="00612AD1" w:rsidP="00612AD1">
      <w:pPr>
        <w:spacing w:before="0" w:after="160" w:line="259" w:lineRule="auto"/>
        <w:jc w:val="left"/>
        <w:rPr>
          <w:rFonts w:ascii="Arial" w:hAnsi="Arial" w:cs="Arial"/>
          <w:b/>
          <w:bCs/>
          <w:sz w:val="22"/>
        </w:rPr>
      </w:pPr>
    </w:p>
    <w:p w14:paraId="366974C6" w14:textId="77777777" w:rsidR="00612AD1" w:rsidRDefault="00612AD1" w:rsidP="00612AD1">
      <w:pPr>
        <w:spacing w:before="0" w:after="160" w:line="259" w:lineRule="auto"/>
        <w:jc w:val="left"/>
        <w:rPr>
          <w:rFonts w:ascii="Arial" w:hAnsi="Arial" w:cs="Arial"/>
          <w:b/>
          <w:bCs/>
          <w:sz w:val="22"/>
        </w:rPr>
      </w:pPr>
    </w:p>
    <w:p w14:paraId="68046529" w14:textId="77777777" w:rsidR="00612AD1" w:rsidRDefault="00612AD1" w:rsidP="00612AD1">
      <w:pPr>
        <w:spacing w:before="0" w:after="160" w:line="259" w:lineRule="auto"/>
        <w:jc w:val="left"/>
        <w:rPr>
          <w:rFonts w:ascii="Arial" w:hAnsi="Arial" w:cs="Arial"/>
          <w:b/>
          <w:bCs/>
          <w:sz w:val="22"/>
        </w:rPr>
      </w:pPr>
    </w:p>
    <w:p w14:paraId="0A14D676" w14:textId="77777777" w:rsidR="00612AD1" w:rsidRDefault="00612AD1" w:rsidP="00612AD1">
      <w:pPr>
        <w:spacing w:before="0" w:after="160" w:line="259" w:lineRule="auto"/>
        <w:jc w:val="left"/>
        <w:rPr>
          <w:rFonts w:ascii="Arial" w:hAnsi="Arial" w:cs="Arial"/>
          <w:b/>
          <w:bCs/>
          <w:sz w:val="22"/>
        </w:rPr>
      </w:pPr>
    </w:p>
    <w:p w14:paraId="6DD8C3D6" w14:textId="77777777" w:rsidR="00612AD1" w:rsidRDefault="00612AD1" w:rsidP="00612AD1">
      <w:pPr>
        <w:spacing w:before="0" w:after="160" w:line="259" w:lineRule="auto"/>
        <w:jc w:val="left"/>
        <w:rPr>
          <w:rFonts w:ascii="Arial" w:hAnsi="Arial" w:cs="Arial"/>
          <w:b/>
          <w:bCs/>
          <w:sz w:val="22"/>
        </w:rPr>
      </w:pPr>
    </w:p>
    <w:p w14:paraId="6E2D49DF" w14:textId="77777777" w:rsidR="00612AD1" w:rsidRDefault="00612AD1" w:rsidP="00612AD1">
      <w:pPr>
        <w:spacing w:before="0" w:after="160" w:line="259" w:lineRule="auto"/>
        <w:jc w:val="left"/>
        <w:rPr>
          <w:rFonts w:ascii="Arial" w:hAnsi="Arial" w:cs="Arial"/>
          <w:b/>
          <w:bCs/>
          <w:sz w:val="22"/>
        </w:rPr>
      </w:pPr>
    </w:p>
    <w:p w14:paraId="41A41537" w14:textId="77777777" w:rsidR="00612AD1" w:rsidRDefault="00612AD1" w:rsidP="00612AD1">
      <w:pPr>
        <w:spacing w:before="0" w:after="160" w:line="259" w:lineRule="auto"/>
        <w:jc w:val="left"/>
        <w:rPr>
          <w:rFonts w:ascii="Arial" w:hAnsi="Arial" w:cs="Arial"/>
          <w:b/>
          <w:bCs/>
          <w:sz w:val="22"/>
        </w:rPr>
      </w:pPr>
    </w:p>
    <w:p w14:paraId="521D7311" w14:textId="77777777" w:rsidR="004E377A" w:rsidRDefault="004E377A" w:rsidP="00612AD1">
      <w:pPr>
        <w:spacing w:before="0" w:after="160" w:line="259" w:lineRule="auto"/>
        <w:jc w:val="left"/>
        <w:rPr>
          <w:rFonts w:ascii="Arial" w:hAnsi="Arial" w:cs="Arial"/>
          <w:b/>
          <w:bCs/>
          <w:sz w:val="22"/>
        </w:rPr>
      </w:pPr>
    </w:p>
    <w:p w14:paraId="1AF52E6C" w14:textId="7C869560" w:rsidR="00612AD1" w:rsidRDefault="00612AD1" w:rsidP="00612AD1">
      <w:pPr>
        <w:spacing w:before="0" w:after="160" w:line="259" w:lineRule="auto"/>
        <w:jc w:val="left"/>
        <w:rPr>
          <w:rFonts w:ascii="Arial" w:hAnsi="Arial" w:cs="Arial"/>
          <w:b/>
          <w:bCs/>
          <w:sz w:val="22"/>
        </w:rPr>
      </w:pPr>
      <w:r w:rsidRPr="00612AD1">
        <w:rPr>
          <w:rFonts w:ascii="Arial" w:hAnsi="Arial" w:cs="Arial"/>
          <w:b/>
          <w:bCs/>
          <w:sz w:val="22"/>
        </w:rPr>
        <w:lastRenderedPageBreak/>
        <w:t>Social Support and Caregiver Burden among Unpaid Carers of People with Dementia in the United Kingdom: A Scoping Review</w:t>
      </w:r>
    </w:p>
    <w:p w14:paraId="3EC3031E" w14:textId="77777777" w:rsidR="00612AD1" w:rsidRDefault="00612AD1" w:rsidP="00612AD1">
      <w:pPr>
        <w:spacing w:before="0" w:after="160" w:line="259" w:lineRule="auto"/>
        <w:jc w:val="left"/>
        <w:rPr>
          <w:rFonts w:ascii="Arial" w:hAnsi="Arial" w:cs="Arial"/>
          <w:b/>
          <w:bCs/>
          <w:sz w:val="22"/>
        </w:rPr>
      </w:pPr>
    </w:p>
    <w:p w14:paraId="3444432A" w14:textId="7436A771" w:rsidR="00130A96" w:rsidRDefault="00130A96" w:rsidP="00612AD1">
      <w:pPr>
        <w:spacing w:before="0" w:after="160" w:line="259" w:lineRule="auto"/>
        <w:jc w:val="left"/>
        <w:rPr>
          <w:rFonts w:ascii="Arial" w:hAnsi="Arial" w:cs="Arial"/>
          <w:b/>
          <w:bCs/>
          <w:sz w:val="28"/>
          <w:szCs w:val="28"/>
          <w:u w:val="single"/>
        </w:rPr>
      </w:pPr>
      <w:r w:rsidRPr="00612AD1">
        <w:rPr>
          <w:rFonts w:ascii="Arial" w:hAnsi="Arial" w:cs="Arial"/>
          <w:b/>
          <w:bCs/>
          <w:sz w:val="28"/>
          <w:szCs w:val="28"/>
          <w:u w:val="single"/>
        </w:rPr>
        <w:t>Introduction</w:t>
      </w:r>
    </w:p>
    <w:p w14:paraId="07BF8681" w14:textId="77777777" w:rsidR="00612AD1" w:rsidRDefault="00843F16" w:rsidP="00612AD1">
      <w:pPr>
        <w:rPr>
          <w:rFonts w:ascii="Arial" w:hAnsi="Arial" w:cs="Arial"/>
          <w:sz w:val="22"/>
        </w:rPr>
      </w:pPr>
      <w:r w:rsidRPr="00612AD1">
        <w:rPr>
          <w:rFonts w:ascii="Arial" w:hAnsi="Arial" w:cs="Arial"/>
          <w:sz w:val="22"/>
        </w:rPr>
        <w:t xml:space="preserve">Unpaid carers look after somebody who has dementia who is a relative or friend of the </w:t>
      </w:r>
      <w:proofErr w:type="gramStart"/>
      <w:r w:rsidRPr="00612AD1">
        <w:rPr>
          <w:rFonts w:ascii="Arial" w:hAnsi="Arial" w:cs="Arial"/>
          <w:sz w:val="22"/>
        </w:rPr>
        <w:t>carer</w:t>
      </w:r>
      <w:proofErr w:type="gramEnd"/>
      <w:r w:rsidRPr="00612AD1">
        <w:rPr>
          <w:rFonts w:ascii="Arial" w:hAnsi="Arial" w:cs="Arial"/>
          <w:sz w:val="22"/>
        </w:rPr>
        <w:t xml:space="preserve"> but who is not paid for their care. Social support includes emotional support, information, companionship and practical support provided by personal networks or organised services. Burden of caring is the emotional, physical, social and financial burden perceived by the caregiver associated with caring (Sutcliffe et al., 2016). The aim of this scoping review is to explore social support as an explanatory variable and caregiver burden as an outcome. The question being addressed in this review is: What does the current research literature say about social support and burden of care amongst unpaid carers of individuals with dementia in the UK? The purposes of the objectives are to map evidence, identify themes and highlight gaps.</w:t>
      </w:r>
    </w:p>
    <w:p w14:paraId="2A1E9198" w14:textId="77777777" w:rsidR="00612AD1" w:rsidRDefault="00612AD1" w:rsidP="00612AD1">
      <w:pPr>
        <w:rPr>
          <w:rFonts w:ascii="Arial" w:hAnsi="Arial" w:cs="Arial"/>
          <w:sz w:val="22"/>
        </w:rPr>
      </w:pPr>
    </w:p>
    <w:p w14:paraId="35BAAF6F" w14:textId="5997A840" w:rsidR="00130A96" w:rsidRPr="00612AD1" w:rsidRDefault="00130A96" w:rsidP="00612AD1">
      <w:pPr>
        <w:rPr>
          <w:rFonts w:ascii="Arial" w:hAnsi="Arial" w:cs="Arial"/>
          <w:b/>
          <w:bCs/>
          <w:sz w:val="28"/>
          <w:szCs w:val="28"/>
          <w:u w:val="single"/>
        </w:rPr>
      </w:pPr>
      <w:r w:rsidRPr="00612AD1">
        <w:rPr>
          <w:rFonts w:ascii="Arial" w:hAnsi="Arial" w:cs="Arial"/>
          <w:b/>
          <w:bCs/>
          <w:sz w:val="28"/>
          <w:szCs w:val="28"/>
          <w:u w:val="single"/>
        </w:rPr>
        <w:t>Rationale</w:t>
      </w:r>
    </w:p>
    <w:p w14:paraId="4D589830" w14:textId="77777777" w:rsidR="00843F16" w:rsidRPr="00612AD1" w:rsidRDefault="00843F16" w:rsidP="00843F16">
      <w:pPr>
        <w:rPr>
          <w:rFonts w:ascii="Arial" w:hAnsi="Arial" w:cs="Arial"/>
          <w:sz w:val="22"/>
        </w:rPr>
      </w:pPr>
      <w:r w:rsidRPr="00612AD1">
        <w:rPr>
          <w:rFonts w:ascii="Arial" w:hAnsi="Arial" w:cs="Arial"/>
          <w:sz w:val="22"/>
        </w:rPr>
        <w:t xml:space="preserve">This is important to consider for carer support and maintaining community dementia care. Sutcliffe et al, (2016) found that carers in </w:t>
      </w:r>
      <w:proofErr w:type="gramStart"/>
      <w:r w:rsidRPr="00612AD1">
        <w:rPr>
          <w:rFonts w:ascii="Arial" w:hAnsi="Arial" w:cs="Arial"/>
          <w:sz w:val="22"/>
        </w:rPr>
        <w:t>North West</w:t>
      </w:r>
      <w:proofErr w:type="gramEnd"/>
      <w:r w:rsidRPr="00612AD1">
        <w:rPr>
          <w:rFonts w:ascii="Arial" w:hAnsi="Arial" w:cs="Arial"/>
          <w:sz w:val="22"/>
        </w:rPr>
        <w:t xml:space="preserve"> England who had no additional informal support were linked to having a high burden. There was, however, no association between </w:t>
      </w:r>
      <w:proofErr w:type="gramStart"/>
      <w:r w:rsidRPr="00612AD1">
        <w:rPr>
          <w:rFonts w:ascii="Arial" w:hAnsi="Arial" w:cs="Arial"/>
          <w:sz w:val="22"/>
        </w:rPr>
        <w:t>home-care</w:t>
      </w:r>
      <w:proofErr w:type="gramEnd"/>
      <w:r w:rsidRPr="00612AD1">
        <w:rPr>
          <w:rFonts w:ascii="Arial" w:hAnsi="Arial" w:cs="Arial"/>
          <w:sz w:val="22"/>
        </w:rPr>
        <w:t xml:space="preserve"> and day-care use and burden, indicating that these two types of support should be explored separately.</w:t>
      </w:r>
    </w:p>
    <w:p w14:paraId="5AD336BA" w14:textId="77777777" w:rsidR="00843F16" w:rsidRPr="00612AD1" w:rsidRDefault="00843F16" w:rsidP="00843F16">
      <w:pPr>
        <w:rPr>
          <w:rFonts w:ascii="Arial" w:hAnsi="Arial" w:cs="Arial"/>
          <w:sz w:val="22"/>
        </w:rPr>
      </w:pPr>
      <w:r w:rsidRPr="00612AD1">
        <w:rPr>
          <w:rFonts w:ascii="Arial" w:hAnsi="Arial" w:cs="Arial"/>
          <w:sz w:val="22"/>
        </w:rPr>
        <w:t xml:space="preserve">Peer support provided opportunities to share challenging experiences and to learn coping strategies (Greenwood et al., 2013). Likewise, Greenwood et al. (2017) found that dementia cafés offered ‘acceptance', ‘companionship' and ‘brief respite'. Smith et al. (2018) found that greater perceived support and qualitative reports of enhanced coping with befriending and peer support were found. These findings suggest potential </w:t>
      </w:r>
      <w:proofErr w:type="gramStart"/>
      <w:r w:rsidRPr="00612AD1">
        <w:rPr>
          <w:rFonts w:ascii="Arial" w:hAnsi="Arial" w:cs="Arial"/>
          <w:sz w:val="22"/>
        </w:rPr>
        <w:t>benefits, but</w:t>
      </w:r>
      <w:proofErr w:type="gramEnd"/>
      <w:r w:rsidRPr="00612AD1">
        <w:rPr>
          <w:rFonts w:ascii="Arial" w:hAnsi="Arial" w:cs="Arial"/>
          <w:sz w:val="22"/>
        </w:rPr>
        <w:t xml:space="preserve"> have not proven that all supports reduce measured burden.</w:t>
      </w:r>
    </w:p>
    <w:p w14:paraId="60DE01F6" w14:textId="77777777" w:rsidR="00612AD1" w:rsidRDefault="00843F16" w:rsidP="00612AD1">
      <w:pPr>
        <w:rPr>
          <w:rFonts w:ascii="Arial" w:hAnsi="Arial" w:cs="Arial"/>
          <w:sz w:val="22"/>
        </w:rPr>
      </w:pPr>
      <w:r w:rsidRPr="00612AD1">
        <w:rPr>
          <w:rFonts w:ascii="Arial" w:hAnsi="Arial" w:cs="Arial"/>
          <w:sz w:val="22"/>
        </w:rPr>
        <w:t>During the Covid-19 pandemic, Caprioli et al. (2023) noted how support-service delivery in the UK had changed, and the need for accessible delivery. The proposed review will capture the distinction between support available and perceived helpfulness, account for differences in caring circumstances and identify evidence to support the improvement of support and the resolution or alleviation of unmet needs in UK practice.</w:t>
      </w:r>
    </w:p>
    <w:p w14:paraId="1598960B" w14:textId="77777777" w:rsidR="00612AD1" w:rsidRDefault="00612AD1" w:rsidP="00612AD1">
      <w:pPr>
        <w:rPr>
          <w:rFonts w:ascii="Arial" w:hAnsi="Arial" w:cs="Arial"/>
          <w:sz w:val="22"/>
        </w:rPr>
      </w:pPr>
    </w:p>
    <w:p w14:paraId="0E911F84" w14:textId="3FFE3088" w:rsidR="00130A96" w:rsidRPr="00612AD1" w:rsidRDefault="00130A96" w:rsidP="00612AD1">
      <w:pPr>
        <w:rPr>
          <w:rFonts w:ascii="Arial" w:hAnsi="Arial" w:cs="Arial"/>
          <w:b/>
          <w:bCs/>
          <w:sz w:val="28"/>
          <w:szCs w:val="28"/>
          <w:u w:val="single"/>
        </w:rPr>
      </w:pPr>
      <w:r w:rsidRPr="00612AD1">
        <w:rPr>
          <w:rFonts w:ascii="Arial" w:hAnsi="Arial" w:cs="Arial"/>
          <w:b/>
          <w:bCs/>
          <w:sz w:val="28"/>
          <w:szCs w:val="28"/>
          <w:u w:val="single"/>
        </w:rPr>
        <w:t>Methods</w:t>
      </w:r>
    </w:p>
    <w:p w14:paraId="32B5FB87" w14:textId="77777777" w:rsidR="00612AD1" w:rsidRDefault="00843F16" w:rsidP="00612AD1">
      <w:pPr>
        <w:rPr>
          <w:rFonts w:ascii="Arial" w:hAnsi="Arial" w:cs="Arial"/>
          <w:sz w:val="22"/>
        </w:rPr>
      </w:pPr>
      <w:r w:rsidRPr="00612AD1">
        <w:rPr>
          <w:rFonts w:ascii="Arial" w:hAnsi="Arial" w:cs="Arial"/>
          <w:sz w:val="22"/>
        </w:rPr>
        <w:lastRenderedPageBreak/>
        <w:t xml:space="preserve">The following terms, with synonyms and </w:t>
      </w:r>
      <w:proofErr w:type="spellStart"/>
      <w:r w:rsidRPr="00612AD1">
        <w:rPr>
          <w:rFonts w:ascii="Arial" w:hAnsi="Arial" w:cs="Arial"/>
          <w:sz w:val="22"/>
        </w:rPr>
        <w:t>boolean</w:t>
      </w:r>
      <w:proofErr w:type="spellEnd"/>
      <w:r w:rsidRPr="00612AD1">
        <w:rPr>
          <w:rFonts w:ascii="Arial" w:hAnsi="Arial" w:cs="Arial"/>
          <w:sz w:val="22"/>
        </w:rPr>
        <w:t xml:space="preserve"> operators will be used to search UWTSD Library, PubMed and CINAHL: social support, caregivers’ burden, dementia, unpaid carers and UK geographical terms. Studies published in English over the last five years (2013-2026) that focus on the burden and support of others or the experiences of carers in relation to the burden of care and support will be included where they are from the UK. Studies completed by paid carers and those on related issues will not be included. Five studies will be charted and critically appraised. </w:t>
      </w:r>
    </w:p>
    <w:p w14:paraId="4E3F7393" w14:textId="77777777" w:rsidR="00612AD1" w:rsidRDefault="00612AD1" w:rsidP="00612AD1">
      <w:pPr>
        <w:rPr>
          <w:rFonts w:ascii="Arial" w:hAnsi="Arial" w:cs="Arial"/>
          <w:sz w:val="22"/>
        </w:rPr>
      </w:pPr>
    </w:p>
    <w:p w14:paraId="7E39A588" w14:textId="0A7F3C78" w:rsidR="00130A96" w:rsidRPr="00612AD1" w:rsidRDefault="00130A96" w:rsidP="00612AD1">
      <w:pPr>
        <w:rPr>
          <w:rFonts w:ascii="Arial" w:hAnsi="Arial" w:cs="Arial"/>
          <w:b/>
          <w:bCs/>
          <w:sz w:val="28"/>
          <w:szCs w:val="28"/>
          <w:u w:val="single"/>
        </w:rPr>
      </w:pPr>
      <w:r w:rsidRPr="00612AD1">
        <w:rPr>
          <w:rFonts w:ascii="Arial" w:hAnsi="Arial" w:cs="Arial"/>
          <w:b/>
          <w:bCs/>
          <w:sz w:val="28"/>
          <w:szCs w:val="28"/>
          <w:u w:val="single"/>
        </w:rPr>
        <w:t>Ethical Considerations</w:t>
      </w:r>
    </w:p>
    <w:p w14:paraId="79B3EB9C" w14:textId="77777777" w:rsidR="00843F16" w:rsidRPr="00612AD1" w:rsidRDefault="00843F16" w:rsidP="00843F16">
      <w:pPr>
        <w:rPr>
          <w:rFonts w:ascii="Arial" w:hAnsi="Arial" w:cs="Arial"/>
          <w:sz w:val="22"/>
        </w:rPr>
      </w:pPr>
      <w:r w:rsidRPr="00612AD1">
        <w:rPr>
          <w:rFonts w:ascii="Arial" w:hAnsi="Arial" w:cs="Arial"/>
          <w:sz w:val="22"/>
        </w:rPr>
        <w:t>The review will be based on published evidence, rather than recruiting carers and people with dementia. Appropriate reference will be provided (using UWTSD Harvard referencing). Findings will be accurately represented even if there are conflicting findings and methodological limitations. Search and selection decisions shall be documented in a transparent manner. Throughout the review plagiarism, fabrication and selective reporting will be avoided.</w:t>
      </w:r>
    </w:p>
    <w:p w14:paraId="04905D67" w14:textId="3952E1B4" w:rsidR="00130A96" w:rsidRPr="00612AD1" w:rsidRDefault="00130A96" w:rsidP="00130A96">
      <w:pPr>
        <w:spacing w:before="0" w:after="160" w:line="259" w:lineRule="auto"/>
        <w:rPr>
          <w:rFonts w:ascii="Arial" w:hAnsi="Arial" w:cs="Arial"/>
          <w:sz w:val="22"/>
        </w:rPr>
      </w:pPr>
    </w:p>
    <w:p w14:paraId="315BE9CC" w14:textId="52F8622F" w:rsidR="00130A96" w:rsidRPr="00612AD1" w:rsidRDefault="00843F16" w:rsidP="00612AD1">
      <w:pPr>
        <w:spacing w:before="0" w:after="160" w:line="259" w:lineRule="auto"/>
        <w:jc w:val="left"/>
        <w:rPr>
          <w:rFonts w:ascii="Arial" w:eastAsiaTheme="majorEastAsia" w:hAnsi="Arial" w:cs="Arial"/>
          <w:b/>
          <w:bCs/>
          <w:sz w:val="28"/>
          <w:szCs w:val="28"/>
          <w:u w:val="single"/>
        </w:rPr>
      </w:pPr>
      <w:r w:rsidRPr="00612AD1">
        <w:rPr>
          <w:rFonts w:ascii="Arial" w:hAnsi="Arial" w:cs="Arial"/>
          <w:sz w:val="22"/>
        </w:rPr>
        <w:br w:type="page"/>
      </w:r>
      <w:r w:rsidR="00130A96" w:rsidRPr="00612AD1">
        <w:rPr>
          <w:rFonts w:ascii="Arial" w:hAnsi="Arial" w:cs="Arial"/>
          <w:b/>
          <w:bCs/>
          <w:sz w:val="28"/>
          <w:szCs w:val="28"/>
          <w:u w:val="single"/>
        </w:rPr>
        <w:lastRenderedPageBreak/>
        <w:t>References</w:t>
      </w:r>
    </w:p>
    <w:p w14:paraId="474DBA9C" w14:textId="77777777" w:rsidR="00612AD1" w:rsidRDefault="00130A96" w:rsidP="00387509">
      <w:pPr>
        <w:spacing w:before="0" w:after="160" w:line="259" w:lineRule="auto"/>
        <w:ind w:left="720" w:hanging="720"/>
        <w:jc w:val="left"/>
        <w:rPr>
          <w:rFonts w:ascii="Arial" w:hAnsi="Arial" w:cs="Arial"/>
          <w:sz w:val="22"/>
        </w:rPr>
      </w:pPr>
      <w:r w:rsidRPr="00612AD1">
        <w:rPr>
          <w:rFonts w:ascii="Arial" w:hAnsi="Arial" w:cs="Arial"/>
          <w:sz w:val="22"/>
        </w:rPr>
        <w:t>Caprioli, T., Giebel, C., Reilly, S., Tetlow, H., Limbert, S. and Lloyd-Williams, M. (2023) ‘Social</w:t>
      </w:r>
      <w:r w:rsidR="00612AD1">
        <w:rPr>
          <w:rFonts w:ascii="Arial" w:hAnsi="Arial" w:cs="Arial"/>
          <w:sz w:val="22"/>
        </w:rPr>
        <w:t xml:space="preserve"> </w:t>
      </w:r>
      <w:r w:rsidRPr="00612AD1">
        <w:rPr>
          <w:rFonts w:ascii="Arial" w:hAnsi="Arial" w:cs="Arial"/>
          <w:sz w:val="22"/>
        </w:rPr>
        <w:t xml:space="preserve">support services for dementia during the COVID-19 pandemic: A longitudinal survey exploring service adaptations in the United Kingdom’, </w:t>
      </w:r>
      <w:r w:rsidRPr="00612AD1">
        <w:rPr>
          <w:rFonts w:ascii="Arial" w:hAnsi="Arial" w:cs="Arial"/>
          <w:i/>
          <w:iCs/>
          <w:sz w:val="22"/>
        </w:rPr>
        <w:t>Health Expectations</w:t>
      </w:r>
      <w:r w:rsidRPr="00612AD1">
        <w:rPr>
          <w:rFonts w:ascii="Arial" w:hAnsi="Arial" w:cs="Arial"/>
          <w:sz w:val="22"/>
        </w:rPr>
        <w:t>, 26(4), pp. 1726–1737.</w:t>
      </w:r>
    </w:p>
    <w:p w14:paraId="2588DC4C" w14:textId="264B8BEE" w:rsidR="00612AD1" w:rsidRPr="00387509" w:rsidRDefault="00387509" w:rsidP="00843F16">
      <w:pPr>
        <w:spacing w:before="0" w:after="160" w:line="259" w:lineRule="auto"/>
        <w:ind w:left="720" w:hanging="720"/>
        <w:rPr>
          <w:rFonts w:ascii="Arial" w:hAnsi="Arial" w:cs="Arial"/>
          <w:i/>
          <w:iCs/>
          <w:sz w:val="22"/>
          <w:u w:val="single"/>
        </w:rPr>
      </w:pPr>
      <w:r w:rsidRPr="00387509">
        <w:rPr>
          <w:rFonts w:ascii="Arial" w:hAnsi="Arial" w:cs="Arial"/>
          <w:i/>
          <w:iCs/>
          <w:sz w:val="22"/>
          <w:u w:val="single"/>
        </w:rPr>
        <w:t>https://onlinelibrary.wiley.com/doi/10.1111/hex.13784</w:t>
      </w:r>
    </w:p>
    <w:p w14:paraId="30542F8C" w14:textId="77777777" w:rsidR="00612AD1" w:rsidRPr="00612AD1" w:rsidRDefault="00612AD1" w:rsidP="00843F16">
      <w:pPr>
        <w:spacing w:before="0" w:after="160" w:line="259" w:lineRule="auto"/>
        <w:ind w:left="720" w:hanging="720"/>
        <w:rPr>
          <w:rFonts w:ascii="Arial" w:hAnsi="Arial" w:cs="Arial"/>
          <w:sz w:val="22"/>
        </w:rPr>
      </w:pPr>
    </w:p>
    <w:p w14:paraId="6AA9F965" w14:textId="0FDD678B" w:rsidR="00130A96" w:rsidRDefault="00130A96" w:rsidP="00387509">
      <w:pPr>
        <w:spacing w:before="0" w:after="160" w:line="259" w:lineRule="auto"/>
        <w:ind w:left="720" w:hanging="720"/>
        <w:jc w:val="left"/>
        <w:rPr>
          <w:rFonts w:ascii="Arial" w:hAnsi="Arial" w:cs="Arial"/>
          <w:sz w:val="22"/>
        </w:rPr>
      </w:pPr>
      <w:r w:rsidRPr="00612AD1">
        <w:rPr>
          <w:rFonts w:ascii="Arial" w:hAnsi="Arial" w:cs="Arial"/>
          <w:sz w:val="22"/>
        </w:rPr>
        <w:t xml:space="preserve">Greenwood, N., Habibi, R., Mackenzie, A., Drennan, V. and Easton, N. (2013) ‘Peer support for carers: A qualitative investigation of the experiences of carers and peer volunteers’, </w:t>
      </w:r>
      <w:r w:rsidRPr="00612AD1">
        <w:rPr>
          <w:rFonts w:ascii="Arial" w:hAnsi="Arial" w:cs="Arial"/>
          <w:i/>
          <w:iCs/>
          <w:sz w:val="22"/>
        </w:rPr>
        <w:t>American Journal of Alzheimer’s Disease &amp; Other Dementias</w:t>
      </w:r>
      <w:r w:rsidRPr="00612AD1">
        <w:rPr>
          <w:rFonts w:ascii="Arial" w:hAnsi="Arial" w:cs="Arial"/>
          <w:sz w:val="22"/>
        </w:rPr>
        <w:t xml:space="preserve">, 28(6), pp. 617–626. </w:t>
      </w:r>
    </w:p>
    <w:p w14:paraId="3BCC066F" w14:textId="5503A9F9" w:rsidR="00612AD1" w:rsidRPr="00612AD1" w:rsidRDefault="00612AD1" w:rsidP="00843F16">
      <w:pPr>
        <w:spacing w:before="0" w:after="160" w:line="259" w:lineRule="auto"/>
        <w:ind w:left="720" w:hanging="720"/>
        <w:rPr>
          <w:rFonts w:ascii="Arial" w:hAnsi="Arial" w:cs="Arial"/>
          <w:i/>
          <w:iCs/>
          <w:sz w:val="22"/>
          <w:u w:val="single"/>
        </w:rPr>
      </w:pPr>
      <w:r w:rsidRPr="00612AD1">
        <w:rPr>
          <w:rFonts w:ascii="Arial" w:hAnsi="Arial" w:cs="Arial"/>
          <w:i/>
          <w:iCs/>
          <w:sz w:val="22"/>
          <w:u w:val="single"/>
        </w:rPr>
        <w:t>https://journals.sagepub.com/doi/10.1177/1533317513494449</w:t>
      </w:r>
    </w:p>
    <w:p w14:paraId="5DC27C60" w14:textId="77777777" w:rsidR="00612AD1" w:rsidRPr="00612AD1" w:rsidRDefault="00612AD1" w:rsidP="00843F16">
      <w:pPr>
        <w:spacing w:before="0" w:after="160" w:line="259" w:lineRule="auto"/>
        <w:ind w:left="720" w:hanging="720"/>
        <w:rPr>
          <w:rFonts w:ascii="Arial" w:hAnsi="Arial" w:cs="Arial"/>
          <w:sz w:val="22"/>
        </w:rPr>
      </w:pPr>
    </w:p>
    <w:p w14:paraId="15D17953" w14:textId="06E1BA18" w:rsidR="00130A96" w:rsidRDefault="00130A96" w:rsidP="00387509">
      <w:pPr>
        <w:spacing w:before="0" w:after="160" w:line="259" w:lineRule="auto"/>
        <w:ind w:left="720" w:hanging="720"/>
        <w:jc w:val="left"/>
        <w:rPr>
          <w:rFonts w:ascii="Arial" w:hAnsi="Arial" w:cs="Arial"/>
          <w:sz w:val="22"/>
        </w:rPr>
      </w:pPr>
      <w:r w:rsidRPr="00612AD1">
        <w:rPr>
          <w:rFonts w:ascii="Arial" w:hAnsi="Arial" w:cs="Arial"/>
          <w:sz w:val="22"/>
        </w:rPr>
        <w:t xml:space="preserve">Greenwood, N., Smith, R., Akhtar, F. and Richardson, A. (2017) ‘A qualitative study of carers’ experiences of dementia cafés: A place to feel supported and be yourself’, </w:t>
      </w:r>
      <w:r w:rsidRPr="00612AD1">
        <w:rPr>
          <w:rFonts w:ascii="Arial" w:hAnsi="Arial" w:cs="Arial"/>
          <w:i/>
          <w:iCs/>
          <w:sz w:val="22"/>
        </w:rPr>
        <w:t>BMC Geriatrics</w:t>
      </w:r>
      <w:r w:rsidRPr="00612AD1">
        <w:rPr>
          <w:rFonts w:ascii="Arial" w:hAnsi="Arial" w:cs="Arial"/>
          <w:sz w:val="22"/>
        </w:rPr>
        <w:t xml:space="preserve">, 17, article 164. Available at: </w:t>
      </w:r>
    </w:p>
    <w:p w14:paraId="2C81F09C" w14:textId="5930ECD3" w:rsidR="00387509" w:rsidRPr="00387509" w:rsidRDefault="00387509" w:rsidP="00843F16">
      <w:pPr>
        <w:spacing w:before="0" w:after="160" w:line="259" w:lineRule="auto"/>
        <w:ind w:left="720" w:hanging="720"/>
        <w:rPr>
          <w:rFonts w:ascii="Arial" w:hAnsi="Arial" w:cs="Arial"/>
          <w:i/>
          <w:iCs/>
          <w:sz w:val="22"/>
          <w:u w:val="single"/>
        </w:rPr>
      </w:pPr>
      <w:r w:rsidRPr="00387509">
        <w:rPr>
          <w:rFonts w:ascii="Arial" w:hAnsi="Arial" w:cs="Arial"/>
          <w:i/>
          <w:iCs/>
          <w:sz w:val="22"/>
          <w:u w:val="single"/>
        </w:rPr>
        <w:t>https://pmc.ncbi.nlm.nih.gov/articles/PMC5527402/?utm_source</w:t>
      </w:r>
    </w:p>
    <w:p w14:paraId="43A5C89B" w14:textId="77777777" w:rsidR="00387509" w:rsidRPr="00612AD1" w:rsidRDefault="00387509" w:rsidP="00843F16">
      <w:pPr>
        <w:spacing w:before="0" w:after="160" w:line="259" w:lineRule="auto"/>
        <w:ind w:left="720" w:hanging="720"/>
        <w:rPr>
          <w:rFonts w:ascii="Arial" w:hAnsi="Arial" w:cs="Arial"/>
          <w:sz w:val="22"/>
        </w:rPr>
      </w:pPr>
    </w:p>
    <w:p w14:paraId="202832A1" w14:textId="213F275C" w:rsidR="00130A96" w:rsidRDefault="00130A96" w:rsidP="00387509">
      <w:pPr>
        <w:spacing w:before="0" w:after="160" w:line="259" w:lineRule="auto"/>
        <w:ind w:left="720" w:hanging="720"/>
        <w:jc w:val="left"/>
        <w:rPr>
          <w:rFonts w:ascii="Arial" w:hAnsi="Arial" w:cs="Arial"/>
          <w:sz w:val="22"/>
        </w:rPr>
      </w:pPr>
      <w:r w:rsidRPr="00612AD1">
        <w:rPr>
          <w:rFonts w:ascii="Arial" w:hAnsi="Arial" w:cs="Arial"/>
          <w:sz w:val="22"/>
        </w:rPr>
        <w:t xml:space="preserve">Smith, R., Drennan, V., Mackenzie, A. and Greenwood, N. (2018) ‘The impact of befriending and peer support on family carers of people living with dementia: A mixed methods study’, </w:t>
      </w:r>
      <w:r w:rsidRPr="00612AD1">
        <w:rPr>
          <w:rFonts w:ascii="Arial" w:hAnsi="Arial" w:cs="Arial"/>
          <w:i/>
          <w:iCs/>
          <w:sz w:val="22"/>
        </w:rPr>
        <w:t>Archives of Gerontology and Geriatrics</w:t>
      </w:r>
      <w:r w:rsidRPr="00612AD1">
        <w:rPr>
          <w:rFonts w:ascii="Arial" w:hAnsi="Arial" w:cs="Arial"/>
          <w:sz w:val="22"/>
        </w:rPr>
        <w:t xml:space="preserve">, 76, pp. 188–195. Available at: </w:t>
      </w:r>
    </w:p>
    <w:p w14:paraId="38AA90CB" w14:textId="2DA4AD02" w:rsidR="00387509" w:rsidRPr="00387509" w:rsidRDefault="00387509" w:rsidP="00843F16">
      <w:pPr>
        <w:spacing w:before="0" w:after="160" w:line="259" w:lineRule="auto"/>
        <w:ind w:left="720" w:hanging="720"/>
        <w:rPr>
          <w:rFonts w:ascii="Arial" w:hAnsi="Arial" w:cs="Arial"/>
          <w:i/>
          <w:iCs/>
          <w:sz w:val="22"/>
          <w:u w:val="single"/>
        </w:rPr>
      </w:pPr>
      <w:r w:rsidRPr="00387509">
        <w:rPr>
          <w:rFonts w:ascii="Arial" w:hAnsi="Arial" w:cs="Arial"/>
          <w:i/>
          <w:iCs/>
          <w:sz w:val="22"/>
          <w:u w:val="single"/>
        </w:rPr>
        <w:t>https://www.sciencedirect.com/science/article/abs/pii/S0167494318300414?via%3Dihub</w:t>
      </w:r>
    </w:p>
    <w:p w14:paraId="37E11971" w14:textId="77777777" w:rsidR="00387509" w:rsidRPr="00612AD1" w:rsidRDefault="00387509" w:rsidP="00843F16">
      <w:pPr>
        <w:spacing w:before="0" w:after="160" w:line="259" w:lineRule="auto"/>
        <w:ind w:left="720" w:hanging="720"/>
        <w:rPr>
          <w:rFonts w:ascii="Arial" w:hAnsi="Arial" w:cs="Arial"/>
          <w:sz w:val="22"/>
        </w:rPr>
      </w:pPr>
    </w:p>
    <w:p w14:paraId="412B1D49" w14:textId="6CBAFF3F" w:rsidR="00130A96" w:rsidRDefault="00130A96" w:rsidP="00387509">
      <w:pPr>
        <w:spacing w:before="0" w:after="160" w:line="259" w:lineRule="auto"/>
        <w:ind w:left="720" w:hanging="720"/>
        <w:jc w:val="left"/>
        <w:rPr>
          <w:rFonts w:ascii="Arial" w:hAnsi="Arial" w:cs="Arial"/>
          <w:sz w:val="22"/>
        </w:rPr>
      </w:pPr>
      <w:r w:rsidRPr="00612AD1">
        <w:rPr>
          <w:rFonts w:ascii="Arial" w:hAnsi="Arial" w:cs="Arial"/>
          <w:sz w:val="22"/>
        </w:rPr>
        <w:t xml:space="preserve">Sutcliffe, C., Giebel, C., Jolley, D. and Challis, D. (2016) ‘Experience of burden in carers of people with dementia on the margins of long-term care’, </w:t>
      </w:r>
      <w:r w:rsidRPr="00612AD1">
        <w:rPr>
          <w:rFonts w:ascii="Arial" w:hAnsi="Arial" w:cs="Arial"/>
          <w:i/>
          <w:iCs/>
          <w:sz w:val="22"/>
        </w:rPr>
        <w:t>International Journal of Geriatric Psychiatry</w:t>
      </w:r>
      <w:r w:rsidRPr="00612AD1">
        <w:rPr>
          <w:rFonts w:ascii="Arial" w:hAnsi="Arial" w:cs="Arial"/>
          <w:sz w:val="22"/>
        </w:rPr>
        <w:t xml:space="preserve">, 31(2), pp. 101–108. Available at: </w:t>
      </w:r>
    </w:p>
    <w:p w14:paraId="74B3AC71" w14:textId="2AC4D49F" w:rsidR="00387509" w:rsidRPr="00387509" w:rsidRDefault="00387509" w:rsidP="00843F16">
      <w:pPr>
        <w:spacing w:before="0" w:after="160" w:line="259" w:lineRule="auto"/>
        <w:ind w:left="720" w:hanging="720"/>
        <w:rPr>
          <w:rFonts w:ascii="Arial" w:hAnsi="Arial" w:cs="Arial"/>
          <w:i/>
          <w:iCs/>
          <w:sz w:val="22"/>
          <w:u w:val="single"/>
        </w:rPr>
      </w:pPr>
      <w:r w:rsidRPr="00387509">
        <w:rPr>
          <w:rFonts w:ascii="Arial" w:hAnsi="Arial" w:cs="Arial"/>
          <w:i/>
          <w:iCs/>
          <w:sz w:val="22"/>
          <w:u w:val="single"/>
        </w:rPr>
        <w:t>https://onlinelibrary.wiley.com/doi/10.1002/gps.4295</w:t>
      </w:r>
    </w:p>
    <w:p w14:paraId="77D79145" w14:textId="77777777" w:rsidR="00CE65FD" w:rsidRPr="00612AD1" w:rsidRDefault="00CE65FD" w:rsidP="00843F16">
      <w:pPr>
        <w:ind w:left="720" w:hanging="720"/>
        <w:rPr>
          <w:rFonts w:ascii="Arial" w:hAnsi="Arial" w:cs="Arial"/>
          <w:sz w:val="22"/>
        </w:rPr>
      </w:pPr>
    </w:p>
    <w:sectPr w:rsidR="00CE65FD" w:rsidRPr="00612A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A96"/>
    <w:rsid w:val="00130A96"/>
    <w:rsid w:val="002D2B55"/>
    <w:rsid w:val="00387509"/>
    <w:rsid w:val="004E377A"/>
    <w:rsid w:val="00612AD1"/>
    <w:rsid w:val="00673929"/>
    <w:rsid w:val="00843F16"/>
    <w:rsid w:val="00B82418"/>
    <w:rsid w:val="00BA4B41"/>
    <w:rsid w:val="00CE65FD"/>
    <w:rsid w:val="00E51F28"/>
    <w:rsid w:val="00F237C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20F57"/>
  <w15:chartTrackingRefBased/>
  <w15:docId w15:val="{25F9DD1B-2F47-4BF0-8900-CA85A7388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A96"/>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30A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30A96"/>
    <w:pPr>
      <w:keepNext/>
      <w:keepLines/>
      <w:jc w:val="left"/>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130A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0A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0A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0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A9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130A96"/>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130A9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30A9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30A9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30A9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0A9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0A9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0A9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30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A9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0A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A9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0A96"/>
    <w:pPr>
      <w:spacing w:before="160"/>
      <w:jc w:val="center"/>
    </w:pPr>
    <w:rPr>
      <w:i/>
      <w:iCs/>
      <w:color w:val="404040" w:themeColor="text1" w:themeTint="BF"/>
    </w:rPr>
  </w:style>
  <w:style w:type="character" w:customStyle="1" w:styleId="QuoteChar">
    <w:name w:val="Quote Char"/>
    <w:basedOn w:val="DefaultParagraphFont"/>
    <w:link w:val="Quote"/>
    <w:uiPriority w:val="29"/>
    <w:rsid w:val="00130A96"/>
    <w:rPr>
      <w:i/>
      <w:iCs/>
      <w:color w:val="404040" w:themeColor="text1" w:themeTint="BF"/>
      <w:lang w:val="en-GB"/>
    </w:rPr>
  </w:style>
  <w:style w:type="paragraph" w:styleId="ListParagraph">
    <w:name w:val="List Paragraph"/>
    <w:basedOn w:val="Normal"/>
    <w:uiPriority w:val="34"/>
    <w:qFormat/>
    <w:rsid w:val="00130A96"/>
    <w:pPr>
      <w:ind w:left="720"/>
      <w:contextualSpacing/>
    </w:pPr>
  </w:style>
  <w:style w:type="character" w:styleId="IntenseEmphasis">
    <w:name w:val="Intense Emphasis"/>
    <w:basedOn w:val="DefaultParagraphFont"/>
    <w:uiPriority w:val="21"/>
    <w:qFormat/>
    <w:rsid w:val="00130A96"/>
    <w:rPr>
      <w:i/>
      <w:iCs/>
      <w:color w:val="2F5496" w:themeColor="accent1" w:themeShade="BF"/>
    </w:rPr>
  </w:style>
  <w:style w:type="paragraph" w:styleId="IntenseQuote">
    <w:name w:val="Intense Quote"/>
    <w:basedOn w:val="Normal"/>
    <w:next w:val="Normal"/>
    <w:link w:val="IntenseQuoteChar"/>
    <w:uiPriority w:val="30"/>
    <w:qFormat/>
    <w:rsid w:val="00130A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0A96"/>
    <w:rPr>
      <w:i/>
      <w:iCs/>
      <w:color w:val="2F5496" w:themeColor="accent1" w:themeShade="BF"/>
      <w:lang w:val="en-GB"/>
    </w:rPr>
  </w:style>
  <w:style w:type="character" w:styleId="IntenseReference">
    <w:name w:val="Intense Reference"/>
    <w:basedOn w:val="DefaultParagraphFont"/>
    <w:uiPriority w:val="32"/>
    <w:qFormat/>
    <w:rsid w:val="00130A96"/>
    <w:rPr>
      <w:b/>
      <w:bCs/>
      <w:smallCaps/>
      <w:color w:val="2F5496" w:themeColor="accent1" w:themeShade="BF"/>
      <w:spacing w:val="5"/>
    </w:rPr>
  </w:style>
  <w:style w:type="character" w:styleId="Hyperlink">
    <w:name w:val="Hyperlink"/>
    <w:basedOn w:val="DefaultParagraphFont"/>
    <w:uiPriority w:val="99"/>
    <w:unhideWhenUsed/>
    <w:rsid w:val="00130A96"/>
    <w:rPr>
      <w:color w:val="0563C1" w:themeColor="hyperlink"/>
      <w:u w:val="single"/>
    </w:rPr>
  </w:style>
  <w:style w:type="character" w:styleId="UnresolvedMention">
    <w:name w:val="Unresolved Mention"/>
    <w:basedOn w:val="DefaultParagraphFont"/>
    <w:uiPriority w:val="99"/>
    <w:semiHidden/>
    <w:unhideWhenUsed/>
    <w:rsid w:val="00130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764</Words>
  <Characters>4359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Haroon Lookman</cp:lastModifiedBy>
  <cp:revision>2</cp:revision>
  <dcterms:created xsi:type="dcterms:W3CDTF">2026-10-12T22:13:00Z</dcterms:created>
  <dcterms:modified xsi:type="dcterms:W3CDTF">2026-10-12T22:13:00Z</dcterms:modified>
</cp:coreProperties>
</file>