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jc w:val="start"/>
        <w:rPr/>
      </w:pPr>
      <w:r>
        <w:rPr/>
        <mc:AlternateContent>
          <mc:Choice Requires="wps">
            <w:drawing>
              <wp:anchor behindDoc="0" distT="0" distB="31115" distL="111760" distR="113665" simplePos="0" locked="0" layoutInCell="0" allowOverlap="1" relativeHeight="2" wp14:anchorId="67377229">
                <wp:simplePos x="0" y="0"/>
                <wp:positionH relativeFrom="page">
                  <wp:align>center</wp:align>
                </wp:positionH>
                <wp:positionV relativeFrom="page">
                  <wp:posOffset>3207385</wp:posOffset>
                </wp:positionV>
                <wp:extent cx="7270115" cy="3915410"/>
                <wp:effectExtent l="0" t="0" r="0" b="6350"/>
                <wp:wrapSquare wrapText="bothSides"/>
                <wp:docPr id="1" name="Text Box 154"/>
                <a:graphic xmlns:a="http://schemas.openxmlformats.org/drawingml/2006/main">
                  <a:graphicData uri="http://schemas.microsoft.com/office/word/2010/wordprocessingShape">
                    <wps:wsp>
                      <wps:cNvSpPr/>
                      <wps:spPr>
                        <a:xfrm>
                          <a:off x="0" y="0"/>
                          <a:ext cx="7270200" cy="391536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FrameContents"/>
                              <w:bidi w:val="0"/>
                              <w:jc w:val="end"/>
                              <w:rPr>
                                <w:color w:themeColor="accent1" w:val="4472C4"/>
                                <w:sz w:val="64"/>
                                <w:szCs w:val="64"/>
                              </w:rPr>
                            </w:pPr>
                            <w:sdt>
                              <w:sdtPr>
                                <w:dataBinding w:prefixMappings="xmlns:ns0='http://purl.org/dc/elements/1.1/' xmlns:ns1='http://schemas.openxmlformats.org/package/2006/metadata/core-properties' " w:xpath="/ns1:coreProperties[1]/ns0:title[1]" w:storeItemID="{6C3C8BC8-F283-45AE-878A-BAB7291924A1}"/>
                                <w:alias w:val="Title"/>
                                <w:id w:val="630141079"/>
                                <w:text/>
                              </w:sdtPr>
                              <w:sdtContent>
                                <w:r>
                                  <w:rPr>
                                    <w:color w:themeColor="accent1" w:val="4472C4"/>
                                    <w:sz w:val="44"/>
                                    <w:szCs w:val="44"/>
                                  </w:rPr>
                                </w:r>
                                <w:r>
                                  <w:rPr>
                                    <w:color w:themeColor="accent1" w:val="4472C4"/>
                                    <w:sz w:val="44"/>
                                    <w:szCs w:val="44"/>
                                  </w:rPr>
                                  <w:t>Evaluating the impact of community policing on crime rates and police-community relationships in Telford</w:t>
                                </w:r>
                              </w:sdtContent>
                            </w:sdt>
                          </w:p>
                          <w:p>
                            <w:pPr>
                              <w:pStyle w:val="FrameContents"/>
                              <w:bidi w:val="0"/>
                              <w:spacing w:before="0" w:after="160"/>
                              <w:jc w:val="end"/>
                              <w:rPr>
                                <w:smallCaps/>
                                <w:color w:themeColor="text1" w:themeTint="bf" w:val="404040"/>
                                <w:sz w:val="36"/>
                                <w:szCs w:val="36"/>
                              </w:rPr>
                            </w:pPr>
                            <w:sdt>
                              <w:sdtPr>
                                <w:dataBinding w:prefixMappings="xmlns:ns0='http://purl.org/dc/elements/1.1/' xmlns:ns1='http://schemas.openxmlformats.org/package/2006/metadata/core-properties' " w:xpath="/ns1:coreProperties[1]/ns0:subject[1]" w:storeItemID="{6C3C8BC8-F283-45AE-878A-BAB7291924A1}"/>
                                <w:alias w:val="Subtitle"/>
                                <w:id w:val="1759551507"/>
                                <w:showingPlcHdr/>
                                <w:text/>
                              </w:sdtPr>
                              <w:sdtContent>
                                <w:r>
                                  <w:rPr>
                                    <w:color w:themeColor="text1" w:themeTint="bf" w:val="404040"/>
                                    <w:sz w:val="21"/>
                                    <w:szCs w:val="21"/>
                                  </w:rPr>
                                </w:r>
                                <w:r>
                                  <w:rPr>
                                    <w:color w:themeColor="text1" w:themeTint="bf" w:val="404040"/>
                                    <w:sz w:val="21"/>
                                    <w:szCs w:val="21"/>
                                  </w:rPr>
                                  <w:t>Understanding the Success and Challenges of Community Policing in Urban Environments</w:t>
                                </w:r>
                              </w:sdtContent>
                            </w:sdt>
                          </w:p>
                        </w:txbxContent>
                      </wps:txbx>
                      <wps:bodyPr lIns="1600200" rIns="685800" tIns="0" bIns="0" anchor="b">
                        <a:prstTxWarp prst="textNoShape"/>
                        <a:noAutofit/>
                      </wps:bodyPr>
                    </wps:wsp>
                  </a:graphicData>
                </a:graphic>
              </wp:anchor>
            </w:drawing>
          </mc:Choice>
          <mc:Fallback>
            <w:pict>
              <v:rect id="shape_0" ID="Text Box 154" path="m0,0l-2147483645,0l-2147483645,-2147483646l0,-2147483646xe" stroked="f" o:allowincell="f" style="position:absolute;margin-left:11.4pt;margin-top:252.55pt;width:572.4pt;height:308.25pt;mso-wrap-style:square;v-text-anchor:bottom;mso-position-horizontal:center;mso-position-horizontal-relative:page;mso-position-vertical-relative:page" wp14:anchorId="67377229">
                <v:fill o:detectmouseclick="t" on="false"/>
                <v:stroke color="#3465a4" weight="6480" joinstyle="round" endcap="flat"/>
                <v:textbox>
                  <w:txbxContent>
                    <w:p>
                      <w:pPr>
                        <w:pStyle w:val="FrameContents"/>
                        <w:bidi w:val="0"/>
                        <w:jc w:val="end"/>
                        <w:rPr>
                          <w:color w:themeColor="accent1" w:val="4472C4"/>
                          <w:sz w:val="64"/>
                          <w:szCs w:val="64"/>
                        </w:rPr>
                      </w:pPr>
                      <w:sdt>
                        <w:sdtPr>
                          <w:dataBinding w:prefixMappings="xmlns:ns0='http://purl.org/dc/elements/1.1/' xmlns:ns1='http://schemas.openxmlformats.org/package/2006/metadata/core-properties' " w:xpath="/ns1:coreProperties[1]/ns0:title[1]" w:storeItemID="{6C3C8BC8-F283-45AE-878A-BAB7291924A1}"/>
                          <w:alias w:val="Title"/>
                          <w:id w:val="630141079"/>
                          <w:text/>
                        </w:sdtPr>
                        <w:sdtContent>
                          <w:r>
                            <w:rPr>
                              <w:color w:themeColor="accent1" w:val="4472C4"/>
                              <w:sz w:val="44"/>
                              <w:szCs w:val="44"/>
                            </w:rPr>
                          </w:r>
                          <w:r>
                            <w:rPr>
                              <w:color w:themeColor="accent1" w:val="4472C4"/>
                              <w:sz w:val="44"/>
                              <w:szCs w:val="44"/>
                            </w:rPr>
                            <w:t>Evaluating the impact of community policing on crime rates and police-community relationships in Telford</w:t>
                          </w:r>
                        </w:sdtContent>
                      </w:sdt>
                    </w:p>
                    <w:p>
                      <w:pPr>
                        <w:pStyle w:val="FrameContents"/>
                        <w:bidi w:val="0"/>
                        <w:spacing w:before="0" w:after="160"/>
                        <w:jc w:val="end"/>
                        <w:rPr>
                          <w:smallCaps/>
                          <w:color w:themeColor="text1" w:themeTint="bf" w:val="404040"/>
                          <w:sz w:val="36"/>
                          <w:szCs w:val="36"/>
                        </w:rPr>
                      </w:pPr>
                      <w:sdt>
                        <w:sdtPr>
                          <w:dataBinding w:prefixMappings="xmlns:ns0='http://purl.org/dc/elements/1.1/' xmlns:ns1='http://schemas.openxmlformats.org/package/2006/metadata/core-properties' " w:xpath="/ns1:coreProperties[1]/ns0:subject[1]" w:storeItemID="{6C3C8BC8-F283-45AE-878A-BAB7291924A1}"/>
                          <w:alias w:val="Subtitle"/>
                          <w:id w:val="1759551507"/>
                          <w:showingPlcHdr/>
                          <w:text/>
                        </w:sdtPr>
                        <w:sdtContent>
                          <w:r>
                            <w:rPr>
                              <w:color w:themeColor="text1" w:themeTint="bf" w:val="404040"/>
                              <w:sz w:val="21"/>
                              <w:szCs w:val="21"/>
                            </w:rPr>
                          </w:r>
                          <w:r>
                            <w:rPr>
                              <w:color w:themeColor="text1" w:themeTint="bf" w:val="404040"/>
                              <w:sz w:val="21"/>
                              <w:szCs w:val="21"/>
                            </w:rPr>
                            <w:t>Understanding the Success and Challenges of Community Policing in Urban Environments</w:t>
                          </w:r>
                        </w:sdtContent>
                      </w:sdt>
                    </w:p>
                  </w:txbxContent>
                </v:textbox>
                <w10:wrap type="square"/>
              </v:rect>
            </w:pict>
          </mc:Fallback>
        </mc:AlternateContent>
        <mc:AlternateContent>
          <mc:Choice Requires="wps">
            <w:drawing>
              <wp:anchor behindDoc="0" distT="0" distB="41275" distL="111760" distR="113665" simplePos="0" locked="0" layoutInCell="0" allowOverlap="1" relativeHeight="4" wp14:anchorId="4DE55E65">
                <wp:simplePos x="0" y="0"/>
                <wp:positionH relativeFrom="page">
                  <wp:align>center</wp:align>
                </wp:positionH>
                <wp:positionV relativeFrom="page">
                  <wp:posOffset>8745855</wp:posOffset>
                </wp:positionV>
                <wp:extent cx="7270115" cy="977900"/>
                <wp:effectExtent l="0" t="0" r="0" b="8255"/>
                <wp:wrapSquare wrapText="bothSides"/>
                <wp:docPr id="2" name="Text Box 152"/>
                <a:graphic xmlns:a="http://schemas.openxmlformats.org/drawingml/2006/main">
                  <a:graphicData uri="http://schemas.microsoft.com/office/word/2010/wordprocessingShape">
                    <wps:wsp>
                      <wps:cNvSpPr/>
                      <wps:spPr>
                        <a:xfrm>
                          <a:off x="0" y="0"/>
                          <a:ext cx="7270200" cy="97776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NoSpacing"/>
                              <w:jc w:val="end"/>
                              <w:rPr>
                                <w:color w:themeColor="text1" w:themeTint="a6" w:val="595959"/>
                                <w:sz w:val="28"/>
                                <w:szCs w:val="28"/>
                              </w:rPr>
                            </w:pPr>
                            <w:sdt>
                              <w:sdtPr>
                                <w:dataBinding w:prefixMappings="xmlns:ns0='http://purl.org/dc/elements/1.1/' xmlns:ns1='http://schemas.openxmlformats.org/package/2006/metadata/core-properties' " w:xpath="/ns1:coreProperties[1]/ns0:creator[1]" w:storeItemID="{6C3C8BC8-F283-45AE-878A-BAB7291924A1}"/>
                                <w:alias w:val="Author"/>
                                <w:id w:val="789243997"/>
                                <w:text/>
                              </w:sdtPr>
                              <w:sdtContent>
                                <w:r>
                                  <w:rPr/>
                                </w:r>
                                <w:r>
                                  <w:rPr/>
                                  <w:t>Portia Boateng</w:t>
                                </w:r>
                              </w:sdtContent>
                            </w:sdt>
                          </w:p>
                          <w:p>
                            <w:pPr>
                              <w:pStyle w:val="NoSpacing"/>
                              <w:jc w:val="end"/>
                              <w:rPr>
                                <w:color w:themeColor="text1" w:themeTint="a6" w:val="595959"/>
                                <w:sz w:val="18"/>
                                <w:szCs w:val="18"/>
                              </w:rPr>
                            </w:pPr>
                            <w:sdt>
                              <w:sdtPr>
                                <w:dataBinding w:prefixMappings="xmlns:ns0='http://schemas.microsoft.com/office/2006/coverPageProps' " w:xpath="/ns0:CoverPageProperties[1]/ns0:CompanyEmail[1]" w:storeItemID="{55AF091B-3C7A-41E3-B477-F2FDAA23CFDA}"/>
                                <w:alias w:val="Email"/>
                                <w:tag w:val="Email"/>
                                <w:id w:val="942260680"/>
                                <w:showingPlcHdr/>
                                <w:text/>
                              </w:sdtPr>
                              <w:sdtContent>
                                <w:r>
                                  <w:rPr/>
                                </w:r>
                                <w:r>
                                  <w:rPr/>
                                  <w:t>2131530@student.uwtsd.ac.uk</w:t>
                                </w:r>
                              </w:sdtContent>
                            </w:sdt>
                          </w:p>
                        </w:txbxContent>
                      </wps:txbx>
                      <wps:bodyPr lIns="1600200" rIns="685800" tIns="0" bIns="0" anchor="b">
                        <a:prstTxWarp prst="textNoShape"/>
                        <a:noAutofit/>
                      </wps:bodyPr>
                    </wps:wsp>
                  </a:graphicData>
                </a:graphic>
              </wp:anchor>
            </w:drawing>
          </mc:Choice>
          <mc:Fallback>
            <w:pict>
              <v:rect id="shape_0" ID="Text Box 152" path="m0,0l-2147483645,0l-2147483645,-2147483646l0,-2147483646xe" stroked="f" o:allowincell="f" style="position:absolute;margin-left:11.4pt;margin-top:688.65pt;width:572.4pt;height:76.95pt;mso-wrap-style:square;v-text-anchor:bottom;mso-position-horizontal:center;mso-position-horizontal-relative:page;mso-position-vertical-relative:page" wp14:anchorId="4DE55E65">
                <v:fill o:detectmouseclick="t" on="false"/>
                <v:stroke color="#3465a4" weight="6480" joinstyle="round" endcap="flat"/>
                <v:textbox>
                  <w:txbxContent>
                    <w:p>
                      <w:pPr>
                        <w:pStyle w:val="NoSpacing"/>
                        <w:jc w:val="end"/>
                        <w:rPr>
                          <w:color w:themeColor="text1" w:themeTint="a6" w:val="595959"/>
                          <w:sz w:val="28"/>
                          <w:szCs w:val="28"/>
                        </w:rPr>
                      </w:pPr>
                      <w:sdt>
                        <w:sdtPr>
                          <w:dataBinding w:prefixMappings="xmlns:ns0='http://purl.org/dc/elements/1.1/' xmlns:ns1='http://schemas.openxmlformats.org/package/2006/metadata/core-properties' " w:xpath="/ns1:coreProperties[1]/ns0:creator[1]" w:storeItemID="{6C3C8BC8-F283-45AE-878A-BAB7291924A1}"/>
                          <w:alias w:val="Author"/>
                          <w:id w:val="789243997"/>
                          <w:text/>
                        </w:sdtPr>
                        <w:sdtContent>
                          <w:r>
                            <w:rPr/>
                          </w:r>
                          <w:r>
                            <w:rPr/>
                            <w:t>Portia Boateng</w:t>
                          </w:r>
                        </w:sdtContent>
                      </w:sdt>
                    </w:p>
                    <w:p>
                      <w:pPr>
                        <w:pStyle w:val="NoSpacing"/>
                        <w:jc w:val="end"/>
                        <w:rPr>
                          <w:color w:themeColor="text1" w:themeTint="a6" w:val="595959"/>
                          <w:sz w:val="18"/>
                          <w:szCs w:val="18"/>
                        </w:rPr>
                      </w:pPr>
                      <w:sdt>
                        <w:sdtPr>
                          <w:dataBinding w:prefixMappings="xmlns:ns0='http://schemas.microsoft.com/office/2006/coverPageProps' " w:xpath="/ns0:CoverPageProperties[1]/ns0:CompanyEmail[1]" w:storeItemID="{55AF091B-3C7A-41E3-B477-F2FDAA23CFDA}"/>
                          <w:alias w:val="Email"/>
                          <w:tag w:val="Email"/>
                          <w:id w:val="942260680"/>
                          <w:showingPlcHdr/>
                          <w:text/>
                        </w:sdtPr>
                        <w:sdtContent>
                          <w:r>
                            <w:rPr/>
                          </w:r>
                          <w:r>
                            <w:rPr/>
                            <w:t>2131530@student.uwtsd.ac.uk</w:t>
                          </w:r>
                        </w:sdtContent>
                      </w:sdt>
                    </w:p>
                  </w:txbxContent>
                </v:textbox>
                <w10:wrap type="square"/>
              </v:rect>
            </w:pict>
          </mc:Fallback>
        </mc:AlternateContent>
        <mc:AlternateContent>
          <mc:Choice Requires="wps">
            <w:drawing>
              <wp:anchor behindDoc="0" distT="0" distB="0" distL="111760" distR="113665" simplePos="0" locked="0" layoutInCell="0" allowOverlap="1" relativeHeight="6" wp14:anchorId="3DDD0552">
                <wp:simplePos x="0" y="0"/>
                <wp:positionH relativeFrom="page">
                  <wp:align>center</wp:align>
                </wp:positionH>
                <wp:positionV relativeFrom="page">
                  <wp:posOffset>7484110</wp:posOffset>
                </wp:positionV>
                <wp:extent cx="7277735" cy="431165"/>
                <wp:effectExtent l="0" t="0" r="0" b="0"/>
                <wp:wrapSquare wrapText="bothSides"/>
                <wp:docPr id="3" name="Text Box 153"/>
                <a:graphic xmlns:a="http://schemas.openxmlformats.org/drawingml/2006/main">
                  <a:graphicData uri="http://schemas.microsoft.com/office/word/2010/wordprocessingShape">
                    <wps:wsp>
                      <wps:cNvSpPr/>
                      <wps:spPr>
                        <a:xfrm>
                          <a:off x="0" y="0"/>
                          <a:ext cx="7277760" cy="43128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NoSpacing"/>
                              <w:jc w:val="end"/>
                              <w:rPr>
                                <w:color w:themeColor="accent1" w:val="4472C4"/>
                                <w:sz w:val="28"/>
                                <w:szCs w:val="28"/>
                              </w:rPr>
                            </w:pPr>
                            <w:r>
                              <w:rPr>
                                <w:color w:themeColor="accent1" w:val="4472C4"/>
                                <w:sz w:val="28"/>
                                <w:szCs w:val="28"/>
                              </w:rPr>
                            </w:r>
                          </w:p>
                          <w:p>
                            <w:pPr>
                              <w:pStyle w:val="NoSpacing"/>
                              <w:jc w:val="end"/>
                              <w:rPr>
                                <w:color w:themeColor="text1" w:themeTint="a6" w:val="595959"/>
                                <w:sz w:val="20"/>
                                <w:szCs w:val="20"/>
                              </w:rPr>
                            </w:pPr>
                            <w:sdt>
                              <w:sdtPr>
                                <w:dataBinding w:prefixMappings="xmlns:ns0='http://schemas.microsoft.com/office/2006/coverPageProps' " w:xpath="/ns0:CoverPageProperties[1]/ns0:Abstract[1]" w:storeItemID="{55AF091B-3C7A-41E3-B477-F2FDAA23CFDA}"/>
                                <w:alias w:val="Abstract"/>
                                <w:id w:val="1375273687"/>
                                <w:showingPlcHdr/>
                                <w:text/>
                              </w:sdtPr>
                              <w:sdtContent>
                                <w:r>
                                  <w:rPr/>
                                </w:r>
                                <w:r>
                                  <w:rPr/>
                                  <w:t xml:space="preserve">     </w:t>
                                </w:r>
                              </w:sdtContent>
                            </w:sdt>
                          </w:p>
                        </w:txbxContent>
                      </wps:txbx>
                      <wps:bodyPr lIns="1600200" rIns="685800" tIns="0" bIns="0" anchor="t">
                        <a:prstTxWarp prst="textNoShape"/>
                        <a:spAutoFit/>
                      </wps:bodyPr>
                    </wps:wsp>
                  </a:graphicData>
                </a:graphic>
              </wp:anchor>
            </w:drawing>
          </mc:Choice>
          <mc:Fallback>
            <w:pict>
              <v:rect id="shape_0" ID="Text Box 153" path="m0,0l-2147483645,0l-2147483645,-2147483646l0,-2147483646xe" stroked="f" o:allowincell="f" style="position:absolute;margin-left:11.1pt;margin-top:589.3pt;width:573pt;height:33.9pt;mso-wrap-style:square;v-text-anchor:top;mso-position-horizontal:center;mso-position-horizontal-relative:page;mso-position-vertical-relative:page" wp14:anchorId="3DDD0552">
                <v:fill o:detectmouseclick="t" on="false"/>
                <v:stroke color="#3465a4" weight="6480" joinstyle="round" endcap="flat"/>
                <v:textbox>
                  <w:txbxContent>
                    <w:p>
                      <w:pPr>
                        <w:pStyle w:val="NoSpacing"/>
                        <w:jc w:val="end"/>
                        <w:rPr>
                          <w:color w:themeColor="accent1" w:val="4472C4"/>
                          <w:sz w:val="28"/>
                          <w:szCs w:val="28"/>
                        </w:rPr>
                      </w:pPr>
                      <w:r>
                        <w:rPr>
                          <w:color w:themeColor="accent1" w:val="4472C4"/>
                          <w:sz w:val="28"/>
                          <w:szCs w:val="28"/>
                        </w:rPr>
                      </w:r>
                    </w:p>
                    <w:p>
                      <w:pPr>
                        <w:pStyle w:val="NoSpacing"/>
                        <w:jc w:val="end"/>
                        <w:rPr>
                          <w:color w:themeColor="text1" w:themeTint="a6" w:val="595959"/>
                          <w:sz w:val="20"/>
                          <w:szCs w:val="20"/>
                        </w:rPr>
                      </w:pPr>
                      <w:sdt>
                        <w:sdtPr>
                          <w:dataBinding w:prefixMappings="xmlns:ns0='http://schemas.microsoft.com/office/2006/coverPageProps' " w:xpath="/ns0:CoverPageProperties[1]/ns0:Abstract[1]" w:storeItemID="{55AF091B-3C7A-41E3-B477-F2FDAA23CFDA}"/>
                          <w:alias w:val="Abstract"/>
                          <w:id w:val="1375273687"/>
                          <w:showingPlcHdr/>
                          <w:text/>
                        </w:sdtPr>
                        <w:sdtContent>
                          <w:r>
                            <w:rPr/>
                          </w:r>
                          <w:r>
                            <w:rPr/>
                            <w:t xml:space="preserve">     </w:t>
                          </w:r>
                        </w:sdtContent>
                      </w:sdt>
                    </w:p>
                  </w:txbxContent>
                </v:textbox>
                <w10:wrap type="square"/>
              </v:rect>
            </w:pict>
          </mc:Fallback>
        </mc:AlternateContent>
        <mc:AlternateContent>
          <mc:Choice Requires="wpg">
            <w:drawing>
              <wp:anchor behindDoc="0" distT="0" distB="1905" distL="0" distR="1270" simplePos="0" locked="0" layoutInCell="0" allowOverlap="1" relativeHeight="8" wp14:anchorId="2617B42A">
                <wp:simplePos x="0" y="0"/>
                <wp:positionH relativeFrom="page">
                  <wp:align>center</wp:align>
                </wp:positionH>
                <wp:positionV relativeFrom="page">
                  <wp:posOffset>245745</wp:posOffset>
                </wp:positionV>
                <wp:extent cx="7315200" cy="1215390"/>
                <wp:effectExtent l="0" t="0" r="1270" b="1905"/>
                <wp:wrapNone/>
                <wp:docPr id="4" name="Group 149"/>
                <a:graphic xmlns:a="http://schemas.openxmlformats.org/drawingml/2006/main">
                  <a:graphicData uri="http://schemas.microsoft.com/office/word/2010/wordprocessingGroup">
                    <wpg:wgp>
                      <wpg:cNvGrpSpPr/>
                      <wpg:grpSpPr>
                        <a:xfrm>
                          <a:off x="0" y="0"/>
                          <a:ext cx="7315200" cy="1215360"/>
                          <a:chOff x="0" y="0"/>
                          <a:chExt cx="7315200" cy="1215360"/>
                        </a:xfrm>
                      </wpg:grpSpPr>
                      <wps:wsp>
                        <wps:cNvPr id="5" name="Rectangle 3"/>
                        <wps:cNvSpPr/>
                        <wps:spPr>
                          <a:xfrm>
                            <a:off x="0" y="0"/>
                            <a:ext cx="7315200" cy="1129680"/>
                          </a:xfrm>
                          <a:custGeom>
                            <a:avLst/>
                            <a:gdLst>
                              <a:gd name="textAreaLeft" fmla="*/ 0 w 4147200"/>
                              <a:gd name="textAreaRight" fmla="*/ 4149000 w 4147200"/>
                              <a:gd name="textAreaTop" fmla="*/ 0 h 640440"/>
                              <a:gd name="textAreaBottom" fmla="*/ 642240 h 640440"/>
                            </a:gdLst>
                            <a:ahLst/>
                            <a:rect l="textAreaLeft" t="textAreaTop" r="textAreaRight" b="textAreaBottom"/>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a:noFill/>
                          </a:ln>
                        </wps:spPr>
                        <wps:style>
                          <a:lnRef idx="2">
                            <a:schemeClr val="accent1">
                              <a:shade val="50000"/>
                            </a:schemeClr>
                          </a:lnRef>
                          <a:fillRef idx="1">
                            <a:schemeClr val="accent1"/>
                          </a:fillRef>
                          <a:effectRef idx="0">
                            <a:schemeClr val="accent1"/>
                          </a:effectRef>
                          <a:fontRef idx="minor"/>
                        </wps:style>
                        <wps:bodyPr/>
                      </wps:wsp>
                      <wps:wsp>
                        <wps:cNvPr id="6" name="Rectangle 4"/>
                        <wps:cNvSpPr/>
                        <wps:spPr>
                          <a:xfrm>
                            <a:off x="0" y="0"/>
                            <a:ext cx="7315200" cy="1215360"/>
                          </a:xfrm>
                          <a:prstGeom prst="rect">
                            <a:avLst/>
                          </a:prstGeom>
                          <a:blipFill rotWithShape="0">
                            <a:blip r:embed="rId2"/>
                            <a:stretch>
                              <a:fillRect/>
                            </a:stretch>
                          </a:blipFill>
                          <a:ln>
                            <a:noFill/>
                          </a:ln>
                        </wps:spPr>
                        <wps:style>
                          <a:lnRef idx="2">
                            <a:schemeClr val="accent1">
                              <a:shade val="50000"/>
                            </a:schemeClr>
                          </a:lnRef>
                          <a:fillRef idx="1">
                            <a:schemeClr val="accent1"/>
                          </a:fillRef>
                          <a:effectRef idx="0">
                            <a:schemeClr val="accent1"/>
                          </a:effectRef>
                          <a:fontRef idx="minor"/>
                        </wps:style>
                        <wps:bodyPr/>
                      </wps:wsp>
                    </wpg:wgp>
                  </a:graphicData>
                </a:graphic>
              </wp:anchor>
            </w:drawing>
          </mc:Choice>
          <mc:Fallback>
            <w:pict>
              <v:group id="shape_0" alt="Group 149" style="position:absolute;margin-left:9.65pt;margin-top:19.35pt;width:576pt;height:95.7pt" coordorigin="193,387" coordsize="11520,1914">
                <v:rect id="shape_0" ID="Rectangle 4" path="m0,0l-2147483645,0l-2147483645,-2147483646l0,-2147483646xe" stroked="f" o:allowincell="f" style="position:absolute;left:193;top:387;width:11519;height:1913;mso-wrap-style:none;v-text-anchor:middle;mso-position-horizontal:center;mso-position-horizontal-relative:page;mso-position-vertical-relative:page">
                  <v:fill r:id="rId3" o:detectmouseclick="t" type="frame" color2="black"/>
                  <v:stroke color="#3465a4" weight="12600" joinstyle="miter" endcap="flat"/>
                  <w10:wrap type="none"/>
                </v:rect>
              </v:group>
            </w:pict>
          </mc:Fallback>
        </mc:AlternateContent>
      </w:r>
    </w:p>
    <w:p>
      <w:pPr>
        <w:pStyle w:val="Normal"/>
        <w:bidi w:val="0"/>
        <w:jc w:val="start"/>
        <w:rPr>
          <w:rFonts w:ascii="Arial" w:hAnsi="Arial" w:cs="Arial"/>
          <w:sz w:val="24"/>
          <w:szCs w:val="24"/>
        </w:rPr>
      </w:pPr>
      <w:r>
        <w:rPr>
          <w:rFonts w:cs="Arial" w:ascii="Arial" w:hAnsi="Arial"/>
          <w:sz w:val="24"/>
          <w:szCs w:val="24"/>
        </w:rPr>
      </w:r>
    </w:p>
    <w:sdt>
      <w:sdtPr>
        <w:docPartObj>
          <w:docPartGallery w:val="Table of Contents"/>
          <w:docPartUnique w:val="true"/>
        </w:docPartObj>
      </w:sdtPr>
      <w:sdtContent>
        <w:p>
          <w:pPr>
            <w:pStyle w:val="TOCHeading"/>
            <w:bidi w:val="0"/>
            <w:jc w:val="start"/>
            <w:rPr/>
          </w:pPr>
          <w:r>
            <w:br w:type="page"/>
          </w:r>
          <w:r>
            <w:rPr/>
            <w:t>Contents</w:t>
          </w:r>
        </w:p>
        <w:p>
          <w:pPr>
            <w:pStyle w:val="TOC1"/>
            <w:tabs>
              <w:tab w:val="clear" w:pos="709"/>
              <w:tab w:val="right" w:pos="9637" w:leader="dot"/>
            </w:tabs>
            <w:bidi w:val="0"/>
            <w:jc w:val="start"/>
            <w:rPr/>
          </w:pPr>
          <w:r>
            <w:fldChar w:fldCharType="begin"/>
          </w:r>
          <w:r>
            <w:rPr>
              <w:webHidden/>
              <w:rStyle w:val="IndexLink"/>
            </w:rPr>
            <w:instrText xml:space="preserve"> TOC \z \o "1-3" \u \h</w:instrText>
          </w:r>
          <w:r>
            <w:rPr>
              <w:webHidden/>
              <w:rStyle w:val="IndexLink"/>
            </w:rPr>
            <w:fldChar w:fldCharType="separate"/>
          </w:r>
          <w:hyperlink w:anchor="__RefHeading___Toc622_1565507531">
            <w:r>
              <w:rPr>
                <w:webHidden/>
                <w:rStyle w:val="IndexLink"/>
              </w:rPr>
              <w:t>1. Introduction</w:t>
              <w:tab/>
              <w:t>2</w:t>
            </w:r>
          </w:hyperlink>
        </w:p>
        <w:p>
          <w:pPr>
            <w:pStyle w:val="TOC1"/>
            <w:tabs>
              <w:tab w:val="clear" w:pos="709"/>
              <w:tab w:val="right" w:pos="9637" w:leader="dot"/>
            </w:tabs>
            <w:bidi w:val="0"/>
            <w:jc w:val="start"/>
            <w:rPr/>
          </w:pPr>
          <w:hyperlink w:anchor="__RefHeading___Toc630_1565507531">
            <w:r>
              <w:rPr>
                <w:webHidden/>
                <w:rStyle w:val="IndexLink"/>
              </w:rPr>
              <w:t>2. Literature Review</w:t>
              <w:tab/>
              <w:t>2</w:t>
            </w:r>
          </w:hyperlink>
        </w:p>
        <w:p>
          <w:pPr>
            <w:pStyle w:val="TOC2"/>
            <w:tabs>
              <w:tab w:val="clear" w:pos="709"/>
              <w:tab w:val="right" w:pos="9637" w:leader="dot"/>
            </w:tabs>
            <w:bidi w:val="0"/>
            <w:jc w:val="start"/>
            <w:rPr/>
          </w:pPr>
          <w:hyperlink w:anchor="__RefHeading___Toc686_2329346255">
            <w:r>
              <w:rPr>
                <w:webHidden/>
                <w:rStyle w:val="IndexLink"/>
              </w:rPr>
              <w:t>2.1 Introduction</w:t>
              <w:tab/>
              <w:t>2</w:t>
            </w:r>
          </w:hyperlink>
        </w:p>
        <w:p>
          <w:pPr>
            <w:pStyle w:val="TOC2"/>
            <w:tabs>
              <w:tab w:val="clear" w:pos="709"/>
              <w:tab w:val="right" w:pos="9637" w:leader="dot"/>
            </w:tabs>
            <w:bidi w:val="0"/>
            <w:jc w:val="start"/>
            <w:rPr/>
          </w:pPr>
          <w:hyperlink w:anchor="__RefHeading___Toc688_2329346255">
            <w:r>
              <w:rPr>
                <w:webHidden/>
                <w:rStyle w:val="IndexLink"/>
              </w:rPr>
              <w:t>2.2 Theories Underpinning Community Policing</w:t>
              <w:tab/>
              <w:t>2</w:t>
            </w:r>
          </w:hyperlink>
        </w:p>
        <w:p>
          <w:pPr>
            <w:pStyle w:val="TOC3"/>
            <w:tabs>
              <w:tab w:val="clear" w:pos="8459"/>
              <w:tab w:val="right" w:pos="9637" w:leader="dot"/>
            </w:tabs>
            <w:bidi w:val="0"/>
            <w:jc w:val="start"/>
            <w:rPr/>
          </w:pPr>
          <w:hyperlink w:anchor="__RefHeading___Toc690_2329346255">
            <w:r>
              <w:rPr>
                <w:webHidden/>
                <w:rStyle w:val="IndexLink"/>
              </w:rPr>
              <w:t>2.2.1 Social Control Theory</w:t>
              <w:tab/>
              <w:t>2</w:t>
            </w:r>
          </w:hyperlink>
        </w:p>
        <w:p>
          <w:pPr>
            <w:pStyle w:val="TOC3"/>
            <w:tabs>
              <w:tab w:val="clear" w:pos="8459"/>
              <w:tab w:val="right" w:pos="9637" w:leader="dot"/>
            </w:tabs>
            <w:bidi w:val="0"/>
            <w:jc w:val="start"/>
            <w:rPr/>
          </w:pPr>
          <w:hyperlink w:anchor="__RefHeading___Toc692_2329346255">
            <w:r>
              <w:rPr>
                <w:webHidden/>
                <w:rStyle w:val="IndexLink"/>
              </w:rPr>
              <w:t>2.2.2 Broken Windows Theory</w:t>
              <w:tab/>
              <w:t>3</w:t>
            </w:r>
          </w:hyperlink>
        </w:p>
        <w:p>
          <w:pPr>
            <w:pStyle w:val="TOC3"/>
            <w:tabs>
              <w:tab w:val="clear" w:pos="8459"/>
              <w:tab w:val="right" w:pos="9637" w:leader="dot"/>
            </w:tabs>
            <w:bidi w:val="0"/>
            <w:jc w:val="start"/>
            <w:rPr/>
          </w:pPr>
          <w:hyperlink w:anchor="__RefHeading___Toc694_2329346255">
            <w:r>
              <w:rPr>
                <w:webHidden/>
                <w:rStyle w:val="IndexLink"/>
              </w:rPr>
              <w:t>2.2.3 Routine Activities Theory</w:t>
              <w:tab/>
              <w:t>3</w:t>
            </w:r>
          </w:hyperlink>
        </w:p>
        <w:p>
          <w:pPr>
            <w:pStyle w:val="TOC3"/>
            <w:tabs>
              <w:tab w:val="clear" w:pos="8459"/>
              <w:tab w:val="right" w:pos="9637" w:leader="dot"/>
            </w:tabs>
            <w:bidi w:val="0"/>
            <w:jc w:val="start"/>
            <w:rPr/>
          </w:pPr>
          <w:hyperlink w:anchor="__RefHeading___Toc696_2329346255">
            <w:r>
              <w:rPr>
                <w:webHidden/>
                <w:rStyle w:val="IndexLink"/>
              </w:rPr>
              <w:t>2.2.4 Summary</w:t>
              <w:tab/>
              <w:t>3</w:t>
            </w:r>
          </w:hyperlink>
        </w:p>
        <w:p>
          <w:pPr>
            <w:pStyle w:val="TOC2"/>
            <w:tabs>
              <w:tab w:val="clear" w:pos="709"/>
              <w:tab w:val="right" w:pos="9637" w:leader="dot"/>
            </w:tabs>
            <w:bidi w:val="0"/>
            <w:jc w:val="start"/>
            <w:rPr/>
          </w:pPr>
          <w:hyperlink w:anchor="__RefHeading___Toc698_2329346255">
            <w:r>
              <w:rPr>
                <w:webHidden/>
                <w:rStyle w:val="IndexLink"/>
              </w:rPr>
              <w:t>2.3 Empirical Evidence on Community Policing</w:t>
              <w:tab/>
              <w:t>3</w:t>
            </w:r>
          </w:hyperlink>
        </w:p>
        <w:p>
          <w:pPr>
            <w:pStyle w:val="TOC3"/>
            <w:tabs>
              <w:tab w:val="clear" w:pos="8459"/>
              <w:tab w:val="right" w:pos="9637" w:leader="dot"/>
            </w:tabs>
            <w:bidi w:val="0"/>
            <w:jc w:val="start"/>
            <w:rPr/>
          </w:pPr>
          <w:hyperlink w:anchor="__RefHeading___Toc700_2329346255">
            <w:r>
              <w:rPr>
                <w:webHidden/>
                <w:rStyle w:val="IndexLink"/>
              </w:rPr>
              <w:t>2.3.1 Impact on Crime Rates</w:t>
              <w:tab/>
              <w:t>3</w:t>
            </w:r>
          </w:hyperlink>
        </w:p>
        <w:p>
          <w:pPr>
            <w:pStyle w:val="TOC3"/>
            <w:tabs>
              <w:tab w:val="clear" w:pos="8459"/>
              <w:tab w:val="right" w:pos="9637" w:leader="dot"/>
            </w:tabs>
            <w:bidi w:val="0"/>
            <w:jc w:val="start"/>
            <w:rPr/>
          </w:pPr>
          <w:hyperlink w:anchor="__RefHeading___Toc702_2329346255">
            <w:r>
              <w:rPr>
                <w:webHidden/>
                <w:rStyle w:val="IndexLink"/>
              </w:rPr>
              <w:t>2.3.2 Impact on Police-Community Relationships</w:t>
              <w:tab/>
              <w:t>4</w:t>
            </w:r>
          </w:hyperlink>
        </w:p>
        <w:p>
          <w:pPr>
            <w:pStyle w:val="TOC3"/>
            <w:tabs>
              <w:tab w:val="clear" w:pos="8459"/>
              <w:tab w:val="right" w:pos="9637" w:leader="dot"/>
            </w:tabs>
            <w:bidi w:val="0"/>
            <w:jc w:val="start"/>
            <w:rPr/>
          </w:pPr>
          <w:hyperlink w:anchor="__RefHeading___Toc704_2329346255">
            <w:r>
              <w:rPr>
                <w:webHidden/>
                <w:rStyle w:val="IndexLink"/>
              </w:rPr>
              <w:t>2.3.3 Challenges and Limitations</w:t>
              <w:tab/>
              <w:t>4</w:t>
            </w:r>
          </w:hyperlink>
        </w:p>
        <w:p>
          <w:pPr>
            <w:pStyle w:val="TOC3"/>
            <w:tabs>
              <w:tab w:val="clear" w:pos="8459"/>
              <w:tab w:val="right" w:pos="9637" w:leader="dot"/>
            </w:tabs>
            <w:bidi w:val="0"/>
            <w:jc w:val="start"/>
            <w:rPr/>
          </w:pPr>
          <w:hyperlink w:anchor="__RefHeading___Toc706_2329346255">
            <w:r>
              <w:rPr>
                <w:webHidden/>
                <w:rStyle w:val="IndexLink"/>
              </w:rPr>
              <w:t>2.3.4 Summary of Empirical Findings</w:t>
              <w:tab/>
              <w:t>4</w:t>
            </w:r>
          </w:hyperlink>
        </w:p>
        <w:p>
          <w:pPr>
            <w:pStyle w:val="TOC2"/>
            <w:tabs>
              <w:tab w:val="clear" w:pos="709"/>
              <w:tab w:val="right" w:pos="9637" w:leader="dot"/>
            </w:tabs>
            <w:bidi w:val="0"/>
            <w:jc w:val="start"/>
            <w:rPr/>
          </w:pPr>
          <w:hyperlink w:anchor="__RefHeading___Toc708_2329346255">
            <w:r>
              <w:rPr>
                <w:webHidden/>
                <w:rStyle w:val="IndexLink"/>
              </w:rPr>
              <w:t>2.4 Critiques and Limitations of Community Policing</w:t>
              <w:tab/>
              <w:t>4</w:t>
            </w:r>
          </w:hyperlink>
        </w:p>
        <w:p>
          <w:pPr>
            <w:pStyle w:val="TOC3"/>
            <w:tabs>
              <w:tab w:val="clear" w:pos="8459"/>
              <w:tab w:val="right" w:pos="9637" w:leader="dot"/>
            </w:tabs>
            <w:bidi w:val="0"/>
            <w:jc w:val="start"/>
            <w:rPr/>
          </w:pPr>
          <w:hyperlink w:anchor="__RefHeading___Toc710_2329346255">
            <w:r>
              <w:rPr>
                <w:webHidden/>
                <w:rStyle w:val="IndexLink"/>
              </w:rPr>
              <w:t>2.4.1 Resource Dependency and Financial Limitations</w:t>
              <w:tab/>
              <w:t>4</w:t>
            </w:r>
          </w:hyperlink>
        </w:p>
        <w:p>
          <w:pPr>
            <w:pStyle w:val="TOC3"/>
            <w:tabs>
              <w:tab w:val="clear" w:pos="8459"/>
              <w:tab w:val="right" w:pos="9637" w:leader="dot"/>
            </w:tabs>
            <w:bidi w:val="0"/>
            <w:jc w:val="start"/>
            <w:rPr/>
          </w:pPr>
          <w:hyperlink w:anchor="__RefHeading___Toc712_2329346255">
            <w:r>
              <w:rPr>
                <w:webHidden/>
                <w:rStyle w:val="IndexLink"/>
              </w:rPr>
              <w:t>2.4.2 Variability in Implementation and Lack of Standardization</w:t>
              <w:tab/>
              <w:t>5</w:t>
            </w:r>
          </w:hyperlink>
        </w:p>
        <w:p>
          <w:pPr>
            <w:pStyle w:val="TOC3"/>
            <w:tabs>
              <w:tab w:val="clear" w:pos="8459"/>
              <w:tab w:val="right" w:pos="9637" w:leader="dot"/>
            </w:tabs>
            <w:bidi w:val="0"/>
            <w:jc w:val="start"/>
            <w:rPr/>
          </w:pPr>
          <w:hyperlink w:anchor="__RefHeading___Toc714_2329346255">
            <w:r>
              <w:rPr>
                <w:webHidden/>
                <w:rStyle w:val="IndexLink"/>
              </w:rPr>
              <w:t>2.4.3 Potential for Over-Policing and Racial Bias</w:t>
              <w:tab/>
              <w:t>5</w:t>
            </w:r>
          </w:hyperlink>
        </w:p>
        <w:p>
          <w:pPr>
            <w:pStyle w:val="TOC3"/>
            <w:tabs>
              <w:tab w:val="clear" w:pos="8459"/>
              <w:tab w:val="right" w:pos="9637" w:leader="dot"/>
            </w:tabs>
            <w:bidi w:val="0"/>
            <w:jc w:val="start"/>
            <w:rPr/>
          </w:pPr>
          <w:hyperlink w:anchor="__RefHeading___Toc716_2329346255">
            <w:r>
              <w:rPr>
                <w:webHidden/>
                <w:rStyle w:val="IndexLink"/>
              </w:rPr>
              <w:t>2.4.4 Limited Effectiveness in Addressing Serious and Organized Crime</w:t>
              <w:tab/>
              <w:t>5</w:t>
            </w:r>
          </w:hyperlink>
        </w:p>
        <w:p>
          <w:pPr>
            <w:pStyle w:val="TOC3"/>
            <w:tabs>
              <w:tab w:val="clear" w:pos="8459"/>
              <w:tab w:val="right" w:pos="9637" w:leader="dot"/>
            </w:tabs>
            <w:bidi w:val="0"/>
            <w:jc w:val="start"/>
            <w:rPr/>
          </w:pPr>
          <w:hyperlink w:anchor="__RefHeading___Toc718_2329346255">
            <w:r>
              <w:rPr>
                <w:webHidden/>
                <w:rStyle w:val="IndexLink"/>
              </w:rPr>
              <w:t>2.4.5 Challenges in Building Trust in Disadvantaged Communities</w:t>
              <w:tab/>
              <w:t>5</w:t>
            </w:r>
          </w:hyperlink>
        </w:p>
        <w:p>
          <w:pPr>
            <w:pStyle w:val="TOC3"/>
            <w:tabs>
              <w:tab w:val="clear" w:pos="8459"/>
              <w:tab w:val="right" w:pos="9637" w:leader="dot"/>
            </w:tabs>
            <w:bidi w:val="0"/>
            <w:jc w:val="start"/>
            <w:rPr/>
          </w:pPr>
          <w:hyperlink w:anchor="__RefHeading___Toc720_2329346255">
            <w:r>
              <w:rPr>
                <w:webHidden/>
                <w:rStyle w:val="IndexLink"/>
              </w:rPr>
              <w:t>2.4.6 Summary</w:t>
              <w:tab/>
              <w:t>5</w:t>
            </w:r>
          </w:hyperlink>
        </w:p>
        <w:p>
          <w:pPr>
            <w:pStyle w:val="TOC2"/>
            <w:tabs>
              <w:tab w:val="clear" w:pos="709"/>
              <w:tab w:val="right" w:pos="9637" w:leader="dot"/>
            </w:tabs>
            <w:bidi w:val="0"/>
            <w:jc w:val="start"/>
            <w:rPr/>
          </w:pPr>
          <w:hyperlink w:anchor="__RefHeading___Toc722_2329346255">
            <w:r>
              <w:rPr>
                <w:webHidden/>
                <w:rStyle w:val="IndexLink"/>
              </w:rPr>
              <w:t>2.5 Methodological Approaches in Community Policing Research</w:t>
              <w:tab/>
              <w:t>5</w:t>
            </w:r>
          </w:hyperlink>
        </w:p>
        <w:p>
          <w:pPr>
            <w:pStyle w:val="TOC3"/>
            <w:tabs>
              <w:tab w:val="clear" w:pos="8459"/>
              <w:tab w:val="right" w:pos="9637" w:leader="dot"/>
            </w:tabs>
            <w:bidi w:val="0"/>
            <w:jc w:val="start"/>
            <w:rPr/>
          </w:pPr>
          <w:hyperlink w:anchor="__RefHeading___Toc724_2329346255">
            <w:r>
              <w:rPr>
                <w:webHidden/>
                <w:rStyle w:val="IndexLink"/>
              </w:rPr>
              <w:t>2.5.1 Qualitative Methods</w:t>
              <w:tab/>
              <w:t>6</w:t>
            </w:r>
          </w:hyperlink>
        </w:p>
        <w:p>
          <w:pPr>
            <w:pStyle w:val="TOC3"/>
            <w:tabs>
              <w:tab w:val="clear" w:pos="8459"/>
              <w:tab w:val="right" w:pos="9637" w:leader="dot"/>
            </w:tabs>
            <w:bidi w:val="0"/>
            <w:jc w:val="start"/>
            <w:rPr/>
          </w:pPr>
          <w:hyperlink w:anchor="__RefHeading___Toc726_2329346255">
            <w:r>
              <w:rPr>
                <w:webHidden/>
                <w:rStyle w:val="IndexLink"/>
              </w:rPr>
              <w:t>2.5.2 Quantitative Methods</w:t>
              <w:tab/>
              <w:t>6</w:t>
            </w:r>
          </w:hyperlink>
        </w:p>
        <w:p>
          <w:pPr>
            <w:pStyle w:val="TOC3"/>
            <w:tabs>
              <w:tab w:val="clear" w:pos="8459"/>
              <w:tab w:val="right" w:pos="9637" w:leader="dot"/>
            </w:tabs>
            <w:bidi w:val="0"/>
            <w:jc w:val="start"/>
            <w:rPr/>
          </w:pPr>
          <w:hyperlink w:anchor="__RefHeading___Toc728_2329346255">
            <w:r>
              <w:rPr>
                <w:webHidden/>
                <w:rStyle w:val="IndexLink"/>
              </w:rPr>
              <w:t>2.5.3 Mixed-Methods Approaches</w:t>
              <w:tab/>
              <w:t>6</w:t>
            </w:r>
          </w:hyperlink>
        </w:p>
        <w:p>
          <w:pPr>
            <w:pStyle w:val="TOC3"/>
            <w:tabs>
              <w:tab w:val="clear" w:pos="8459"/>
              <w:tab w:val="right" w:pos="9637" w:leader="dot"/>
            </w:tabs>
            <w:bidi w:val="0"/>
            <w:jc w:val="start"/>
            <w:rPr/>
          </w:pPr>
          <w:hyperlink w:anchor="__RefHeading___Toc730_2329346255">
            <w:r>
              <w:rPr>
                <w:webHidden/>
                <w:rStyle w:val="IndexLink"/>
              </w:rPr>
              <w:t>2.5.4 Innovative Approaches</w:t>
              <w:tab/>
              <w:t>6</w:t>
            </w:r>
          </w:hyperlink>
        </w:p>
        <w:p>
          <w:pPr>
            <w:pStyle w:val="TOC3"/>
            <w:tabs>
              <w:tab w:val="clear" w:pos="8459"/>
              <w:tab w:val="right" w:pos="9637" w:leader="dot"/>
            </w:tabs>
            <w:bidi w:val="0"/>
            <w:jc w:val="start"/>
            <w:rPr/>
          </w:pPr>
          <w:hyperlink w:anchor="__RefHeading___Toc732_2329346255">
            <w:r>
              <w:rPr>
                <w:webHidden/>
                <w:rStyle w:val="IndexLink"/>
              </w:rPr>
              <w:t>2.5.5 Summary</w:t>
              <w:tab/>
              <w:t>6</w:t>
            </w:r>
          </w:hyperlink>
        </w:p>
        <w:p>
          <w:pPr>
            <w:pStyle w:val="TOC2"/>
            <w:tabs>
              <w:tab w:val="clear" w:pos="709"/>
              <w:tab w:val="right" w:pos="9637" w:leader="dot"/>
            </w:tabs>
            <w:bidi w:val="0"/>
            <w:jc w:val="start"/>
            <w:rPr/>
          </w:pPr>
          <w:hyperlink w:anchor="__RefHeading___Toc734_2329346255">
            <w:r>
              <w:rPr>
                <w:webHidden/>
                <w:rStyle w:val="IndexLink"/>
              </w:rPr>
              <w:t>2.6 Gaps in the Literature</w:t>
              <w:tab/>
              <w:t>6</w:t>
            </w:r>
          </w:hyperlink>
        </w:p>
        <w:p>
          <w:pPr>
            <w:pStyle w:val="TOC2"/>
            <w:tabs>
              <w:tab w:val="clear" w:pos="709"/>
              <w:tab w:val="right" w:pos="9637" w:leader="dot"/>
            </w:tabs>
            <w:bidi w:val="0"/>
            <w:jc w:val="start"/>
            <w:rPr/>
          </w:pPr>
          <w:hyperlink w:anchor="__RefHeading___Toc736_2329346255">
            <w:r>
              <w:rPr>
                <w:webHidden/>
                <w:rStyle w:val="IndexLink"/>
              </w:rPr>
              <w:t>2.7 Conclusion</w:t>
              <w:tab/>
              <w:t>7</w:t>
            </w:r>
          </w:hyperlink>
        </w:p>
        <w:p>
          <w:pPr>
            <w:pStyle w:val="TOC2"/>
            <w:tabs>
              <w:tab w:val="clear" w:pos="709"/>
              <w:tab w:val="right" w:pos="9637" w:leader="dot"/>
            </w:tabs>
            <w:bidi w:val="0"/>
            <w:jc w:val="start"/>
            <w:rPr/>
          </w:pPr>
          <w:hyperlink w:anchor="__RefHeading___Toc632_1565507531">
            <w:r>
              <w:rPr>
                <w:webHidden/>
                <w:rStyle w:val="IndexLink"/>
              </w:rPr>
              <w:t>Objective 1</w:t>
              <w:tab/>
              <w:t>8</w:t>
            </w:r>
          </w:hyperlink>
        </w:p>
        <w:p>
          <w:pPr>
            <w:pStyle w:val="TOC2"/>
            <w:tabs>
              <w:tab w:val="clear" w:pos="709"/>
              <w:tab w:val="right" w:pos="9637" w:leader="dot"/>
            </w:tabs>
            <w:bidi w:val="0"/>
            <w:jc w:val="start"/>
            <w:rPr/>
          </w:pPr>
          <w:hyperlink w:anchor="__RefHeading___Toc634_1565507531">
            <w:r>
              <w:rPr>
                <w:webHidden/>
                <w:rStyle w:val="IndexLink"/>
              </w:rPr>
              <w:t>Objective 2</w:t>
              <w:tab/>
              <w:t>8</w:t>
            </w:r>
          </w:hyperlink>
        </w:p>
        <w:p>
          <w:pPr>
            <w:pStyle w:val="TOC2"/>
            <w:tabs>
              <w:tab w:val="clear" w:pos="709"/>
              <w:tab w:val="right" w:pos="9637" w:leader="dot"/>
            </w:tabs>
            <w:bidi w:val="0"/>
            <w:jc w:val="start"/>
            <w:rPr/>
          </w:pPr>
          <w:hyperlink w:anchor="__RefHeading___Toc636_1565507531">
            <w:r>
              <w:rPr>
                <w:webHidden/>
                <w:rStyle w:val="IndexLink"/>
              </w:rPr>
              <w:t>Objective 3</w:t>
              <w:tab/>
              <w:t>8</w:t>
            </w:r>
          </w:hyperlink>
        </w:p>
        <w:p>
          <w:pPr>
            <w:pStyle w:val="TOC1"/>
            <w:tabs>
              <w:tab w:val="clear" w:pos="709"/>
              <w:tab w:val="right" w:pos="9637" w:leader="dot"/>
            </w:tabs>
            <w:bidi w:val="0"/>
            <w:jc w:val="start"/>
            <w:rPr/>
          </w:pPr>
          <w:hyperlink w:anchor="__RefHeading___Toc638_1565507531">
            <w:r>
              <w:rPr>
                <w:webHidden/>
                <w:rStyle w:val="IndexLink"/>
              </w:rPr>
              <w:t>3. Research Methods (1500)</w:t>
              <w:tab/>
              <w:t>8</w:t>
            </w:r>
          </w:hyperlink>
        </w:p>
        <w:p>
          <w:pPr>
            <w:pStyle w:val="TOC2"/>
            <w:tabs>
              <w:tab w:val="clear" w:pos="709"/>
              <w:tab w:val="right" w:pos="9637" w:leader="dot"/>
            </w:tabs>
            <w:bidi w:val="0"/>
            <w:jc w:val="start"/>
            <w:rPr/>
          </w:pPr>
          <w:hyperlink w:anchor="__RefHeading___Toc640_1565507531">
            <w:r>
              <w:rPr>
                <w:webHidden/>
                <w:rStyle w:val="IndexLink"/>
              </w:rPr>
              <w:t>Subheading</w:t>
              <w:tab/>
              <w:t>8</w:t>
            </w:r>
          </w:hyperlink>
        </w:p>
        <w:p>
          <w:pPr>
            <w:pStyle w:val="TOC2"/>
            <w:tabs>
              <w:tab w:val="clear" w:pos="709"/>
              <w:tab w:val="right" w:pos="9637" w:leader="dot"/>
            </w:tabs>
            <w:bidi w:val="0"/>
            <w:jc w:val="start"/>
            <w:rPr/>
          </w:pPr>
          <w:hyperlink w:anchor="__RefHeading___Toc642_1565507531">
            <w:r>
              <w:rPr>
                <w:webHidden/>
                <w:rStyle w:val="IndexLink"/>
              </w:rPr>
              <w:t>Subheading</w:t>
              <w:tab/>
              <w:t>8</w:t>
            </w:r>
          </w:hyperlink>
        </w:p>
        <w:p>
          <w:pPr>
            <w:pStyle w:val="TOC2"/>
            <w:tabs>
              <w:tab w:val="clear" w:pos="709"/>
              <w:tab w:val="right" w:pos="9637" w:leader="dot"/>
            </w:tabs>
            <w:bidi w:val="0"/>
            <w:jc w:val="start"/>
            <w:rPr/>
          </w:pPr>
          <w:hyperlink w:anchor="__RefHeading___Toc644_1565507531">
            <w:r>
              <w:rPr>
                <w:webHidden/>
                <w:rStyle w:val="IndexLink"/>
              </w:rPr>
              <w:t>Subheading</w:t>
              <w:tab/>
              <w:t>8</w:t>
            </w:r>
          </w:hyperlink>
        </w:p>
        <w:p>
          <w:pPr>
            <w:pStyle w:val="TOC1"/>
            <w:tabs>
              <w:tab w:val="clear" w:pos="709"/>
              <w:tab w:val="right" w:pos="9637" w:leader="dot"/>
            </w:tabs>
            <w:bidi w:val="0"/>
            <w:jc w:val="start"/>
            <w:rPr/>
          </w:pPr>
          <w:hyperlink w:anchor="__RefHeading___Toc646_1565507531">
            <w:r>
              <w:rPr>
                <w:webHidden/>
                <w:rStyle w:val="IndexLink"/>
              </w:rPr>
              <w:t>4. Findings (2000)</w:t>
              <w:tab/>
              <w:t>8</w:t>
            </w:r>
          </w:hyperlink>
        </w:p>
        <w:p>
          <w:pPr>
            <w:pStyle w:val="TOC1"/>
            <w:tabs>
              <w:tab w:val="clear" w:pos="709"/>
              <w:tab w:val="right" w:pos="9637" w:leader="dot"/>
            </w:tabs>
            <w:bidi w:val="0"/>
            <w:jc w:val="start"/>
            <w:rPr/>
          </w:pPr>
          <w:hyperlink w:anchor="__RefHeading___Toc648_1565507531">
            <w:r>
              <w:rPr>
                <w:webHidden/>
                <w:rStyle w:val="IndexLink"/>
              </w:rPr>
              <w:t>5. Conclusion (800)</w:t>
              <w:tab/>
              <w:t>8</w:t>
            </w:r>
          </w:hyperlink>
        </w:p>
        <w:p>
          <w:pPr>
            <w:pStyle w:val="TOC3"/>
            <w:tabs>
              <w:tab w:val="clear" w:pos="8459"/>
              <w:tab w:val="right" w:pos="9637" w:leader="dot"/>
            </w:tabs>
            <w:bidi w:val="0"/>
            <w:jc w:val="start"/>
            <w:rPr/>
          </w:pPr>
          <w:hyperlink w:anchor="__RefHeading___Toc1038_1565507531">
            <w:r>
              <w:rPr>
                <w:webHidden/>
                <w:rStyle w:val="IndexLink"/>
              </w:rPr>
              <w:t>References</w:t>
              <w:tab/>
              <w:t>9</w:t>
            </w:r>
          </w:hyperlink>
          <w:r>
            <w:rPr>
              <w:rStyle w:val="IndexLink"/>
            </w:rPr>
            <w:fldChar w:fldCharType="end"/>
          </w:r>
        </w:p>
      </w:sdtContent>
    </w:sdt>
    <w:p>
      <w:pPr>
        <w:pStyle w:val="Normal"/>
        <w:bidi w:val="0"/>
        <w:jc w:val="start"/>
        <w:rPr/>
      </w:pPr>
      <w:r>
        <w:rPr/>
      </w:r>
      <w:r>
        <w:br w:type="page"/>
      </w:r>
    </w:p>
    <w:p>
      <w:pPr>
        <w:pStyle w:val="Heading1"/>
        <w:numPr>
          <w:ilvl w:val="0"/>
          <w:numId w:val="1"/>
        </w:numPr>
        <w:bidi w:val="0"/>
        <w:spacing w:before="0" w:after="0"/>
        <w:jc w:val="start"/>
        <w:rPr/>
      </w:pPr>
      <w:bookmarkStart w:id="0" w:name="__RefHeading___Toc622_1565507531"/>
      <w:bookmarkStart w:id="1" w:name="_Toc181428320"/>
      <w:bookmarkEnd w:id="0"/>
      <w:r>
        <w:rPr/>
        <w:t>Introduction</w:t>
      </w:r>
      <w:bookmarkEnd w:id="1"/>
      <w:r>
        <w:rPr/>
        <w:t xml:space="preserve"> </w:t>
      </w:r>
    </w:p>
    <w:p>
      <w:pPr>
        <w:pStyle w:val="BodyText"/>
        <w:bidi w:val="0"/>
        <w:jc w:val="start"/>
        <w:rPr/>
      </w:pPr>
      <w:r>
        <w:rPr/>
      </w:r>
    </w:p>
    <w:p>
      <w:pPr>
        <w:pStyle w:val="Heading1"/>
        <w:numPr>
          <w:ilvl w:val="0"/>
          <w:numId w:val="1"/>
        </w:numPr>
        <w:bidi w:val="0"/>
        <w:jc w:val="start"/>
        <w:rPr/>
      </w:pPr>
      <w:bookmarkStart w:id="2" w:name="__RefHeading___Toc630_1565507531"/>
      <w:bookmarkStart w:id="3" w:name="_Toc181428324"/>
      <w:bookmarkEnd w:id="2"/>
      <w:r>
        <w:rPr/>
        <w:t xml:space="preserve">Literature Review </w:t>
      </w:r>
      <w:bookmarkEnd w:id="3"/>
    </w:p>
    <w:p>
      <w:pPr>
        <w:pStyle w:val="Heading2"/>
        <w:bidi w:val="0"/>
        <w:jc w:val="start"/>
        <w:rPr/>
      </w:pPr>
      <w:bookmarkStart w:id="4" w:name="__RefHeading___Toc686_2329346255"/>
      <w:bookmarkEnd w:id="4"/>
      <w:r>
        <w:rPr/>
        <w:t xml:space="preserve">2.1 Introduction </w:t>
      </w:r>
    </w:p>
    <w:p>
      <w:pPr>
        <w:pStyle w:val="BodyText"/>
        <w:bidi w:val="0"/>
        <w:jc w:val="start"/>
        <w:rPr/>
      </w:pPr>
      <w:r>
        <w:rPr/>
        <w:t>The purpose of this literature review is to explore existing research on community policing and critically assess its impact on crime reduction and police-community relationships, with a specific focus on its application within urban areas like Telford. Community policing has emerged as a significant shift from traditional, reactive policing models, aiming to foster proactive engagement, build trust, and encourage cooperative problem-solving between law enforcement and communities. However, despite its widespread adoption, the effectiveness and adaptability of community policing remain widely debated within the academic and policy spheres.</w:t>
      </w:r>
    </w:p>
    <w:p>
      <w:pPr>
        <w:pStyle w:val="BodyText"/>
        <w:bidi w:val="0"/>
        <w:jc w:val="start"/>
        <w:rPr/>
      </w:pPr>
      <w:r>
        <w:rPr/>
        <w:t xml:space="preserve">This chapter begins by presenting the theoretical foundations that inform community policing, including </w:t>
      </w:r>
      <w:r>
        <w:rPr>
          <w:rStyle w:val="Strong"/>
          <w:b w:val="false"/>
          <w:bCs w:val="false"/>
        </w:rPr>
        <w:t>social control theory</w:t>
      </w:r>
      <w:r>
        <w:rPr>
          <w:b w:val="false"/>
          <w:bCs w:val="false"/>
        </w:rPr>
        <w:t xml:space="preserve"> and </w:t>
      </w:r>
      <w:r>
        <w:rPr>
          <w:rStyle w:val="Strong"/>
          <w:b w:val="false"/>
          <w:bCs w:val="false"/>
        </w:rPr>
        <w:t>broken windows theory</w:t>
      </w:r>
      <w:r>
        <w:rPr>
          <w:b w:val="false"/>
          <w:bCs w:val="false"/>
        </w:rPr>
        <w:t xml:space="preserve">, </w:t>
      </w:r>
      <w:r>
        <w:rPr/>
        <w:t>which suggest that community engagement and disorder management are key to reducing crime. Following this, the review evaluates empirical studies on community policing’s effectiveness in lowering crime rates and enhancing public perceptions of law enforcement, using both supportive and critical perspectives. Studies from diverse urban contexts will be highlighted to provide insights into the varying success of community policing across different socio-economic and cultural settings.</w:t>
      </w:r>
    </w:p>
    <w:p>
      <w:pPr>
        <w:pStyle w:val="BodyText"/>
        <w:bidi w:val="0"/>
        <w:jc w:val="start"/>
        <w:rPr/>
      </w:pPr>
      <w:r>
        <w:rPr/>
        <w:t>In addition to empirical findings, this review addresses critiques and limitations of community policing, particularly regarding resource dependency, implementation variability, and its limited effectiveness in addressing more serious or organized crime. This section examines the methodological approaches employed in community policing research, comparing the insights generated from qualitative, quantitative, and mixed-methods studies. Finally, the chapter identifies significant gaps in the literature, including a lack of longitudinal studies and limited research on community policing in socio-economically diverse environments.</w:t>
      </w:r>
    </w:p>
    <w:p>
      <w:pPr>
        <w:pStyle w:val="BodyText"/>
        <w:bidi w:val="0"/>
        <w:jc w:val="start"/>
        <w:rPr/>
      </w:pPr>
      <w:r>
        <w:rPr/>
        <w:t>By analyzing existing research and identifying these gaps, this literature review establishes a foundation for the current study’s examination of community policing in Telford. This review underscores the need for further research to address the nuanced challenges and opportunities in community policing, especially within the context of urban areas with unique socio-economic and cultural dynamics.</w:t>
      </w:r>
    </w:p>
    <w:p>
      <w:pPr>
        <w:pStyle w:val="Normal"/>
        <w:bidi w:val="0"/>
        <w:jc w:val="start"/>
        <w:rPr/>
      </w:pPr>
      <w:r>
        <w:rPr/>
      </w:r>
    </w:p>
    <w:p>
      <w:pPr>
        <w:pStyle w:val="Heading2"/>
        <w:bidi w:val="0"/>
        <w:jc w:val="start"/>
        <w:rPr/>
      </w:pPr>
      <w:bookmarkStart w:id="5" w:name="__RefHeading___Toc688_2329346255"/>
      <w:bookmarkEnd w:id="5"/>
      <w:r>
        <w:rPr/>
        <w:t>2.2 Theories Underpinning Community Policing</w:t>
      </w:r>
    </w:p>
    <w:p>
      <w:pPr>
        <w:pStyle w:val="BodyText"/>
        <w:bidi w:val="0"/>
        <w:jc w:val="start"/>
        <w:rPr/>
      </w:pPr>
      <w:r>
        <w:rPr/>
        <w:t xml:space="preserve">The theoretical foundations of community policing help explain its potential effectiveness in </w:t>
      </w:r>
      <w:r>
        <w:rPr>
          <w:b w:val="false"/>
          <w:bCs w:val="false"/>
        </w:rPr>
        <w:t>fostering safer communities. Community policing is rooted in theories that emphasize social bonds, deterrence of minor crimes, and the importance of routine activities. Three primary theories—</w:t>
      </w:r>
      <w:r>
        <w:rPr>
          <w:rStyle w:val="Strong"/>
          <w:b w:val="false"/>
          <w:bCs w:val="false"/>
        </w:rPr>
        <w:t>social control theory</w:t>
      </w:r>
      <w:r>
        <w:rPr>
          <w:b w:val="false"/>
          <w:bCs w:val="false"/>
        </w:rPr>
        <w:t xml:space="preserve">, </w:t>
      </w:r>
      <w:r>
        <w:rPr>
          <w:rStyle w:val="Strong"/>
          <w:b w:val="false"/>
          <w:bCs w:val="false"/>
        </w:rPr>
        <w:t>broken windows theory</w:t>
      </w:r>
      <w:r>
        <w:rPr>
          <w:b w:val="false"/>
          <w:bCs w:val="false"/>
        </w:rPr>
        <w:t xml:space="preserve">, and </w:t>
      </w:r>
      <w:r>
        <w:rPr>
          <w:rStyle w:val="Strong"/>
          <w:b w:val="false"/>
          <w:bCs w:val="false"/>
        </w:rPr>
        <w:t>routine activities theory</w:t>
      </w:r>
      <w:r>
        <w:rPr>
          <w:b w:val="false"/>
          <w:bCs w:val="false"/>
        </w:rPr>
        <w:t>—provide insights into how community-policing strategies can reduce crime and strengthen police-community relations.</w:t>
      </w:r>
    </w:p>
    <w:p>
      <w:pPr>
        <w:pStyle w:val="Heading3"/>
        <w:numPr>
          <w:ilvl w:val="2"/>
          <w:numId w:val="2"/>
        </w:numPr>
        <w:bidi w:val="0"/>
        <w:ind w:hanging="0" w:start="0"/>
        <w:jc w:val="start"/>
        <w:rPr>
          <w:rFonts w:ascii="Arial" w:hAnsi="Arial"/>
          <w:sz w:val="26"/>
          <w:szCs w:val="26"/>
        </w:rPr>
      </w:pPr>
      <w:bookmarkStart w:id="6" w:name="__RefHeading___Toc690_2329346255"/>
      <w:bookmarkEnd w:id="6"/>
      <w:r>
        <w:rPr>
          <w:rFonts w:ascii="Arial" w:hAnsi="Arial"/>
          <w:sz w:val="26"/>
          <w:szCs w:val="26"/>
        </w:rPr>
        <w:t>2.2.1 Social Control Theory</w:t>
      </w:r>
    </w:p>
    <w:p>
      <w:pPr>
        <w:pStyle w:val="BodyText"/>
        <w:bidi w:val="0"/>
        <w:jc w:val="start"/>
        <w:rPr/>
      </w:pPr>
      <w:r>
        <w:rPr>
          <w:rStyle w:val="Strong"/>
          <w:b w:val="false"/>
          <w:bCs w:val="false"/>
        </w:rPr>
        <w:t>Social control theory</w:t>
      </w:r>
      <w:r>
        <w:rPr>
          <w:b w:val="false"/>
          <w:bCs w:val="false"/>
        </w:rPr>
        <w:t>, introduced by Hirschi (1969), posits that strong community relationships deter criminal behavior by creating informal social controls. Community policing aligns with this theory by fostering trust and cooperation between residents and law enforcement, making communities less vulnerable to crime (Sampson et al., 1997). However, critics argue that the theory may be overly idealistic in econ</w:t>
      </w:r>
      <w:r>
        <w:rPr/>
        <w:t>omically challenged areas with high distrust of the police, where strengthening social bonds alone may not sufficiently reduce crime (Bursik &amp; Grasmick, 1993).</w:t>
      </w:r>
    </w:p>
    <w:p>
      <w:pPr>
        <w:pStyle w:val="Heading3"/>
        <w:numPr>
          <w:ilvl w:val="2"/>
          <w:numId w:val="2"/>
        </w:numPr>
        <w:bidi w:val="0"/>
        <w:ind w:hanging="0" w:start="0"/>
        <w:jc w:val="start"/>
        <w:rPr>
          <w:rFonts w:ascii="Arial" w:hAnsi="Arial"/>
          <w:sz w:val="26"/>
          <w:szCs w:val="26"/>
        </w:rPr>
      </w:pPr>
      <w:bookmarkStart w:id="7" w:name="__RefHeading___Toc692_2329346255"/>
      <w:bookmarkEnd w:id="7"/>
      <w:r>
        <w:rPr>
          <w:rFonts w:ascii="Arial" w:hAnsi="Arial"/>
          <w:sz w:val="26"/>
          <w:szCs w:val="26"/>
        </w:rPr>
        <w:t>2.2.2 Broken Windows Theory</w:t>
      </w:r>
    </w:p>
    <w:p>
      <w:pPr>
        <w:pStyle w:val="BodyText"/>
        <w:bidi w:val="0"/>
        <w:jc w:val="start"/>
        <w:rPr/>
      </w:pPr>
      <w:r>
        <w:rPr>
          <w:rStyle w:val="Strong"/>
          <w:b w:val="false"/>
          <w:bCs w:val="false"/>
        </w:rPr>
        <w:t>Broken windows theory</w:t>
      </w:r>
      <w:r>
        <w:rPr>
          <w:b w:val="false"/>
          <w:bCs w:val="false"/>
        </w:rPr>
        <w:t xml:space="preserve"> (Wilson &amp; Kelling, 1982) suggests that visible signs of disorder encourage further crime by signal</w:t>
      </w:r>
      <w:r>
        <w:rPr/>
        <w:t>ing a lack of social control. Community policing integrates this theory by encouraging officers to address minor issues proactively, thereby preventing escalation to more serious crime (Kelling &amp; Coles, 1996). However, critics warn that this approach can lead to over-policing of minor infractions, particularly in marginalized communities, potentially damaging police-community relations (Harcourt, 2001).</w:t>
      </w:r>
    </w:p>
    <w:p>
      <w:pPr>
        <w:pStyle w:val="Heading3"/>
        <w:numPr>
          <w:ilvl w:val="2"/>
          <w:numId w:val="2"/>
        </w:numPr>
        <w:bidi w:val="0"/>
        <w:ind w:hanging="0" w:start="0"/>
        <w:jc w:val="start"/>
        <w:rPr>
          <w:rFonts w:ascii="Arial" w:hAnsi="Arial"/>
          <w:sz w:val="26"/>
          <w:szCs w:val="26"/>
        </w:rPr>
      </w:pPr>
      <w:bookmarkStart w:id="8" w:name="__RefHeading___Toc694_2329346255"/>
      <w:bookmarkEnd w:id="8"/>
      <w:r>
        <w:rPr>
          <w:rFonts w:ascii="Arial" w:hAnsi="Arial"/>
          <w:sz w:val="26"/>
          <w:szCs w:val="26"/>
        </w:rPr>
        <w:t>2.2.3 Routine Activities Theory</w:t>
      </w:r>
    </w:p>
    <w:p>
      <w:pPr>
        <w:pStyle w:val="BodyText"/>
        <w:bidi w:val="0"/>
        <w:jc w:val="start"/>
        <w:rPr/>
      </w:pPr>
      <w:r>
        <w:rPr>
          <w:rStyle w:val="Strong"/>
          <w:b w:val="false"/>
          <w:bCs w:val="false"/>
        </w:rPr>
        <w:t>Routine activities theory</w:t>
      </w:r>
      <w:r>
        <w:rPr>
          <w:b w:val="false"/>
          <w:bCs w:val="false"/>
        </w:rPr>
        <w:t xml:space="preserve"> (Cohen &amp;</w:t>
      </w:r>
      <w:r>
        <w:rPr/>
        <w:t xml:space="preserve"> Felson, 1979) suggests that crime is opportunistic and occurs when motivated offenders, suitable targets, and a lack of capable guardians converge. Community policing’s emphasis on presence and informal surveillance aligns with this theory, as community members and active police patrols serve as guardianship, deterring criminal behavior. Critics note, however, that this theory presumes a high level of community involvement, which may not be feasible in communities lacking social cohesion (Felson, 2002).</w:t>
      </w:r>
    </w:p>
    <w:p>
      <w:pPr>
        <w:pStyle w:val="Heading3"/>
        <w:numPr>
          <w:ilvl w:val="2"/>
          <w:numId w:val="2"/>
        </w:numPr>
        <w:bidi w:val="0"/>
        <w:ind w:hanging="0" w:start="0"/>
        <w:jc w:val="start"/>
        <w:rPr>
          <w:rFonts w:ascii="Arial" w:hAnsi="Arial"/>
          <w:sz w:val="26"/>
          <w:szCs w:val="26"/>
        </w:rPr>
      </w:pPr>
      <w:bookmarkStart w:id="9" w:name="__RefHeading___Toc696_2329346255"/>
      <w:bookmarkEnd w:id="9"/>
      <w:r>
        <w:rPr>
          <w:rFonts w:ascii="Arial" w:hAnsi="Arial"/>
          <w:sz w:val="26"/>
          <w:szCs w:val="26"/>
        </w:rPr>
        <w:t>2.2.4 Summary</w:t>
      </w:r>
    </w:p>
    <w:p>
      <w:pPr>
        <w:pStyle w:val="BodyText"/>
        <w:bidi w:val="0"/>
        <w:jc w:val="start"/>
        <w:rPr/>
      </w:pPr>
      <w:r>
        <w:rPr/>
        <w:t>These theories support community policing as a strategy that can reduce crime through relationship-building, proactive disorder management, and informal guardianship. However, the theories’ applicability can vary across different socio-economic contexts. This study will assess the effectiveness of these theoretical principles in Telford, where social dynamics and trust levels may influence community policing outcomes.</w:t>
      </w:r>
    </w:p>
    <w:p>
      <w:pPr>
        <w:pStyle w:val="Normal"/>
        <w:bidi w:val="0"/>
        <w:jc w:val="start"/>
        <w:rPr/>
      </w:pPr>
      <w:r>
        <w:rPr/>
      </w:r>
    </w:p>
    <w:p>
      <w:pPr>
        <w:pStyle w:val="Heading2"/>
        <w:bidi w:val="0"/>
        <w:jc w:val="start"/>
        <w:rPr/>
      </w:pPr>
      <w:bookmarkStart w:id="10" w:name="__RefHeading___Toc698_2329346255"/>
      <w:bookmarkEnd w:id="10"/>
      <w:r>
        <w:rPr/>
        <w:t>2.3 Empirical Evidence on Community Policing</w:t>
      </w:r>
    </w:p>
    <w:p>
      <w:pPr>
        <w:pStyle w:val="BodyText"/>
        <w:bidi w:val="0"/>
        <w:jc w:val="start"/>
        <w:rPr/>
      </w:pPr>
      <w:r>
        <w:rPr/>
        <w:t>Community policing has been implemented widely, and its impact on crime reduction and police-community relationships has been extensively studied. Research suggests that, while generally effective in building safer and more cooperative communities, its success often depends on the context and available resources. This section reviews key findings on crime reduction, public perceptions, and implementation challenges.</w:t>
      </w:r>
    </w:p>
    <w:p>
      <w:pPr>
        <w:pStyle w:val="Heading3"/>
        <w:numPr>
          <w:ilvl w:val="2"/>
          <w:numId w:val="2"/>
        </w:numPr>
        <w:bidi w:val="0"/>
        <w:ind w:hanging="0" w:start="0"/>
        <w:jc w:val="start"/>
        <w:rPr>
          <w:rFonts w:ascii="Arial" w:hAnsi="Arial"/>
          <w:sz w:val="26"/>
          <w:szCs w:val="26"/>
        </w:rPr>
      </w:pPr>
      <w:bookmarkStart w:id="11" w:name="__RefHeading___Toc700_2329346255"/>
      <w:bookmarkEnd w:id="11"/>
      <w:r>
        <w:rPr>
          <w:rFonts w:ascii="Arial" w:hAnsi="Arial"/>
          <w:sz w:val="26"/>
          <w:szCs w:val="26"/>
        </w:rPr>
        <w:t>2.3.1 Impact on Crime Rates</w:t>
      </w:r>
    </w:p>
    <w:p>
      <w:pPr>
        <w:pStyle w:val="BodyText"/>
        <w:bidi w:val="0"/>
        <w:jc w:val="start"/>
        <w:rPr/>
      </w:pPr>
      <w:r>
        <w:rPr>
          <w:b w:val="false"/>
          <w:bCs w:val="false"/>
        </w:rPr>
        <w:t xml:space="preserve">Community policing has shown positive effects on crime reduction, particularly for minor offenses. For example, the </w:t>
      </w:r>
      <w:r>
        <w:rPr>
          <w:rStyle w:val="Strong"/>
          <w:b w:val="false"/>
          <w:bCs w:val="false"/>
        </w:rPr>
        <w:t>Townhill Anti-Burglary Initiative</w:t>
      </w:r>
      <w:r>
        <w:rPr>
          <w:b w:val="false"/>
          <w:bCs w:val="false"/>
        </w:rPr>
        <w:t xml:space="preserve"> in the UK resulted in reduced burglary rates through increased police visibility and community engagement (Smith, 2020). Similarly, </w:t>
      </w:r>
      <w:r>
        <w:rPr>
          <w:rStyle w:val="Strong"/>
          <w:b w:val="false"/>
          <w:bCs w:val="false"/>
        </w:rPr>
        <w:t>Gill et al. (2014)</w:t>
      </w:r>
      <w:r>
        <w:rPr>
          <w:b w:val="false"/>
          <w:bCs w:val="false"/>
        </w:rPr>
        <w:t xml:space="preserve"> found that community policing’s emphasis on problem-solving and engagement helped lower crime rates in urban areas. However, the effectiveness is most pronounced in settings with consistent support and resources, while other studies, such as </w:t>
      </w:r>
      <w:r>
        <w:rPr>
          <w:rStyle w:val="Strong"/>
          <w:b w:val="false"/>
          <w:bCs w:val="false"/>
        </w:rPr>
        <w:t>Weisburd and Eck (2004)</w:t>
      </w:r>
      <w:r>
        <w:rPr>
          <w:b w:val="false"/>
          <w:bCs w:val="false"/>
        </w:rPr>
        <w:t xml:space="preserve">, found mixed results, particularly for serious crimes. This suggests that while community policing may improve public safety for minor crimes, its impact on organized or violent crime is limited without </w:t>
      </w:r>
      <w:r>
        <w:rPr/>
        <w:t>specialized interventions.</w:t>
      </w:r>
    </w:p>
    <w:p>
      <w:pPr>
        <w:pStyle w:val="Heading3"/>
        <w:numPr>
          <w:ilvl w:val="2"/>
          <w:numId w:val="2"/>
        </w:numPr>
        <w:bidi w:val="0"/>
        <w:ind w:hanging="0" w:start="0"/>
        <w:jc w:val="start"/>
        <w:rPr>
          <w:rFonts w:ascii="Arial" w:hAnsi="Arial"/>
          <w:sz w:val="26"/>
          <w:szCs w:val="26"/>
        </w:rPr>
      </w:pPr>
      <w:bookmarkStart w:id="12" w:name="__RefHeading___Toc702_2329346255"/>
      <w:bookmarkEnd w:id="12"/>
      <w:r>
        <w:rPr>
          <w:rFonts w:ascii="Arial" w:hAnsi="Arial"/>
          <w:sz w:val="26"/>
          <w:szCs w:val="26"/>
        </w:rPr>
        <w:t>2.3.2 Impact on Police-Community Relationships</w:t>
      </w:r>
    </w:p>
    <w:p>
      <w:pPr>
        <w:pStyle w:val="BodyText"/>
        <w:bidi w:val="0"/>
        <w:jc w:val="start"/>
        <w:rPr/>
      </w:pPr>
      <w:r>
        <w:rPr>
          <w:b w:val="false"/>
          <w:bCs w:val="false"/>
        </w:rPr>
        <w:t xml:space="preserve">Community policing is often associated with improved trust and cooperation between law enforcement and the public. </w:t>
      </w:r>
      <w:r>
        <w:rPr>
          <w:rStyle w:val="Strong"/>
          <w:b w:val="false"/>
          <w:bCs w:val="false"/>
        </w:rPr>
        <w:t>Gill et al. (2014)</w:t>
      </w:r>
      <w:r>
        <w:rPr>
          <w:b w:val="false"/>
          <w:bCs w:val="false"/>
        </w:rPr>
        <w:t xml:space="preserve"> found that these programs enhance public satisfaction by prioritizing non-enforcement interactions, which foster mutual understanding. In Chicago, </w:t>
      </w:r>
      <w:r>
        <w:rPr>
          <w:rStyle w:val="Strong"/>
          <w:b w:val="false"/>
          <w:bCs w:val="false"/>
        </w:rPr>
        <w:t>Skogan (2006)</w:t>
      </w:r>
      <w:r>
        <w:rPr>
          <w:b w:val="false"/>
          <w:bCs w:val="false"/>
        </w:rPr>
        <w:t xml:space="preserve"> observed that community policing reduced tensions and encouraged crime reporting, especially in low-trust neighborhoods. However, the benefits can vary by socio-economic context, with less improvement in disadvantaged areas. Additionally, </w:t>
      </w:r>
      <w:r>
        <w:rPr>
          <w:rStyle w:val="Strong"/>
          <w:b w:val="false"/>
          <w:bCs w:val="false"/>
        </w:rPr>
        <w:t>Rosenbaum et al. (2005)</w:t>
      </w:r>
      <w:r>
        <w:rPr>
          <w:b w:val="false"/>
          <w:bCs w:val="false"/>
        </w:rPr>
        <w:t xml:space="preserve"> highlighted that historical tensions and negative interactions, such as racial profiling, can hinder trust-building efforts, underscoring the need for tailored approaches to address community-specific histories and dynamics.</w:t>
      </w:r>
    </w:p>
    <w:p>
      <w:pPr>
        <w:pStyle w:val="Heading3"/>
        <w:numPr>
          <w:ilvl w:val="2"/>
          <w:numId w:val="2"/>
        </w:numPr>
        <w:bidi w:val="0"/>
        <w:ind w:hanging="0" w:start="0"/>
        <w:jc w:val="start"/>
        <w:rPr>
          <w:rFonts w:ascii="Arial" w:hAnsi="Arial"/>
          <w:sz w:val="26"/>
          <w:szCs w:val="26"/>
        </w:rPr>
      </w:pPr>
      <w:bookmarkStart w:id="13" w:name="__RefHeading___Toc704_2329346255"/>
      <w:bookmarkEnd w:id="13"/>
      <w:r>
        <w:rPr>
          <w:rFonts w:ascii="Arial" w:hAnsi="Arial"/>
          <w:sz w:val="26"/>
          <w:szCs w:val="26"/>
        </w:rPr>
        <w:t>2.3.3 Challenges and Limitations</w:t>
      </w:r>
    </w:p>
    <w:p>
      <w:pPr>
        <w:pStyle w:val="BodyText"/>
        <w:bidi w:val="0"/>
        <w:jc w:val="start"/>
        <w:rPr/>
      </w:pPr>
      <w:r>
        <w:rPr>
          <w:b w:val="false"/>
          <w:bCs w:val="false"/>
        </w:rPr>
        <w:t xml:space="preserve">Despite its advantages, community policing faces several challenges. Resource dependency is a critical issue, as effective programs require dedicated personnel and sustained funding. </w:t>
      </w:r>
      <w:r>
        <w:rPr>
          <w:rStyle w:val="Strong"/>
          <w:b w:val="false"/>
          <w:bCs w:val="false"/>
        </w:rPr>
        <w:t>Mastrofski et al. (1995)</w:t>
      </w:r>
      <w:r>
        <w:rPr>
          <w:b w:val="false"/>
          <w:bCs w:val="false"/>
        </w:rPr>
        <w:t xml:space="preserve"> noted that under-resourced areas struggle to maintain engagement, particularly in economically disadvantaged neighborhoods. Additionally, </w:t>
      </w:r>
      <w:r>
        <w:rPr>
          <w:rStyle w:val="Strong"/>
          <w:b w:val="false"/>
          <w:bCs w:val="false"/>
        </w:rPr>
        <w:t>Thacher (2001)</w:t>
      </w:r>
      <w:r>
        <w:rPr>
          <w:b w:val="false"/>
          <w:bCs w:val="false"/>
        </w:rPr>
        <w:t xml:space="preserve"> and </w:t>
      </w:r>
      <w:r>
        <w:rPr>
          <w:rStyle w:val="Strong"/>
          <w:b w:val="false"/>
          <w:bCs w:val="false"/>
        </w:rPr>
        <w:t>Weisburd and Braga (2018)</w:t>
      </w:r>
      <w:r>
        <w:rPr>
          <w:b w:val="false"/>
          <w:bCs w:val="false"/>
        </w:rPr>
        <w:t xml:space="preserve"> found variability in implementation, with some jurisdictions focusing on superficial engagement rather than meaningful relationship-building. Lastly, community policing may be less effective for addressing serious crime, as noted by </w:t>
      </w:r>
      <w:r>
        <w:rPr>
          <w:rStyle w:val="Strong"/>
          <w:b w:val="false"/>
          <w:bCs w:val="false"/>
        </w:rPr>
        <w:t>Rosenbaum (2006)</w:t>
      </w:r>
      <w:r>
        <w:rPr>
          <w:b w:val="false"/>
          <w:bCs w:val="false"/>
        </w:rPr>
        <w:t>, who argued that it lacks the targeted tools needed to address complex criminal networks. These challenges suggest that community policing works best as part of a broader strategy that includes specialized approaches for high-impact crime.</w:t>
      </w:r>
    </w:p>
    <w:p>
      <w:pPr>
        <w:pStyle w:val="Heading3"/>
        <w:numPr>
          <w:ilvl w:val="2"/>
          <w:numId w:val="2"/>
        </w:numPr>
        <w:bidi w:val="0"/>
        <w:ind w:hanging="0" w:start="0"/>
        <w:jc w:val="start"/>
        <w:rPr>
          <w:rFonts w:ascii="Arial" w:hAnsi="Arial"/>
          <w:sz w:val="26"/>
          <w:szCs w:val="26"/>
        </w:rPr>
      </w:pPr>
      <w:bookmarkStart w:id="14" w:name="__RefHeading___Toc706_2329346255"/>
      <w:bookmarkEnd w:id="14"/>
      <w:r>
        <w:rPr>
          <w:rFonts w:ascii="Arial" w:hAnsi="Arial"/>
          <w:sz w:val="26"/>
          <w:szCs w:val="26"/>
        </w:rPr>
        <w:t>2.3.4 Summary of Empirical Findings</w:t>
      </w:r>
    </w:p>
    <w:p>
      <w:pPr>
        <w:pStyle w:val="BodyText"/>
        <w:bidi w:val="0"/>
        <w:jc w:val="start"/>
        <w:rPr/>
      </w:pPr>
      <w:r>
        <w:rPr/>
        <w:t>Overall, empirical evidence suggests that community policing can effectively reduce certain types of crime and improve public trust, provided that resources are sufficient and implementation is consistent. Its impact varies significantly by context, underscoring the need for adaptable strategies. Future research is needed to explore conditions that enhance community policing’s effectiveness and ensure its sustainability.</w:t>
      </w:r>
    </w:p>
    <w:p>
      <w:pPr>
        <w:pStyle w:val="Normal"/>
        <w:bidi w:val="0"/>
        <w:jc w:val="start"/>
        <w:rPr/>
      </w:pPr>
      <w:r>
        <w:rPr/>
      </w:r>
    </w:p>
    <w:p>
      <w:pPr>
        <w:pStyle w:val="Heading2"/>
        <w:bidi w:val="0"/>
        <w:jc w:val="start"/>
        <w:rPr/>
      </w:pPr>
      <w:bookmarkStart w:id="15" w:name="__RefHeading___Toc708_2329346255"/>
      <w:bookmarkEnd w:id="15"/>
      <w:r>
        <w:rPr/>
        <w:t>2.4 Critiques and Limitations of Community Policing</w:t>
      </w:r>
    </w:p>
    <w:p>
      <w:pPr>
        <w:pStyle w:val="BodyText"/>
        <w:bidi w:val="0"/>
        <w:jc w:val="start"/>
        <w:rPr/>
      </w:pPr>
      <w:r>
        <w:rPr/>
        <w:t>Community policing, while widely supported for its focus on relationship-building and minor crime prevention, faces several significant criticisms. These limitations, ranging from resource dependency to the challenges of addressing serious crime, question its long-term effectiveness and scalability. This section examines major critiques that may hinder the success of community policing.</w:t>
      </w:r>
    </w:p>
    <w:p>
      <w:pPr>
        <w:pStyle w:val="Heading3"/>
        <w:numPr>
          <w:ilvl w:val="2"/>
          <w:numId w:val="2"/>
        </w:numPr>
        <w:bidi w:val="0"/>
        <w:ind w:hanging="0" w:start="0"/>
        <w:jc w:val="start"/>
        <w:rPr>
          <w:rFonts w:ascii="Arial" w:hAnsi="Arial"/>
          <w:sz w:val="26"/>
          <w:szCs w:val="26"/>
        </w:rPr>
      </w:pPr>
      <w:bookmarkStart w:id="16" w:name="__RefHeading___Toc710_2329346255"/>
      <w:bookmarkEnd w:id="16"/>
      <w:r>
        <w:rPr>
          <w:rFonts w:ascii="Arial" w:hAnsi="Arial"/>
          <w:sz w:val="26"/>
          <w:szCs w:val="26"/>
        </w:rPr>
        <w:t>2.4.1 Resource Dependency and Financial Limitations</w:t>
      </w:r>
    </w:p>
    <w:p>
      <w:pPr>
        <w:pStyle w:val="BodyText"/>
        <w:bidi w:val="0"/>
        <w:jc w:val="start"/>
        <w:rPr/>
      </w:pPr>
      <w:r>
        <w:rPr/>
        <w:t>Community policing’s reliance on substantial resources—such as personnel, training, and consistent funding—limits its effectiveness, especially in economical</w:t>
      </w:r>
      <w:r>
        <w:rPr>
          <w:b w:val="false"/>
          <w:bCs w:val="false"/>
        </w:rPr>
        <w:t xml:space="preserve">ly constrained areas. </w:t>
      </w:r>
      <w:r>
        <w:rPr>
          <w:rStyle w:val="Strong"/>
          <w:b w:val="false"/>
          <w:bCs w:val="false"/>
        </w:rPr>
        <w:t>Mastrofski (2006)</w:t>
      </w:r>
      <w:r>
        <w:rPr>
          <w:b w:val="false"/>
          <w:bCs w:val="false"/>
        </w:rPr>
        <w:t xml:space="preserve"> highlights that community policing requires well-trained officers and sustained engagement, which can be difficult to maintain without adequate resources. </w:t>
      </w:r>
      <w:r>
        <w:rPr>
          <w:rStyle w:val="Strong"/>
          <w:b w:val="false"/>
          <w:bCs w:val="false"/>
        </w:rPr>
        <w:t>Rosenbaum et al. (2005)</w:t>
      </w:r>
      <w:r>
        <w:rPr>
          <w:b w:val="false"/>
          <w:bCs w:val="false"/>
        </w:rPr>
        <w:t xml:space="preserve"> note that budget constraints often lead to inconsistent implementation, especially in disadvantaged</w:t>
      </w:r>
      <w:r>
        <w:rPr/>
        <w:t xml:space="preserve"> communities, where funding limitations perpetuate inequalities in public safety and trust.</w:t>
      </w:r>
    </w:p>
    <w:p>
      <w:pPr>
        <w:pStyle w:val="Heading3"/>
        <w:numPr>
          <w:ilvl w:val="2"/>
          <w:numId w:val="2"/>
        </w:numPr>
        <w:bidi w:val="0"/>
        <w:ind w:hanging="0" w:start="0"/>
        <w:jc w:val="start"/>
        <w:rPr>
          <w:rFonts w:ascii="Arial" w:hAnsi="Arial"/>
          <w:sz w:val="26"/>
          <w:szCs w:val="26"/>
        </w:rPr>
      </w:pPr>
      <w:bookmarkStart w:id="17" w:name="__RefHeading___Toc712_2329346255"/>
      <w:bookmarkEnd w:id="17"/>
      <w:r>
        <w:rPr>
          <w:rFonts w:ascii="Arial" w:hAnsi="Arial"/>
          <w:sz w:val="26"/>
          <w:szCs w:val="26"/>
        </w:rPr>
        <w:t>2.4.2 Variability in Implementation and Lack of Standardization</w:t>
      </w:r>
    </w:p>
    <w:p>
      <w:pPr>
        <w:pStyle w:val="BodyText"/>
        <w:bidi w:val="0"/>
        <w:jc w:val="start"/>
        <w:rPr/>
      </w:pPr>
      <w:r>
        <w:rPr/>
        <w:t xml:space="preserve">The lack of a universally accepted model for community policing leads to significant variability in how it is implemented, which can affect outcomes. </w:t>
      </w:r>
      <w:r>
        <w:rPr>
          <w:rStyle w:val="Strong"/>
          <w:b w:val="false"/>
          <w:bCs w:val="false"/>
        </w:rPr>
        <w:t>Thacher (2001)</w:t>
      </w:r>
      <w:r>
        <w:rPr>
          <w:b w:val="false"/>
          <w:bCs w:val="false"/>
        </w:rPr>
        <w:t xml:space="preserve"> observed that community policing is often adapted to local needs but can suffer from inconsistent application and limited depth in engagement. </w:t>
      </w:r>
      <w:r>
        <w:rPr>
          <w:rStyle w:val="Strong"/>
          <w:b w:val="false"/>
          <w:bCs w:val="false"/>
        </w:rPr>
        <w:t>Weisburd and Braga (2018)</w:t>
      </w:r>
      <w:r>
        <w:rPr>
          <w:b w:val="false"/>
          <w:bCs w:val="false"/>
        </w:rPr>
        <w:t xml:space="preserve"> argue</w:t>
      </w:r>
      <w:r>
        <w:rPr/>
        <w:t xml:space="preserve"> that without a standardized framework, programs may become superficial gestures that fail to address deeper issues of crime and trust.</w:t>
      </w:r>
    </w:p>
    <w:p>
      <w:pPr>
        <w:pStyle w:val="Heading3"/>
        <w:numPr>
          <w:ilvl w:val="2"/>
          <w:numId w:val="2"/>
        </w:numPr>
        <w:bidi w:val="0"/>
        <w:ind w:hanging="0" w:start="0"/>
        <w:jc w:val="start"/>
        <w:rPr>
          <w:rFonts w:ascii="Arial" w:hAnsi="Arial"/>
          <w:sz w:val="26"/>
          <w:szCs w:val="26"/>
        </w:rPr>
      </w:pPr>
      <w:bookmarkStart w:id="18" w:name="__RefHeading___Toc714_2329346255"/>
      <w:bookmarkEnd w:id="18"/>
      <w:r>
        <w:rPr>
          <w:rFonts w:ascii="Arial" w:hAnsi="Arial"/>
          <w:sz w:val="26"/>
          <w:szCs w:val="26"/>
        </w:rPr>
        <w:t>2.4.3 Potential for Over-Policing and Racial Bias</w:t>
      </w:r>
    </w:p>
    <w:p>
      <w:pPr>
        <w:pStyle w:val="BodyText"/>
        <w:bidi w:val="0"/>
        <w:jc w:val="start"/>
        <w:rPr/>
      </w:pPr>
      <w:r>
        <w:rPr/>
        <w:t>Critics argue that community policing can lead to over-policing of minor offenses, particularly affecting marginalized communitie</w:t>
      </w:r>
      <w:r>
        <w:rPr>
          <w:b w:val="false"/>
          <w:bCs w:val="false"/>
        </w:rPr>
        <w:t xml:space="preserve">s. </w:t>
      </w:r>
      <w:r>
        <w:rPr>
          <w:rStyle w:val="Strong"/>
          <w:b w:val="false"/>
          <w:bCs w:val="false"/>
        </w:rPr>
        <w:t>Harcourt (2001)</w:t>
      </w:r>
      <w:r>
        <w:rPr>
          <w:b w:val="false"/>
          <w:bCs w:val="false"/>
        </w:rPr>
        <w:t xml:space="preserve"> notes that when minor infractions are strictly enforced, especially in low-income or minority neighborhoods, community policing may create perceptions of discrimination and deepen mistrust. </w:t>
      </w:r>
      <w:r>
        <w:rPr>
          <w:rStyle w:val="Strong"/>
          <w:b w:val="false"/>
          <w:bCs w:val="false"/>
        </w:rPr>
        <w:t>Brunson and Miller (2006)</w:t>
      </w:r>
      <w:r>
        <w:rPr>
          <w:b w:val="false"/>
          <w:bCs w:val="false"/>
        </w:rPr>
        <w:t xml:space="preserve"> found that minority residents often feel targeted, as community policing can lead to stricter enforcement of minor violations, which undermines its intended goal of building trust.</w:t>
      </w:r>
    </w:p>
    <w:p>
      <w:pPr>
        <w:pStyle w:val="Heading3"/>
        <w:numPr>
          <w:ilvl w:val="2"/>
          <w:numId w:val="2"/>
        </w:numPr>
        <w:bidi w:val="0"/>
        <w:ind w:hanging="0" w:start="0"/>
        <w:jc w:val="start"/>
        <w:rPr>
          <w:rFonts w:ascii="Arial" w:hAnsi="Arial"/>
          <w:sz w:val="26"/>
          <w:szCs w:val="26"/>
        </w:rPr>
      </w:pPr>
      <w:bookmarkStart w:id="19" w:name="__RefHeading___Toc716_2329346255"/>
      <w:bookmarkEnd w:id="19"/>
      <w:r>
        <w:rPr>
          <w:rFonts w:ascii="Arial" w:hAnsi="Arial"/>
          <w:sz w:val="26"/>
          <w:szCs w:val="26"/>
        </w:rPr>
        <w:t>2.4.4 Limited Effectiveness in Addressing Serious and Organized Crime</w:t>
      </w:r>
    </w:p>
    <w:p>
      <w:pPr>
        <w:pStyle w:val="BodyText"/>
        <w:bidi w:val="0"/>
        <w:jc w:val="start"/>
        <w:rPr/>
      </w:pPr>
      <w:r>
        <w:rPr/>
        <w:t>While community policing is effective in managing minor offenses, it lacks the specialized tools needed to combat ser</w:t>
      </w:r>
      <w:r>
        <w:rPr>
          <w:b w:val="false"/>
          <w:bCs w:val="false"/>
        </w:rPr>
        <w:t xml:space="preserve">ious crime. </w:t>
      </w:r>
      <w:r>
        <w:rPr>
          <w:rStyle w:val="Strong"/>
          <w:b w:val="false"/>
          <w:bCs w:val="false"/>
        </w:rPr>
        <w:t>Weisburd and Eck (2004)</w:t>
      </w:r>
      <w:r>
        <w:rPr>
          <w:b w:val="false"/>
          <w:bCs w:val="false"/>
        </w:rPr>
        <w:t xml:space="preserve"> argue that issues like gang violence or drug trafficking require intelligence-driven approaches that go beyond community-policing models. </w:t>
      </w:r>
      <w:r>
        <w:rPr>
          <w:rStyle w:val="Strong"/>
          <w:b w:val="false"/>
          <w:bCs w:val="false"/>
        </w:rPr>
        <w:t>Rosenbaum (2006)</w:t>
      </w:r>
      <w:r>
        <w:rPr>
          <w:b w:val="false"/>
          <w:bCs w:val="false"/>
        </w:rPr>
        <w:t xml:space="preserve"> suggests that community policing should be part of a broader law enforcement strategy, especially in high</w:t>
      </w:r>
      <w:r>
        <w:rPr/>
        <w:t>-crime areas where complex social issues contribute to crime.</w:t>
      </w:r>
    </w:p>
    <w:p>
      <w:pPr>
        <w:pStyle w:val="Heading3"/>
        <w:numPr>
          <w:ilvl w:val="2"/>
          <w:numId w:val="2"/>
        </w:numPr>
        <w:bidi w:val="0"/>
        <w:ind w:hanging="0" w:start="0"/>
        <w:jc w:val="start"/>
        <w:rPr>
          <w:rFonts w:ascii="Arial" w:hAnsi="Arial"/>
          <w:sz w:val="26"/>
          <w:szCs w:val="26"/>
        </w:rPr>
      </w:pPr>
      <w:bookmarkStart w:id="20" w:name="__RefHeading___Toc718_2329346255"/>
      <w:bookmarkEnd w:id="20"/>
      <w:r>
        <w:rPr>
          <w:rFonts w:ascii="Arial" w:hAnsi="Arial"/>
          <w:sz w:val="26"/>
          <w:szCs w:val="26"/>
        </w:rPr>
        <w:t>2.4.5 Challenges in Building Trust in Disadvantaged Communities</w:t>
      </w:r>
    </w:p>
    <w:p>
      <w:pPr>
        <w:pStyle w:val="BodyText"/>
        <w:bidi w:val="0"/>
        <w:jc w:val="start"/>
        <w:rPr/>
      </w:pPr>
      <w:r>
        <w:rPr/>
        <w:t>Building trust in economically disadvantaged neighborhoods, which often experience strained relationships with law enforcement, is a persistent challen</w:t>
      </w:r>
      <w:r>
        <w:rPr>
          <w:b w:val="false"/>
          <w:bCs w:val="false"/>
        </w:rPr>
        <w:t xml:space="preserve">ge. </w:t>
      </w:r>
      <w:r>
        <w:rPr>
          <w:rStyle w:val="Strong"/>
          <w:b w:val="false"/>
          <w:bCs w:val="false"/>
        </w:rPr>
        <w:t>Skogan (2006)</w:t>
      </w:r>
      <w:r>
        <w:rPr>
          <w:b w:val="false"/>
          <w:bCs w:val="false"/>
        </w:rPr>
        <w:t xml:space="preserve"> points out that low-income communities may perceive community policing as insincere, especially if past interactions with police have been negative. </w:t>
      </w:r>
      <w:r>
        <w:rPr>
          <w:rStyle w:val="Strong"/>
          <w:b w:val="false"/>
          <w:bCs w:val="false"/>
        </w:rPr>
        <w:t>Reisig and Parks (2000)</w:t>
      </w:r>
      <w:r>
        <w:rPr>
          <w:b w:val="false"/>
          <w:bCs w:val="false"/>
        </w:rPr>
        <w:t xml:space="preserve"> found that residents in such areas often view community-policing programs as symbolic, lacking genuine commitment to partnership, which limits their effectiveness.</w:t>
      </w:r>
    </w:p>
    <w:p>
      <w:pPr>
        <w:pStyle w:val="Heading3"/>
        <w:numPr>
          <w:ilvl w:val="2"/>
          <w:numId w:val="2"/>
        </w:numPr>
        <w:bidi w:val="0"/>
        <w:ind w:hanging="0" w:start="0"/>
        <w:jc w:val="start"/>
        <w:rPr>
          <w:rFonts w:ascii="Arial" w:hAnsi="Arial"/>
          <w:sz w:val="26"/>
          <w:szCs w:val="26"/>
        </w:rPr>
      </w:pPr>
      <w:bookmarkStart w:id="21" w:name="__RefHeading___Toc720_2329346255"/>
      <w:bookmarkEnd w:id="21"/>
      <w:r>
        <w:rPr>
          <w:rFonts w:ascii="Arial" w:hAnsi="Arial"/>
          <w:sz w:val="26"/>
          <w:szCs w:val="26"/>
        </w:rPr>
        <w:t>2.4.6 Summary</w:t>
      </w:r>
    </w:p>
    <w:p>
      <w:pPr>
        <w:pStyle w:val="BodyText"/>
        <w:bidi w:val="0"/>
        <w:jc w:val="start"/>
        <w:rPr/>
      </w:pPr>
      <w:r>
        <w:rPr/>
        <w:t>The critiques of community policing reveal significant challenges, including resource dependency, variability in implementation, over-policing, limited impact on serious crime, and trust-building difficulties in marginalized communities. While community policing has the potential to foster safer neighborhoods, these challenges highlight the need for context-sensitive implementation and integration within a comprehensive policing strategy. This study will consider these limitations in evaluating community policing’s impact in Telford.</w:t>
      </w:r>
    </w:p>
    <w:p>
      <w:pPr>
        <w:pStyle w:val="Normal"/>
        <w:bidi w:val="0"/>
        <w:jc w:val="start"/>
        <w:rPr/>
      </w:pPr>
      <w:r>
        <w:rPr/>
      </w:r>
    </w:p>
    <w:p>
      <w:pPr>
        <w:pStyle w:val="Heading2"/>
        <w:bidi w:val="0"/>
        <w:jc w:val="start"/>
        <w:rPr/>
      </w:pPr>
      <w:bookmarkStart w:id="22" w:name="__RefHeading___Toc722_2329346255"/>
      <w:bookmarkEnd w:id="22"/>
      <w:r>
        <w:rPr/>
        <w:t>2.5 Methodological Approaches in Community Policing Research</w:t>
      </w:r>
    </w:p>
    <w:p>
      <w:pPr>
        <w:pStyle w:val="BodyText"/>
        <w:bidi w:val="0"/>
        <w:jc w:val="start"/>
        <w:rPr/>
      </w:pPr>
      <w:r>
        <w:rPr/>
        <w:t>Research on community policing employs a variety of methodological approaches—qualitative, quantitative, and mixed-methods—each offering unique insights into its impact on crime and police-community relationships.</w:t>
      </w:r>
    </w:p>
    <w:p>
      <w:pPr>
        <w:pStyle w:val="Heading3"/>
        <w:numPr>
          <w:ilvl w:val="2"/>
          <w:numId w:val="2"/>
        </w:numPr>
        <w:bidi w:val="0"/>
        <w:ind w:hanging="0" w:start="0"/>
        <w:jc w:val="start"/>
        <w:rPr>
          <w:rFonts w:ascii="Arial" w:hAnsi="Arial"/>
          <w:sz w:val="26"/>
          <w:szCs w:val="26"/>
        </w:rPr>
      </w:pPr>
      <w:bookmarkStart w:id="23" w:name="__RefHeading___Toc724_2329346255"/>
      <w:bookmarkEnd w:id="23"/>
      <w:r>
        <w:rPr>
          <w:rFonts w:ascii="Arial" w:hAnsi="Arial"/>
          <w:sz w:val="26"/>
          <w:szCs w:val="26"/>
        </w:rPr>
        <w:t>2.5.1 Qualitative Methods</w:t>
      </w:r>
    </w:p>
    <w:p>
      <w:pPr>
        <w:pStyle w:val="BodyText"/>
        <w:bidi w:val="0"/>
        <w:jc w:val="start"/>
        <w:rPr/>
      </w:pPr>
      <w:r>
        <w:rPr/>
        <w:t>Qualitative methods, such as interviews, focus groups, and observational studies, are commonly used to capture community members' and officers' perspectives on community policing. These approaches provide rich insights into trust, cooperation, and the relational dynamics of policing. However, qualitative findings are often limited by small sample sizes and lack generalizability, making them best suited for in-depth, contextual analysis rather than broad conclusions.</w:t>
      </w:r>
    </w:p>
    <w:p>
      <w:pPr>
        <w:pStyle w:val="Heading3"/>
        <w:numPr>
          <w:ilvl w:val="2"/>
          <w:numId w:val="2"/>
        </w:numPr>
        <w:bidi w:val="0"/>
        <w:ind w:hanging="0" w:start="0"/>
        <w:jc w:val="start"/>
        <w:rPr>
          <w:rFonts w:ascii="Arial" w:hAnsi="Arial"/>
          <w:sz w:val="26"/>
          <w:szCs w:val="26"/>
        </w:rPr>
      </w:pPr>
      <w:bookmarkStart w:id="24" w:name="__RefHeading___Toc726_2329346255"/>
      <w:bookmarkEnd w:id="24"/>
      <w:r>
        <w:rPr>
          <w:rFonts w:ascii="Arial" w:hAnsi="Arial"/>
          <w:sz w:val="26"/>
          <w:szCs w:val="26"/>
        </w:rPr>
        <w:t>2.5.2 Quantitative Methods</w:t>
      </w:r>
    </w:p>
    <w:p>
      <w:pPr>
        <w:pStyle w:val="BodyText"/>
        <w:bidi w:val="0"/>
        <w:jc w:val="start"/>
        <w:rPr/>
      </w:pPr>
      <w:r>
        <w:rPr/>
        <w:t>Quantitative methods, including crime data analysis and surveys, allow researchers to assess community policing's measurable effects on crime rates and public perceptions. Crime data analysis helps correlate policing efforts with changes in crime, while surveys gauge public sentiment and trust levels. Although quantitative methods yield objective, statistical insights, they may oversimplify complex social dynamics and are limited by challenges in proving causation.</w:t>
      </w:r>
    </w:p>
    <w:p>
      <w:pPr>
        <w:pStyle w:val="Heading3"/>
        <w:numPr>
          <w:ilvl w:val="2"/>
          <w:numId w:val="2"/>
        </w:numPr>
        <w:bidi w:val="0"/>
        <w:ind w:hanging="0" w:start="0"/>
        <w:jc w:val="start"/>
        <w:rPr>
          <w:rFonts w:ascii="Arial" w:hAnsi="Arial"/>
          <w:sz w:val="26"/>
          <w:szCs w:val="26"/>
        </w:rPr>
      </w:pPr>
      <w:bookmarkStart w:id="25" w:name="__RefHeading___Toc728_2329346255"/>
      <w:bookmarkEnd w:id="25"/>
      <w:r>
        <w:rPr>
          <w:rFonts w:ascii="Arial" w:hAnsi="Arial"/>
          <w:sz w:val="26"/>
          <w:szCs w:val="26"/>
        </w:rPr>
        <w:t>2.5.3 Mixed-Methods Approaches</w:t>
      </w:r>
    </w:p>
    <w:p>
      <w:pPr>
        <w:pStyle w:val="BodyText"/>
        <w:bidi w:val="0"/>
        <w:jc w:val="start"/>
        <w:rPr/>
      </w:pPr>
      <w:r>
        <w:rPr/>
        <w:t>Mixed-methods research combines qualitative and quantitative techniques to provide a comprehensive understanding of community policing. This approach uses case studies, surveys, and follow-up interviews to triangulate data, capturing both the measurable outcomes and subjective experiences. Mixed-methods enable broader insights, but the approach is resource-intensive and requires expertise in integrating diverse findings.</w:t>
      </w:r>
    </w:p>
    <w:p>
      <w:pPr>
        <w:pStyle w:val="Heading3"/>
        <w:numPr>
          <w:ilvl w:val="2"/>
          <w:numId w:val="2"/>
        </w:numPr>
        <w:bidi w:val="0"/>
        <w:ind w:hanging="0" w:start="0"/>
        <w:jc w:val="start"/>
        <w:rPr>
          <w:rFonts w:ascii="Arial" w:hAnsi="Arial"/>
          <w:sz w:val="26"/>
          <w:szCs w:val="26"/>
        </w:rPr>
      </w:pPr>
      <w:bookmarkStart w:id="26" w:name="__RefHeading___Toc730_2329346255"/>
      <w:bookmarkEnd w:id="26"/>
      <w:r>
        <w:rPr>
          <w:rFonts w:ascii="Arial" w:hAnsi="Arial"/>
          <w:sz w:val="26"/>
          <w:szCs w:val="26"/>
        </w:rPr>
        <w:t>2.5.4 Innovative Approaches</w:t>
      </w:r>
    </w:p>
    <w:p>
      <w:pPr>
        <w:pStyle w:val="BodyText"/>
        <w:bidi w:val="0"/>
        <w:jc w:val="start"/>
        <w:rPr/>
      </w:pPr>
      <w:r>
        <w:rPr/>
        <w:t>Emerging methodologies, like geospatial analysis and big data, offer advanced ways to study community policing’s impact on crime patterns and public sentiment. Geographic Information Systems (GIS) map crime hotspots, while big data analytics analyze large datasets, enhancing traditional quantitative methods. However, these technologies require substantial resources and may lack the personal insights offered by traditional qualitative approaches.</w:t>
      </w:r>
    </w:p>
    <w:p>
      <w:pPr>
        <w:pStyle w:val="Heading3"/>
        <w:numPr>
          <w:ilvl w:val="2"/>
          <w:numId w:val="2"/>
        </w:numPr>
        <w:bidi w:val="0"/>
        <w:ind w:hanging="0" w:start="0"/>
        <w:jc w:val="start"/>
        <w:rPr>
          <w:rFonts w:ascii="Arial" w:hAnsi="Arial"/>
          <w:sz w:val="26"/>
          <w:szCs w:val="26"/>
        </w:rPr>
      </w:pPr>
      <w:bookmarkStart w:id="27" w:name="__RefHeading___Toc732_2329346255"/>
      <w:bookmarkEnd w:id="27"/>
      <w:r>
        <w:rPr>
          <w:rFonts w:ascii="Arial" w:hAnsi="Arial"/>
          <w:sz w:val="26"/>
          <w:szCs w:val="26"/>
        </w:rPr>
        <w:t>2.5.5 Summary</w:t>
      </w:r>
    </w:p>
    <w:p>
      <w:pPr>
        <w:pStyle w:val="BodyText"/>
        <w:bidi w:val="0"/>
        <w:jc w:val="start"/>
        <w:rPr/>
      </w:pPr>
      <w:r>
        <w:rPr/>
        <w:t>The diversity of methodologies in community policing research reflects its complexity. Qualitative methods capture relational dynamics, quantitative methods provide objective measurements, and mixed-methods offer holistic insights. Emerging methodologies add precision but require extensive resources. This study will consider each approach's strengths and limitations in assessing community policing’s impact in Telford.</w:t>
      </w:r>
    </w:p>
    <w:p>
      <w:pPr>
        <w:pStyle w:val="BodyText"/>
        <w:bidi w:val="0"/>
        <w:jc w:val="start"/>
        <w:rPr/>
      </w:pPr>
      <w:r>
        <w:rPr/>
      </w:r>
    </w:p>
    <w:p>
      <w:pPr>
        <w:pStyle w:val="Heading2"/>
        <w:bidi w:val="0"/>
        <w:jc w:val="start"/>
        <w:rPr/>
      </w:pPr>
      <w:bookmarkStart w:id="28" w:name="__RefHeading___Toc734_2329346255"/>
      <w:bookmarkEnd w:id="28"/>
      <w:r>
        <w:rPr/>
        <w:t>2.6 Gaps in the Literature</w:t>
      </w:r>
    </w:p>
    <w:p>
      <w:pPr>
        <w:pStyle w:val="BodyText"/>
        <w:bidi w:val="0"/>
        <w:jc w:val="start"/>
        <w:rPr/>
      </w:pPr>
      <w:r>
        <w:rPr/>
        <w:t>Despite substantial research on community policing, several gaps persist that limit a full understanding of its effectiveness across diverse contexts. Addressing these gaps could enhance the model’s adaptability and impact.</w:t>
      </w:r>
    </w:p>
    <w:p>
      <w:pPr>
        <w:pStyle w:val="BodyText"/>
        <w:bidi w:val="0"/>
        <w:jc w:val="start"/>
        <w:rPr/>
      </w:pPr>
      <w:r>
        <w:rPr/>
        <w:t>One significant gap is the limited focu</w:t>
      </w:r>
      <w:r>
        <w:rPr>
          <w:b w:val="false"/>
          <w:bCs w:val="false"/>
        </w:rPr>
        <w:t xml:space="preserve">s on </w:t>
      </w:r>
      <w:r>
        <w:rPr>
          <w:rStyle w:val="Strong"/>
          <w:b w:val="false"/>
          <w:bCs w:val="false"/>
        </w:rPr>
        <w:t>socio-economic and cultural contextualization</w:t>
      </w:r>
      <w:r>
        <w:rPr>
          <w:b w:val="false"/>
          <w:bCs w:val="false"/>
        </w:rPr>
        <w:t>. Most research has examined community policing in relatively homogeneous settings, leaving questions about its effectiveness in socio-economically diverse or culturally complex areas (Skogan, 2006). Studies suggest that disadvantaged or minority communities may respond differently due to unique challenges, yet these dynamics remain underexplored (Brunson &amp; Miller, 2006). Understanding how community policing functions across diverse settings could provide insights into tailoring approaches for different communities.</w:t>
      </w:r>
    </w:p>
    <w:p>
      <w:pPr>
        <w:pStyle w:val="BodyText"/>
        <w:bidi w:val="0"/>
        <w:jc w:val="start"/>
        <w:rPr/>
      </w:pPr>
      <w:r>
        <w:rPr>
          <w:b w:val="false"/>
          <w:bCs w:val="false"/>
        </w:rPr>
        <w:t xml:space="preserve">A second gap involves the </w:t>
      </w:r>
      <w:r>
        <w:rPr>
          <w:rStyle w:val="Strong"/>
          <w:b w:val="false"/>
          <w:bCs w:val="false"/>
        </w:rPr>
        <w:t>lack of longitudinal studies</w:t>
      </w:r>
      <w:r>
        <w:rPr>
          <w:b w:val="false"/>
          <w:bCs w:val="false"/>
        </w:rPr>
        <w:t xml:space="preserve"> assessing community policing’s long-term impact. Most research has focused on short-term outcomes, but evaluating sustained changes in crime rates, trust, and cooperation over time is essential for understanding community policing’s durability (Weisburd &amp; Eck, 2004). Without longitudinal data, it is difficult to determine whether the benefits of community policing endure or diminish without ongoing intervention.</w:t>
      </w:r>
    </w:p>
    <w:p>
      <w:pPr>
        <w:pStyle w:val="BodyText"/>
        <w:bidi w:val="0"/>
        <w:jc w:val="start"/>
        <w:rPr/>
      </w:pPr>
      <w:r>
        <w:rPr>
          <w:b w:val="false"/>
          <w:bCs w:val="false"/>
        </w:rPr>
        <w:t xml:space="preserve">Another emerging area needing further research is the </w:t>
      </w:r>
      <w:r>
        <w:rPr>
          <w:rStyle w:val="Strong"/>
          <w:b w:val="false"/>
          <w:bCs w:val="false"/>
        </w:rPr>
        <w:t>integration of technology</w:t>
      </w:r>
      <w:r>
        <w:rPr>
          <w:b w:val="false"/>
          <w:bCs w:val="false"/>
        </w:rPr>
        <w:t xml:space="preserve"> into community policing. Tools like geospatial analysis and social media platforms have the potential to improve engagement and resource allocation, but studies exploring these innovations are limited. Moreover, the privacy and ethical implications of technologies like big data analytics require careful consideration to prevent damaging trust with the public.</w:t>
      </w:r>
    </w:p>
    <w:p>
      <w:pPr>
        <w:pStyle w:val="BodyText"/>
        <w:bidi w:val="0"/>
        <w:jc w:val="start"/>
        <w:rPr/>
      </w:pPr>
      <w:r>
        <w:rPr>
          <w:b w:val="false"/>
          <w:bCs w:val="false"/>
        </w:rPr>
        <w:t xml:space="preserve">Additionally, there is a lack of </w:t>
      </w:r>
      <w:r>
        <w:rPr>
          <w:rStyle w:val="Strong"/>
          <w:b w:val="false"/>
          <w:bCs w:val="false"/>
        </w:rPr>
        <w:t>comparative studies across jurisdictions</w:t>
      </w:r>
      <w:r>
        <w:rPr>
          <w:b w:val="false"/>
          <w:bCs w:val="false"/>
        </w:rPr>
        <w:t>. Variations in community policing implementation make it challenging to generalize findings. Comparative research across different regions could help identify best practices and adaptable strategies, offering a broader understanding of community policing’s effectiveness under different conditions (Thacher, 2001).</w:t>
      </w:r>
    </w:p>
    <w:p>
      <w:pPr>
        <w:pStyle w:val="BodyText"/>
        <w:bidi w:val="0"/>
        <w:jc w:val="start"/>
        <w:rPr/>
      </w:pPr>
      <w:r>
        <w:rPr>
          <w:b w:val="false"/>
          <w:bCs w:val="false"/>
        </w:rPr>
        <w:t xml:space="preserve">Finally, the role of community policing in </w:t>
      </w:r>
      <w:r>
        <w:rPr>
          <w:rStyle w:val="Strong"/>
          <w:b w:val="false"/>
          <w:bCs w:val="false"/>
        </w:rPr>
        <w:t>addressing serious crime</w:t>
      </w:r>
      <w:r>
        <w:rPr>
          <w:b w:val="false"/>
          <w:bCs w:val="false"/>
        </w:rPr>
        <w:t xml:space="preserve"> is underexamined. While primarily focused on low-level disorder, community policing may have potential in creating safer environments that deter serious crime. Further research is needed to explore if enhanced community trust and cooperation could support efforts against high-impact crimes (Rosenbaum, 2006).</w:t>
      </w:r>
    </w:p>
    <w:p>
      <w:pPr>
        <w:pStyle w:val="BodyText"/>
        <w:bidi w:val="0"/>
        <w:jc w:val="start"/>
        <w:rPr>
          <w:b w:val="false"/>
          <w:bCs w:val="false"/>
        </w:rPr>
      </w:pPr>
      <w:r>
        <w:rPr>
          <w:b w:val="false"/>
          <w:bCs w:val="false"/>
        </w:rPr>
        <w:t>In summary, these gaps highlight areas where further research could deepen understanding of community policing and its adaptability across various contexts. This study aims to address some of these gaps by evaluating community policing’s impact in Telford, an area with diverse socio-economic and cultural dynamics, and exploring its potential for sustained benefits.</w:t>
      </w:r>
    </w:p>
    <w:p>
      <w:pPr>
        <w:pStyle w:val="BodyText"/>
        <w:bidi w:val="0"/>
        <w:jc w:val="start"/>
        <w:rPr/>
      </w:pPr>
      <w:r>
        <w:rPr/>
      </w:r>
    </w:p>
    <w:p>
      <w:pPr>
        <w:pStyle w:val="Heading2"/>
        <w:bidi w:val="0"/>
        <w:jc w:val="start"/>
        <w:rPr/>
      </w:pPr>
      <w:bookmarkStart w:id="29" w:name="__RefHeading___Toc736_2329346255"/>
      <w:bookmarkEnd w:id="29"/>
      <w:r>
        <w:rPr/>
        <w:t>2.7 Conclusion</w:t>
      </w:r>
    </w:p>
    <w:p>
      <w:pPr>
        <w:pStyle w:val="BodyText"/>
        <w:bidi w:val="0"/>
        <w:jc w:val="start"/>
        <w:rPr/>
      </w:pPr>
      <w:r>
        <w:rPr/>
        <w:t>The literature on community policing demonstrates its potential to foster safer communities and improve police-community relations, drawing on theories like social control, broken windows, and routine activities. Empirical evidence suggests that community policing can reduce minor crime rates and enhance public perceptions of law enforcement, particularly in urban settings. However, significant challenges, such as resource dependency, inconsistent implementation, and issues of over-policing, reveal limitations, especially in economically disadvantaged and marginalized communities.</w:t>
      </w:r>
    </w:p>
    <w:p>
      <w:pPr>
        <w:pStyle w:val="BodyText"/>
        <w:bidi w:val="0"/>
        <w:jc w:val="start"/>
        <w:rPr/>
      </w:pPr>
      <w:r>
        <w:rPr/>
        <w:t>Methodologically, research has employed diverse approaches, though gaps remain, particularly regarding long-term impact, socio-economic and cultural adaptability, and the integration of technology. Addressing these gaps, especially through comparative and longitudinal studies, could enhance our understanding of community policing’s scalability and durability.</w:t>
      </w:r>
    </w:p>
    <w:p>
      <w:pPr>
        <w:pStyle w:val="BodyText"/>
        <w:bidi w:val="0"/>
        <w:jc w:val="start"/>
        <w:rPr/>
      </w:pPr>
      <w:r>
        <w:rPr/>
        <w:t>This study will examine these issues within the context of Telford, an urban area with unique socio-economic and cultural dynamics, contributing to a nuanced understanding of community policing’s effectiveness. The findings are expected to offer insights and recommendations relevant for implementing community policing in similarly diverse urban environments.</w:t>
      </w:r>
    </w:p>
    <w:p>
      <w:pPr>
        <w:pStyle w:val="BodyText"/>
        <w:bidi w:val="0"/>
        <w:jc w:val="start"/>
        <w:rPr/>
      </w:pPr>
      <w:r>
        <w:rPr/>
      </w:r>
    </w:p>
    <w:p>
      <w:pPr>
        <w:pStyle w:val="Normal"/>
        <w:bidi w:val="0"/>
        <w:jc w:val="start"/>
        <w:rPr/>
      </w:pPr>
      <w:r>
        <w:rPr/>
      </w:r>
    </w:p>
    <w:p>
      <w:pPr>
        <w:pStyle w:val="Heading2"/>
        <w:bidi w:val="0"/>
        <w:ind w:start="720"/>
        <w:jc w:val="start"/>
        <w:rPr/>
      </w:pPr>
      <w:bookmarkStart w:id="30" w:name="__RefHeading___Toc632_1565507531"/>
      <w:bookmarkStart w:id="31" w:name="_Toc181428325"/>
      <w:bookmarkEnd w:id="30"/>
      <w:r>
        <w:rPr/>
        <w:t>Objective 1</w:t>
      </w:r>
      <w:bookmarkEnd w:id="31"/>
    </w:p>
    <w:p>
      <w:pPr>
        <w:pStyle w:val="Heading2"/>
        <w:bidi w:val="0"/>
        <w:ind w:start="720"/>
        <w:jc w:val="start"/>
        <w:rPr/>
      </w:pPr>
      <w:bookmarkStart w:id="32" w:name="__RefHeading___Toc634_1565507531"/>
      <w:bookmarkStart w:id="33" w:name="_Toc181428326"/>
      <w:bookmarkEnd w:id="32"/>
      <w:r>
        <w:rPr/>
        <w:t>Objective 2</w:t>
      </w:r>
      <w:bookmarkEnd w:id="33"/>
    </w:p>
    <w:p>
      <w:pPr>
        <w:pStyle w:val="Heading2"/>
        <w:bidi w:val="0"/>
        <w:ind w:start="720"/>
        <w:jc w:val="start"/>
        <w:rPr/>
      </w:pPr>
      <w:bookmarkStart w:id="34" w:name="__RefHeading___Toc636_1565507531"/>
      <w:bookmarkStart w:id="35" w:name="_Toc181428327"/>
      <w:bookmarkEnd w:id="34"/>
      <w:r>
        <w:rPr/>
        <w:t>Objective 3</w:t>
      </w:r>
      <w:bookmarkEnd w:id="35"/>
    </w:p>
    <w:p>
      <w:pPr>
        <w:pStyle w:val="Heading1"/>
        <w:numPr>
          <w:ilvl w:val="0"/>
          <w:numId w:val="1"/>
        </w:numPr>
        <w:bidi w:val="0"/>
        <w:jc w:val="start"/>
        <w:rPr/>
      </w:pPr>
      <w:bookmarkStart w:id="36" w:name="__RefHeading___Toc638_1565507531"/>
      <w:bookmarkStart w:id="37" w:name="_Toc181428328"/>
      <w:bookmarkEnd w:id="36"/>
      <w:r>
        <w:rPr/>
        <w:t>Research Methods (1500)</w:t>
      </w:r>
      <w:bookmarkEnd w:id="37"/>
    </w:p>
    <w:p>
      <w:pPr>
        <w:pStyle w:val="Heading2"/>
        <w:bidi w:val="0"/>
        <w:ind w:start="720"/>
        <w:jc w:val="start"/>
        <w:rPr/>
      </w:pPr>
      <w:bookmarkStart w:id="38" w:name="__RefHeading___Toc640_1565507531"/>
      <w:bookmarkStart w:id="39" w:name="_Toc181428329"/>
      <w:bookmarkEnd w:id="38"/>
      <w:r>
        <w:rPr/>
        <w:t>Subheading</w:t>
      </w:r>
      <w:bookmarkEnd w:id="39"/>
    </w:p>
    <w:p>
      <w:pPr>
        <w:pStyle w:val="Heading2"/>
        <w:bidi w:val="0"/>
        <w:ind w:start="720"/>
        <w:jc w:val="start"/>
        <w:rPr/>
      </w:pPr>
      <w:bookmarkStart w:id="40" w:name="__RefHeading___Toc642_1565507531"/>
      <w:bookmarkStart w:id="41" w:name="_Toc181428330"/>
      <w:bookmarkEnd w:id="40"/>
      <w:r>
        <w:rPr/>
        <w:t>Subheading</w:t>
      </w:r>
      <w:bookmarkEnd w:id="41"/>
    </w:p>
    <w:p>
      <w:pPr>
        <w:pStyle w:val="Heading2"/>
        <w:bidi w:val="0"/>
        <w:ind w:start="720"/>
        <w:jc w:val="start"/>
        <w:rPr/>
      </w:pPr>
      <w:bookmarkStart w:id="42" w:name="__RefHeading___Toc644_1565507531"/>
      <w:bookmarkStart w:id="43" w:name="_Toc181428331"/>
      <w:bookmarkEnd w:id="42"/>
      <w:r>
        <w:rPr/>
        <w:t>Subheading</w:t>
      </w:r>
      <w:bookmarkEnd w:id="43"/>
    </w:p>
    <w:p>
      <w:pPr>
        <w:pStyle w:val="Heading1"/>
        <w:numPr>
          <w:ilvl w:val="0"/>
          <w:numId w:val="1"/>
        </w:numPr>
        <w:bidi w:val="0"/>
        <w:jc w:val="start"/>
        <w:rPr/>
      </w:pPr>
      <w:bookmarkStart w:id="44" w:name="__RefHeading___Toc646_1565507531"/>
      <w:bookmarkStart w:id="45" w:name="_Toc181428332"/>
      <w:bookmarkEnd w:id="44"/>
      <w:r>
        <w:rPr/>
        <w:t>Findings (2000)</w:t>
      </w:r>
      <w:bookmarkEnd w:id="45"/>
    </w:p>
    <w:p>
      <w:pPr>
        <w:pStyle w:val="Heading1"/>
        <w:numPr>
          <w:ilvl w:val="0"/>
          <w:numId w:val="1"/>
        </w:numPr>
        <w:bidi w:val="0"/>
        <w:jc w:val="start"/>
        <w:rPr/>
      </w:pPr>
      <w:bookmarkStart w:id="46" w:name="__RefHeading___Toc648_1565507531"/>
      <w:bookmarkStart w:id="47" w:name="_Toc181428333"/>
      <w:bookmarkEnd w:id="46"/>
      <w:r>
        <w:rPr/>
        <w:t>Conclusion (800)</w:t>
      </w:r>
      <w:bookmarkEnd w:id="47"/>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r>
    </w:p>
    <w:p>
      <w:pPr>
        <w:pStyle w:val="Heading3"/>
        <w:numPr>
          <w:ilvl w:val="0"/>
          <w:numId w:val="0"/>
        </w:numPr>
        <w:tabs>
          <w:tab w:val="clear" w:pos="709"/>
          <w:tab w:val="left" w:pos="0" w:leader="none"/>
        </w:tabs>
        <w:bidi w:val="0"/>
        <w:ind w:hanging="0" w:start="0"/>
        <w:jc w:val="both"/>
        <w:rPr/>
      </w:pPr>
      <w:bookmarkStart w:id="48" w:name="__RefHeading___Toc1038_1565507531"/>
      <w:bookmarkEnd w:id="48"/>
      <w:r>
        <w:rPr/>
        <w:t>References</w:t>
      </w:r>
    </w:p>
    <w:p>
      <w:pPr>
        <w:pStyle w:val="BodyText"/>
        <w:bidi w:val="0"/>
        <w:spacing w:before="0" w:after="0"/>
        <w:jc w:val="start"/>
        <w:rPr/>
      </w:pPr>
      <w:r>
        <w:rPr/>
        <w:t xml:space="preserve">Bayley, D. H. (1994). </w:t>
      </w:r>
      <w:r>
        <w:rPr>
          <w:rStyle w:val="Emphasis"/>
        </w:rPr>
        <w:t>Police for the Future</w:t>
      </w:r>
      <w:r>
        <w:rPr/>
        <w:t>. Oxford University Press.</w:t>
      </w:r>
    </w:p>
    <w:p>
      <w:pPr>
        <w:pStyle w:val="BodyText"/>
        <w:bidi w:val="0"/>
        <w:spacing w:before="0" w:after="0"/>
        <w:jc w:val="start"/>
        <w:rPr/>
      </w:pPr>
      <w:r>
        <w:rPr/>
        <w:br/>
        <w:t xml:space="preserve">Gill, C., Weisburd, D., Telep, C. W., Vitter, Z., &amp; Bennett, T. (2014). "Community-Oriented Policing to Reduce Crime, Disorder, and Fear and Increase Satisfaction and Legitimacy among Citizens: A Systematic Review." </w:t>
      </w:r>
      <w:r>
        <w:rPr>
          <w:rStyle w:val="Emphasis"/>
        </w:rPr>
        <w:t>Journal of Experimental Criminology</w:t>
      </w:r>
      <w:r>
        <w:rPr/>
        <w:t xml:space="preserve">, 10(4), 399-428. </w:t>
      </w:r>
      <w:hyperlink r:id="rId4">
        <w:r>
          <w:rPr>
            <w:rStyle w:val="Hyperlink"/>
          </w:rPr>
          <w:t>doi:10.1007/s11292-014-9210-y.</w:t>
        </w:r>
      </w:hyperlink>
    </w:p>
    <w:p>
      <w:pPr>
        <w:pStyle w:val="BodyText"/>
        <w:bidi w:val="0"/>
        <w:spacing w:before="0" w:after="0"/>
        <w:jc w:val="start"/>
        <w:rPr/>
      </w:pPr>
      <w:r>
        <w:rPr/>
        <w:br/>
        <w:t xml:space="preserve">Hirschi, T. (1969). </w:t>
      </w:r>
      <w:r>
        <w:rPr>
          <w:rStyle w:val="Emphasis"/>
        </w:rPr>
        <w:t>Causes of Delinquency</w:t>
      </w:r>
      <w:r>
        <w:rPr/>
        <w:t>. University of California Press.</w:t>
      </w:r>
    </w:p>
    <w:p>
      <w:pPr>
        <w:pStyle w:val="BodyText"/>
        <w:bidi w:val="0"/>
        <w:spacing w:before="0" w:after="0"/>
        <w:jc w:val="start"/>
        <w:rPr/>
      </w:pPr>
      <w:r>
        <w:rPr/>
        <w:br/>
        <w:t xml:space="preserve">Kelling, G. L., &amp; Moore, M. H. (1988). </w:t>
      </w:r>
      <w:r>
        <w:rPr>
          <w:rStyle w:val="Emphasis"/>
        </w:rPr>
        <w:t>From Political to Reform to Community: The Evolving Strategy of Police</w:t>
      </w:r>
      <w:r>
        <w:rPr/>
        <w:t>. U.S. Department of Justice.</w:t>
      </w:r>
    </w:p>
    <w:p>
      <w:pPr>
        <w:pStyle w:val="BodyText"/>
        <w:bidi w:val="0"/>
        <w:spacing w:before="0" w:after="0"/>
        <w:jc w:val="start"/>
        <w:rPr/>
      </w:pPr>
      <w:r>
        <w:rPr/>
        <w:br/>
        <w:t xml:space="preserve">Mastrofski, S. D. (2006). "Critic: A Retrospective View on Community Policing." </w:t>
      </w:r>
      <w:r>
        <w:rPr>
          <w:rStyle w:val="Emphasis"/>
        </w:rPr>
        <w:t>Police Quarterly</w:t>
      </w:r>
      <w:r>
        <w:rPr/>
        <w:t>, 9(1), 22-26.</w:t>
      </w:r>
    </w:p>
    <w:p>
      <w:pPr>
        <w:pStyle w:val="BodyText"/>
        <w:bidi w:val="0"/>
        <w:spacing w:before="0" w:after="0"/>
        <w:jc w:val="start"/>
        <w:rPr/>
      </w:pPr>
      <w:r>
        <w:rPr/>
        <w:br/>
        <w:t xml:space="preserve">Reisig, M. D., &amp; Parks, R. B. (2000). "Perceptions of Fairness and the Legitimacy of the Police: A Comparison of Community Policing and the Traditional Model." </w:t>
      </w:r>
      <w:r>
        <w:rPr>
          <w:rStyle w:val="Emphasis"/>
        </w:rPr>
        <w:t>Justice Quarterly</w:t>
      </w:r>
      <w:r>
        <w:rPr/>
        <w:t>, 17(3), 607-629.</w:t>
        <w:br/>
        <w:t xml:space="preserve">Rosenbaum, D. P. (2006). "The Limits of Hot Spots Policing." In Weisburd, D., &amp; Braga, A. A. (Eds.), </w:t>
      </w:r>
      <w:r>
        <w:rPr>
          <w:rStyle w:val="Emphasis"/>
        </w:rPr>
        <w:t>Police Innovation: Contrasting Perspectives</w:t>
      </w:r>
      <w:r>
        <w:rPr/>
        <w:t>. Cambridge University Press.</w:t>
      </w:r>
    </w:p>
    <w:p>
      <w:pPr>
        <w:pStyle w:val="BodyText"/>
        <w:bidi w:val="0"/>
        <w:spacing w:before="0" w:after="0"/>
        <w:jc w:val="start"/>
        <w:rPr/>
      </w:pPr>
      <w:r>
        <w:rPr/>
        <w:br/>
        <w:t xml:space="preserve">Skogan, W. G. (2006). "The Promise of Community Policing." </w:t>
      </w:r>
      <w:r>
        <w:rPr>
          <w:rStyle w:val="Emphasis"/>
        </w:rPr>
        <w:t>Policing and Society</w:t>
      </w:r>
      <w:r>
        <w:rPr/>
        <w:t>, 16(3), 279-292.</w:t>
      </w:r>
    </w:p>
    <w:p>
      <w:pPr>
        <w:pStyle w:val="BodyText"/>
        <w:bidi w:val="0"/>
        <w:spacing w:before="0" w:after="0"/>
        <w:jc w:val="start"/>
        <w:rPr/>
      </w:pPr>
      <w:r>
        <w:rPr/>
        <w:br/>
        <w:t xml:space="preserve">Skogan, W. G., &amp; Frydl, K. (2004). </w:t>
      </w:r>
      <w:r>
        <w:rPr>
          <w:rStyle w:val="Emphasis"/>
        </w:rPr>
        <w:t>Fairness and Effectiveness in Policing: The Evidence</w:t>
      </w:r>
      <w:r>
        <w:rPr/>
        <w:t>. National Academies Press.</w:t>
      </w:r>
    </w:p>
    <w:p>
      <w:pPr>
        <w:pStyle w:val="BodyText"/>
        <w:bidi w:val="0"/>
        <w:spacing w:before="0" w:after="0"/>
        <w:jc w:val="start"/>
        <w:rPr/>
      </w:pPr>
      <w:r>
        <w:rPr/>
        <w:br/>
        <w:t xml:space="preserve">Smith, J. (2020). "Community Policing in Action: The Townhill Anti-Burglary Initiative." </w:t>
      </w:r>
      <w:r>
        <w:rPr>
          <w:rStyle w:val="Emphasis"/>
        </w:rPr>
        <w:t>Journal of Crime Prevention</w:t>
      </w:r>
      <w:r>
        <w:rPr/>
        <w:t>, 5(2), 87-102.</w:t>
      </w:r>
    </w:p>
    <w:p>
      <w:pPr>
        <w:pStyle w:val="BodyText"/>
        <w:bidi w:val="0"/>
        <w:spacing w:before="0" w:after="0"/>
        <w:jc w:val="start"/>
        <w:rPr/>
      </w:pPr>
      <w:r>
        <w:rPr/>
        <w:br/>
        <w:t xml:space="preserve">Thacher, D. (2001). "Equity and Community Policing: A New View of Community Partnerships." </w:t>
      </w:r>
      <w:r>
        <w:rPr>
          <w:rStyle w:val="Emphasis"/>
        </w:rPr>
        <w:t>Criminal Justice Ethics</w:t>
      </w:r>
      <w:r>
        <w:rPr/>
        <w:t>, 20(1), 3-16.</w:t>
      </w:r>
    </w:p>
    <w:p>
      <w:pPr>
        <w:pStyle w:val="BodyText"/>
        <w:bidi w:val="0"/>
        <w:spacing w:before="0" w:after="0"/>
        <w:jc w:val="start"/>
        <w:rPr/>
      </w:pPr>
      <w:r>
        <w:rPr/>
        <w:br/>
        <w:t xml:space="preserve">Weisburd, D., &amp; Braga, A. A. (2018). "Police Innovation: Contrasting Perspectives on Real Reform." </w:t>
      </w:r>
      <w:r>
        <w:rPr>
          <w:rStyle w:val="Emphasis"/>
        </w:rPr>
        <w:t>Annual Review of Criminology</w:t>
      </w:r>
      <w:r>
        <w:rPr/>
        <w:t>, 1, 199-218.</w:t>
      </w:r>
    </w:p>
    <w:p>
      <w:pPr>
        <w:pStyle w:val="BodyText"/>
        <w:bidi w:val="0"/>
        <w:spacing w:before="0" w:after="0"/>
        <w:jc w:val="start"/>
        <w:rPr/>
      </w:pPr>
      <w:r>
        <w:rPr/>
        <w:br/>
        <w:t xml:space="preserve">Weisburd, D., &amp; Eck, J. E. (2004). "What Can Police Do to Reduce Crime, Disorder, and Fear?" </w:t>
      </w:r>
      <w:r>
        <w:rPr>
          <w:rStyle w:val="Emphasis"/>
        </w:rPr>
        <w:t>The Annals of the American Academy of Political and Social Science</w:t>
      </w:r>
      <w:r>
        <w:rPr/>
        <w:t>, 593(1), 42-65.</w:t>
      </w:r>
    </w:p>
    <w:p>
      <w:pPr>
        <w:pStyle w:val="BodyText"/>
        <w:bidi w:val="0"/>
        <w:spacing w:before="0" w:after="0"/>
        <w:jc w:val="start"/>
        <w:rPr/>
      </w:pPr>
      <w:r>
        <w:rPr/>
        <w:br/>
        <w:t xml:space="preserve">Wilson, J. Q., &amp; Kelling, G. L. (1982). "Broken Windows: The Police and Neighborhood Safety." </w:t>
      </w:r>
      <w:r>
        <w:rPr>
          <w:rStyle w:val="Emphasis"/>
        </w:rPr>
        <w:t>Atlantic Monthly</w:t>
      </w:r>
      <w:r>
        <w:rPr/>
        <w:t>, 249(3), 29-38.</w:t>
      </w:r>
    </w:p>
    <w:p>
      <w:pPr>
        <w:pStyle w:val="BodyText"/>
        <w:numPr>
          <w:ilvl w:val="0"/>
          <w:numId w:val="0"/>
        </w:numPr>
        <w:tabs>
          <w:tab w:val="clear" w:pos="709"/>
          <w:tab w:val="left" w:pos="0" w:leader="none"/>
        </w:tabs>
        <w:bidi w:val="0"/>
        <w:ind w:hanging="0" w:start="0"/>
        <w:jc w:val="both"/>
        <w:rPr/>
      </w:pPr>
      <w:r>
        <w:rPr/>
      </w:r>
    </w:p>
    <w:p>
      <w:pPr>
        <w:pStyle w:val="BodyText"/>
        <w:bidi w:val="0"/>
        <w:spacing w:before="0" w:after="0"/>
        <w:jc w:val="start"/>
        <w:rPr/>
      </w:pPr>
      <w:r>
        <w:rPr/>
      </w:r>
    </w:p>
    <w:p>
      <w:pPr>
        <w:pStyle w:val="BodyText"/>
        <w:numPr>
          <w:ilvl w:val="0"/>
          <w:numId w:val="0"/>
        </w:numPr>
        <w:tabs>
          <w:tab w:val="clear" w:pos="709"/>
          <w:tab w:val="left" w:pos="0" w:leader="none"/>
        </w:tabs>
        <w:bidi w:val="0"/>
        <w:ind w:hanging="0" w:start="0"/>
        <w:jc w:val="both"/>
        <w:rPr/>
      </w:pPr>
      <w:r>
        <w:rPr/>
      </w:r>
    </w:p>
    <w:p>
      <w:pPr>
        <w:pStyle w:val="BodyText"/>
        <w:numPr>
          <w:ilvl w:val="0"/>
          <w:numId w:val="0"/>
        </w:numPr>
        <w:tabs>
          <w:tab w:val="clear" w:pos="709"/>
          <w:tab w:val="left" w:pos="0" w:leader="none"/>
        </w:tabs>
        <w:bidi w:val="0"/>
        <w:ind w:hanging="0" w:start="0"/>
        <w:jc w:val="both"/>
        <w:rPr/>
      </w:pPr>
      <w:r>
        <w:rPr/>
      </w:r>
    </w:p>
    <w:p>
      <w:pPr>
        <w:pStyle w:val="BodyText"/>
        <w:numPr>
          <w:ilvl w:val="0"/>
          <w:numId w:val="0"/>
        </w:numPr>
        <w:tabs>
          <w:tab w:val="clear" w:pos="709"/>
          <w:tab w:val="left" w:pos="0" w:leader="none"/>
        </w:tabs>
        <w:bidi w:val="0"/>
        <w:ind w:hanging="0" w:start="0"/>
        <w:jc w:val="both"/>
        <w:rPr/>
      </w:pPr>
      <w:r>
        <w:rPr/>
      </w:r>
    </w:p>
    <w:p>
      <w:pPr>
        <w:pStyle w:val="BodyText"/>
        <w:bidi w:val="0"/>
        <w:spacing w:before="0" w:after="140"/>
        <w:jc w:val="start"/>
        <w:rPr/>
      </w:pPr>
      <w:r>
        <w:rPr/>
      </w:r>
    </w:p>
    <w:sectPr>
      <w:type w:val="nextPage"/>
      <w:pgSz w:w="11906" w:h="16838"/>
      <w:pgMar w:left="1134" w:right="1134" w:gutter="0" w:header="0" w:top="1134" w:footer="0" w:bottom="1134"/>
      <w:pgNumType w:start="0"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Arial">
    <w:charset w:val="01" w:characterSet="utf-8"/>
    <w:family w:val="roman"/>
    <w:pitch w:val="variable"/>
  </w:font>
  <w:font w:name="Liberation Serif">
    <w:altName w:val="Times New Roman"/>
    <w:charset w:val="01" w:characterSet="utf-8"/>
    <w:family w:val="swiss"/>
    <w:pitch w:val="variable"/>
  </w:font>
  <w:font w:name="Liberation Sans">
    <w:altName w:val="Arial"/>
    <w:charset w:val="01" w:characterSet="utf-8"/>
    <w:family w:val="swiss"/>
    <w:pitch w:val="variable"/>
  </w:font>
  <w:font w:name="Calibri">
    <w:charset w:val="01" w:characterSet="utf-8"/>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start"/>
      <w:pPr>
        <w:tabs>
          <w:tab w:val="num" w:pos="0"/>
        </w:tabs>
        <w:ind w:start="720" w:hanging="360"/>
      </w:pPr>
      <w:rPr/>
    </w:lvl>
    <w:lvl w:ilvl="1">
      <w:start w:val="1"/>
      <w:numFmt w:val="lowerLetter"/>
      <w:lvlText w:val="%2."/>
      <w:lvlJc w:val="start"/>
      <w:pPr>
        <w:tabs>
          <w:tab w:val="num" w:pos="0"/>
        </w:tabs>
        <w:ind w:start="1440" w:hanging="360"/>
      </w:pPr>
      <w:rPr/>
    </w:lvl>
    <w:lvl w:ilvl="2">
      <w:start w:val="1"/>
      <w:numFmt w:val="lowerRoman"/>
      <w:lvlText w:val="%3."/>
      <w:lvlJc w:val="end"/>
      <w:pPr>
        <w:tabs>
          <w:tab w:val="num" w:pos="0"/>
        </w:tabs>
        <w:ind w:start="2160" w:hanging="180"/>
      </w:pPr>
      <w:rPr/>
    </w:lvl>
    <w:lvl w:ilvl="3">
      <w:start w:val="1"/>
      <w:numFmt w:val="decimal"/>
      <w:lvlText w:val="%4."/>
      <w:lvlJc w:val="start"/>
      <w:pPr>
        <w:tabs>
          <w:tab w:val="num" w:pos="0"/>
        </w:tabs>
        <w:ind w:start="2880" w:hanging="360"/>
      </w:pPr>
      <w:rPr/>
    </w:lvl>
    <w:lvl w:ilvl="4">
      <w:start w:val="1"/>
      <w:numFmt w:val="lowerLetter"/>
      <w:lvlText w:val="%5."/>
      <w:lvlJc w:val="start"/>
      <w:pPr>
        <w:tabs>
          <w:tab w:val="num" w:pos="0"/>
        </w:tabs>
        <w:ind w:start="3600" w:hanging="360"/>
      </w:pPr>
      <w:rPr/>
    </w:lvl>
    <w:lvl w:ilvl="5">
      <w:start w:val="1"/>
      <w:numFmt w:val="lowerRoman"/>
      <w:lvlText w:val="%6."/>
      <w:lvlJc w:val="end"/>
      <w:pPr>
        <w:tabs>
          <w:tab w:val="num" w:pos="0"/>
        </w:tabs>
        <w:ind w:start="4320" w:hanging="180"/>
      </w:pPr>
      <w:rPr/>
    </w:lvl>
    <w:lvl w:ilvl="6">
      <w:start w:val="1"/>
      <w:numFmt w:val="decimal"/>
      <w:lvlText w:val="%7."/>
      <w:lvlJc w:val="start"/>
      <w:pPr>
        <w:tabs>
          <w:tab w:val="num" w:pos="0"/>
        </w:tabs>
        <w:ind w:start="5040" w:hanging="360"/>
      </w:pPr>
      <w:rPr/>
    </w:lvl>
    <w:lvl w:ilvl="7">
      <w:start w:val="1"/>
      <w:numFmt w:val="lowerLetter"/>
      <w:lvlText w:val="%8."/>
      <w:lvlJc w:val="start"/>
      <w:pPr>
        <w:tabs>
          <w:tab w:val="num" w:pos="0"/>
        </w:tabs>
        <w:ind w:start="5760" w:hanging="360"/>
      </w:pPr>
      <w:rPr/>
    </w:lvl>
    <w:lvl w:ilvl="8">
      <w:start w:val="1"/>
      <w:numFmt w:val="lowerRoman"/>
      <w:lvlText w:val="%9."/>
      <w:lvlJc w:val="end"/>
      <w:pPr>
        <w:tabs>
          <w:tab w:val="num" w:pos="0"/>
        </w:tabs>
        <w:ind w:start="6480" w:hanging="180"/>
      </w:pPr>
      <w:rPr/>
    </w:lvl>
  </w:abstractNum>
  <w:abstractNum w:abstractNumId="2">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3">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oto Serif CJK SC" w:cs="Noto Sans Devanagari"/>
        <w:kern w:val="2"/>
        <w:sz w:val="24"/>
        <w:szCs w:val="24"/>
        <w:lang w:val="en-US" w:eastAsia="zh-CN" w:bidi="hi-IN"/>
      </w:rPr>
    </w:rPrDefault>
    <w:pPrDefault>
      <w:pPr>
        <w:widowControl/>
        <w:suppressAutoHyphens w:val="true"/>
      </w:pPr>
    </w:pPrDefault>
  </w:docDefaults>
  <w:style w:type="paragraph" w:styleId="Normal">
    <w:name w:val="Normal"/>
    <w:qFormat/>
    <w:pPr>
      <w:widowControl/>
      <w:bidi w:val="0"/>
    </w:pPr>
    <w:rPr>
      <w:rFonts w:ascii="Liberation Serif" w:hAnsi="Liberation Serif" w:eastAsia="Noto Serif CJK SC" w:cs="Noto Sans Devanagari"/>
      <w:color w:val="auto"/>
      <w:kern w:val="2"/>
      <w:sz w:val="24"/>
      <w:szCs w:val="24"/>
      <w:lang w:val="en-US" w:eastAsia="zh-CN" w:bidi="hi-IN"/>
    </w:rPr>
  </w:style>
  <w:style w:type="paragraph" w:styleId="Heading1">
    <w:name w:val="Heading 1"/>
    <w:basedOn w:val="Normal"/>
    <w:next w:val="Normal"/>
    <w:qFormat/>
    <w:pPr>
      <w:keepNext w:val="true"/>
      <w:keepLines/>
      <w:spacing w:before="240" w:after="0"/>
      <w:outlineLvl w:val="0"/>
    </w:pPr>
    <w:rPr>
      <w:rFonts w:ascii="Arial" w:hAnsi="Arial" w:eastAsia="" w:cs="" w:cstheme="majorBidi" w:eastAsiaTheme="majorEastAsia"/>
      <w:color w:themeColor="accent1" w:themeShade="bf" w:val="2F5496"/>
      <w:sz w:val="32"/>
      <w:szCs w:val="32"/>
    </w:rPr>
  </w:style>
  <w:style w:type="paragraph" w:styleId="Heading2">
    <w:name w:val="Heading 2"/>
    <w:basedOn w:val="Normal"/>
    <w:next w:val="Normal"/>
    <w:qFormat/>
    <w:pPr>
      <w:keepNext w:val="true"/>
      <w:keepLines/>
      <w:spacing w:before="40" w:after="0"/>
      <w:outlineLvl w:val="1"/>
    </w:pPr>
    <w:rPr>
      <w:rFonts w:ascii="Arial" w:hAnsi="Arial" w:eastAsia="" w:cs="" w:cstheme="majorBidi" w:eastAsiaTheme="majorEastAsia"/>
      <w:color w:themeColor="accent1" w:themeShade="bf" w:val="2F5496"/>
      <w:sz w:val="26"/>
      <w:szCs w:val="26"/>
    </w:rPr>
  </w:style>
  <w:style w:type="paragraph" w:styleId="Heading3">
    <w:name w:val="Heading 3"/>
    <w:basedOn w:val="Heading"/>
    <w:next w:val="BodyText"/>
    <w:qFormat/>
    <w:pPr>
      <w:numPr>
        <w:ilvl w:val="2"/>
        <w:numId w:val="2"/>
      </w:numPr>
      <w:spacing w:before="140" w:after="120"/>
      <w:outlineLvl w:val="2"/>
    </w:pPr>
    <w:rPr>
      <w:rFonts w:ascii="Liberation Serif" w:hAnsi="Liberation Serif" w:eastAsia="Noto Serif CJK SC" w:cs="Noto Sans Devanagari"/>
      <w:b/>
      <w:bCs/>
      <w:sz w:val="28"/>
      <w:szCs w:val="28"/>
    </w:rPr>
  </w:style>
  <w:style w:type="character" w:styleId="Hyperlink">
    <w:name w:val="Hyperlink"/>
    <w:rPr>
      <w:color w:val="000080"/>
      <w:u w:val="single"/>
    </w:rPr>
  </w:style>
  <w:style w:type="character" w:styleId="IndexLink">
    <w:name w:val="Index Link"/>
    <w:qFormat/>
    <w:rPr/>
  </w:style>
  <w:style w:type="character" w:styleId="Strong">
    <w:name w:val="Strong"/>
    <w:qFormat/>
    <w:rPr>
      <w:b/>
      <w:bCs/>
    </w:rPr>
  </w:style>
  <w:style w:type="character" w:styleId="Emphasis">
    <w:name w:val="Emphasis"/>
    <w:qFormat/>
    <w:rPr>
      <w:i/>
      <w:iCs/>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TOCHeading">
    <w:name w:val="TOC Heading"/>
    <w:basedOn w:val="Heading1"/>
    <w:next w:val="Normal"/>
    <w:qFormat/>
    <w:pPr>
      <w:outlineLvl w:val="9"/>
    </w:pPr>
    <w:rPr>
      <w:lang w:val="en-US"/>
    </w:rPr>
  </w:style>
  <w:style w:type="paragraph" w:styleId="TOC1">
    <w:name w:val="TOC 1"/>
    <w:basedOn w:val="Normal"/>
    <w:next w:val="Normal"/>
    <w:pPr>
      <w:spacing w:before="0" w:after="100"/>
    </w:pPr>
    <w:rPr/>
  </w:style>
  <w:style w:type="paragraph" w:styleId="TOC2">
    <w:name w:val="TOC 2"/>
    <w:basedOn w:val="Normal"/>
    <w:next w:val="Normal"/>
    <w:pPr>
      <w:spacing w:before="0" w:after="100"/>
      <w:ind w:start="220"/>
    </w:pPr>
    <w:rPr/>
  </w:style>
  <w:style w:type="paragraph" w:styleId="TOC3">
    <w:name w:val="TOC 3"/>
    <w:basedOn w:val="Index"/>
    <w:pPr>
      <w:tabs>
        <w:tab w:val="clear" w:pos="709"/>
        <w:tab w:val="right" w:pos="9026" w:leader="dot"/>
      </w:tabs>
      <w:ind w:hanging="0" w:start="567"/>
    </w:pPr>
    <w:rPr/>
  </w:style>
  <w:style w:type="paragraph" w:styleId="FrameContents">
    <w:name w:val="Frame Contents"/>
    <w:basedOn w:val="Normal"/>
    <w:qFormat/>
    <w:pPr/>
    <w:rPr/>
  </w:style>
  <w:style w:type="paragraph" w:styleId="NoSpacing">
    <w:name w:val="No Spacing"/>
    <w:qFormat/>
    <w:pPr>
      <w:widowControl/>
      <w:suppressAutoHyphens w:val="true"/>
      <w:bidi w:val="0"/>
      <w:spacing w:before="0" w:after="0"/>
      <w:jc w:val="start"/>
    </w:pPr>
    <w:rPr>
      <w:rFonts w:ascii="Calibri" w:hAnsi="Calibri" w:eastAsia="" w:cs="" w:eastAsiaTheme="minorEastAsia"/>
      <w:color w:val="auto"/>
      <w:kern w:val="0"/>
      <w:sz w:val="22"/>
      <w:szCs w:val="22"/>
      <w:lang w:val="en-US" w:eastAsia="en-US" w:bidi="ar-SA"/>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hyperlink" Target="https://doi.org/10.1007/s11292-014-9210-y." TargetMode="Externa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2</TotalTime>
  <Application>LibreOffice/24.2.6.2$Linux_X86_64 LibreOffice_project/420$Build-2</Application>
  <AppVersion>15.0000</AppVersion>
  <Pages>11</Pages>
  <Words>3029</Words>
  <Characters>19859</Characters>
  <CharactersWithSpaces>22771</CharactersWithSpaces>
  <Paragraphs>132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2024-11-20T18:59:44Z</dcterms:created>
  <dc:creator/>
  <dc:description/>
  <dc:language>en-US</dc:language>
  <cp:lastModifiedBy/>
  <dcterms:modified xsi:type="dcterms:W3CDTF">2024-11-20T19:02:14Z</dcterms:modified>
  <cp:revision>1</cp:revision>
  <dc:subject/>
  <dc:title/>
</cp:coreProperties>
</file>