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9D6BB" w14:textId="30108129" w:rsidR="0095661C" w:rsidRPr="00850966" w:rsidRDefault="0095661C" w:rsidP="00CC71AB">
      <w:pPr>
        <w:pStyle w:val="Title"/>
        <w:jc w:val="center"/>
        <w:rPr>
          <w:rFonts w:asciiTheme="minorHAnsi" w:hAnsiTheme="minorHAnsi"/>
          <w:b/>
          <w:bCs/>
          <w:sz w:val="48"/>
          <w:szCs w:val="48"/>
        </w:rPr>
      </w:pPr>
      <w:r w:rsidRPr="00850966">
        <w:rPr>
          <w:rFonts w:asciiTheme="minorHAnsi" w:hAnsiTheme="minorHAnsi"/>
          <w:b/>
          <w:bCs/>
          <w:sz w:val="48"/>
          <w:szCs w:val="48"/>
        </w:rPr>
        <w:t>Understanding and engaging stakeholders</w:t>
      </w:r>
    </w:p>
    <w:p w14:paraId="28DFB334" w14:textId="0437C7BB" w:rsidR="0095661C" w:rsidRPr="00850966" w:rsidRDefault="0095661C" w:rsidP="00CC71AB">
      <w:pPr>
        <w:pStyle w:val="Title"/>
        <w:jc w:val="center"/>
        <w:rPr>
          <w:rFonts w:asciiTheme="minorHAnsi" w:hAnsiTheme="minorHAnsi"/>
          <w:b/>
          <w:bCs/>
          <w:sz w:val="48"/>
          <w:szCs w:val="48"/>
        </w:rPr>
      </w:pPr>
      <w:r w:rsidRPr="00850966">
        <w:rPr>
          <w:rFonts w:asciiTheme="minorHAnsi" w:hAnsiTheme="minorHAnsi"/>
          <w:b/>
          <w:bCs/>
          <w:sz w:val="48"/>
          <w:szCs w:val="48"/>
        </w:rPr>
        <w:t>Stakeholder engagement plan</w:t>
      </w:r>
    </w:p>
    <w:p w14:paraId="28EAA19E" w14:textId="77777777" w:rsidR="0095661C" w:rsidRPr="00850966" w:rsidRDefault="0095661C" w:rsidP="00CC71AB">
      <w:pPr>
        <w:pStyle w:val="Title"/>
        <w:jc w:val="center"/>
        <w:rPr>
          <w:rFonts w:asciiTheme="minorHAnsi" w:hAnsiTheme="minorHAnsi"/>
          <w:b/>
          <w:bCs/>
          <w:sz w:val="48"/>
          <w:szCs w:val="48"/>
        </w:rPr>
      </w:pPr>
      <w:r w:rsidRPr="00850966">
        <w:rPr>
          <w:rFonts w:asciiTheme="minorHAnsi" w:hAnsiTheme="minorHAnsi"/>
          <w:b/>
          <w:bCs/>
          <w:sz w:val="48"/>
          <w:szCs w:val="48"/>
        </w:rPr>
        <w:t>INDITEX</w:t>
      </w:r>
    </w:p>
    <w:p w14:paraId="5D195FE2" w14:textId="4A9E13AE" w:rsidR="00CC6E32" w:rsidRPr="00850966" w:rsidRDefault="0095661C" w:rsidP="00CC6E32">
      <w:pPr>
        <w:pStyle w:val="Title"/>
        <w:jc w:val="center"/>
        <w:rPr>
          <w:rFonts w:asciiTheme="minorHAnsi" w:hAnsiTheme="minorHAnsi"/>
          <w:b/>
          <w:bCs/>
          <w:sz w:val="48"/>
          <w:szCs w:val="48"/>
        </w:rPr>
      </w:pPr>
      <w:r w:rsidRPr="00850966">
        <w:rPr>
          <w:rFonts w:asciiTheme="minorHAnsi" w:hAnsiTheme="minorHAnsi"/>
          <w:b/>
          <w:bCs/>
          <w:sz w:val="48"/>
          <w:szCs w:val="48"/>
        </w:rPr>
        <w:t>Module Code: LCLM5001</w:t>
      </w:r>
    </w:p>
    <w:p w14:paraId="5EF7F0EA" w14:textId="74BDFF2B" w:rsidR="00850966" w:rsidRPr="00850966" w:rsidRDefault="00850966" w:rsidP="00850966">
      <w:pPr>
        <w:pStyle w:val="NoSpacing"/>
        <w:jc w:val="center"/>
        <w:rPr>
          <w:b/>
          <w:bCs/>
          <w:sz w:val="44"/>
          <w:szCs w:val="44"/>
        </w:rPr>
      </w:pPr>
      <w:r w:rsidRPr="00850966">
        <w:rPr>
          <w:b/>
          <w:bCs/>
          <w:sz w:val="44"/>
          <w:szCs w:val="44"/>
        </w:rPr>
        <w:t>Student Name; Kristian Gadzhev</w:t>
      </w:r>
    </w:p>
    <w:p w14:paraId="04E17AF9" w14:textId="6FC1B15C" w:rsidR="00850966" w:rsidRDefault="00850966" w:rsidP="00850966">
      <w:pPr>
        <w:pStyle w:val="NoSpacing"/>
        <w:jc w:val="center"/>
        <w:rPr>
          <w:b/>
          <w:bCs/>
          <w:sz w:val="44"/>
          <w:szCs w:val="44"/>
        </w:rPr>
      </w:pPr>
      <w:r w:rsidRPr="00850966">
        <w:rPr>
          <w:b/>
          <w:bCs/>
          <w:sz w:val="44"/>
          <w:szCs w:val="44"/>
        </w:rPr>
        <w:t>Student ID:2414422</w:t>
      </w:r>
    </w:p>
    <w:p w14:paraId="1348ED54" w14:textId="77777777" w:rsidR="00666143" w:rsidRDefault="00666143" w:rsidP="00850966">
      <w:pPr>
        <w:pStyle w:val="NoSpacing"/>
        <w:jc w:val="center"/>
        <w:rPr>
          <w:b/>
          <w:bCs/>
          <w:sz w:val="44"/>
          <w:szCs w:val="44"/>
        </w:rPr>
      </w:pPr>
    </w:p>
    <w:p w14:paraId="010C2C1D" w14:textId="77777777" w:rsidR="00666143" w:rsidRDefault="00666143" w:rsidP="00850966">
      <w:pPr>
        <w:pStyle w:val="NoSpacing"/>
        <w:jc w:val="center"/>
        <w:rPr>
          <w:b/>
          <w:bCs/>
          <w:sz w:val="44"/>
          <w:szCs w:val="44"/>
        </w:rPr>
      </w:pPr>
    </w:p>
    <w:p w14:paraId="1D785117" w14:textId="77777777" w:rsidR="00666143" w:rsidRDefault="00666143" w:rsidP="00850966">
      <w:pPr>
        <w:pStyle w:val="NoSpacing"/>
        <w:jc w:val="center"/>
        <w:rPr>
          <w:b/>
          <w:bCs/>
          <w:sz w:val="44"/>
          <w:szCs w:val="44"/>
        </w:rPr>
      </w:pPr>
    </w:p>
    <w:p w14:paraId="3D849344" w14:textId="77777777" w:rsidR="00666143" w:rsidRDefault="00666143" w:rsidP="00850966">
      <w:pPr>
        <w:pStyle w:val="NoSpacing"/>
        <w:jc w:val="center"/>
        <w:rPr>
          <w:b/>
          <w:bCs/>
          <w:sz w:val="44"/>
          <w:szCs w:val="44"/>
        </w:rPr>
      </w:pPr>
    </w:p>
    <w:p w14:paraId="360870C9" w14:textId="77777777" w:rsidR="00666143" w:rsidRDefault="00666143" w:rsidP="00850966">
      <w:pPr>
        <w:pStyle w:val="NoSpacing"/>
        <w:jc w:val="center"/>
        <w:rPr>
          <w:b/>
          <w:bCs/>
          <w:sz w:val="44"/>
          <w:szCs w:val="44"/>
        </w:rPr>
      </w:pPr>
    </w:p>
    <w:p w14:paraId="0F8B4CE2" w14:textId="77777777" w:rsidR="00666143" w:rsidRDefault="00666143" w:rsidP="00850966">
      <w:pPr>
        <w:pStyle w:val="NoSpacing"/>
        <w:jc w:val="center"/>
        <w:rPr>
          <w:b/>
          <w:bCs/>
          <w:sz w:val="44"/>
          <w:szCs w:val="44"/>
        </w:rPr>
      </w:pPr>
    </w:p>
    <w:p w14:paraId="27D42CFC" w14:textId="77777777" w:rsidR="00666143" w:rsidRDefault="00666143" w:rsidP="00850966">
      <w:pPr>
        <w:pStyle w:val="NoSpacing"/>
        <w:jc w:val="center"/>
        <w:rPr>
          <w:b/>
          <w:bCs/>
          <w:sz w:val="44"/>
          <w:szCs w:val="44"/>
        </w:rPr>
      </w:pPr>
    </w:p>
    <w:p w14:paraId="3D49C35D" w14:textId="77777777" w:rsidR="00666143" w:rsidRDefault="00666143" w:rsidP="00850966">
      <w:pPr>
        <w:pStyle w:val="NoSpacing"/>
        <w:jc w:val="center"/>
        <w:rPr>
          <w:b/>
          <w:bCs/>
          <w:sz w:val="44"/>
          <w:szCs w:val="44"/>
        </w:rPr>
      </w:pPr>
    </w:p>
    <w:p w14:paraId="7C2447FD" w14:textId="77777777" w:rsidR="00666143" w:rsidRDefault="00666143" w:rsidP="00850966">
      <w:pPr>
        <w:pStyle w:val="NoSpacing"/>
        <w:jc w:val="center"/>
        <w:rPr>
          <w:b/>
          <w:bCs/>
          <w:sz w:val="44"/>
          <w:szCs w:val="44"/>
        </w:rPr>
      </w:pPr>
    </w:p>
    <w:p w14:paraId="41C91299" w14:textId="77777777" w:rsidR="00666143" w:rsidRDefault="00666143" w:rsidP="00850966">
      <w:pPr>
        <w:pStyle w:val="NoSpacing"/>
        <w:jc w:val="center"/>
        <w:rPr>
          <w:b/>
          <w:bCs/>
          <w:sz w:val="44"/>
          <w:szCs w:val="44"/>
        </w:rPr>
      </w:pPr>
    </w:p>
    <w:p w14:paraId="4CCF996A" w14:textId="77777777" w:rsidR="00666143" w:rsidRDefault="00666143" w:rsidP="00850966">
      <w:pPr>
        <w:pStyle w:val="NoSpacing"/>
        <w:jc w:val="center"/>
        <w:rPr>
          <w:b/>
          <w:bCs/>
          <w:sz w:val="44"/>
          <w:szCs w:val="44"/>
        </w:rPr>
      </w:pPr>
    </w:p>
    <w:p w14:paraId="758E50A9" w14:textId="77777777" w:rsidR="00666143" w:rsidRDefault="00666143" w:rsidP="00850966">
      <w:pPr>
        <w:pStyle w:val="NoSpacing"/>
        <w:jc w:val="center"/>
        <w:rPr>
          <w:b/>
          <w:bCs/>
          <w:sz w:val="44"/>
          <w:szCs w:val="44"/>
        </w:rPr>
      </w:pPr>
    </w:p>
    <w:p w14:paraId="350C6377" w14:textId="77777777" w:rsidR="00666143" w:rsidRDefault="00666143" w:rsidP="00850966">
      <w:pPr>
        <w:pStyle w:val="NoSpacing"/>
        <w:jc w:val="center"/>
        <w:rPr>
          <w:b/>
          <w:bCs/>
          <w:sz w:val="44"/>
          <w:szCs w:val="44"/>
        </w:rPr>
      </w:pPr>
    </w:p>
    <w:p w14:paraId="2D2AC4C3" w14:textId="77777777" w:rsidR="00666143" w:rsidRDefault="00666143" w:rsidP="00850966">
      <w:pPr>
        <w:pStyle w:val="NoSpacing"/>
        <w:jc w:val="center"/>
        <w:rPr>
          <w:b/>
          <w:bCs/>
          <w:sz w:val="44"/>
          <w:szCs w:val="44"/>
        </w:rPr>
      </w:pPr>
    </w:p>
    <w:p w14:paraId="7C551F09" w14:textId="77777777" w:rsidR="00666143" w:rsidRDefault="00666143" w:rsidP="00850966">
      <w:pPr>
        <w:pStyle w:val="NoSpacing"/>
        <w:jc w:val="center"/>
        <w:rPr>
          <w:b/>
          <w:bCs/>
          <w:sz w:val="44"/>
          <w:szCs w:val="44"/>
        </w:rPr>
      </w:pPr>
    </w:p>
    <w:p w14:paraId="28C21A04" w14:textId="77777777" w:rsidR="00666143" w:rsidRDefault="00666143" w:rsidP="00850966">
      <w:pPr>
        <w:pStyle w:val="NoSpacing"/>
        <w:jc w:val="center"/>
        <w:rPr>
          <w:b/>
          <w:bCs/>
          <w:sz w:val="44"/>
          <w:szCs w:val="44"/>
        </w:rPr>
      </w:pPr>
    </w:p>
    <w:p w14:paraId="1E7204C7" w14:textId="77777777" w:rsidR="00666143" w:rsidRDefault="00666143" w:rsidP="00850966">
      <w:pPr>
        <w:pStyle w:val="NoSpacing"/>
        <w:jc w:val="center"/>
        <w:rPr>
          <w:b/>
          <w:bCs/>
          <w:sz w:val="44"/>
          <w:szCs w:val="44"/>
        </w:rPr>
      </w:pPr>
    </w:p>
    <w:p w14:paraId="5D4C0446" w14:textId="77777777" w:rsidR="00666143" w:rsidRDefault="00666143" w:rsidP="00850966">
      <w:pPr>
        <w:pStyle w:val="NoSpacing"/>
        <w:jc w:val="center"/>
        <w:rPr>
          <w:b/>
          <w:bCs/>
          <w:sz w:val="44"/>
          <w:szCs w:val="44"/>
        </w:rPr>
      </w:pPr>
    </w:p>
    <w:sdt>
      <w:sdtPr>
        <w:id w:val="7694954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3B06228" w14:textId="5999F4A4" w:rsidR="00666143" w:rsidRDefault="00666143">
          <w:pPr>
            <w:pStyle w:val="TOCHeading"/>
          </w:pPr>
          <w:r>
            <w:t>Contents</w:t>
          </w:r>
        </w:p>
        <w:p w14:paraId="6DDA9870" w14:textId="4BEE9A71" w:rsidR="00666143" w:rsidRDefault="00666143">
          <w:pPr>
            <w:pStyle w:val="TOC1"/>
            <w:tabs>
              <w:tab w:val="right" w:leader="dot" w:pos="9016"/>
            </w:tabs>
            <w:rPr>
              <w:noProof/>
            </w:rPr>
          </w:pPr>
          <w:r>
            <w:fldChar w:fldCharType="begin"/>
          </w:r>
          <w:r>
            <w:instrText xml:space="preserve"> TOC \o "1-3" \h \z \u </w:instrText>
          </w:r>
          <w:r>
            <w:fldChar w:fldCharType="separate"/>
          </w:r>
          <w:hyperlink w:anchor="_Toc216360760" w:history="1">
            <w:r w:rsidRPr="002B3658">
              <w:rPr>
                <w:rStyle w:val="Hyperlink"/>
                <w:noProof/>
              </w:rPr>
              <w:t>1. Introduction — Owen Mumford</w:t>
            </w:r>
            <w:r>
              <w:rPr>
                <w:noProof/>
                <w:webHidden/>
              </w:rPr>
              <w:tab/>
            </w:r>
            <w:r>
              <w:rPr>
                <w:noProof/>
                <w:webHidden/>
              </w:rPr>
              <w:fldChar w:fldCharType="begin"/>
            </w:r>
            <w:r>
              <w:rPr>
                <w:noProof/>
                <w:webHidden/>
              </w:rPr>
              <w:instrText xml:space="preserve"> PAGEREF _Toc216360760 \h </w:instrText>
            </w:r>
            <w:r>
              <w:rPr>
                <w:noProof/>
                <w:webHidden/>
              </w:rPr>
            </w:r>
            <w:r>
              <w:rPr>
                <w:noProof/>
                <w:webHidden/>
              </w:rPr>
              <w:fldChar w:fldCharType="separate"/>
            </w:r>
            <w:r>
              <w:rPr>
                <w:noProof/>
                <w:webHidden/>
              </w:rPr>
              <w:t>3</w:t>
            </w:r>
            <w:r>
              <w:rPr>
                <w:noProof/>
                <w:webHidden/>
              </w:rPr>
              <w:fldChar w:fldCharType="end"/>
            </w:r>
          </w:hyperlink>
        </w:p>
        <w:p w14:paraId="7616F9FE" w14:textId="0F740F14" w:rsidR="00666143" w:rsidRDefault="00666143">
          <w:pPr>
            <w:pStyle w:val="TOC1"/>
            <w:tabs>
              <w:tab w:val="right" w:leader="dot" w:pos="9016"/>
            </w:tabs>
            <w:rPr>
              <w:noProof/>
            </w:rPr>
          </w:pPr>
          <w:hyperlink w:anchor="_Toc216360761" w:history="1">
            <w:r w:rsidRPr="002B3658">
              <w:rPr>
                <w:rStyle w:val="Hyperlink"/>
                <w:noProof/>
              </w:rPr>
              <w:t>Situational appraisal: SWOT and SMART objectives</w:t>
            </w:r>
            <w:r>
              <w:rPr>
                <w:noProof/>
                <w:webHidden/>
              </w:rPr>
              <w:tab/>
            </w:r>
            <w:r>
              <w:rPr>
                <w:noProof/>
                <w:webHidden/>
              </w:rPr>
              <w:fldChar w:fldCharType="begin"/>
            </w:r>
            <w:r>
              <w:rPr>
                <w:noProof/>
                <w:webHidden/>
              </w:rPr>
              <w:instrText xml:space="preserve"> PAGEREF _Toc216360761 \h </w:instrText>
            </w:r>
            <w:r>
              <w:rPr>
                <w:noProof/>
                <w:webHidden/>
              </w:rPr>
            </w:r>
            <w:r>
              <w:rPr>
                <w:noProof/>
                <w:webHidden/>
              </w:rPr>
              <w:fldChar w:fldCharType="separate"/>
            </w:r>
            <w:r>
              <w:rPr>
                <w:noProof/>
                <w:webHidden/>
              </w:rPr>
              <w:t>4</w:t>
            </w:r>
            <w:r>
              <w:rPr>
                <w:noProof/>
                <w:webHidden/>
              </w:rPr>
              <w:fldChar w:fldCharType="end"/>
            </w:r>
          </w:hyperlink>
        </w:p>
        <w:p w14:paraId="6A818878" w14:textId="45D22353" w:rsidR="00666143" w:rsidRDefault="00666143">
          <w:pPr>
            <w:pStyle w:val="TOC2"/>
            <w:tabs>
              <w:tab w:val="right" w:leader="dot" w:pos="9016"/>
            </w:tabs>
            <w:rPr>
              <w:noProof/>
            </w:rPr>
          </w:pPr>
          <w:hyperlink w:anchor="_Toc216360762" w:history="1">
            <w:r w:rsidRPr="002B3658">
              <w:rPr>
                <w:rStyle w:val="Hyperlink"/>
                <w:noProof/>
              </w:rPr>
              <w:t>SWOT analysis</w:t>
            </w:r>
            <w:r>
              <w:rPr>
                <w:noProof/>
                <w:webHidden/>
              </w:rPr>
              <w:tab/>
            </w:r>
            <w:r>
              <w:rPr>
                <w:noProof/>
                <w:webHidden/>
              </w:rPr>
              <w:fldChar w:fldCharType="begin"/>
            </w:r>
            <w:r>
              <w:rPr>
                <w:noProof/>
                <w:webHidden/>
              </w:rPr>
              <w:instrText xml:space="preserve"> PAGEREF _Toc216360762 \h </w:instrText>
            </w:r>
            <w:r>
              <w:rPr>
                <w:noProof/>
                <w:webHidden/>
              </w:rPr>
            </w:r>
            <w:r>
              <w:rPr>
                <w:noProof/>
                <w:webHidden/>
              </w:rPr>
              <w:fldChar w:fldCharType="separate"/>
            </w:r>
            <w:r>
              <w:rPr>
                <w:noProof/>
                <w:webHidden/>
              </w:rPr>
              <w:t>4</w:t>
            </w:r>
            <w:r>
              <w:rPr>
                <w:noProof/>
                <w:webHidden/>
              </w:rPr>
              <w:fldChar w:fldCharType="end"/>
            </w:r>
          </w:hyperlink>
        </w:p>
        <w:p w14:paraId="065D65E6" w14:textId="48EFCC38" w:rsidR="00666143" w:rsidRDefault="00666143">
          <w:pPr>
            <w:pStyle w:val="TOC1"/>
            <w:tabs>
              <w:tab w:val="right" w:leader="dot" w:pos="9016"/>
            </w:tabs>
            <w:rPr>
              <w:noProof/>
            </w:rPr>
          </w:pPr>
          <w:hyperlink w:anchor="_Toc216360763" w:history="1">
            <w:r w:rsidRPr="002B3658">
              <w:rPr>
                <w:rStyle w:val="Hyperlink"/>
                <w:noProof/>
              </w:rPr>
              <w:t>SMART objectives (aligned to the launch in six months)</w:t>
            </w:r>
            <w:r>
              <w:rPr>
                <w:noProof/>
                <w:webHidden/>
              </w:rPr>
              <w:tab/>
            </w:r>
            <w:r>
              <w:rPr>
                <w:noProof/>
                <w:webHidden/>
              </w:rPr>
              <w:fldChar w:fldCharType="begin"/>
            </w:r>
            <w:r>
              <w:rPr>
                <w:noProof/>
                <w:webHidden/>
              </w:rPr>
              <w:instrText xml:space="preserve"> PAGEREF _Toc216360763 \h </w:instrText>
            </w:r>
            <w:r>
              <w:rPr>
                <w:noProof/>
                <w:webHidden/>
              </w:rPr>
            </w:r>
            <w:r>
              <w:rPr>
                <w:noProof/>
                <w:webHidden/>
              </w:rPr>
              <w:fldChar w:fldCharType="separate"/>
            </w:r>
            <w:r>
              <w:rPr>
                <w:noProof/>
                <w:webHidden/>
              </w:rPr>
              <w:t>4</w:t>
            </w:r>
            <w:r>
              <w:rPr>
                <w:noProof/>
                <w:webHidden/>
              </w:rPr>
              <w:fldChar w:fldCharType="end"/>
            </w:r>
          </w:hyperlink>
        </w:p>
        <w:p w14:paraId="481AD729" w14:textId="1A8C52A1" w:rsidR="00666143" w:rsidRDefault="00666143">
          <w:pPr>
            <w:pStyle w:val="TOC2"/>
            <w:tabs>
              <w:tab w:val="right" w:leader="dot" w:pos="9016"/>
            </w:tabs>
            <w:rPr>
              <w:noProof/>
            </w:rPr>
          </w:pPr>
          <w:hyperlink w:anchor="_Toc216360764" w:history="1">
            <w:r w:rsidRPr="002B3658">
              <w:rPr>
                <w:rStyle w:val="Hyperlink"/>
                <w:noProof/>
              </w:rPr>
              <w:t>Additional SMART goals</w:t>
            </w:r>
            <w:r>
              <w:rPr>
                <w:noProof/>
                <w:webHidden/>
              </w:rPr>
              <w:tab/>
            </w:r>
            <w:r>
              <w:rPr>
                <w:noProof/>
                <w:webHidden/>
              </w:rPr>
              <w:fldChar w:fldCharType="begin"/>
            </w:r>
            <w:r>
              <w:rPr>
                <w:noProof/>
                <w:webHidden/>
              </w:rPr>
              <w:instrText xml:space="preserve"> PAGEREF _Toc216360764 \h </w:instrText>
            </w:r>
            <w:r>
              <w:rPr>
                <w:noProof/>
                <w:webHidden/>
              </w:rPr>
            </w:r>
            <w:r>
              <w:rPr>
                <w:noProof/>
                <w:webHidden/>
              </w:rPr>
              <w:fldChar w:fldCharType="separate"/>
            </w:r>
            <w:r>
              <w:rPr>
                <w:noProof/>
                <w:webHidden/>
              </w:rPr>
              <w:t>4</w:t>
            </w:r>
            <w:r>
              <w:rPr>
                <w:noProof/>
                <w:webHidden/>
              </w:rPr>
              <w:fldChar w:fldCharType="end"/>
            </w:r>
          </w:hyperlink>
        </w:p>
        <w:p w14:paraId="48BD18FC" w14:textId="0ED15070" w:rsidR="00666143" w:rsidRDefault="00666143">
          <w:pPr>
            <w:pStyle w:val="TOC1"/>
            <w:tabs>
              <w:tab w:val="right" w:leader="dot" w:pos="9016"/>
            </w:tabs>
            <w:rPr>
              <w:noProof/>
            </w:rPr>
          </w:pPr>
          <w:hyperlink w:anchor="_Toc216360765" w:history="1">
            <w:r w:rsidRPr="002B3658">
              <w:rPr>
                <w:rStyle w:val="Hyperlink"/>
                <w:noProof/>
              </w:rPr>
              <w:t>3. Key stakeholders: internal and external</w:t>
            </w:r>
            <w:r>
              <w:rPr>
                <w:noProof/>
                <w:webHidden/>
              </w:rPr>
              <w:tab/>
            </w:r>
            <w:r>
              <w:rPr>
                <w:noProof/>
                <w:webHidden/>
              </w:rPr>
              <w:fldChar w:fldCharType="begin"/>
            </w:r>
            <w:r>
              <w:rPr>
                <w:noProof/>
                <w:webHidden/>
              </w:rPr>
              <w:instrText xml:space="preserve"> PAGEREF _Toc216360765 \h </w:instrText>
            </w:r>
            <w:r>
              <w:rPr>
                <w:noProof/>
                <w:webHidden/>
              </w:rPr>
            </w:r>
            <w:r>
              <w:rPr>
                <w:noProof/>
                <w:webHidden/>
              </w:rPr>
              <w:fldChar w:fldCharType="separate"/>
            </w:r>
            <w:r>
              <w:rPr>
                <w:noProof/>
                <w:webHidden/>
              </w:rPr>
              <w:t>4</w:t>
            </w:r>
            <w:r>
              <w:rPr>
                <w:noProof/>
                <w:webHidden/>
              </w:rPr>
              <w:fldChar w:fldCharType="end"/>
            </w:r>
          </w:hyperlink>
        </w:p>
        <w:p w14:paraId="19745444" w14:textId="31D21F53" w:rsidR="00666143" w:rsidRDefault="00666143">
          <w:pPr>
            <w:pStyle w:val="TOC2"/>
            <w:tabs>
              <w:tab w:val="right" w:leader="dot" w:pos="9016"/>
            </w:tabs>
            <w:rPr>
              <w:noProof/>
            </w:rPr>
          </w:pPr>
          <w:hyperlink w:anchor="_Toc216360766" w:history="1">
            <w:r w:rsidRPr="002B3658">
              <w:rPr>
                <w:rStyle w:val="Hyperlink"/>
                <w:noProof/>
              </w:rPr>
              <w:t>High power, high interest (manage closely)</w:t>
            </w:r>
            <w:r>
              <w:rPr>
                <w:noProof/>
                <w:webHidden/>
              </w:rPr>
              <w:tab/>
            </w:r>
            <w:r>
              <w:rPr>
                <w:noProof/>
                <w:webHidden/>
              </w:rPr>
              <w:fldChar w:fldCharType="begin"/>
            </w:r>
            <w:r>
              <w:rPr>
                <w:noProof/>
                <w:webHidden/>
              </w:rPr>
              <w:instrText xml:space="preserve"> PAGEREF _Toc216360766 \h </w:instrText>
            </w:r>
            <w:r>
              <w:rPr>
                <w:noProof/>
                <w:webHidden/>
              </w:rPr>
            </w:r>
            <w:r>
              <w:rPr>
                <w:noProof/>
                <w:webHidden/>
              </w:rPr>
              <w:fldChar w:fldCharType="separate"/>
            </w:r>
            <w:r>
              <w:rPr>
                <w:noProof/>
                <w:webHidden/>
              </w:rPr>
              <w:t>4</w:t>
            </w:r>
            <w:r>
              <w:rPr>
                <w:noProof/>
                <w:webHidden/>
              </w:rPr>
              <w:fldChar w:fldCharType="end"/>
            </w:r>
          </w:hyperlink>
        </w:p>
        <w:p w14:paraId="1ED16A94" w14:textId="1277D092" w:rsidR="00666143" w:rsidRDefault="00666143">
          <w:pPr>
            <w:pStyle w:val="TOC2"/>
            <w:tabs>
              <w:tab w:val="right" w:leader="dot" w:pos="9016"/>
            </w:tabs>
            <w:rPr>
              <w:noProof/>
            </w:rPr>
          </w:pPr>
          <w:hyperlink w:anchor="_Toc216360767" w:history="1">
            <w:r w:rsidRPr="002B3658">
              <w:rPr>
                <w:rStyle w:val="Hyperlink"/>
                <w:noProof/>
              </w:rPr>
              <w:t>High power, low interest (keep satisfied)</w:t>
            </w:r>
            <w:r>
              <w:rPr>
                <w:noProof/>
                <w:webHidden/>
              </w:rPr>
              <w:tab/>
            </w:r>
            <w:r>
              <w:rPr>
                <w:noProof/>
                <w:webHidden/>
              </w:rPr>
              <w:fldChar w:fldCharType="begin"/>
            </w:r>
            <w:r>
              <w:rPr>
                <w:noProof/>
                <w:webHidden/>
              </w:rPr>
              <w:instrText xml:space="preserve"> PAGEREF _Toc216360767 \h </w:instrText>
            </w:r>
            <w:r>
              <w:rPr>
                <w:noProof/>
                <w:webHidden/>
              </w:rPr>
            </w:r>
            <w:r>
              <w:rPr>
                <w:noProof/>
                <w:webHidden/>
              </w:rPr>
              <w:fldChar w:fldCharType="separate"/>
            </w:r>
            <w:r>
              <w:rPr>
                <w:noProof/>
                <w:webHidden/>
              </w:rPr>
              <w:t>4</w:t>
            </w:r>
            <w:r>
              <w:rPr>
                <w:noProof/>
                <w:webHidden/>
              </w:rPr>
              <w:fldChar w:fldCharType="end"/>
            </w:r>
          </w:hyperlink>
        </w:p>
        <w:p w14:paraId="62F27A3E" w14:textId="3FEB4F5D" w:rsidR="00666143" w:rsidRDefault="00666143">
          <w:pPr>
            <w:pStyle w:val="TOC2"/>
            <w:tabs>
              <w:tab w:val="right" w:leader="dot" w:pos="9016"/>
            </w:tabs>
            <w:rPr>
              <w:noProof/>
            </w:rPr>
          </w:pPr>
          <w:hyperlink w:anchor="_Toc216360768" w:history="1">
            <w:r w:rsidRPr="002B3658">
              <w:rPr>
                <w:rStyle w:val="Hyperlink"/>
                <w:noProof/>
              </w:rPr>
              <w:t>Low power, high interest (keep informed and involved)</w:t>
            </w:r>
            <w:r>
              <w:rPr>
                <w:noProof/>
                <w:webHidden/>
              </w:rPr>
              <w:tab/>
            </w:r>
            <w:r>
              <w:rPr>
                <w:noProof/>
                <w:webHidden/>
              </w:rPr>
              <w:fldChar w:fldCharType="begin"/>
            </w:r>
            <w:r>
              <w:rPr>
                <w:noProof/>
                <w:webHidden/>
              </w:rPr>
              <w:instrText xml:space="preserve"> PAGEREF _Toc216360768 \h </w:instrText>
            </w:r>
            <w:r>
              <w:rPr>
                <w:noProof/>
                <w:webHidden/>
              </w:rPr>
            </w:r>
            <w:r>
              <w:rPr>
                <w:noProof/>
                <w:webHidden/>
              </w:rPr>
              <w:fldChar w:fldCharType="separate"/>
            </w:r>
            <w:r>
              <w:rPr>
                <w:noProof/>
                <w:webHidden/>
              </w:rPr>
              <w:t>4</w:t>
            </w:r>
            <w:r>
              <w:rPr>
                <w:noProof/>
                <w:webHidden/>
              </w:rPr>
              <w:fldChar w:fldCharType="end"/>
            </w:r>
          </w:hyperlink>
        </w:p>
        <w:p w14:paraId="0B488B7F" w14:textId="46EF61A0" w:rsidR="00666143" w:rsidRDefault="00666143">
          <w:pPr>
            <w:pStyle w:val="TOC2"/>
            <w:tabs>
              <w:tab w:val="right" w:leader="dot" w:pos="9016"/>
            </w:tabs>
            <w:rPr>
              <w:noProof/>
            </w:rPr>
          </w:pPr>
          <w:hyperlink w:anchor="_Toc216360769" w:history="1">
            <w:r w:rsidRPr="002B3658">
              <w:rPr>
                <w:rStyle w:val="Hyperlink"/>
                <w:noProof/>
              </w:rPr>
              <w:t>Low power, low interest (monitor)</w:t>
            </w:r>
            <w:r>
              <w:rPr>
                <w:noProof/>
                <w:webHidden/>
              </w:rPr>
              <w:tab/>
            </w:r>
            <w:r>
              <w:rPr>
                <w:noProof/>
                <w:webHidden/>
              </w:rPr>
              <w:fldChar w:fldCharType="begin"/>
            </w:r>
            <w:r>
              <w:rPr>
                <w:noProof/>
                <w:webHidden/>
              </w:rPr>
              <w:instrText xml:space="preserve"> PAGEREF _Toc216360769 \h </w:instrText>
            </w:r>
            <w:r>
              <w:rPr>
                <w:noProof/>
                <w:webHidden/>
              </w:rPr>
            </w:r>
            <w:r>
              <w:rPr>
                <w:noProof/>
                <w:webHidden/>
              </w:rPr>
              <w:fldChar w:fldCharType="separate"/>
            </w:r>
            <w:r>
              <w:rPr>
                <w:noProof/>
                <w:webHidden/>
              </w:rPr>
              <w:t>5</w:t>
            </w:r>
            <w:r>
              <w:rPr>
                <w:noProof/>
                <w:webHidden/>
              </w:rPr>
              <w:fldChar w:fldCharType="end"/>
            </w:r>
          </w:hyperlink>
        </w:p>
        <w:p w14:paraId="791C3AFC" w14:textId="3B54DB51" w:rsidR="00666143" w:rsidRDefault="00666143">
          <w:pPr>
            <w:pStyle w:val="TOC2"/>
            <w:tabs>
              <w:tab w:val="right" w:leader="dot" w:pos="9016"/>
            </w:tabs>
            <w:rPr>
              <w:noProof/>
            </w:rPr>
          </w:pPr>
          <w:hyperlink w:anchor="_Toc216360770" w:history="1">
            <w:r w:rsidRPr="002B3658">
              <w:rPr>
                <w:rStyle w:val="Hyperlink"/>
                <w:noProof/>
              </w:rPr>
              <w:t>External stakeholders of note</w:t>
            </w:r>
            <w:r>
              <w:rPr>
                <w:noProof/>
                <w:webHidden/>
              </w:rPr>
              <w:tab/>
            </w:r>
            <w:r>
              <w:rPr>
                <w:noProof/>
                <w:webHidden/>
              </w:rPr>
              <w:fldChar w:fldCharType="begin"/>
            </w:r>
            <w:r>
              <w:rPr>
                <w:noProof/>
                <w:webHidden/>
              </w:rPr>
              <w:instrText xml:space="preserve"> PAGEREF _Toc216360770 \h </w:instrText>
            </w:r>
            <w:r>
              <w:rPr>
                <w:noProof/>
                <w:webHidden/>
              </w:rPr>
            </w:r>
            <w:r>
              <w:rPr>
                <w:noProof/>
                <w:webHidden/>
              </w:rPr>
              <w:fldChar w:fldCharType="separate"/>
            </w:r>
            <w:r>
              <w:rPr>
                <w:noProof/>
                <w:webHidden/>
              </w:rPr>
              <w:t>5</w:t>
            </w:r>
            <w:r>
              <w:rPr>
                <w:noProof/>
                <w:webHidden/>
              </w:rPr>
              <w:fldChar w:fldCharType="end"/>
            </w:r>
          </w:hyperlink>
        </w:p>
        <w:p w14:paraId="4B0FCA0F" w14:textId="46C8F83D" w:rsidR="00666143" w:rsidRDefault="00666143">
          <w:pPr>
            <w:pStyle w:val="TOC1"/>
            <w:tabs>
              <w:tab w:val="right" w:leader="dot" w:pos="9016"/>
            </w:tabs>
            <w:rPr>
              <w:noProof/>
            </w:rPr>
          </w:pPr>
          <w:hyperlink w:anchor="_Toc216360771" w:history="1">
            <w:r w:rsidRPr="002B3658">
              <w:rPr>
                <w:rStyle w:val="Hyperlink"/>
                <w:noProof/>
              </w:rPr>
              <w:t>4. Roles, responsibilities, benefits and challenges</w:t>
            </w:r>
            <w:r>
              <w:rPr>
                <w:noProof/>
                <w:webHidden/>
              </w:rPr>
              <w:tab/>
            </w:r>
            <w:r>
              <w:rPr>
                <w:noProof/>
                <w:webHidden/>
              </w:rPr>
              <w:fldChar w:fldCharType="begin"/>
            </w:r>
            <w:r>
              <w:rPr>
                <w:noProof/>
                <w:webHidden/>
              </w:rPr>
              <w:instrText xml:space="preserve"> PAGEREF _Toc216360771 \h </w:instrText>
            </w:r>
            <w:r>
              <w:rPr>
                <w:noProof/>
                <w:webHidden/>
              </w:rPr>
            </w:r>
            <w:r>
              <w:rPr>
                <w:noProof/>
                <w:webHidden/>
              </w:rPr>
              <w:fldChar w:fldCharType="separate"/>
            </w:r>
            <w:r>
              <w:rPr>
                <w:noProof/>
                <w:webHidden/>
              </w:rPr>
              <w:t>5</w:t>
            </w:r>
            <w:r>
              <w:rPr>
                <w:noProof/>
                <w:webHidden/>
              </w:rPr>
              <w:fldChar w:fldCharType="end"/>
            </w:r>
          </w:hyperlink>
        </w:p>
        <w:p w14:paraId="37C78CAC" w14:textId="33587060" w:rsidR="00666143" w:rsidRDefault="00666143">
          <w:pPr>
            <w:pStyle w:val="TOC2"/>
            <w:tabs>
              <w:tab w:val="right" w:leader="dot" w:pos="9016"/>
            </w:tabs>
            <w:rPr>
              <w:noProof/>
            </w:rPr>
          </w:pPr>
          <w:hyperlink w:anchor="_Toc216360772" w:history="1">
            <w:r w:rsidRPr="002B3658">
              <w:rPr>
                <w:rStyle w:val="Hyperlink"/>
                <w:noProof/>
              </w:rPr>
              <w:t>Executive leadership and Board</w:t>
            </w:r>
            <w:r>
              <w:rPr>
                <w:noProof/>
                <w:webHidden/>
              </w:rPr>
              <w:tab/>
            </w:r>
            <w:r>
              <w:rPr>
                <w:noProof/>
                <w:webHidden/>
              </w:rPr>
              <w:fldChar w:fldCharType="begin"/>
            </w:r>
            <w:r>
              <w:rPr>
                <w:noProof/>
                <w:webHidden/>
              </w:rPr>
              <w:instrText xml:space="preserve"> PAGEREF _Toc216360772 \h </w:instrText>
            </w:r>
            <w:r>
              <w:rPr>
                <w:noProof/>
                <w:webHidden/>
              </w:rPr>
            </w:r>
            <w:r>
              <w:rPr>
                <w:noProof/>
                <w:webHidden/>
              </w:rPr>
              <w:fldChar w:fldCharType="separate"/>
            </w:r>
            <w:r>
              <w:rPr>
                <w:noProof/>
                <w:webHidden/>
              </w:rPr>
              <w:t>5</w:t>
            </w:r>
            <w:r>
              <w:rPr>
                <w:noProof/>
                <w:webHidden/>
              </w:rPr>
              <w:fldChar w:fldCharType="end"/>
            </w:r>
          </w:hyperlink>
        </w:p>
        <w:p w14:paraId="7D6C798C" w14:textId="2A097AAC" w:rsidR="00666143" w:rsidRDefault="00666143">
          <w:pPr>
            <w:pStyle w:val="TOC2"/>
            <w:tabs>
              <w:tab w:val="right" w:leader="dot" w:pos="9016"/>
            </w:tabs>
            <w:rPr>
              <w:noProof/>
            </w:rPr>
          </w:pPr>
          <w:hyperlink w:anchor="_Toc216360773" w:history="1">
            <w:r w:rsidRPr="002B3658">
              <w:rPr>
                <w:rStyle w:val="Hyperlink"/>
                <w:noProof/>
              </w:rPr>
              <w:t>Regulatory and Quality functions (internal) and MHRA (external)</w:t>
            </w:r>
            <w:r>
              <w:rPr>
                <w:noProof/>
                <w:webHidden/>
              </w:rPr>
              <w:tab/>
            </w:r>
            <w:r>
              <w:rPr>
                <w:noProof/>
                <w:webHidden/>
              </w:rPr>
              <w:fldChar w:fldCharType="begin"/>
            </w:r>
            <w:r>
              <w:rPr>
                <w:noProof/>
                <w:webHidden/>
              </w:rPr>
              <w:instrText xml:space="preserve"> PAGEREF _Toc216360773 \h </w:instrText>
            </w:r>
            <w:r>
              <w:rPr>
                <w:noProof/>
                <w:webHidden/>
              </w:rPr>
            </w:r>
            <w:r>
              <w:rPr>
                <w:noProof/>
                <w:webHidden/>
              </w:rPr>
              <w:fldChar w:fldCharType="separate"/>
            </w:r>
            <w:r>
              <w:rPr>
                <w:noProof/>
                <w:webHidden/>
              </w:rPr>
              <w:t>5</w:t>
            </w:r>
            <w:r>
              <w:rPr>
                <w:noProof/>
                <w:webHidden/>
              </w:rPr>
              <w:fldChar w:fldCharType="end"/>
            </w:r>
          </w:hyperlink>
        </w:p>
        <w:p w14:paraId="457FF29C" w14:textId="370B925D" w:rsidR="00666143" w:rsidRDefault="00666143">
          <w:pPr>
            <w:pStyle w:val="TOC2"/>
            <w:tabs>
              <w:tab w:val="right" w:leader="dot" w:pos="9016"/>
            </w:tabs>
            <w:rPr>
              <w:noProof/>
            </w:rPr>
          </w:pPr>
          <w:hyperlink w:anchor="_Toc216360774" w:history="1">
            <w:r w:rsidRPr="002B3658">
              <w:rPr>
                <w:rStyle w:val="Hyperlink"/>
                <w:noProof/>
              </w:rPr>
              <w:t>Product development team (engineering, firmware, algorithms, human factors)</w:t>
            </w:r>
            <w:r>
              <w:rPr>
                <w:noProof/>
                <w:webHidden/>
              </w:rPr>
              <w:tab/>
            </w:r>
            <w:r>
              <w:rPr>
                <w:noProof/>
                <w:webHidden/>
              </w:rPr>
              <w:fldChar w:fldCharType="begin"/>
            </w:r>
            <w:r>
              <w:rPr>
                <w:noProof/>
                <w:webHidden/>
              </w:rPr>
              <w:instrText xml:space="preserve"> PAGEREF _Toc216360774 \h </w:instrText>
            </w:r>
            <w:r>
              <w:rPr>
                <w:noProof/>
                <w:webHidden/>
              </w:rPr>
            </w:r>
            <w:r>
              <w:rPr>
                <w:noProof/>
                <w:webHidden/>
              </w:rPr>
              <w:fldChar w:fldCharType="separate"/>
            </w:r>
            <w:r>
              <w:rPr>
                <w:noProof/>
                <w:webHidden/>
              </w:rPr>
              <w:t>6</w:t>
            </w:r>
            <w:r>
              <w:rPr>
                <w:noProof/>
                <w:webHidden/>
              </w:rPr>
              <w:fldChar w:fldCharType="end"/>
            </w:r>
          </w:hyperlink>
        </w:p>
        <w:p w14:paraId="588B2329" w14:textId="1E9572CD" w:rsidR="00666143" w:rsidRDefault="00666143">
          <w:pPr>
            <w:pStyle w:val="TOC2"/>
            <w:tabs>
              <w:tab w:val="right" w:leader="dot" w:pos="9016"/>
            </w:tabs>
            <w:rPr>
              <w:noProof/>
            </w:rPr>
          </w:pPr>
          <w:hyperlink w:anchor="_Toc216360775" w:history="1">
            <w:r w:rsidRPr="002B3658">
              <w:rPr>
                <w:rStyle w:val="Hyperlink"/>
                <w:noProof/>
              </w:rPr>
              <w:t>Clinical partners and Key Opinion Leaders (KOLs)</w:t>
            </w:r>
            <w:r>
              <w:rPr>
                <w:noProof/>
                <w:webHidden/>
              </w:rPr>
              <w:tab/>
            </w:r>
            <w:r>
              <w:rPr>
                <w:noProof/>
                <w:webHidden/>
              </w:rPr>
              <w:fldChar w:fldCharType="begin"/>
            </w:r>
            <w:r>
              <w:rPr>
                <w:noProof/>
                <w:webHidden/>
              </w:rPr>
              <w:instrText xml:space="preserve"> PAGEREF _Toc216360775 \h </w:instrText>
            </w:r>
            <w:r>
              <w:rPr>
                <w:noProof/>
                <w:webHidden/>
              </w:rPr>
            </w:r>
            <w:r>
              <w:rPr>
                <w:noProof/>
                <w:webHidden/>
              </w:rPr>
              <w:fldChar w:fldCharType="separate"/>
            </w:r>
            <w:r>
              <w:rPr>
                <w:noProof/>
                <w:webHidden/>
              </w:rPr>
              <w:t>6</w:t>
            </w:r>
            <w:r>
              <w:rPr>
                <w:noProof/>
                <w:webHidden/>
              </w:rPr>
              <w:fldChar w:fldCharType="end"/>
            </w:r>
          </w:hyperlink>
        </w:p>
        <w:p w14:paraId="6CD0C996" w14:textId="52485DB9" w:rsidR="00666143" w:rsidRDefault="00666143">
          <w:pPr>
            <w:pStyle w:val="TOC2"/>
            <w:tabs>
              <w:tab w:val="right" w:leader="dot" w:pos="9016"/>
            </w:tabs>
            <w:rPr>
              <w:noProof/>
            </w:rPr>
          </w:pPr>
          <w:hyperlink w:anchor="_Toc216360776" w:history="1">
            <w:r w:rsidRPr="002B3658">
              <w:rPr>
                <w:rStyle w:val="Hyperlink"/>
                <w:noProof/>
              </w:rPr>
              <w:t>Marketing and Sales</w:t>
            </w:r>
            <w:r>
              <w:rPr>
                <w:noProof/>
                <w:webHidden/>
              </w:rPr>
              <w:tab/>
            </w:r>
            <w:r>
              <w:rPr>
                <w:noProof/>
                <w:webHidden/>
              </w:rPr>
              <w:fldChar w:fldCharType="begin"/>
            </w:r>
            <w:r>
              <w:rPr>
                <w:noProof/>
                <w:webHidden/>
              </w:rPr>
              <w:instrText xml:space="preserve"> PAGEREF _Toc216360776 \h </w:instrText>
            </w:r>
            <w:r>
              <w:rPr>
                <w:noProof/>
                <w:webHidden/>
              </w:rPr>
            </w:r>
            <w:r>
              <w:rPr>
                <w:noProof/>
                <w:webHidden/>
              </w:rPr>
              <w:fldChar w:fldCharType="separate"/>
            </w:r>
            <w:r>
              <w:rPr>
                <w:noProof/>
                <w:webHidden/>
              </w:rPr>
              <w:t>6</w:t>
            </w:r>
            <w:r>
              <w:rPr>
                <w:noProof/>
                <w:webHidden/>
              </w:rPr>
              <w:fldChar w:fldCharType="end"/>
            </w:r>
          </w:hyperlink>
        </w:p>
        <w:p w14:paraId="20D27CB3" w14:textId="6CBB6021" w:rsidR="00666143" w:rsidRDefault="00666143">
          <w:pPr>
            <w:pStyle w:val="TOC2"/>
            <w:tabs>
              <w:tab w:val="right" w:leader="dot" w:pos="9016"/>
            </w:tabs>
            <w:rPr>
              <w:noProof/>
            </w:rPr>
          </w:pPr>
          <w:hyperlink w:anchor="_Toc216360777" w:history="1">
            <w:r w:rsidRPr="002B3658">
              <w:rPr>
                <w:rStyle w:val="Hyperlink"/>
                <w:noProof/>
              </w:rPr>
              <w:t>Suppliers and Manufacturing partners</w:t>
            </w:r>
            <w:r>
              <w:rPr>
                <w:noProof/>
                <w:webHidden/>
              </w:rPr>
              <w:tab/>
            </w:r>
            <w:r>
              <w:rPr>
                <w:noProof/>
                <w:webHidden/>
              </w:rPr>
              <w:fldChar w:fldCharType="begin"/>
            </w:r>
            <w:r>
              <w:rPr>
                <w:noProof/>
                <w:webHidden/>
              </w:rPr>
              <w:instrText xml:space="preserve"> PAGEREF _Toc216360777 \h </w:instrText>
            </w:r>
            <w:r>
              <w:rPr>
                <w:noProof/>
                <w:webHidden/>
              </w:rPr>
            </w:r>
            <w:r>
              <w:rPr>
                <w:noProof/>
                <w:webHidden/>
              </w:rPr>
              <w:fldChar w:fldCharType="separate"/>
            </w:r>
            <w:r>
              <w:rPr>
                <w:noProof/>
                <w:webHidden/>
              </w:rPr>
              <w:t>6</w:t>
            </w:r>
            <w:r>
              <w:rPr>
                <w:noProof/>
                <w:webHidden/>
              </w:rPr>
              <w:fldChar w:fldCharType="end"/>
            </w:r>
          </w:hyperlink>
        </w:p>
        <w:p w14:paraId="4606A695" w14:textId="6AD1E99A" w:rsidR="00666143" w:rsidRDefault="00666143">
          <w:pPr>
            <w:pStyle w:val="TOC2"/>
            <w:tabs>
              <w:tab w:val="right" w:leader="dot" w:pos="9016"/>
            </w:tabs>
            <w:rPr>
              <w:noProof/>
            </w:rPr>
          </w:pPr>
          <w:hyperlink w:anchor="_Toc216360778" w:history="1">
            <w:r w:rsidRPr="002B3658">
              <w:rPr>
                <w:rStyle w:val="Hyperlink"/>
                <w:noProof/>
              </w:rPr>
              <w:t>Data protection and cybersecurity teams</w:t>
            </w:r>
            <w:r>
              <w:rPr>
                <w:noProof/>
                <w:webHidden/>
              </w:rPr>
              <w:tab/>
            </w:r>
            <w:r>
              <w:rPr>
                <w:noProof/>
                <w:webHidden/>
              </w:rPr>
              <w:fldChar w:fldCharType="begin"/>
            </w:r>
            <w:r>
              <w:rPr>
                <w:noProof/>
                <w:webHidden/>
              </w:rPr>
              <w:instrText xml:space="preserve"> PAGEREF _Toc216360778 \h </w:instrText>
            </w:r>
            <w:r>
              <w:rPr>
                <w:noProof/>
                <w:webHidden/>
              </w:rPr>
            </w:r>
            <w:r>
              <w:rPr>
                <w:noProof/>
                <w:webHidden/>
              </w:rPr>
              <w:fldChar w:fldCharType="separate"/>
            </w:r>
            <w:r>
              <w:rPr>
                <w:noProof/>
                <w:webHidden/>
              </w:rPr>
              <w:t>6</w:t>
            </w:r>
            <w:r>
              <w:rPr>
                <w:noProof/>
                <w:webHidden/>
              </w:rPr>
              <w:fldChar w:fldCharType="end"/>
            </w:r>
          </w:hyperlink>
        </w:p>
        <w:p w14:paraId="08318DE1" w14:textId="0167F3A4" w:rsidR="00666143" w:rsidRDefault="00666143">
          <w:pPr>
            <w:pStyle w:val="TOC2"/>
            <w:tabs>
              <w:tab w:val="right" w:leader="dot" w:pos="9016"/>
            </w:tabs>
            <w:rPr>
              <w:noProof/>
            </w:rPr>
          </w:pPr>
          <w:hyperlink w:anchor="_Toc216360779" w:history="1">
            <w:r w:rsidRPr="002B3658">
              <w:rPr>
                <w:rStyle w:val="Hyperlink"/>
                <w:noProof/>
              </w:rPr>
              <w:t>End users and patient advocacy groups</w:t>
            </w:r>
            <w:r>
              <w:rPr>
                <w:noProof/>
                <w:webHidden/>
              </w:rPr>
              <w:tab/>
            </w:r>
            <w:r>
              <w:rPr>
                <w:noProof/>
                <w:webHidden/>
              </w:rPr>
              <w:fldChar w:fldCharType="begin"/>
            </w:r>
            <w:r>
              <w:rPr>
                <w:noProof/>
                <w:webHidden/>
              </w:rPr>
              <w:instrText xml:space="preserve"> PAGEREF _Toc216360779 \h </w:instrText>
            </w:r>
            <w:r>
              <w:rPr>
                <w:noProof/>
                <w:webHidden/>
              </w:rPr>
            </w:r>
            <w:r>
              <w:rPr>
                <w:noProof/>
                <w:webHidden/>
              </w:rPr>
              <w:fldChar w:fldCharType="separate"/>
            </w:r>
            <w:r>
              <w:rPr>
                <w:noProof/>
                <w:webHidden/>
              </w:rPr>
              <w:t>7</w:t>
            </w:r>
            <w:r>
              <w:rPr>
                <w:noProof/>
                <w:webHidden/>
              </w:rPr>
              <w:fldChar w:fldCharType="end"/>
            </w:r>
          </w:hyperlink>
        </w:p>
        <w:p w14:paraId="701CABDB" w14:textId="26A9DAF1" w:rsidR="00666143" w:rsidRDefault="00666143">
          <w:pPr>
            <w:pStyle w:val="TOC1"/>
            <w:tabs>
              <w:tab w:val="right" w:leader="dot" w:pos="9016"/>
            </w:tabs>
            <w:rPr>
              <w:noProof/>
            </w:rPr>
          </w:pPr>
          <w:hyperlink w:anchor="_Toc216360780" w:history="1">
            <w:r w:rsidRPr="002B3658">
              <w:rPr>
                <w:rStyle w:val="Hyperlink"/>
                <w:noProof/>
              </w:rPr>
              <w:t>5. Frameworks, models and tools for engagement</w:t>
            </w:r>
            <w:r>
              <w:rPr>
                <w:noProof/>
                <w:webHidden/>
              </w:rPr>
              <w:tab/>
            </w:r>
            <w:r>
              <w:rPr>
                <w:noProof/>
                <w:webHidden/>
              </w:rPr>
              <w:fldChar w:fldCharType="begin"/>
            </w:r>
            <w:r>
              <w:rPr>
                <w:noProof/>
                <w:webHidden/>
              </w:rPr>
              <w:instrText xml:space="preserve"> PAGEREF _Toc216360780 \h </w:instrText>
            </w:r>
            <w:r>
              <w:rPr>
                <w:noProof/>
                <w:webHidden/>
              </w:rPr>
            </w:r>
            <w:r>
              <w:rPr>
                <w:noProof/>
                <w:webHidden/>
              </w:rPr>
              <w:fldChar w:fldCharType="separate"/>
            </w:r>
            <w:r>
              <w:rPr>
                <w:noProof/>
                <w:webHidden/>
              </w:rPr>
              <w:t>7</w:t>
            </w:r>
            <w:r>
              <w:rPr>
                <w:noProof/>
                <w:webHidden/>
              </w:rPr>
              <w:fldChar w:fldCharType="end"/>
            </w:r>
          </w:hyperlink>
        </w:p>
        <w:p w14:paraId="16F9D677" w14:textId="24BA4726" w:rsidR="00666143" w:rsidRDefault="00666143">
          <w:pPr>
            <w:pStyle w:val="TOC2"/>
            <w:tabs>
              <w:tab w:val="right" w:leader="dot" w:pos="9016"/>
            </w:tabs>
            <w:rPr>
              <w:noProof/>
            </w:rPr>
          </w:pPr>
          <w:hyperlink w:anchor="_Toc216360781" w:history="1">
            <w:r w:rsidRPr="002B3658">
              <w:rPr>
                <w:rStyle w:val="Hyperlink"/>
                <w:noProof/>
              </w:rPr>
              <w:t>Mendelow’s Stakeholder Matrix (Power vs Interest)</w:t>
            </w:r>
            <w:r>
              <w:rPr>
                <w:noProof/>
                <w:webHidden/>
              </w:rPr>
              <w:tab/>
            </w:r>
            <w:r>
              <w:rPr>
                <w:noProof/>
                <w:webHidden/>
              </w:rPr>
              <w:fldChar w:fldCharType="begin"/>
            </w:r>
            <w:r>
              <w:rPr>
                <w:noProof/>
                <w:webHidden/>
              </w:rPr>
              <w:instrText xml:space="preserve"> PAGEREF _Toc216360781 \h </w:instrText>
            </w:r>
            <w:r>
              <w:rPr>
                <w:noProof/>
                <w:webHidden/>
              </w:rPr>
            </w:r>
            <w:r>
              <w:rPr>
                <w:noProof/>
                <w:webHidden/>
              </w:rPr>
              <w:fldChar w:fldCharType="separate"/>
            </w:r>
            <w:r>
              <w:rPr>
                <w:noProof/>
                <w:webHidden/>
              </w:rPr>
              <w:t>7</w:t>
            </w:r>
            <w:r>
              <w:rPr>
                <w:noProof/>
                <w:webHidden/>
              </w:rPr>
              <w:fldChar w:fldCharType="end"/>
            </w:r>
          </w:hyperlink>
        </w:p>
        <w:p w14:paraId="09A547E9" w14:textId="046509D2" w:rsidR="00666143" w:rsidRDefault="00666143">
          <w:pPr>
            <w:pStyle w:val="TOC2"/>
            <w:tabs>
              <w:tab w:val="right" w:leader="dot" w:pos="9016"/>
            </w:tabs>
            <w:rPr>
              <w:noProof/>
            </w:rPr>
          </w:pPr>
          <w:hyperlink w:anchor="_Toc216360782" w:history="1">
            <w:r w:rsidRPr="002B3658">
              <w:rPr>
                <w:rStyle w:val="Hyperlink"/>
                <w:noProof/>
              </w:rPr>
              <w:t>Engagement plan and level of engagement</w:t>
            </w:r>
            <w:r>
              <w:rPr>
                <w:noProof/>
                <w:webHidden/>
              </w:rPr>
              <w:tab/>
            </w:r>
            <w:r>
              <w:rPr>
                <w:noProof/>
                <w:webHidden/>
              </w:rPr>
              <w:fldChar w:fldCharType="begin"/>
            </w:r>
            <w:r>
              <w:rPr>
                <w:noProof/>
                <w:webHidden/>
              </w:rPr>
              <w:instrText xml:space="preserve"> PAGEREF _Toc216360782 \h </w:instrText>
            </w:r>
            <w:r>
              <w:rPr>
                <w:noProof/>
                <w:webHidden/>
              </w:rPr>
            </w:r>
            <w:r>
              <w:rPr>
                <w:noProof/>
                <w:webHidden/>
              </w:rPr>
              <w:fldChar w:fldCharType="separate"/>
            </w:r>
            <w:r>
              <w:rPr>
                <w:noProof/>
                <w:webHidden/>
              </w:rPr>
              <w:t>7</w:t>
            </w:r>
            <w:r>
              <w:rPr>
                <w:noProof/>
                <w:webHidden/>
              </w:rPr>
              <w:fldChar w:fldCharType="end"/>
            </w:r>
          </w:hyperlink>
        </w:p>
        <w:p w14:paraId="24C45D5C" w14:textId="490CD255" w:rsidR="00666143" w:rsidRDefault="00666143">
          <w:pPr>
            <w:pStyle w:val="TOC2"/>
            <w:tabs>
              <w:tab w:val="right" w:leader="dot" w:pos="9016"/>
            </w:tabs>
            <w:rPr>
              <w:noProof/>
            </w:rPr>
          </w:pPr>
          <w:hyperlink w:anchor="_Toc216360783" w:history="1">
            <w:r w:rsidRPr="002B3658">
              <w:rPr>
                <w:rStyle w:val="Hyperlink"/>
                <w:noProof/>
              </w:rPr>
              <w:t>Communication plan</w:t>
            </w:r>
            <w:r>
              <w:rPr>
                <w:noProof/>
                <w:webHidden/>
              </w:rPr>
              <w:tab/>
            </w:r>
            <w:r>
              <w:rPr>
                <w:noProof/>
                <w:webHidden/>
              </w:rPr>
              <w:fldChar w:fldCharType="begin"/>
            </w:r>
            <w:r>
              <w:rPr>
                <w:noProof/>
                <w:webHidden/>
              </w:rPr>
              <w:instrText xml:space="preserve"> PAGEREF _Toc216360783 \h </w:instrText>
            </w:r>
            <w:r>
              <w:rPr>
                <w:noProof/>
                <w:webHidden/>
              </w:rPr>
            </w:r>
            <w:r>
              <w:rPr>
                <w:noProof/>
                <w:webHidden/>
              </w:rPr>
              <w:fldChar w:fldCharType="separate"/>
            </w:r>
            <w:r>
              <w:rPr>
                <w:noProof/>
                <w:webHidden/>
              </w:rPr>
              <w:t>8</w:t>
            </w:r>
            <w:r>
              <w:rPr>
                <w:noProof/>
                <w:webHidden/>
              </w:rPr>
              <w:fldChar w:fldCharType="end"/>
            </w:r>
          </w:hyperlink>
        </w:p>
        <w:p w14:paraId="1C3E503D" w14:textId="42A4440E" w:rsidR="00666143" w:rsidRDefault="00666143">
          <w:pPr>
            <w:pStyle w:val="TOC2"/>
            <w:tabs>
              <w:tab w:val="right" w:leader="dot" w:pos="9016"/>
            </w:tabs>
            <w:rPr>
              <w:noProof/>
            </w:rPr>
          </w:pPr>
          <w:hyperlink w:anchor="_Toc216360784" w:history="1">
            <w:r w:rsidRPr="002B3658">
              <w:rPr>
                <w:rStyle w:val="Hyperlink"/>
                <w:noProof/>
              </w:rPr>
              <w:t>RACI matrix</w:t>
            </w:r>
            <w:r>
              <w:rPr>
                <w:noProof/>
                <w:webHidden/>
              </w:rPr>
              <w:tab/>
            </w:r>
            <w:r>
              <w:rPr>
                <w:noProof/>
                <w:webHidden/>
              </w:rPr>
              <w:fldChar w:fldCharType="begin"/>
            </w:r>
            <w:r>
              <w:rPr>
                <w:noProof/>
                <w:webHidden/>
              </w:rPr>
              <w:instrText xml:space="preserve"> PAGEREF _Toc216360784 \h </w:instrText>
            </w:r>
            <w:r>
              <w:rPr>
                <w:noProof/>
                <w:webHidden/>
              </w:rPr>
            </w:r>
            <w:r>
              <w:rPr>
                <w:noProof/>
                <w:webHidden/>
              </w:rPr>
              <w:fldChar w:fldCharType="separate"/>
            </w:r>
            <w:r>
              <w:rPr>
                <w:noProof/>
                <w:webHidden/>
              </w:rPr>
              <w:t>8</w:t>
            </w:r>
            <w:r>
              <w:rPr>
                <w:noProof/>
                <w:webHidden/>
              </w:rPr>
              <w:fldChar w:fldCharType="end"/>
            </w:r>
          </w:hyperlink>
        </w:p>
        <w:p w14:paraId="1D990862" w14:textId="7CDD0216" w:rsidR="00666143" w:rsidRDefault="00666143">
          <w:pPr>
            <w:pStyle w:val="TOC2"/>
            <w:tabs>
              <w:tab w:val="right" w:leader="dot" w:pos="9016"/>
            </w:tabs>
            <w:rPr>
              <w:noProof/>
            </w:rPr>
          </w:pPr>
          <w:hyperlink w:anchor="_Toc216360785" w:history="1">
            <w:r w:rsidRPr="002B3658">
              <w:rPr>
                <w:rStyle w:val="Hyperlink"/>
                <w:noProof/>
              </w:rPr>
              <w:t>Measurement and evaluation tools</w:t>
            </w:r>
            <w:r>
              <w:rPr>
                <w:noProof/>
                <w:webHidden/>
              </w:rPr>
              <w:tab/>
            </w:r>
            <w:r>
              <w:rPr>
                <w:noProof/>
                <w:webHidden/>
              </w:rPr>
              <w:fldChar w:fldCharType="begin"/>
            </w:r>
            <w:r>
              <w:rPr>
                <w:noProof/>
                <w:webHidden/>
              </w:rPr>
              <w:instrText xml:space="preserve"> PAGEREF _Toc216360785 \h </w:instrText>
            </w:r>
            <w:r>
              <w:rPr>
                <w:noProof/>
                <w:webHidden/>
              </w:rPr>
            </w:r>
            <w:r>
              <w:rPr>
                <w:noProof/>
                <w:webHidden/>
              </w:rPr>
              <w:fldChar w:fldCharType="separate"/>
            </w:r>
            <w:r>
              <w:rPr>
                <w:noProof/>
                <w:webHidden/>
              </w:rPr>
              <w:t>8</w:t>
            </w:r>
            <w:r>
              <w:rPr>
                <w:noProof/>
                <w:webHidden/>
              </w:rPr>
              <w:fldChar w:fldCharType="end"/>
            </w:r>
          </w:hyperlink>
        </w:p>
        <w:p w14:paraId="12E35160" w14:textId="0AEFB905" w:rsidR="00666143" w:rsidRDefault="00666143">
          <w:pPr>
            <w:pStyle w:val="TOC1"/>
            <w:tabs>
              <w:tab w:val="right" w:leader="dot" w:pos="9016"/>
            </w:tabs>
            <w:rPr>
              <w:noProof/>
            </w:rPr>
          </w:pPr>
          <w:hyperlink w:anchor="_Toc216360786" w:history="1">
            <w:r w:rsidRPr="002B3658">
              <w:rPr>
                <w:rStyle w:val="Hyperlink"/>
                <w:noProof/>
              </w:rPr>
              <w:t>6. Stakeholder engagement process and conflict management using the Four Cs</w:t>
            </w:r>
            <w:r>
              <w:rPr>
                <w:noProof/>
                <w:webHidden/>
              </w:rPr>
              <w:tab/>
            </w:r>
            <w:r>
              <w:rPr>
                <w:noProof/>
                <w:webHidden/>
              </w:rPr>
              <w:fldChar w:fldCharType="begin"/>
            </w:r>
            <w:r>
              <w:rPr>
                <w:noProof/>
                <w:webHidden/>
              </w:rPr>
              <w:instrText xml:space="preserve"> PAGEREF _Toc216360786 \h </w:instrText>
            </w:r>
            <w:r>
              <w:rPr>
                <w:noProof/>
                <w:webHidden/>
              </w:rPr>
            </w:r>
            <w:r>
              <w:rPr>
                <w:noProof/>
                <w:webHidden/>
              </w:rPr>
              <w:fldChar w:fldCharType="separate"/>
            </w:r>
            <w:r>
              <w:rPr>
                <w:noProof/>
                <w:webHidden/>
              </w:rPr>
              <w:t>8</w:t>
            </w:r>
            <w:r>
              <w:rPr>
                <w:noProof/>
                <w:webHidden/>
              </w:rPr>
              <w:fldChar w:fldCharType="end"/>
            </w:r>
          </w:hyperlink>
        </w:p>
        <w:p w14:paraId="35B58513" w14:textId="05B7C3FC" w:rsidR="00666143" w:rsidRDefault="00666143">
          <w:pPr>
            <w:pStyle w:val="TOC2"/>
            <w:tabs>
              <w:tab w:val="right" w:leader="dot" w:pos="9016"/>
            </w:tabs>
            <w:rPr>
              <w:noProof/>
            </w:rPr>
          </w:pPr>
          <w:hyperlink w:anchor="_Toc216360787" w:history="1">
            <w:r w:rsidRPr="002B3658">
              <w:rPr>
                <w:rStyle w:val="Hyperlink"/>
                <w:noProof/>
              </w:rPr>
              <w:t>Phase 1: Initiate (week 0–1)</w:t>
            </w:r>
            <w:r>
              <w:rPr>
                <w:noProof/>
                <w:webHidden/>
              </w:rPr>
              <w:tab/>
            </w:r>
            <w:r>
              <w:rPr>
                <w:noProof/>
                <w:webHidden/>
              </w:rPr>
              <w:fldChar w:fldCharType="begin"/>
            </w:r>
            <w:r>
              <w:rPr>
                <w:noProof/>
                <w:webHidden/>
              </w:rPr>
              <w:instrText xml:space="preserve"> PAGEREF _Toc216360787 \h </w:instrText>
            </w:r>
            <w:r>
              <w:rPr>
                <w:noProof/>
                <w:webHidden/>
              </w:rPr>
            </w:r>
            <w:r>
              <w:rPr>
                <w:noProof/>
                <w:webHidden/>
              </w:rPr>
              <w:fldChar w:fldCharType="separate"/>
            </w:r>
            <w:r>
              <w:rPr>
                <w:noProof/>
                <w:webHidden/>
              </w:rPr>
              <w:t>9</w:t>
            </w:r>
            <w:r>
              <w:rPr>
                <w:noProof/>
                <w:webHidden/>
              </w:rPr>
              <w:fldChar w:fldCharType="end"/>
            </w:r>
          </w:hyperlink>
        </w:p>
        <w:p w14:paraId="0FBF0265" w14:textId="1E5D7897" w:rsidR="00666143" w:rsidRDefault="00666143">
          <w:pPr>
            <w:pStyle w:val="TOC2"/>
            <w:tabs>
              <w:tab w:val="right" w:leader="dot" w:pos="9016"/>
            </w:tabs>
            <w:rPr>
              <w:noProof/>
            </w:rPr>
          </w:pPr>
          <w:hyperlink w:anchor="_Toc216360788" w:history="1">
            <w:r w:rsidRPr="002B3658">
              <w:rPr>
                <w:rStyle w:val="Hyperlink"/>
                <w:noProof/>
              </w:rPr>
              <w:t>Phase 2: Plan (weeks 1–4)</w:t>
            </w:r>
            <w:r>
              <w:rPr>
                <w:noProof/>
                <w:webHidden/>
              </w:rPr>
              <w:tab/>
            </w:r>
            <w:r>
              <w:rPr>
                <w:noProof/>
                <w:webHidden/>
              </w:rPr>
              <w:fldChar w:fldCharType="begin"/>
            </w:r>
            <w:r>
              <w:rPr>
                <w:noProof/>
                <w:webHidden/>
              </w:rPr>
              <w:instrText xml:space="preserve"> PAGEREF _Toc216360788 \h </w:instrText>
            </w:r>
            <w:r>
              <w:rPr>
                <w:noProof/>
                <w:webHidden/>
              </w:rPr>
            </w:r>
            <w:r>
              <w:rPr>
                <w:noProof/>
                <w:webHidden/>
              </w:rPr>
              <w:fldChar w:fldCharType="separate"/>
            </w:r>
            <w:r>
              <w:rPr>
                <w:noProof/>
                <w:webHidden/>
              </w:rPr>
              <w:t>9</w:t>
            </w:r>
            <w:r>
              <w:rPr>
                <w:noProof/>
                <w:webHidden/>
              </w:rPr>
              <w:fldChar w:fldCharType="end"/>
            </w:r>
          </w:hyperlink>
        </w:p>
        <w:p w14:paraId="2DCBA406" w14:textId="15D850C3" w:rsidR="00666143" w:rsidRDefault="00666143">
          <w:pPr>
            <w:pStyle w:val="TOC2"/>
            <w:tabs>
              <w:tab w:val="right" w:leader="dot" w:pos="9016"/>
            </w:tabs>
            <w:rPr>
              <w:noProof/>
            </w:rPr>
          </w:pPr>
          <w:hyperlink w:anchor="_Toc216360789" w:history="1">
            <w:r w:rsidRPr="002B3658">
              <w:rPr>
                <w:rStyle w:val="Hyperlink"/>
                <w:noProof/>
              </w:rPr>
              <w:t>Phase 3: Engage (weeks 4–12) — active clinical and user validation</w:t>
            </w:r>
            <w:r>
              <w:rPr>
                <w:noProof/>
                <w:webHidden/>
              </w:rPr>
              <w:tab/>
            </w:r>
            <w:r>
              <w:rPr>
                <w:noProof/>
                <w:webHidden/>
              </w:rPr>
              <w:fldChar w:fldCharType="begin"/>
            </w:r>
            <w:r>
              <w:rPr>
                <w:noProof/>
                <w:webHidden/>
              </w:rPr>
              <w:instrText xml:space="preserve"> PAGEREF _Toc216360789 \h </w:instrText>
            </w:r>
            <w:r>
              <w:rPr>
                <w:noProof/>
                <w:webHidden/>
              </w:rPr>
            </w:r>
            <w:r>
              <w:rPr>
                <w:noProof/>
                <w:webHidden/>
              </w:rPr>
              <w:fldChar w:fldCharType="separate"/>
            </w:r>
            <w:r>
              <w:rPr>
                <w:noProof/>
                <w:webHidden/>
              </w:rPr>
              <w:t>10</w:t>
            </w:r>
            <w:r>
              <w:rPr>
                <w:noProof/>
                <w:webHidden/>
              </w:rPr>
              <w:fldChar w:fldCharType="end"/>
            </w:r>
          </w:hyperlink>
        </w:p>
        <w:p w14:paraId="78605105" w14:textId="3D174E88" w:rsidR="00666143" w:rsidRDefault="00666143">
          <w:pPr>
            <w:pStyle w:val="TOC2"/>
            <w:tabs>
              <w:tab w:val="right" w:leader="dot" w:pos="9016"/>
            </w:tabs>
            <w:rPr>
              <w:noProof/>
            </w:rPr>
          </w:pPr>
          <w:hyperlink w:anchor="_Toc216360790" w:history="1">
            <w:r w:rsidRPr="002B3658">
              <w:rPr>
                <w:rStyle w:val="Hyperlink"/>
                <w:noProof/>
              </w:rPr>
              <w:t>Phase 4: Execute (weeks 12–24) — manufacturing, regulatory submission, launch preparation</w:t>
            </w:r>
            <w:r>
              <w:rPr>
                <w:noProof/>
                <w:webHidden/>
              </w:rPr>
              <w:tab/>
            </w:r>
            <w:r>
              <w:rPr>
                <w:noProof/>
                <w:webHidden/>
              </w:rPr>
              <w:fldChar w:fldCharType="begin"/>
            </w:r>
            <w:r>
              <w:rPr>
                <w:noProof/>
                <w:webHidden/>
              </w:rPr>
              <w:instrText xml:space="preserve"> PAGEREF _Toc216360790 \h </w:instrText>
            </w:r>
            <w:r>
              <w:rPr>
                <w:noProof/>
                <w:webHidden/>
              </w:rPr>
            </w:r>
            <w:r>
              <w:rPr>
                <w:noProof/>
                <w:webHidden/>
              </w:rPr>
              <w:fldChar w:fldCharType="separate"/>
            </w:r>
            <w:r>
              <w:rPr>
                <w:noProof/>
                <w:webHidden/>
              </w:rPr>
              <w:t>10</w:t>
            </w:r>
            <w:r>
              <w:rPr>
                <w:noProof/>
                <w:webHidden/>
              </w:rPr>
              <w:fldChar w:fldCharType="end"/>
            </w:r>
          </w:hyperlink>
        </w:p>
        <w:p w14:paraId="22111AAA" w14:textId="41AA9C9F" w:rsidR="00666143" w:rsidRDefault="00666143">
          <w:pPr>
            <w:pStyle w:val="TOC2"/>
            <w:tabs>
              <w:tab w:val="right" w:leader="dot" w:pos="9016"/>
            </w:tabs>
            <w:rPr>
              <w:noProof/>
            </w:rPr>
          </w:pPr>
          <w:hyperlink w:anchor="_Toc216360791" w:history="1">
            <w:r w:rsidRPr="002B3658">
              <w:rPr>
                <w:rStyle w:val="Hyperlink"/>
                <w:noProof/>
              </w:rPr>
              <w:t>Phase 5: Review and sustain (post launch months 1–6)</w:t>
            </w:r>
            <w:r>
              <w:rPr>
                <w:noProof/>
                <w:webHidden/>
              </w:rPr>
              <w:tab/>
            </w:r>
            <w:r>
              <w:rPr>
                <w:noProof/>
                <w:webHidden/>
              </w:rPr>
              <w:fldChar w:fldCharType="begin"/>
            </w:r>
            <w:r>
              <w:rPr>
                <w:noProof/>
                <w:webHidden/>
              </w:rPr>
              <w:instrText xml:space="preserve"> PAGEREF _Toc216360791 \h </w:instrText>
            </w:r>
            <w:r>
              <w:rPr>
                <w:noProof/>
                <w:webHidden/>
              </w:rPr>
            </w:r>
            <w:r>
              <w:rPr>
                <w:noProof/>
                <w:webHidden/>
              </w:rPr>
              <w:fldChar w:fldCharType="separate"/>
            </w:r>
            <w:r>
              <w:rPr>
                <w:noProof/>
                <w:webHidden/>
              </w:rPr>
              <w:t>11</w:t>
            </w:r>
            <w:r>
              <w:rPr>
                <w:noProof/>
                <w:webHidden/>
              </w:rPr>
              <w:fldChar w:fldCharType="end"/>
            </w:r>
          </w:hyperlink>
        </w:p>
        <w:p w14:paraId="0538AA54" w14:textId="5056A55A" w:rsidR="00666143" w:rsidRDefault="00666143">
          <w:pPr>
            <w:pStyle w:val="TOC2"/>
            <w:tabs>
              <w:tab w:val="right" w:leader="dot" w:pos="9016"/>
            </w:tabs>
            <w:rPr>
              <w:noProof/>
            </w:rPr>
          </w:pPr>
          <w:hyperlink w:anchor="_Toc216360792" w:history="1">
            <w:r w:rsidRPr="002B3658">
              <w:rPr>
                <w:rStyle w:val="Hyperlink"/>
                <w:noProof/>
              </w:rPr>
              <w:t>Managing conflicts with the Four Cs in practice</w:t>
            </w:r>
            <w:r>
              <w:rPr>
                <w:noProof/>
                <w:webHidden/>
              </w:rPr>
              <w:tab/>
            </w:r>
            <w:r>
              <w:rPr>
                <w:noProof/>
                <w:webHidden/>
              </w:rPr>
              <w:fldChar w:fldCharType="begin"/>
            </w:r>
            <w:r>
              <w:rPr>
                <w:noProof/>
                <w:webHidden/>
              </w:rPr>
              <w:instrText xml:space="preserve"> PAGEREF _Toc216360792 \h </w:instrText>
            </w:r>
            <w:r>
              <w:rPr>
                <w:noProof/>
                <w:webHidden/>
              </w:rPr>
            </w:r>
            <w:r>
              <w:rPr>
                <w:noProof/>
                <w:webHidden/>
              </w:rPr>
              <w:fldChar w:fldCharType="separate"/>
            </w:r>
            <w:r>
              <w:rPr>
                <w:noProof/>
                <w:webHidden/>
              </w:rPr>
              <w:t>11</w:t>
            </w:r>
            <w:r>
              <w:rPr>
                <w:noProof/>
                <w:webHidden/>
              </w:rPr>
              <w:fldChar w:fldCharType="end"/>
            </w:r>
          </w:hyperlink>
        </w:p>
        <w:p w14:paraId="69EAFF54" w14:textId="02C24AC8" w:rsidR="00666143" w:rsidRDefault="00666143">
          <w:pPr>
            <w:pStyle w:val="TOC1"/>
            <w:tabs>
              <w:tab w:val="right" w:leader="dot" w:pos="9016"/>
            </w:tabs>
            <w:rPr>
              <w:noProof/>
            </w:rPr>
          </w:pPr>
          <w:hyperlink w:anchor="_Toc216360793" w:history="1">
            <w:r w:rsidRPr="002B3658">
              <w:rPr>
                <w:rStyle w:val="Hyperlink"/>
                <w:noProof/>
              </w:rPr>
              <w:t>7. Evaluation of impact on business performance and recommendations for the future</w:t>
            </w:r>
            <w:r>
              <w:rPr>
                <w:noProof/>
                <w:webHidden/>
              </w:rPr>
              <w:tab/>
            </w:r>
            <w:r>
              <w:rPr>
                <w:noProof/>
                <w:webHidden/>
              </w:rPr>
              <w:fldChar w:fldCharType="begin"/>
            </w:r>
            <w:r>
              <w:rPr>
                <w:noProof/>
                <w:webHidden/>
              </w:rPr>
              <w:instrText xml:space="preserve"> PAGEREF _Toc216360793 \h </w:instrText>
            </w:r>
            <w:r>
              <w:rPr>
                <w:noProof/>
                <w:webHidden/>
              </w:rPr>
            </w:r>
            <w:r>
              <w:rPr>
                <w:noProof/>
                <w:webHidden/>
              </w:rPr>
              <w:fldChar w:fldCharType="separate"/>
            </w:r>
            <w:r>
              <w:rPr>
                <w:noProof/>
                <w:webHidden/>
              </w:rPr>
              <w:t>12</w:t>
            </w:r>
            <w:r>
              <w:rPr>
                <w:noProof/>
                <w:webHidden/>
              </w:rPr>
              <w:fldChar w:fldCharType="end"/>
            </w:r>
          </w:hyperlink>
        </w:p>
        <w:p w14:paraId="775216CC" w14:textId="21BB4F58" w:rsidR="00666143" w:rsidRDefault="00666143">
          <w:pPr>
            <w:pStyle w:val="TOC2"/>
            <w:tabs>
              <w:tab w:val="right" w:leader="dot" w:pos="9016"/>
            </w:tabs>
            <w:rPr>
              <w:noProof/>
            </w:rPr>
          </w:pPr>
          <w:hyperlink w:anchor="_Toc216360794" w:history="1">
            <w:r w:rsidRPr="002B3658">
              <w:rPr>
                <w:rStyle w:val="Hyperlink"/>
                <w:noProof/>
              </w:rPr>
              <w:t>Impact evaluation: how effective stakeholder engagement improves performance</w:t>
            </w:r>
            <w:r>
              <w:rPr>
                <w:noProof/>
                <w:webHidden/>
              </w:rPr>
              <w:tab/>
            </w:r>
            <w:r>
              <w:rPr>
                <w:noProof/>
                <w:webHidden/>
              </w:rPr>
              <w:fldChar w:fldCharType="begin"/>
            </w:r>
            <w:r>
              <w:rPr>
                <w:noProof/>
                <w:webHidden/>
              </w:rPr>
              <w:instrText xml:space="preserve"> PAGEREF _Toc216360794 \h </w:instrText>
            </w:r>
            <w:r>
              <w:rPr>
                <w:noProof/>
                <w:webHidden/>
              </w:rPr>
            </w:r>
            <w:r>
              <w:rPr>
                <w:noProof/>
                <w:webHidden/>
              </w:rPr>
              <w:fldChar w:fldCharType="separate"/>
            </w:r>
            <w:r>
              <w:rPr>
                <w:noProof/>
                <w:webHidden/>
              </w:rPr>
              <w:t>12</w:t>
            </w:r>
            <w:r>
              <w:rPr>
                <w:noProof/>
                <w:webHidden/>
              </w:rPr>
              <w:fldChar w:fldCharType="end"/>
            </w:r>
          </w:hyperlink>
        </w:p>
        <w:p w14:paraId="234195C9" w14:textId="05CE74B9" w:rsidR="00666143" w:rsidRDefault="00666143">
          <w:pPr>
            <w:pStyle w:val="TOC1"/>
            <w:tabs>
              <w:tab w:val="right" w:leader="dot" w:pos="9016"/>
            </w:tabs>
            <w:rPr>
              <w:noProof/>
            </w:rPr>
          </w:pPr>
          <w:hyperlink w:anchor="_Toc216360795" w:history="1">
            <w:r w:rsidRPr="002B3658">
              <w:rPr>
                <w:rStyle w:val="Hyperlink"/>
                <w:noProof/>
              </w:rPr>
              <w:t>Measuring impact: KPIs and metrics</w:t>
            </w:r>
            <w:r>
              <w:rPr>
                <w:noProof/>
                <w:webHidden/>
              </w:rPr>
              <w:tab/>
            </w:r>
            <w:r>
              <w:rPr>
                <w:noProof/>
                <w:webHidden/>
              </w:rPr>
              <w:fldChar w:fldCharType="begin"/>
            </w:r>
            <w:r>
              <w:rPr>
                <w:noProof/>
                <w:webHidden/>
              </w:rPr>
              <w:instrText xml:space="preserve"> PAGEREF _Toc216360795 \h </w:instrText>
            </w:r>
            <w:r>
              <w:rPr>
                <w:noProof/>
                <w:webHidden/>
              </w:rPr>
            </w:r>
            <w:r>
              <w:rPr>
                <w:noProof/>
                <w:webHidden/>
              </w:rPr>
              <w:fldChar w:fldCharType="separate"/>
            </w:r>
            <w:r>
              <w:rPr>
                <w:noProof/>
                <w:webHidden/>
              </w:rPr>
              <w:t>13</w:t>
            </w:r>
            <w:r>
              <w:rPr>
                <w:noProof/>
                <w:webHidden/>
              </w:rPr>
              <w:fldChar w:fldCharType="end"/>
            </w:r>
          </w:hyperlink>
        </w:p>
        <w:p w14:paraId="261BF54C" w14:textId="7E8767A8" w:rsidR="00666143" w:rsidRDefault="00666143">
          <w:pPr>
            <w:pStyle w:val="TOC1"/>
            <w:tabs>
              <w:tab w:val="right" w:leader="dot" w:pos="9016"/>
            </w:tabs>
            <w:rPr>
              <w:noProof/>
            </w:rPr>
          </w:pPr>
          <w:hyperlink w:anchor="_Toc216360796" w:history="1">
            <w:r w:rsidRPr="002B3658">
              <w:rPr>
                <w:rStyle w:val="Hyperlink"/>
                <w:noProof/>
              </w:rPr>
              <w:t>Recommendations for future stakeholder engagement and business sustainability</w:t>
            </w:r>
            <w:r>
              <w:rPr>
                <w:noProof/>
                <w:webHidden/>
              </w:rPr>
              <w:tab/>
            </w:r>
            <w:r>
              <w:rPr>
                <w:noProof/>
                <w:webHidden/>
              </w:rPr>
              <w:fldChar w:fldCharType="begin"/>
            </w:r>
            <w:r>
              <w:rPr>
                <w:noProof/>
                <w:webHidden/>
              </w:rPr>
              <w:instrText xml:space="preserve"> PAGEREF _Toc216360796 \h </w:instrText>
            </w:r>
            <w:r>
              <w:rPr>
                <w:noProof/>
                <w:webHidden/>
              </w:rPr>
            </w:r>
            <w:r>
              <w:rPr>
                <w:noProof/>
                <w:webHidden/>
              </w:rPr>
              <w:fldChar w:fldCharType="separate"/>
            </w:r>
            <w:r>
              <w:rPr>
                <w:noProof/>
                <w:webHidden/>
              </w:rPr>
              <w:t>13</w:t>
            </w:r>
            <w:r>
              <w:rPr>
                <w:noProof/>
                <w:webHidden/>
              </w:rPr>
              <w:fldChar w:fldCharType="end"/>
            </w:r>
          </w:hyperlink>
        </w:p>
        <w:p w14:paraId="199E1DB5" w14:textId="4CB7B3A1" w:rsidR="00666143" w:rsidRDefault="00666143">
          <w:pPr>
            <w:pStyle w:val="TOC2"/>
            <w:tabs>
              <w:tab w:val="right" w:leader="dot" w:pos="9016"/>
            </w:tabs>
            <w:rPr>
              <w:noProof/>
            </w:rPr>
          </w:pPr>
          <w:hyperlink w:anchor="_Toc216360797" w:history="1">
            <w:r w:rsidRPr="002B3658">
              <w:rPr>
                <w:rStyle w:val="Hyperlink"/>
                <w:noProof/>
              </w:rPr>
              <w:t>Expected business outcomes if recommendations are implemented</w:t>
            </w:r>
            <w:r>
              <w:rPr>
                <w:noProof/>
                <w:webHidden/>
              </w:rPr>
              <w:tab/>
            </w:r>
            <w:r>
              <w:rPr>
                <w:noProof/>
                <w:webHidden/>
              </w:rPr>
              <w:fldChar w:fldCharType="begin"/>
            </w:r>
            <w:r>
              <w:rPr>
                <w:noProof/>
                <w:webHidden/>
              </w:rPr>
              <w:instrText xml:space="preserve"> PAGEREF _Toc216360797 \h </w:instrText>
            </w:r>
            <w:r>
              <w:rPr>
                <w:noProof/>
                <w:webHidden/>
              </w:rPr>
            </w:r>
            <w:r>
              <w:rPr>
                <w:noProof/>
                <w:webHidden/>
              </w:rPr>
              <w:fldChar w:fldCharType="separate"/>
            </w:r>
            <w:r>
              <w:rPr>
                <w:noProof/>
                <w:webHidden/>
              </w:rPr>
              <w:t>14</w:t>
            </w:r>
            <w:r>
              <w:rPr>
                <w:noProof/>
                <w:webHidden/>
              </w:rPr>
              <w:fldChar w:fldCharType="end"/>
            </w:r>
          </w:hyperlink>
        </w:p>
        <w:p w14:paraId="61E66BF6" w14:textId="5AE1BDE3" w:rsidR="00666143" w:rsidRDefault="00666143">
          <w:pPr>
            <w:pStyle w:val="TOC1"/>
            <w:tabs>
              <w:tab w:val="right" w:leader="dot" w:pos="9016"/>
            </w:tabs>
            <w:rPr>
              <w:noProof/>
            </w:rPr>
          </w:pPr>
          <w:hyperlink w:anchor="_Toc216360798" w:history="1">
            <w:r w:rsidRPr="002B3658">
              <w:rPr>
                <w:rStyle w:val="Hyperlink"/>
                <w:noProof/>
              </w:rPr>
              <w:t>8. Conclusion</w:t>
            </w:r>
            <w:r>
              <w:rPr>
                <w:noProof/>
                <w:webHidden/>
              </w:rPr>
              <w:tab/>
            </w:r>
            <w:r>
              <w:rPr>
                <w:noProof/>
                <w:webHidden/>
              </w:rPr>
              <w:fldChar w:fldCharType="begin"/>
            </w:r>
            <w:r>
              <w:rPr>
                <w:noProof/>
                <w:webHidden/>
              </w:rPr>
              <w:instrText xml:space="preserve"> PAGEREF _Toc216360798 \h </w:instrText>
            </w:r>
            <w:r>
              <w:rPr>
                <w:noProof/>
                <w:webHidden/>
              </w:rPr>
            </w:r>
            <w:r>
              <w:rPr>
                <w:noProof/>
                <w:webHidden/>
              </w:rPr>
              <w:fldChar w:fldCharType="separate"/>
            </w:r>
            <w:r>
              <w:rPr>
                <w:noProof/>
                <w:webHidden/>
              </w:rPr>
              <w:t>14</w:t>
            </w:r>
            <w:r>
              <w:rPr>
                <w:noProof/>
                <w:webHidden/>
              </w:rPr>
              <w:fldChar w:fldCharType="end"/>
            </w:r>
          </w:hyperlink>
        </w:p>
        <w:p w14:paraId="5FC8B9F2" w14:textId="79C20B82" w:rsidR="00666143" w:rsidRDefault="00666143">
          <w:pPr>
            <w:pStyle w:val="TOC1"/>
            <w:tabs>
              <w:tab w:val="right" w:leader="dot" w:pos="9016"/>
            </w:tabs>
            <w:rPr>
              <w:noProof/>
            </w:rPr>
          </w:pPr>
          <w:hyperlink w:anchor="_Toc216360799" w:history="1">
            <w:r w:rsidRPr="002B3658">
              <w:rPr>
                <w:rStyle w:val="Hyperlink"/>
                <w:noProof/>
              </w:rPr>
              <w:t>References</w:t>
            </w:r>
            <w:r>
              <w:rPr>
                <w:noProof/>
                <w:webHidden/>
              </w:rPr>
              <w:tab/>
            </w:r>
            <w:r>
              <w:rPr>
                <w:noProof/>
                <w:webHidden/>
              </w:rPr>
              <w:fldChar w:fldCharType="begin"/>
            </w:r>
            <w:r>
              <w:rPr>
                <w:noProof/>
                <w:webHidden/>
              </w:rPr>
              <w:instrText xml:space="preserve"> PAGEREF _Toc216360799 \h </w:instrText>
            </w:r>
            <w:r>
              <w:rPr>
                <w:noProof/>
                <w:webHidden/>
              </w:rPr>
            </w:r>
            <w:r>
              <w:rPr>
                <w:noProof/>
                <w:webHidden/>
              </w:rPr>
              <w:fldChar w:fldCharType="separate"/>
            </w:r>
            <w:r>
              <w:rPr>
                <w:noProof/>
                <w:webHidden/>
              </w:rPr>
              <w:t>15</w:t>
            </w:r>
            <w:r>
              <w:rPr>
                <w:noProof/>
                <w:webHidden/>
              </w:rPr>
              <w:fldChar w:fldCharType="end"/>
            </w:r>
          </w:hyperlink>
        </w:p>
        <w:p w14:paraId="60B275E4" w14:textId="244080CD" w:rsidR="00666143" w:rsidRDefault="00666143">
          <w:r>
            <w:rPr>
              <w:b/>
              <w:bCs/>
              <w:noProof/>
            </w:rPr>
            <w:fldChar w:fldCharType="end"/>
          </w:r>
        </w:p>
      </w:sdtContent>
    </w:sdt>
    <w:p w14:paraId="1927D0BB" w14:textId="77777777" w:rsidR="004C1D4C" w:rsidRDefault="004C1D4C"/>
    <w:p w14:paraId="68CC5601" w14:textId="77777777" w:rsidR="00666143" w:rsidRDefault="00666143"/>
    <w:p w14:paraId="2B3C7CBF" w14:textId="77777777" w:rsidR="00666143" w:rsidRDefault="00666143"/>
    <w:p w14:paraId="41C8F4E1" w14:textId="77777777" w:rsidR="00666143" w:rsidRDefault="00666143"/>
    <w:p w14:paraId="560E4AD6" w14:textId="77777777" w:rsidR="00666143" w:rsidRDefault="00666143"/>
    <w:p w14:paraId="3D39AD08" w14:textId="77777777" w:rsidR="00666143" w:rsidRDefault="00666143"/>
    <w:p w14:paraId="0AF8B36D" w14:textId="77777777" w:rsidR="00666143" w:rsidRDefault="00666143"/>
    <w:p w14:paraId="0C1DB083" w14:textId="77777777" w:rsidR="00666143" w:rsidRDefault="00666143"/>
    <w:p w14:paraId="05AFEF79" w14:textId="77777777" w:rsidR="00666143" w:rsidRDefault="00666143"/>
    <w:p w14:paraId="1365D8BE" w14:textId="77777777" w:rsidR="00666143" w:rsidRDefault="00666143"/>
    <w:p w14:paraId="21FB0523" w14:textId="77777777" w:rsidR="00666143" w:rsidRDefault="00666143"/>
    <w:p w14:paraId="2E7901E5" w14:textId="77777777" w:rsidR="00666143" w:rsidRDefault="00666143"/>
    <w:p w14:paraId="1C95129C" w14:textId="77777777" w:rsidR="00666143" w:rsidRDefault="00666143"/>
    <w:p w14:paraId="0CBF66AE" w14:textId="77777777" w:rsidR="00666143" w:rsidRDefault="00666143"/>
    <w:p w14:paraId="7CBD6EAC" w14:textId="2CB7C34E" w:rsidR="00CC71AB" w:rsidRPr="00AF04A8" w:rsidRDefault="004C1D4C" w:rsidP="004C1D4C">
      <w:pPr>
        <w:pStyle w:val="Heading1"/>
        <w:rPr>
          <w:rFonts w:ascii="Arial" w:hAnsi="Arial" w:cs="Arial"/>
        </w:rPr>
      </w:pPr>
      <w:bookmarkStart w:id="0" w:name="_Toc216360760"/>
      <w:r w:rsidRPr="00AF04A8">
        <w:rPr>
          <w:rFonts w:ascii="Arial" w:hAnsi="Arial" w:cs="Arial"/>
        </w:rPr>
        <w:lastRenderedPageBreak/>
        <w:t xml:space="preserve">1. </w:t>
      </w:r>
      <w:r w:rsidRPr="00AF04A8">
        <w:rPr>
          <w:rFonts w:ascii="Arial" w:hAnsi="Arial" w:cs="Arial"/>
        </w:rPr>
        <w:t>Introduction — Owen Mumford</w:t>
      </w:r>
      <w:bookmarkEnd w:id="0"/>
    </w:p>
    <w:p w14:paraId="59530B2B" w14:textId="780D9A93" w:rsidR="00475164" w:rsidRPr="00AF04A8" w:rsidRDefault="00BC1B8D" w:rsidP="00475164">
      <w:pPr>
        <w:rPr>
          <w:rFonts w:ascii="Arial" w:hAnsi="Arial" w:cs="Arial"/>
        </w:rPr>
      </w:pPr>
      <w:r w:rsidRPr="00BC1B8D">
        <w:rPr>
          <w:rFonts w:ascii="Arial" w:hAnsi="Arial" w:cs="Arial"/>
        </w:rPr>
        <w:t>Founded in 1952, Owen Mumford is a UK-based medical equipment manufacturer with its headquarters located in Oxfordshire. The company has developed into a worldwide supplier for patients and healthcare professionals, specialising on user-focused drug delivery systems and other medical devices. The company presents itself as grounded in tradition while pursuing innovation and sustainability. It places an intense focus on product design, high-quality manufacturing, and collaborations with pharmaceutical and diagnostic firms. Owen Mumford is a viable lead for the introduction of a consumer-facing wearable that measures heart rate, oxygen saturation, and sleep patterns, backed by clinical and regulatory expertise, thanks to his skills in engineering, human aspects, and regulated manufacturing.</w:t>
      </w:r>
      <w:r w:rsidR="00475164" w:rsidRPr="00AF04A8">
        <w:rPr>
          <w:rFonts w:ascii="Arial" w:eastAsia="Times New Roman" w:hAnsi="Arial" w:cs="Arial"/>
          <w:kern w:val="0"/>
          <w:lang w:eastAsia="en-GB"/>
          <w14:ligatures w14:val="none"/>
        </w:rPr>
        <w:t xml:space="preserve"> </w:t>
      </w:r>
      <w:r w:rsidR="00475164" w:rsidRPr="00AF04A8">
        <w:rPr>
          <w:rFonts w:ascii="Arial" w:hAnsi="Arial" w:cs="Arial"/>
        </w:rPr>
        <w:t xml:space="preserve">The project plan and stakeholder engagement strategy will benefit from the company's recent materials, which highlight its experience in several therapy areas and long-term commitments to quality and compliance. </w:t>
      </w:r>
      <w:r w:rsidR="00475164" w:rsidRPr="00AF04A8">
        <w:rPr>
          <w:rFonts w:ascii="Arial" w:hAnsi="Arial" w:cs="Arial"/>
        </w:rPr>
        <w:br/>
        <w:t>Mumford, Owen</w:t>
      </w:r>
      <w:r w:rsidR="00475164" w:rsidRPr="00AF04A8">
        <w:rPr>
          <w:rFonts w:ascii="Arial" w:hAnsi="Arial" w:cs="Arial"/>
        </w:rPr>
        <w:br/>
      </w:r>
      <w:r w:rsidR="00475164" w:rsidRPr="00AF04A8">
        <w:rPr>
          <w:rFonts w:ascii="Arial" w:hAnsi="Arial" w:cs="Arial"/>
        </w:rPr>
        <w:br/>
        <w:t xml:space="preserve">The product scenario is a wearable for consumers which includes algorithms for sleep staging and photoplethysmography for heart rate and oxygenation. </w:t>
      </w:r>
      <w:proofErr w:type="gramStart"/>
      <w:r w:rsidR="00475164" w:rsidRPr="00AF04A8">
        <w:rPr>
          <w:rFonts w:ascii="Arial" w:hAnsi="Arial" w:cs="Arial"/>
        </w:rPr>
        <w:t>In order to</w:t>
      </w:r>
      <w:proofErr w:type="gramEnd"/>
      <w:r w:rsidR="00475164" w:rsidRPr="00AF04A8">
        <w:rPr>
          <w:rFonts w:ascii="Arial" w:hAnsi="Arial" w:cs="Arial"/>
        </w:rPr>
        <w:t xml:space="preserve"> minimise risk and maximise uptake, the project needs quick yet careful coordination of regulatory, clinical, engineering, manufacturing, supply chain, and commercial partners. The product is anticipated to hit the market in six months.</w:t>
      </w:r>
    </w:p>
    <w:p w14:paraId="4B38ADF1" w14:textId="674F789E" w:rsidR="00BC1B8D" w:rsidRPr="00AF04A8" w:rsidRDefault="00F614A8" w:rsidP="00F614A8">
      <w:pPr>
        <w:pStyle w:val="Heading1"/>
        <w:rPr>
          <w:rFonts w:ascii="Arial" w:hAnsi="Arial" w:cs="Arial"/>
        </w:rPr>
      </w:pPr>
      <w:bookmarkStart w:id="1" w:name="_Toc216360761"/>
      <w:r w:rsidRPr="00AF04A8">
        <w:rPr>
          <w:rFonts w:ascii="Arial" w:hAnsi="Arial" w:cs="Arial"/>
        </w:rPr>
        <w:t>Situational appraisal: SWOT and SMART objectives</w:t>
      </w:r>
      <w:bookmarkEnd w:id="1"/>
    </w:p>
    <w:p w14:paraId="598B9DD2" w14:textId="6E7991D3" w:rsidR="00F571BA" w:rsidRPr="00AF04A8" w:rsidRDefault="00F571BA" w:rsidP="00F571BA">
      <w:pPr>
        <w:pStyle w:val="Heading2"/>
        <w:rPr>
          <w:rFonts w:ascii="Arial" w:hAnsi="Arial" w:cs="Arial"/>
        </w:rPr>
      </w:pPr>
      <w:bookmarkStart w:id="2" w:name="_Toc216360762"/>
      <w:r w:rsidRPr="00AF04A8">
        <w:rPr>
          <w:rFonts w:ascii="Arial" w:hAnsi="Arial" w:cs="Arial"/>
        </w:rPr>
        <w:t>SWOT analysis</w:t>
      </w:r>
      <w:bookmarkEnd w:id="2"/>
    </w:p>
    <w:p w14:paraId="580E94DB" w14:textId="77777777" w:rsidR="005F25D4" w:rsidRPr="00AF04A8" w:rsidRDefault="00B90E18" w:rsidP="00B90E18">
      <w:pPr>
        <w:rPr>
          <w:rFonts w:ascii="Arial" w:hAnsi="Arial" w:cs="Arial"/>
        </w:rPr>
      </w:pPr>
      <w:r w:rsidRPr="00B90E18">
        <w:rPr>
          <w:rFonts w:ascii="Arial" w:hAnsi="Arial" w:cs="Arial"/>
        </w:rPr>
        <w:t xml:space="preserve">Strengths: </w:t>
      </w:r>
    </w:p>
    <w:p w14:paraId="1A7E828E" w14:textId="6B13220F" w:rsidR="00B90E18" w:rsidRPr="00AF04A8" w:rsidRDefault="00B90E18" w:rsidP="00B90E18">
      <w:pPr>
        <w:rPr>
          <w:rFonts w:ascii="Arial" w:hAnsi="Arial" w:cs="Arial"/>
        </w:rPr>
      </w:pPr>
      <w:r w:rsidRPr="00B90E18">
        <w:rPr>
          <w:rFonts w:ascii="Arial" w:hAnsi="Arial" w:cs="Arial"/>
        </w:rPr>
        <w:t xml:space="preserve">• Well-established quality control and manufacturing expertise. Owen Mumford has a long history of designing and manufacturing medical </w:t>
      </w:r>
      <w:proofErr w:type="gramStart"/>
      <w:r w:rsidRPr="00B90E18">
        <w:rPr>
          <w:rFonts w:ascii="Arial" w:hAnsi="Arial" w:cs="Arial"/>
        </w:rPr>
        <w:t>devices,</w:t>
      </w:r>
      <w:proofErr w:type="gramEnd"/>
      <w:r w:rsidRPr="00B90E18">
        <w:rPr>
          <w:rFonts w:ascii="Arial" w:hAnsi="Arial" w:cs="Arial"/>
        </w:rPr>
        <w:t xml:space="preserve"> thus it is familiar with post-market surveillance, design controls, and device quality management. </w:t>
      </w:r>
      <w:r w:rsidRPr="00B90E18">
        <w:rPr>
          <w:rFonts w:ascii="Arial" w:hAnsi="Arial" w:cs="Arial"/>
        </w:rPr>
        <w:br/>
      </w:r>
      <w:r w:rsidRPr="00B90E18">
        <w:rPr>
          <w:rFonts w:ascii="Arial" w:hAnsi="Arial" w:cs="Arial"/>
        </w:rPr>
        <w:br/>
        <w:t xml:space="preserve">• Strong engineering and human factors knowledge that facilitates usability testing and wearable ergonomics. Development risk is decreased by the company's focus on customised solutions. </w:t>
      </w:r>
      <w:r w:rsidRPr="00B90E18">
        <w:rPr>
          <w:rFonts w:ascii="Arial" w:hAnsi="Arial" w:cs="Arial"/>
        </w:rPr>
        <w:br/>
      </w:r>
      <w:r w:rsidRPr="00B90E18">
        <w:rPr>
          <w:rFonts w:ascii="Arial" w:hAnsi="Arial" w:cs="Arial"/>
        </w:rPr>
        <w:br/>
        <w:t>• A presence in the UK and connections in the supply chain that enable small batch production and quick prototyping.</w:t>
      </w:r>
    </w:p>
    <w:p w14:paraId="6968F9A3" w14:textId="77777777" w:rsidR="00956E67" w:rsidRPr="00AF04A8" w:rsidRDefault="00D644EB" w:rsidP="00D644EB">
      <w:pPr>
        <w:rPr>
          <w:rFonts w:ascii="Arial" w:hAnsi="Arial" w:cs="Arial"/>
        </w:rPr>
      </w:pPr>
      <w:r w:rsidRPr="00D644EB">
        <w:rPr>
          <w:rFonts w:ascii="Arial" w:hAnsi="Arial" w:cs="Arial"/>
        </w:rPr>
        <w:t>Weaknesses</w:t>
      </w:r>
      <w:r w:rsidRPr="00AF04A8">
        <w:rPr>
          <w:rFonts w:ascii="Arial" w:hAnsi="Arial" w:cs="Arial"/>
        </w:rPr>
        <w:t>:</w:t>
      </w:r>
    </w:p>
    <w:p w14:paraId="408EDA92" w14:textId="54F22B03" w:rsidR="00D644EB" w:rsidRPr="00AF04A8" w:rsidRDefault="00D644EB" w:rsidP="00D644EB">
      <w:pPr>
        <w:rPr>
          <w:rFonts w:ascii="Arial" w:hAnsi="Arial" w:cs="Arial"/>
        </w:rPr>
      </w:pPr>
      <w:r w:rsidRPr="00D644EB">
        <w:rPr>
          <w:rFonts w:ascii="Arial" w:hAnsi="Arial" w:cs="Arial"/>
        </w:rPr>
        <w:lastRenderedPageBreak/>
        <w:t xml:space="preserve"> • In the crowded wearable industry, where tech companies and consumer electronics brands dominate, there is little customer brand trust. Credible clinical data and a significant marketing effort will be necessary for market access. According to market studies, adoption is led by well-established consumer players. </w:t>
      </w:r>
      <w:r w:rsidRPr="00D644EB">
        <w:rPr>
          <w:rFonts w:ascii="Arial" w:hAnsi="Arial" w:cs="Arial"/>
        </w:rPr>
        <w:br/>
      </w:r>
      <w:r w:rsidRPr="00D644EB">
        <w:rPr>
          <w:rFonts w:ascii="Arial" w:hAnsi="Arial" w:cs="Arial"/>
        </w:rPr>
        <w:br/>
        <w:t>• The six-month timeline is ambitious for supply chain resilience, clinical validation, and regulatory alignment. The workload for compliance is increased by new MHRA post-market surveillance regulations.</w:t>
      </w:r>
    </w:p>
    <w:p w14:paraId="56431C5B" w14:textId="77777777" w:rsidR="00956E67" w:rsidRPr="00AF04A8" w:rsidRDefault="00956E67" w:rsidP="00956E67">
      <w:pPr>
        <w:rPr>
          <w:rFonts w:ascii="Arial" w:hAnsi="Arial" w:cs="Arial"/>
        </w:rPr>
      </w:pPr>
      <w:r w:rsidRPr="00956E67">
        <w:rPr>
          <w:rFonts w:ascii="Arial" w:hAnsi="Arial" w:cs="Arial"/>
        </w:rPr>
        <w:t>Opportunities:</w:t>
      </w:r>
    </w:p>
    <w:p w14:paraId="05A94393" w14:textId="6D0012C1" w:rsidR="00956E67" w:rsidRPr="00956E67" w:rsidRDefault="00956E67" w:rsidP="00956E67">
      <w:pPr>
        <w:rPr>
          <w:rFonts w:ascii="Arial" w:hAnsi="Arial" w:cs="Arial"/>
        </w:rPr>
      </w:pPr>
      <w:r w:rsidRPr="00956E67">
        <w:rPr>
          <w:rFonts w:ascii="Arial" w:hAnsi="Arial" w:cs="Arial"/>
        </w:rPr>
        <w:t>• Wearable adoption is supported by the growing demand for wellness health and remote monitoring. Medical wearables are expected to grow at a robust CAGR</w:t>
      </w:r>
      <w:r w:rsidR="003271EE" w:rsidRPr="00AF04A8">
        <w:rPr>
          <w:rFonts w:ascii="Arial" w:hAnsi="Arial" w:cs="Arial"/>
        </w:rPr>
        <w:t xml:space="preserve"> (</w:t>
      </w:r>
      <w:r w:rsidR="003271EE" w:rsidRPr="00AF04A8">
        <w:rPr>
          <w:rFonts w:ascii="Arial" w:hAnsi="Arial" w:cs="Arial"/>
        </w:rPr>
        <w:t>Compound Annual Growth Rate</w:t>
      </w:r>
      <w:r w:rsidR="003271EE" w:rsidRPr="00AF04A8">
        <w:rPr>
          <w:rFonts w:ascii="Arial" w:hAnsi="Arial" w:cs="Arial"/>
        </w:rPr>
        <w:t>)</w:t>
      </w:r>
      <w:r w:rsidRPr="00956E67">
        <w:rPr>
          <w:rFonts w:ascii="Arial" w:hAnsi="Arial" w:cs="Arial"/>
        </w:rPr>
        <w:t xml:space="preserve">. </w:t>
      </w:r>
      <w:r w:rsidRPr="00956E67">
        <w:rPr>
          <w:rFonts w:ascii="Arial" w:hAnsi="Arial" w:cs="Arial"/>
        </w:rPr>
        <w:br/>
      </w:r>
      <w:r w:rsidRPr="00956E67">
        <w:rPr>
          <w:rFonts w:ascii="Arial" w:hAnsi="Arial" w:cs="Arial"/>
        </w:rPr>
        <w:br/>
        <w:t>• Differentiation through transparent regulatory positioning, including UKCA</w:t>
      </w:r>
      <w:r w:rsidR="00316168" w:rsidRPr="00AF04A8">
        <w:rPr>
          <w:rFonts w:ascii="Arial" w:hAnsi="Arial" w:cs="Arial"/>
        </w:rPr>
        <w:t xml:space="preserve"> </w:t>
      </w:r>
      <w:r w:rsidR="00316168" w:rsidRPr="00AF04A8">
        <w:rPr>
          <w:rFonts w:ascii="Arial" w:hAnsi="Arial" w:cs="Arial"/>
        </w:rPr>
        <w:t>(UK Conformity Assessed)</w:t>
      </w:r>
      <w:r w:rsidRPr="00956E67">
        <w:rPr>
          <w:rFonts w:ascii="Arial" w:hAnsi="Arial" w:cs="Arial"/>
        </w:rPr>
        <w:t xml:space="preserve"> compliance and strong post-market surveillance, and clinically validated metrics. Having clear regulations might give you a competitive edge.</w:t>
      </w:r>
    </w:p>
    <w:p w14:paraId="7B2C6E48" w14:textId="0DBCB33A" w:rsidR="003D57B5" w:rsidRPr="00AF04A8" w:rsidRDefault="003D57B5" w:rsidP="003D57B5">
      <w:pPr>
        <w:rPr>
          <w:rFonts w:ascii="Arial" w:hAnsi="Arial" w:cs="Arial"/>
        </w:rPr>
      </w:pPr>
      <w:r w:rsidRPr="003D57B5">
        <w:rPr>
          <w:rFonts w:ascii="Arial" w:hAnsi="Arial" w:cs="Arial"/>
        </w:rPr>
        <w:t>Threats</w:t>
      </w:r>
      <w:r w:rsidRPr="00AF04A8">
        <w:rPr>
          <w:rFonts w:ascii="Arial" w:hAnsi="Arial" w:cs="Arial"/>
        </w:rPr>
        <w:t>:</w:t>
      </w:r>
    </w:p>
    <w:p w14:paraId="1573BB4A" w14:textId="77777777" w:rsidR="005906BB" w:rsidRPr="00AF04A8" w:rsidRDefault="003D57B5" w:rsidP="005906BB">
      <w:pPr>
        <w:pStyle w:val="NoSpacing"/>
        <w:rPr>
          <w:rFonts w:ascii="Arial" w:hAnsi="Arial" w:cs="Arial"/>
        </w:rPr>
      </w:pPr>
      <w:r w:rsidRPr="00AF04A8">
        <w:rPr>
          <w:rFonts w:ascii="Arial" w:hAnsi="Arial" w:cs="Arial"/>
        </w:rPr>
        <w:t xml:space="preserve">• Consumer wearables face scrutiny over measurement accuracy, interference with implanted cardiac devices and regulatory expectations. The accuracy of heart rate and sleep measurements varies amongst devices, according to recent research. </w:t>
      </w:r>
      <w:r w:rsidRPr="00AF04A8">
        <w:rPr>
          <w:rFonts w:ascii="Arial" w:hAnsi="Arial" w:cs="Arial"/>
        </w:rPr>
        <w:br/>
      </w:r>
    </w:p>
    <w:p w14:paraId="6006F42B" w14:textId="3FD2CF9E" w:rsidR="003D57B5" w:rsidRPr="00AF04A8" w:rsidRDefault="003D57B5" w:rsidP="005906BB">
      <w:pPr>
        <w:pStyle w:val="NoSpacing"/>
        <w:rPr>
          <w:rFonts w:ascii="Arial" w:hAnsi="Arial" w:cs="Arial"/>
        </w:rPr>
      </w:pPr>
      <w:r w:rsidRPr="00AF04A8">
        <w:rPr>
          <w:rFonts w:ascii="Arial" w:hAnsi="Arial" w:cs="Arial"/>
        </w:rPr>
        <w:t>• Quick changes in the market by big tech companies and rivals in the medical device industry may reduce market share and pricing power.</w:t>
      </w:r>
    </w:p>
    <w:p w14:paraId="7CA4BB4F" w14:textId="433F6626" w:rsidR="00D644EB" w:rsidRPr="00AF04A8" w:rsidRDefault="00FC085A" w:rsidP="00FC085A">
      <w:pPr>
        <w:pStyle w:val="Heading1"/>
        <w:rPr>
          <w:rFonts w:ascii="Arial" w:hAnsi="Arial" w:cs="Arial"/>
        </w:rPr>
      </w:pPr>
      <w:bookmarkStart w:id="3" w:name="_Toc216360763"/>
      <w:r w:rsidRPr="00AF04A8">
        <w:rPr>
          <w:rFonts w:ascii="Arial" w:hAnsi="Arial" w:cs="Arial"/>
        </w:rPr>
        <w:t>SMART objectives (aligned to the launch in six months)</w:t>
      </w:r>
      <w:bookmarkEnd w:id="3"/>
    </w:p>
    <w:p w14:paraId="4DAA59CA" w14:textId="084485B5" w:rsidR="00A1179B" w:rsidRPr="00AF04A8" w:rsidRDefault="00A1179B" w:rsidP="00A1179B">
      <w:pPr>
        <w:pStyle w:val="NoSpacing"/>
        <w:rPr>
          <w:rFonts w:ascii="Arial" w:hAnsi="Arial" w:cs="Arial"/>
        </w:rPr>
      </w:pPr>
      <w:r w:rsidRPr="00AF04A8">
        <w:rPr>
          <w:rFonts w:ascii="Arial" w:hAnsi="Arial" w:cs="Arial"/>
        </w:rPr>
        <w:t>1.</w:t>
      </w:r>
      <w:r w:rsidRPr="00AF04A8">
        <w:rPr>
          <w:rFonts w:ascii="Arial" w:hAnsi="Arial" w:cs="Arial"/>
        </w:rPr>
        <w:t>Specifics: Conduct a clinical accuracy study with at least 50 individuals that compares SpO2 and heart rate to clinical gold standards and generates a validation report.</w:t>
      </w:r>
      <w:r w:rsidRPr="00AF04A8">
        <w:rPr>
          <w:rFonts w:ascii="Arial" w:hAnsi="Arial" w:cs="Arial"/>
        </w:rPr>
        <w:br/>
      </w:r>
      <w:r w:rsidRPr="00AF04A8">
        <w:rPr>
          <w:rFonts w:ascii="Arial" w:hAnsi="Arial" w:cs="Arial"/>
        </w:rPr>
        <w:br/>
      </w:r>
      <w:r w:rsidRPr="00AF04A8">
        <w:rPr>
          <w:rFonts w:ascii="Arial" w:hAnsi="Arial" w:cs="Arial"/>
        </w:rPr>
        <w:t>2.</w:t>
      </w:r>
      <w:r w:rsidRPr="00AF04A8">
        <w:rPr>
          <w:rFonts w:ascii="Arial" w:hAnsi="Arial" w:cs="Arial"/>
        </w:rPr>
        <w:t>Measurable: In controlled testing, attain a heart rate mean absolute percentage error of less than 3% and a SpO2 bias of within ±2 percentage points.</w:t>
      </w:r>
      <w:r w:rsidRPr="00AF04A8">
        <w:rPr>
          <w:rFonts w:ascii="Arial" w:hAnsi="Arial" w:cs="Arial"/>
        </w:rPr>
        <w:br/>
      </w:r>
      <w:r w:rsidRPr="00AF04A8">
        <w:rPr>
          <w:rFonts w:ascii="Arial" w:hAnsi="Arial" w:cs="Arial"/>
        </w:rPr>
        <w:br/>
      </w:r>
      <w:r w:rsidRPr="00AF04A8">
        <w:rPr>
          <w:rFonts w:ascii="Arial" w:hAnsi="Arial" w:cs="Arial"/>
        </w:rPr>
        <w:t>3.</w:t>
      </w:r>
      <w:r w:rsidRPr="00AF04A8">
        <w:rPr>
          <w:rFonts w:ascii="Arial" w:hAnsi="Arial" w:cs="Arial"/>
        </w:rPr>
        <w:t xml:space="preserve">Achievable: Utilise internal quality systems, contract research organisation support, and current engineering and clinical partners to conduct the study. </w:t>
      </w:r>
    </w:p>
    <w:p w14:paraId="55C67190" w14:textId="31A03450" w:rsidR="00A1179B" w:rsidRPr="00AF04A8" w:rsidRDefault="00A1179B" w:rsidP="00A1179B">
      <w:pPr>
        <w:pStyle w:val="NoSpacing"/>
        <w:rPr>
          <w:rFonts w:ascii="Arial" w:hAnsi="Arial" w:cs="Arial"/>
        </w:rPr>
      </w:pPr>
      <w:r w:rsidRPr="00AF04A8">
        <w:rPr>
          <w:rFonts w:ascii="Arial" w:hAnsi="Arial" w:cs="Arial"/>
        </w:rPr>
        <w:br/>
      </w:r>
      <w:r w:rsidRPr="00AF04A8">
        <w:rPr>
          <w:rFonts w:ascii="Arial" w:hAnsi="Arial" w:cs="Arial"/>
        </w:rPr>
        <w:t>4.</w:t>
      </w:r>
      <w:r w:rsidRPr="00AF04A8">
        <w:rPr>
          <w:rFonts w:ascii="Arial" w:hAnsi="Arial" w:cs="Arial"/>
        </w:rPr>
        <w:t>Relevant: Reaching accuracy goals promotes clinical acceptance and regulatory claims.</w:t>
      </w:r>
    </w:p>
    <w:p w14:paraId="70BB2744" w14:textId="769EEA29" w:rsidR="00FC085A" w:rsidRPr="00AF04A8" w:rsidRDefault="00A1179B" w:rsidP="00DF08C1">
      <w:pPr>
        <w:pStyle w:val="NoSpacing"/>
        <w:rPr>
          <w:rFonts w:ascii="Arial" w:hAnsi="Arial" w:cs="Arial"/>
        </w:rPr>
      </w:pPr>
      <w:r w:rsidRPr="00AF04A8">
        <w:rPr>
          <w:rFonts w:ascii="Arial" w:hAnsi="Arial" w:cs="Arial"/>
        </w:rPr>
        <w:br/>
      </w:r>
      <w:r w:rsidRPr="00AF04A8">
        <w:rPr>
          <w:rFonts w:ascii="Arial" w:hAnsi="Arial" w:cs="Arial"/>
        </w:rPr>
        <w:t>5.</w:t>
      </w:r>
      <w:r w:rsidRPr="00AF04A8">
        <w:rPr>
          <w:rFonts w:ascii="Arial" w:hAnsi="Arial" w:cs="Arial"/>
        </w:rPr>
        <w:t>Time-bound: To enable regulatory paperwork prior to launch, the study must be finished and the report submitted within 12 weeks.</w:t>
      </w:r>
    </w:p>
    <w:p w14:paraId="76B32D4A" w14:textId="77777777" w:rsidR="00D83ADA" w:rsidRPr="00AF04A8" w:rsidRDefault="00D83ADA" w:rsidP="00D83ADA">
      <w:pPr>
        <w:pStyle w:val="NoSpacing"/>
        <w:rPr>
          <w:rFonts w:ascii="Arial" w:hAnsi="Arial" w:cs="Arial"/>
        </w:rPr>
      </w:pPr>
    </w:p>
    <w:p w14:paraId="3B4C2524" w14:textId="5D7899DA" w:rsidR="00D83ADA" w:rsidRPr="00D83ADA" w:rsidRDefault="00D83ADA" w:rsidP="00D83ADA">
      <w:pPr>
        <w:pStyle w:val="NoSpacing"/>
        <w:rPr>
          <w:rFonts w:ascii="Arial" w:hAnsi="Arial" w:cs="Arial"/>
        </w:rPr>
      </w:pPr>
      <w:bookmarkStart w:id="4" w:name="_Toc216360764"/>
      <w:r w:rsidRPr="00D83ADA">
        <w:rPr>
          <w:rStyle w:val="Heading2Char"/>
          <w:rFonts w:ascii="Arial" w:hAnsi="Arial" w:cs="Arial"/>
        </w:rPr>
        <w:lastRenderedPageBreak/>
        <w:t>Additional SMART goals</w:t>
      </w:r>
      <w:bookmarkEnd w:id="4"/>
      <w:r w:rsidRPr="00D83ADA">
        <w:rPr>
          <w:rFonts w:ascii="Arial" w:hAnsi="Arial" w:cs="Arial"/>
        </w:rPr>
        <w:br/>
        <w:t xml:space="preserve">• Regulatory: Within five months, get UKCA compliance and finish the necessary technical paperwork and post-market surveillance strategy. </w:t>
      </w:r>
      <w:r w:rsidRPr="00D83ADA">
        <w:rPr>
          <w:rFonts w:ascii="Arial" w:hAnsi="Arial" w:cs="Arial"/>
        </w:rPr>
        <w:br/>
      </w:r>
      <w:r w:rsidRPr="00D83ADA">
        <w:rPr>
          <w:rFonts w:ascii="Arial" w:hAnsi="Arial" w:cs="Arial"/>
        </w:rPr>
        <w:br/>
        <w:t>• Commercial: By launch, obtain distribution contracts that span a minimum of two UK retail channels and one NHS pilot partner.</w:t>
      </w:r>
      <w:r w:rsidRPr="00D83ADA">
        <w:rPr>
          <w:rFonts w:ascii="Arial" w:hAnsi="Arial" w:cs="Arial"/>
        </w:rPr>
        <w:br/>
        <w:t xml:space="preserve">• Post-market: To meet MHRA requirements, put in place a proactive post-market surveillance system and a real-time feedback loop for software updates. </w:t>
      </w:r>
      <w:r w:rsidRPr="00D83ADA">
        <w:rPr>
          <w:rFonts w:ascii="Arial" w:hAnsi="Arial" w:cs="Arial"/>
        </w:rPr>
        <w:br/>
      </w:r>
      <w:r w:rsidRPr="00D83ADA">
        <w:rPr>
          <w:rFonts w:ascii="Arial" w:hAnsi="Arial" w:cs="Arial"/>
        </w:rPr>
        <w:br/>
        <w:t>These goals strike a balance between risk management and speed. The SWOT analysis highlights internal strengths that may be leveraged while resolving weaknesses through prioritised efforts and stakeholder participation.</w:t>
      </w:r>
    </w:p>
    <w:p w14:paraId="52027350" w14:textId="77777777" w:rsidR="00DF08C1" w:rsidRPr="00AF04A8" w:rsidRDefault="00DF08C1" w:rsidP="00DF08C1">
      <w:pPr>
        <w:pStyle w:val="NoSpacing"/>
        <w:rPr>
          <w:rFonts w:ascii="Arial" w:hAnsi="Arial" w:cs="Arial"/>
        </w:rPr>
      </w:pPr>
    </w:p>
    <w:p w14:paraId="0E8130D7" w14:textId="25CCB25C" w:rsidR="00D83ADA" w:rsidRPr="00AF04A8" w:rsidRDefault="00D83ADA" w:rsidP="00D83ADA">
      <w:pPr>
        <w:pStyle w:val="Heading1"/>
        <w:rPr>
          <w:rFonts w:ascii="Arial" w:hAnsi="Arial" w:cs="Arial"/>
        </w:rPr>
      </w:pPr>
      <w:bookmarkStart w:id="5" w:name="_Toc216360765"/>
      <w:r w:rsidRPr="00AF04A8">
        <w:rPr>
          <w:rFonts w:ascii="Arial" w:hAnsi="Arial" w:cs="Arial"/>
        </w:rPr>
        <w:t>3. Key stakeholders: internal and external</w:t>
      </w:r>
      <w:bookmarkEnd w:id="5"/>
    </w:p>
    <w:p w14:paraId="2DDB126B" w14:textId="77777777" w:rsidR="00704631" w:rsidRPr="00704631" w:rsidRDefault="00704631" w:rsidP="00704631">
      <w:pPr>
        <w:rPr>
          <w:rFonts w:ascii="Arial" w:hAnsi="Arial" w:cs="Arial"/>
        </w:rPr>
      </w:pPr>
      <w:r w:rsidRPr="00704631">
        <w:rPr>
          <w:rFonts w:ascii="Arial" w:hAnsi="Arial" w:cs="Arial"/>
        </w:rPr>
        <w:t>Stakeholders who will impact or be impacted by the project must be identified and prioritised for a successful launch. Stakeholders can be divided into four groups and engagement efforts can be appropriately targeted by using Mendelow's power and interest grid.</w:t>
      </w:r>
    </w:p>
    <w:p w14:paraId="5664EC50" w14:textId="403495C8" w:rsidR="00D83ADA" w:rsidRPr="00AF04A8" w:rsidRDefault="000E1D6A" w:rsidP="000E1D6A">
      <w:pPr>
        <w:pStyle w:val="Heading2"/>
        <w:rPr>
          <w:rFonts w:ascii="Arial" w:hAnsi="Arial" w:cs="Arial"/>
        </w:rPr>
      </w:pPr>
      <w:bookmarkStart w:id="6" w:name="_Toc216360766"/>
      <w:r w:rsidRPr="00AF04A8">
        <w:rPr>
          <w:rFonts w:ascii="Arial" w:hAnsi="Arial" w:cs="Arial"/>
        </w:rPr>
        <w:t>High power, high interest (manage closely)</w:t>
      </w:r>
      <w:bookmarkEnd w:id="6"/>
    </w:p>
    <w:p w14:paraId="0D53E0F8" w14:textId="77777777" w:rsidR="005906BB" w:rsidRPr="00AF04A8" w:rsidRDefault="005906BB" w:rsidP="005906BB">
      <w:pPr>
        <w:pStyle w:val="NoSpacing"/>
        <w:rPr>
          <w:rFonts w:ascii="Arial" w:hAnsi="Arial" w:cs="Arial"/>
        </w:rPr>
      </w:pPr>
      <w:r w:rsidRPr="00AF04A8">
        <w:rPr>
          <w:rFonts w:ascii="Arial" w:hAnsi="Arial" w:cs="Arial"/>
        </w:rPr>
        <w:t>• Executive leadership and Board. responsible for finance, reputational risk management, and strategy approval.</w:t>
      </w:r>
      <w:r w:rsidRPr="00AF04A8">
        <w:rPr>
          <w:rFonts w:ascii="Arial" w:hAnsi="Arial" w:cs="Arial"/>
        </w:rPr>
        <w:br/>
      </w:r>
    </w:p>
    <w:p w14:paraId="16C25B29" w14:textId="4E21E589" w:rsidR="005906BB" w:rsidRPr="00AF04A8" w:rsidRDefault="005906BB" w:rsidP="005906BB">
      <w:pPr>
        <w:pStyle w:val="NoSpacing"/>
        <w:rPr>
          <w:rFonts w:ascii="Arial" w:hAnsi="Arial" w:cs="Arial"/>
        </w:rPr>
      </w:pPr>
      <w:r w:rsidRPr="00AF04A8">
        <w:rPr>
          <w:rFonts w:ascii="Arial" w:hAnsi="Arial" w:cs="Arial"/>
        </w:rPr>
        <w:t xml:space="preserve">• Regulatory and quality leads (internal and MHRA as external regulator). In charge of post-market obligations and </w:t>
      </w:r>
      <w:r w:rsidRPr="00AF04A8">
        <w:rPr>
          <w:rFonts w:ascii="Arial" w:hAnsi="Arial" w:cs="Arial"/>
        </w:rPr>
        <w:t>compliance.</w:t>
      </w:r>
    </w:p>
    <w:p w14:paraId="18A46769" w14:textId="77777777" w:rsidR="006728CA" w:rsidRPr="00AF04A8" w:rsidRDefault="006728CA" w:rsidP="006728CA">
      <w:pPr>
        <w:pStyle w:val="NoSpacing"/>
        <w:rPr>
          <w:rFonts w:ascii="Arial" w:hAnsi="Arial" w:cs="Arial"/>
        </w:rPr>
      </w:pPr>
    </w:p>
    <w:p w14:paraId="5945E75B" w14:textId="48ABD92F" w:rsidR="006728CA" w:rsidRPr="00AF04A8" w:rsidRDefault="006728CA" w:rsidP="006728CA">
      <w:pPr>
        <w:pStyle w:val="Heading2"/>
        <w:rPr>
          <w:rFonts w:ascii="Arial" w:hAnsi="Arial" w:cs="Arial"/>
        </w:rPr>
      </w:pPr>
      <w:bookmarkStart w:id="7" w:name="_Toc216360767"/>
      <w:r w:rsidRPr="00AF04A8">
        <w:rPr>
          <w:rFonts w:ascii="Arial" w:hAnsi="Arial" w:cs="Arial"/>
        </w:rPr>
        <w:t>High power, low interest (keep satisfied)</w:t>
      </w:r>
      <w:bookmarkEnd w:id="7"/>
    </w:p>
    <w:p w14:paraId="7DB04AE6" w14:textId="77777777" w:rsidR="00347D48" w:rsidRPr="00AF04A8" w:rsidRDefault="00347D48" w:rsidP="00347D48">
      <w:pPr>
        <w:pStyle w:val="NoSpacing"/>
        <w:rPr>
          <w:rFonts w:ascii="Arial" w:hAnsi="Arial" w:cs="Arial"/>
        </w:rPr>
      </w:pPr>
      <w:r w:rsidRPr="00AF04A8">
        <w:rPr>
          <w:rFonts w:ascii="Arial" w:hAnsi="Arial" w:cs="Arial"/>
        </w:rPr>
        <w:t>• Major suppliers and contract manufacturers. Production ramp-up is impacted by the speed of their delivery.</w:t>
      </w:r>
      <w:r w:rsidRPr="00AF04A8">
        <w:rPr>
          <w:rFonts w:ascii="Arial" w:hAnsi="Arial" w:cs="Arial"/>
        </w:rPr>
        <w:br/>
      </w:r>
    </w:p>
    <w:p w14:paraId="343E8790" w14:textId="6F2BC84E" w:rsidR="00347D48" w:rsidRPr="00AF04A8" w:rsidRDefault="00347D48" w:rsidP="00347D48">
      <w:pPr>
        <w:pStyle w:val="NoSpacing"/>
        <w:rPr>
          <w:rFonts w:ascii="Arial" w:hAnsi="Arial" w:cs="Arial"/>
        </w:rPr>
      </w:pPr>
      <w:r w:rsidRPr="00AF04A8">
        <w:rPr>
          <w:rFonts w:ascii="Arial" w:hAnsi="Arial" w:cs="Arial"/>
        </w:rPr>
        <w:t xml:space="preserve">• Finance committees or shareholders who need supervision but do not participate </w:t>
      </w:r>
      <w:proofErr w:type="gramStart"/>
      <w:r w:rsidRPr="00AF04A8">
        <w:rPr>
          <w:rFonts w:ascii="Arial" w:hAnsi="Arial" w:cs="Arial"/>
        </w:rPr>
        <w:t>on a daily basis</w:t>
      </w:r>
      <w:proofErr w:type="gramEnd"/>
      <w:r w:rsidRPr="00AF04A8">
        <w:rPr>
          <w:rFonts w:ascii="Arial" w:hAnsi="Arial" w:cs="Arial"/>
        </w:rPr>
        <w:t>.</w:t>
      </w:r>
    </w:p>
    <w:p w14:paraId="32689A2C" w14:textId="77777777" w:rsidR="00347D48" w:rsidRPr="00AF04A8" w:rsidRDefault="00347D48" w:rsidP="00347D48">
      <w:pPr>
        <w:pStyle w:val="NoSpacing"/>
        <w:rPr>
          <w:rFonts w:ascii="Arial" w:hAnsi="Arial" w:cs="Arial"/>
        </w:rPr>
      </w:pPr>
    </w:p>
    <w:p w14:paraId="7F25F3BC" w14:textId="434D6E6F" w:rsidR="00347D48" w:rsidRPr="00AF04A8" w:rsidRDefault="005F033A" w:rsidP="005F033A">
      <w:pPr>
        <w:pStyle w:val="Heading2"/>
        <w:rPr>
          <w:rFonts w:ascii="Arial" w:hAnsi="Arial" w:cs="Arial"/>
        </w:rPr>
      </w:pPr>
      <w:bookmarkStart w:id="8" w:name="_Toc216360768"/>
      <w:r w:rsidRPr="00AF04A8">
        <w:rPr>
          <w:rFonts w:ascii="Arial" w:hAnsi="Arial" w:cs="Arial"/>
        </w:rPr>
        <w:t>Low power, high interest (keep informed and involved)</w:t>
      </w:r>
      <w:bookmarkEnd w:id="8"/>
    </w:p>
    <w:p w14:paraId="48D656C3" w14:textId="77777777" w:rsidR="00B760CF" w:rsidRPr="00AF04A8" w:rsidRDefault="00B760CF" w:rsidP="00B760CF">
      <w:pPr>
        <w:pStyle w:val="NoSpacing"/>
        <w:rPr>
          <w:rFonts w:ascii="Arial" w:hAnsi="Arial" w:cs="Arial"/>
        </w:rPr>
      </w:pPr>
      <w:r w:rsidRPr="00AF04A8">
        <w:rPr>
          <w:rFonts w:ascii="Arial" w:hAnsi="Arial" w:cs="Arial"/>
        </w:rPr>
        <w:t>• Engineers, firmware developers, data scientists, and human factors experts make up the product development team. The hardware and algorithms are made by them.</w:t>
      </w:r>
      <w:r w:rsidRPr="00AF04A8">
        <w:rPr>
          <w:rFonts w:ascii="Arial" w:hAnsi="Arial" w:cs="Arial"/>
        </w:rPr>
        <w:br/>
      </w:r>
      <w:r w:rsidRPr="00AF04A8">
        <w:rPr>
          <w:rFonts w:ascii="Arial" w:hAnsi="Arial" w:cs="Arial"/>
        </w:rPr>
        <w:br/>
        <w:t>• KOLs and clinical partners: medical professionals who will offer guidance on adoption and validation. Market uptake may be influenced by their endorsement.</w:t>
      </w:r>
      <w:r w:rsidRPr="00AF04A8">
        <w:rPr>
          <w:rFonts w:ascii="Arial" w:hAnsi="Arial" w:cs="Arial"/>
        </w:rPr>
        <w:br/>
      </w:r>
    </w:p>
    <w:p w14:paraId="7EB509F1" w14:textId="48F70DB9" w:rsidR="00B760CF" w:rsidRPr="00AF04A8" w:rsidRDefault="00B760CF" w:rsidP="00B760CF">
      <w:pPr>
        <w:pStyle w:val="NoSpacing"/>
        <w:rPr>
          <w:rFonts w:ascii="Arial" w:hAnsi="Arial" w:cs="Arial"/>
        </w:rPr>
      </w:pPr>
      <w:r w:rsidRPr="00AF04A8">
        <w:rPr>
          <w:rFonts w:ascii="Arial" w:hAnsi="Arial" w:cs="Arial"/>
        </w:rPr>
        <w:t>• Marketing and sales teams: in charge of communications and go-to-market strategy.</w:t>
      </w:r>
    </w:p>
    <w:p w14:paraId="3191CA68" w14:textId="77777777" w:rsidR="000E0CBD" w:rsidRPr="00AF04A8" w:rsidRDefault="000E0CBD" w:rsidP="000E0CBD">
      <w:pPr>
        <w:pStyle w:val="NoSpacing"/>
        <w:rPr>
          <w:rFonts w:ascii="Arial" w:hAnsi="Arial" w:cs="Arial"/>
        </w:rPr>
      </w:pPr>
    </w:p>
    <w:p w14:paraId="07345441" w14:textId="62F02394" w:rsidR="00B760CF" w:rsidRPr="00AF04A8" w:rsidRDefault="000E0CBD" w:rsidP="000E0CBD">
      <w:pPr>
        <w:pStyle w:val="Heading2"/>
        <w:rPr>
          <w:rFonts w:ascii="Arial" w:hAnsi="Arial" w:cs="Arial"/>
        </w:rPr>
      </w:pPr>
      <w:bookmarkStart w:id="9" w:name="_Toc216360769"/>
      <w:r w:rsidRPr="00AF04A8">
        <w:rPr>
          <w:rFonts w:ascii="Arial" w:hAnsi="Arial" w:cs="Arial"/>
        </w:rPr>
        <w:lastRenderedPageBreak/>
        <w:t>Low power, low interest (monitor)</w:t>
      </w:r>
      <w:bookmarkEnd w:id="9"/>
    </w:p>
    <w:p w14:paraId="344F5913" w14:textId="77777777" w:rsidR="00F1324E" w:rsidRPr="00AF04A8" w:rsidRDefault="00F1324E" w:rsidP="00F1324E">
      <w:pPr>
        <w:pStyle w:val="NoSpacing"/>
        <w:rPr>
          <w:rFonts w:ascii="Arial" w:hAnsi="Arial" w:cs="Arial"/>
        </w:rPr>
      </w:pPr>
      <w:r w:rsidRPr="00AF04A8">
        <w:rPr>
          <w:rFonts w:ascii="Arial" w:hAnsi="Arial" w:cs="Arial"/>
        </w:rPr>
        <w:t xml:space="preserve">• Patient groups and end users have less power on their own, but they are important for lobbying and </w:t>
      </w:r>
      <w:proofErr w:type="gramStart"/>
      <w:r w:rsidRPr="00AF04A8">
        <w:rPr>
          <w:rFonts w:ascii="Arial" w:hAnsi="Arial" w:cs="Arial"/>
        </w:rPr>
        <w:t>adoption as a whole</w:t>
      </w:r>
      <w:proofErr w:type="gramEnd"/>
      <w:r w:rsidRPr="00AF04A8">
        <w:rPr>
          <w:rFonts w:ascii="Arial" w:hAnsi="Arial" w:cs="Arial"/>
        </w:rPr>
        <w:t>.</w:t>
      </w:r>
      <w:r w:rsidRPr="00AF04A8">
        <w:rPr>
          <w:rFonts w:ascii="Arial" w:hAnsi="Arial" w:cs="Arial"/>
        </w:rPr>
        <w:br/>
      </w:r>
    </w:p>
    <w:p w14:paraId="40DE4F17" w14:textId="161164A9" w:rsidR="00F1324E" w:rsidRPr="00AF04A8" w:rsidRDefault="00F1324E" w:rsidP="00F1324E">
      <w:pPr>
        <w:pStyle w:val="NoSpacing"/>
        <w:rPr>
          <w:rFonts w:ascii="Arial" w:hAnsi="Arial" w:cs="Arial"/>
        </w:rPr>
      </w:pPr>
      <w:r w:rsidRPr="00AF04A8">
        <w:rPr>
          <w:rFonts w:ascii="Arial" w:hAnsi="Arial" w:cs="Arial"/>
        </w:rPr>
        <w:t>• NGOs and community health organisations that could have an impact on how the public views ethical use and data protection.</w:t>
      </w:r>
    </w:p>
    <w:p w14:paraId="2D00950F" w14:textId="77777777" w:rsidR="000E0CBD" w:rsidRPr="00AF04A8" w:rsidRDefault="000E0CBD" w:rsidP="000E0CBD">
      <w:pPr>
        <w:rPr>
          <w:rFonts w:ascii="Arial" w:hAnsi="Arial" w:cs="Arial"/>
        </w:rPr>
      </w:pPr>
    </w:p>
    <w:p w14:paraId="4F009B96" w14:textId="1C344CFD" w:rsidR="00F1324E" w:rsidRPr="00AF04A8" w:rsidRDefault="00C334FB" w:rsidP="00C334FB">
      <w:pPr>
        <w:pStyle w:val="Heading2"/>
        <w:rPr>
          <w:rFonts w:ascii="Arial" w:hAnsi="Arial" w:cs="Arial"/>
        </w:rPr>
      </w:pPr>
      <w:bookmarkStart w:id="10" w:name="_Toc216360770"/>
      <w:r w:rsidRPr="00AF04A8">
        <w:rPr>
          <w:rFonts w:ascii="Arial" w:hAnsi="Arial" w:cs="Arial"/>
        </w:rPr>
        <w:t>External stakeholders of note</w:t>
      </w:r>
      <w:bookmarkEnd w:id="10"/>
    </w:p>
    <w:p w14:paraId="3A24EF56" w14:textId="77777777" w:rsidR="006B3ED4" w:rsidRPr="00AF04A8" w:rsidRDefault="006B3ED4" w:rsidP="006B3ED4">
      <w:pPr>
        <w:pStyle w:val="NoSpacing"/>
        <w:rPr>
          <w:rFonts w:ascii="Arial" w:hAnsi="Arial" w:cs="Arial"/>
        </w:rPr>
      </w:pPr>
      <w:r w:rsidRPr="00AF04A8">
        <w:rPr>
          <w:rFonts w:ascii="Arial" w:hAnsi="Arial" w:cs="Arial"/>
        </w:rPr>
        <w:t>• Partners in retail and distribution, such as pharmacies and stores selling consumer electronics.</w:t>
      </w:r>
    </w:p>
    <w:p w14:paraId="5A2DBB19" w14:textId="2EDB9D0E" w:rsidR="006B3ED4" w:rsidRPr="00AF04A8" w:rsidRDefault="006B3ED4" w:rsidP="006B3ED4">
      <w:pPr>
        <w:pStyle w:val="NoSpacing"/>
        <w:rPr>
          <w:rFonts w:ascii="Arial" w:hAnsi="Arial" w:cs="Arial"/>
        </w:rPr>
      </w:pPr>
      <w:r w:rsidRPr="00AF04A8">
        <w:rPr>
          <w:rFonts w:ascii="Arial" w:hAnsi="Arial" w:cs="Arial"/>
        </w:rPr>
        <w:br/>
        <w:t>• NHS procurement contacts and possible pilot sites for practical assessment.</w:t>
      </w:r>
    </w:p>
    <w:p w14:paraId="0379D554" w14:textId="77777777" w:rsidR="006B3ED4" w:rsidRPr="00AF04A8" w:rsidRDefault="006B3ED4" w:rsidP="006B3ED4">
      <w:pPr>
        <w:pStyle w:val="NoSpacing"/>
        <w:rPr>
          <w:rFonts w:ascii="Arial" w:hAnsi="Arial" w:cs="Arial"/>
        </w:rPr>
      </w:pPr>
    </w:p>
    <w:p w14:paraId="783E7D75" w14:textId="77777777" w:rsidR="006B3ED4" w:rsidRPr="00AF04A8" w:rsidRDefault="006B3ED4" w:rsidP="006B3ED4">
      <w:pPr>
        <w:pStyle w:val="NoSpacing"/>
        <w:rPr>
          <w:rFonts w:ascii="Arial" w:hAnsi="Arial" w:cs="Arial"/>
        </w:rPr>
      </w:pPr>
      <w:r w:rsidRPr="00AF04A8">
        <w:rPr>
          <w:rFonts w:ascii="Arial" w:hAnsi="Arial" w:cs="Arial"/>
        </w:rPr>
        <w:t>• Cybersecurity auditors and data protection authorities, as the gadget will handle sensitive health data.</w:t>
      </w:r>
    </w:p>
    <w:p w14:paraId="28BC860E" w14:textId="5F5C6FEB" w:rsidR="006B3ED4" w:rsidRPr="00AF04A8" w:rsidRDefault="006B3ED4" w:rsidP="006B3ED4">
      <w:pPr>
        <w:pStyle w:val="NoSpacing"/>
        <w:rPr>
          <w:rFonts w:ascii="Arial" w:hAnsi="Arial" w:cs="Arial"/>
        </w:rPr>
      </w:pPr>
      <w:r w:rsidRPr="00AF04A8">
        <w:rPr>
          <w:rFonts w:ascii="Arial" w:hAnsi="Arial" w:cs="Arial"/>
        </w:rPr>
        <w:br/>
        <w:t>• Where appropriate, insurance companies and reimbursement organisations.</w:t>
      </w:r>
    </w:p>
    <w:p w14:paraId="68920E30" w14:textId="77777777" w:rsidR="004E345E" w:rsidRPr="00AF04A8" w:rsidRDefault="004E345E" w:rsidP="004E345E">
      <w:pPr>
        <w:pStyle w:val="NoSpacing"/>
        <w:rPr>
          <w:rFonts w:ascii="Arial" w:hAnsi="Arial" w:cs="Arial"/>
        </w:rPr>
      </w:pPr>
    </w:p>
    <w:p w14:paraId="523E1A63" w14:textId="463741DF" w:rsidR="004E345E" w:rsidRPr="00AF04A8" w:rsidRDefault="004E345E" w:rsidP="004E345E">
      <w:pPr>
        <w:pStyle w:val="NoSpacing"/>
        <w:rPr>
          <w:rFonts w:ascii="Arial" w:hAnsi="Arial" w:cs="Arial"/>
        </w:rPr>
      </w:pPr>
      <w:r w:rsidRPr="00AF04A8">
        <w:rPr>
          <w:rFonts w:ascii="Arial" w:hAnsi="Arial" w:cs="Arial"/>
        </w:rPr>
        <w:t>A stakeholder list structured by internal versus external roles, and mapped by power and interest, provides the foundation for the RACI matrix and the communication plan that follow</w:t>
      </w:r>
      <w:r w:rsidRPr="00AF04A8">
        <w:rPr>
          <w:rFonts w:ascii="Arial" w:hAnsi="Arial" w:cs="Arial"/>
        </w:rPr>
        <w:t>.</w:t>
      </w:r>
    </w:p>
    <w:p w14:paraId="13439484" w14:textId="1F85D35A" w:rsidR="003E04B2" w:rsidRPr="00AF04A8" w:rsidRDefault="003E04B2" w:rsidP="003E04B2">
      <w:pPr>
        <w:pStyle w:val="Heading1"/>
        <w:rPr>
          <w:rFonts w:ascii="Arial" w:hAnsi="Arial" w:cs="Arial"/>
        </w:rPr>
      </w:pPr>
      <w:bookmarkStart w:id="11" w:name="_Toc216360771"/>
      <w:r w:rsidRPr="00AF04A8">
        <w:rPr>
          <w:rFonts w:ascii="Arial" w:hAnsi="Arial" w:cs="Arial"/>
        </w:rPr>
        <w:t>4. Roles, responsibilities, benefits and challenges</w:t>
      </w:r>
      <w:bookmarkEnd w:id="11"/>
    </w:p>
    <w:p w14:paraId="15EEF28F" w14:textId="634DA1E3" w:rsidR="003E04B2" w:rsidRPr="00AF04A8" w:rsidRDefault="00DB60BC" w:rsidP="003E04B2">
      <w:pPr>
        <w:rPr>
          <w:rFonts w:ascii="Arial" w:hAnsi="Arial" w:cs="Arial"/>
        </w:rPr>
      </w:pPr>
      <w:r w:rsidRPr="00AF04A8">
        <w:rPr>
          <w:rFonts w:ascii="Arial" w:hAnsi="Arial" w:cs="Arial"/>
        </w:rPr>
        <w:t>This section details key stakeholders, their roles, the main benefits they bring to the project and the principal challenges they may face.</w:t>
      </w:r>
    </w:p>
    <w:p w14:paraId="5A55C6C2" w14:textId="11A79C41" w:rsidR="00DB60BC" w:rsidRPr="00AF04A8" w:rsidRDefault="00DB60BC" w:rsidP="00DB60BC">
      <w:pPr>
        <w:pStyle w:val="Heading2"/>
        <w:rPr>
          <w:rFonts w:ascii="Arial" w:hAnsi="Arial" w:cs="Arial"/>
        </w:rPr>
      </w:pPr>
      <w:bookmarkStart w:id="12" w:name="_Toc216360772"/>
      <w:r w:rsidRPr="00AF04A8">
        <w:rPr>
          <w:rFonts w:ascii="Arial" w:hAnsi="Arial" w:cs="Arial"/>
        </w:rPr>
        <w:t>Executive leadership and Board</w:t>
      </w:r>
      <w:bookmarkEnd w:id="12"/>
    </w:p>
    <w:p w14:paraId="5DE02DA8" w14:textId="77777777" w:rsidR="008E3EC0" w:rsidRPr="008E3EC0" w:rsidRDefault="008E3EC0" w:rsidP="008E3EC0">
      <w:pPr>
        <w:rPr>
          <w:rFonts w:ascii="Arial" w:hAnsi="Arial" w:cs="Arial"/>
        </w:rPr>
      </w:pPr>
      <w:r w:rsidRPr="008E3EC0">
        <w:rPr>
          <w:rFonts w:ascii="Arial" w:hAnsi="Arial" w:cs="Arial"/>
        </w:rPr>
        <w:t>Roles and responsibilities include approving strategic and financial choices, approving commercial and regulatory risk tolerance, and promoting cross-functional alignment.</w:t>
      </w:r>
      <w:r w:rsidRPr="008E3EC0">
        <w:rPr>
          <w:rFonts w:ascii="Arial" w:hAnsi="Arial" w:cs="Arial"/>
        </w:rPr>
        <w:br/>
        <w:t>Benefits include quick decision-making, resource distribution, and clear organisational support for the launch.</w:t>
      </w:r>
      <w:r w:rsidRPr="008E3EC0">
        <w:rPr>
          <w:rFonts w:ascii="Arial" w:hAnsi="Arial" w:cs="Arial"/>
        </w:rPr>
        <w:br/>
        <w:t>Challenges involve balancing short-term launch pressures with long-term company goals and being sensitive to reputational risk if the product doesn't live up to expectations.</w:t>
      </w:r>
    </w:p>
    <w:p w14:paraId="0A196EBF" w14:textId="0C1B4DEF" w:rsidR="00DB60BC" w:rsidRPr="00AF04A8" w:rsidRDefault="006241FD" w:rsidP="006241FD">
      <w:pPr>
        <w:pStyle w:val="Heading2"/>
        <w:rPr>
          <w:rFonts w:ascii="Arial" w:hAnsi="Arial" w:cs="Arial"/>
        </w:rPr>
      </w:pPr>
      <w:bookmarkStart w:id="13" w:name="_Toc216360773"/>
      <w:r w:rsidRPr="00AF04A8">
        <w:rPr>
          <w:rFonts w:ascii="Arial" w:hAnsi="Arial" w:cs="Arial"/>
        </w:rPr>
        <w:t>Regulatory and Quality functions (internal) and MHRA (external)</w:t>
      </w:r>
      <w:bookmarkEnd w:id="13"/>
    </w:p>
    <w:p w14:paraId="5E359CE5" w14:textId="438D00B7" w:rsidR="00641D13" w:rsidRPr="00AF04A8" w:rsidRDefault="00641D13" w:rsidP="00641D13">
      <w:pPr>
        <w:pStyle w:val="NoSpacing"/>
        <w:rPr>
          <w:rFonts w:ascii="Arial" w:hAnsi="Arial" w:cs="Arial"/>
        </w:rPr>
      </w:pPr>
      <w:r w:rsidRPr="00AF04A8">
        <w:rPr>
          <w:rFonts w:ascii="Arial" w:hAnsi="Arial" w:cs="Arial"/>
        </w:rPr>
        <w:t xml:space="preserve">Roles and responsibilities: Include managing post-market surveillance, leading clinical validation strategy, ensuring design controls, preparing technical documentation, and submitting UKCA documentation. Safety and compliance are evaluated by outside regulators. </w:t>
      </w:r>
      <w:r w:rsidRPr="00AF04A8">
        <w:rPr>
          <w:rFonts w:ascii="Arial" w:hAnsi="Arial" w:cs="Arial"/>
        </w:rPr>
        <w:br/>
        <w:t>Benefits: Guarantees confidence, legal market access, and patient safety.</w:t>
      </w:r>
    </w:p>
    <w:p w14:paraId="00C128AB" w14:textId="13613640" w:rsidR="00641D13" w:rsidRPr="00AF04A8" w:rsidRDefault="00641D13" w:rsidP="00641D13">
      <w:pPr>
        <w:pStyle w:val="NoSpacing"/>
        <w:rPr>
          <w:rFonts w:ascii="Arial" w:hAnsi="Arial" w:cs="Arial"/>
        </w:rPr>
      </w:pPr>
      <w:r w:rsidRPr="00AF04A8">
        <w:rPr>
          <w:rFonts w:ascii="Arial" w:hAnsi="Arial" w:cs="Arial"/>
        </w:rPr>
        <w:lastRenderedPageBreak/>
        <w:t>Challenges: Strict deadlines to fulfil legal requirements; changing MHRA standards raise the cost of documentation and supervision.</w:t>
      </w:r>
    </w:p>
    <w:p w14:paraId="13F19F44" w14:textId="77777777" w:rsidR="0085672E" w:rsidRPr="00AF04A8" w:rsidRDefault="0085672E" w:rsidP="0085672E">
      <w:pPr>
        <w:pStyle w:val="NoSpacing"/>
        <w:rPr>
          <w:rFonts w:ascii="Arial" w:hAnsi="Arial" w:cs="Arial"/>
        </w:rPr>
      </w:pPr>
    </w:p>
    <w:p w14:paraId="5FCAF8FF" w14:textId="0DC4F0BB" w:rsidR="0085672E" w:rsidRPr="00AF04A8" w:rsidRDefault="0085672E" w:rsidP="0085672E">
      <w:pPr>
        <w:pStyle w:val="Heading2"/>
        <w:rPr>
          <w:rFonts w:ascii="Arial" w:hAnsi="Arial" w:cs="Arial"/>
        </w:rPr>
      </w:pPr>
      <w:bookmarkStart w:id="14" w:name="_Toc216360774"/>
      <w:r w:rsidRPr="00AF04A8">
        <w:rPr>
          <w:rFonts w:ascii="Arial" w:hAnsi="Arial" w:cs="Arial"/>
        </w:rPr>
        <w:t>Product development team (engineering, firmware, algorithms, human factors)</w:t>
      </w:r>
      <w:bookmarkEnd w:id="14"/>
    </w:p>
    <w:p w14:paraId="1FA1BA5F" w14:textId="2C5B4BE6" w:rsidR="00A64507" w:rsidRPr="00AF04A8" w:rsidRDefault="00A64507" w:rsidP="00A64507">
      <w:pPr>
        <w:rPr>
          <w:rFonts w:ascii="Arial" w:hAnsi="Arial" w:cs="Arial"/>
        </w:rPr>
      </w:pPr>
      <w:r w:rsidRPr="00A64507">
        <w:rPr>
          <w:rFonts w:ascii="Arial" w:hAnsi="Arial" w:cs="Arial"/>
        </w:rPr>
        <w:t>Functions: Create firmware, train and validate algorithms for sleep staging, design hardware, and carry out usability testing.</w:t>
      </w:r>
      <w:r w:rsidRPr="00A64507">
        <w:rPr>
          <w:rFonts w:ascii="Arial" w:hAnsi="Arial" w:cs="Arial"/>
        </w:rPr>
        <w:br/>
        <w:t>Benefits: Use human-</w:t>
      </w:r>
      <w:r w:rsidRPr="00AF04A8">
        <w:rPr>
          <w:rFonts w:ascii="Arial" w:hAnsi="Arial" w:cs="Arial"/>
        </w:rPr>
        <w:t>cantered</w:t>
      </w:r>
      <w:r w:rsidRPr="00A64507">
        <w:rPr>
          <w:rFonts w:ascii="Arial" w:hAnsi="Arial" w:cs="Arial"/>
        </w:rPr>
        <w:t xml:space="preserve"> design to eliminate user error and provide a product that is accurate and usable.</w:t>
      </w:r>
      <w:r w:rsidRPr="00A64507">
        <w:rPr>
          <w:rFonts w:ascii="Arial" w:hAnsi="Arial" w:cs="Arial"/>
        </w:rPr>
        <w:br/>
        <w:t>Challenges include ensuring algorithms generalise across user groups, balancing sensor location trade-offs, and integrating clinical precision and battery limits. Robust engineering is crucial since wearable accuracy varies, according to literature.</w:t>
      </w:r>
    </w:p>
    <w:p w14:paraId="2F3A118E" w14:textId="74254D95" w:rsidR="00A64507" w:rsidRPr="00AF04A8" w:rsidRDefault="000438B0" w:rsidP="000438B0">
      <w:pPr>
        <w:pStyle w:val="Heading2"/>
        <w:rPr>
          <w:rFonts w:ascii="Arial" w:hAnsi="Arial" w:cs="Arial"/>
        </w:rPr>
      </w:pPr>
      <w:bookmarkStart w:id="15" w:name="_Toc216360775"/>
      <w:r w:rsidRPr="00AF04A8">
        <w:rPr>
          <w:rFonts w:ascii="Arial" w:hAnsi="Arial" w:cs="Arial"/>
        </w:rPr>
        <w:t>Clinical partners and Key Opinion Leaders (KOLs)</w:t>
      </w:r>
      <w:bookmarkEnd w:id="15"/>
    </w:p>
    <w:p w14:paraId="7C63A4EF" w14:textId="3E88F63A" w:rsidR="005740FE" w:rsidRPr="005740FE" w:rsidRDefault="005740FE" w:rsidP="005740FE">
      <w:pPr>
        <w:rPr>
          <w:rFonts w:ascii="Arial" w:hAnsi="Arial" w:cs="Arial"/>
        </w:rPr>
      </w:pPr>
      <w:r w:rsidRPr="005740FE">
        <w:rPr>
          <w:rFonts w:ascii="Arial" w:hAnsi="Arial" w:cs="Arial"/>
        </w:rPr>
        <w:t>Roles include advising on clinical research design, validating outcomes, and supporting NHS pilot engagement.</w:t>
      </w:r>
      <w:r w:rsidRPr="005740FE">
        <w:rPr>
          <w:rFonts w:ascii="Arial" w:hAnsi="Arial" w:cs="Arial"/>
        </w:rPr>
        <w:br/>
        <w:t>Benefits involve improving clinical credibility, accelerating adoption in healthcare environments, and supporting claims based on research.</w:t>
      </w:r>
      <w:r w:rsidRPr="005740FE">
        <w:rPr>
          <w:rFonts w:ascii="Arial" w:hAnsi="Arial" w:cs="Arial"/>
        </w:rPr>
        <w:br/>
        <w:t>Obtaining timely involvement, coordinating trial endpoints, and balancing commercial schedules with clinical study rigour are challenges.</w:t>
      </w:r>
    </w:p>
    <w:p w14:paraId="4E4B532C" w14:textId="18C2468B" w:rsidR="000438B0" w:rsidRPr="00AF04A8" w:rsidRDefault="00667010" w:rsidP="00667010">
      <w:pPr>
        <w:pStyle w:val="Heading2"/>
        <w:rPr>
          <w:rFonts w:ascii="Arial" w:hAnsi="Arial" w:cs="Arial"/>
        </w:rPr>
      </w:pPr>
      <w:bookmarkStart w:id="16" w:name="_Toc216360776"/>
      <w:r w:rsidRPr="00AF04A8">
        <w:rPr>
          <w:rFonts w:ascii="Arial" w:hAnsi="Arial" w:cs="Arial"/>
        </w:rPr>
        <w:t>Marketing and Sales</w:t>
      </w:r>
      <w:bookmarkEnd w:id="16"/>
    </w:p>
    <w:p w14:paraId="70C58944" w14:textId="29234426" w:rsidR="00F91105" w:rsidRPr="00F91105" w:rsidRDefault="00F91105" w:rsidP="00F91105">
      <w:pPr>
        <w:rPr>
          <w:rFonts w:ascii="Arial" w:hAnsi="Arial" w:cs="Arial"/>
        </w:rPr>
      </w:pPr>
      <w:r w:rsidRPr="00F91105">
        <w:rPr>
          <w:rFonts w:ascii="Arial" w:hAnsi="Arial" w:cs="Arial"/>
        </w:rPr>
        <w:t>Roles: Specify the needs for distribution, pricing, positioning, messaging, and customer service.</w:t>
      </w:r>
      <w:r w:rsidRPr="00F91105">
        <w:rPr>
          <w:rFonts w:ascii="Arial" w:hAnsi="Arial" w:cs="Arial"/>
        </w:rPr>
        <w:br/>
        <w:t>Benefits: Promote acceptance, establish brand awareness, and translate clinical validation into consumer demand.</w:t>
      </w:r>
      <w:r w:rsidRPr="00F91105">
        <w:rPr>
          <w:rFonts w:ascii="Arial" w:hAnsi="Arial" w:cs="Arial"/>
        </w:rPr>
        <w:br/>
      </w:r>
      <w:r w:rsidRPr="00AF04A8">
        <w:rPr>
          <w:rFonts w:ascii="Arial" w:hAnsi="Arial" w:cs="Arial"/>
        </w:rPr>
        <w:t>Challenges</w:t>
      </w:r>
      <w:r w:rsidRPr="00F91105">
        <w:rPr>
          <w:rFonts w:ascii="Arial" w:hAnsi="Arial" w:cs="Arial"/>
        </w:rPr>
        <w:t>: Challenges include standing out in a competitive market, striking a balance between consumer appeal and clinical language, and making sure marketing claims are compliant.</w:t>
      </w:r>
    </w:p>
    <w:p w14:paraId="51307FD0" w14:textId="14D42A6F" w:rsidR="00667010" w:rsidRPr="00AF04A8" w:rsidRDefault="009F18D1" w:rsidP="009F18D1">
      <w:pPr>
        <w:pStyle w:val="Heading2"/>
        <w:rPr>
          <w:rFonts w:ascii="Arial" w:hAnsi="Arial" w:cs="Arial"/>
        </w:rPr>
      </w:pPr>
      <w:bookmarkStart w:id="17" w:name="_Toc216360777"/>
      <w:r w:rsidRPr="00AF04A8">
        <w:rPr>
          <w:rFonts w:ascii="Arial" w:hAnsi="Arial" w:cs="Arial"/>
        </w:rPr>
        <w:t>Suppliers and Manufacturing partners</w:t>
      </w:r>
      <w:bookmarkEnd w:id="17"/>
    </w:p>
    <w:p w14:paraId="3E3EAC13" w14:textId="0D894D22" w:rsidR="002024AA" w:rsidRPr="002024AA" w:rsidRDefault="002024AA" w:rsidP="002024AA">
      <w:pPr>
        <w:rPr>
          <w:rFonts w:ascii="Arial" w:hAnsi="Arial" w:cs="Arial"/>
        </w:rPr>
      </w:pPr>
      <w:r w:rsidRPr="002024AA">
        <w:rPr>
          <w:rFonts w:ascii="Arial" w:hAnsi="Arial" w:cs="Arial"/>
        </w:rPr>
        <w:t>Roles include providing components, managing assembly, and scaling production.</w:t>
      </w:r>
      <w:r w:rsidRPr="002024AA">
        <w:rPr>
          <w:rFonts w:ascii="Arial" w:hAnsi="Arial" w:cs="Arial"/>
        </w:rPr>
        <w:br/>
        <w:t>Benefits include access to speciality components and time-efficient manufacture.</w:t>
      </w:r>
      <w:r w:rsidRPr="002024AA">
        <w:rPr>
          <w:rFonts w:ascii="Arial" w:hAnsi="Arial" w:cs="Arial"/>
        </w:rPr>
        <w:br/>
        <w:t>Difficulties include lead delays that may affect launch scheduling, quality variations, and supply chain interruptions.</w:t>
      </w:r>
    </w:p>
    <w:p w14:paraId="022E163F" w14:textId="04B8B965" w:rsidR="009F18D1" w:rsidRPr="00AF04A8" w:rsidRDefault="00C67C67" w:rsidP="00C67C67">
      <w:pPr>
        <w:pStyle w:val="Heading2"/>
        <w:rPr>
          <w:rFonts w:ascii="Arial" w:hAnsi="Arial" w:cs="Arial"/>
        </w:rPr>
      </w:pPr>
      <w:bookmarkStart w:id="18" w:name="_Toc216360778"/>
      <w:r w:rsidRPr="00AF04A8">
        <w:rPr>
          <w:rFonts w:ascii="Arial" w:hAnsi="Arial" w:cs="Arial"/>
        </w:rPr>
        <w:t>Data protection and cybersecurity teams</w:t>
      </w:r>
      <w:bookmarkEnd w:id="18"/>
    </w:p>
    <w:p w14:paraId="7BBDCEBD" w14:textId="1DA660B3" w:rsidR="005169DA" w:rsidRPr="005169DA" w:rsidRDefault="005169DA" w:rsidP="005169DA">
      <w:pPr>
        <w:rPr>
          <w:rFonts w:ascii="Arial" w:hAnsi="Arial" w:cs="Arial"/>
        </w:rPr>
      </w:pPr>
      <w:r w:rsidRPr="005169DA">
        <w:rPr>
          <w:rFonts w:ascii="Arial" w:hAnsi="Arial" w:cs="Arial"/>
        </w:rPr>
        <w:t>Roles: Assure data minimisation, secure transfer, compliance with UK and GDPR data laws, and clarify frameworks for data ownership and permission.</w:t>
      </w:r>
      <w:r w:rsidRPr="005169DA">
        <w:rPr>
          <w:rFonts w:ascii="Arial" w:hAnsi="Arial" w:cs="Arial"/>
        </w:rPr>
        <w:br/>
        <w:t>Benefits: Increase user confidence and lower the possibility of data breaches.</w:t>
      </w:r>
      <w:r w:rsidRPr="005169DA">
        <w:rPr>
          <w:rFonts w:ascii="Arial" w:hAnsi="Arial" w:cs="Arial"/>
        </w:rPr>
        <w:br/>
        <w:t>Challenges include the need for constant security updates and the quickly changing nature of cyber threats.</w:t>
      </w:r>
    </w:p>
    <w:p w14:paraId="50D8E82B" w14:textId="41D110C8" w:rsidR="00C67C67" w:rsidRPr="00AF04A8" w:rsidRDefault="007F7171" w:rsidP="007F7171">
      <w:pPr>
        <w:pStyle w:val="Heading2"/>
        <w:rPr>
          <w:rFonts w:ascii="Arial" w:hAnsi="Arial" w:cs="Arial"/>
        </w:rPr>
      </w:pPr>
      <w:bookmarkStart w:id="19" w:name="_Toc216360779"/>
      <w:r w:rsidRPr="00AF04A8">
        <w:rPr>
          <w:rFonts w:ascii="Arial" w:hAnsi="Arial" w:cs="Arial"/>
        </w:rPr>
        <w:lastRenderedPageBreak/>
        <w:t>End users and patient advocacy groups</w:t>
      </w:r>
      <w:bookmarkEnd w:id="19"/>
    </w:p>
    <w:p w14:paraId="569FCD34" w14:textId="65F62891" w:rsidR="00446045" w:rsidRPr="00446045" w:rsidRDefault="00446045" w:rsidP="00446045">
      <w:pPr>
        <w:rPr>
          <w:rFonts w:ascii="Arial" w:hAnsi="Arial" w:cs="Arial"/>
        </w:rPr>
      </w:pPr>
      <w:r w:rsidRPr="00446045">
        <w:rPr>
          <w:rFonts w:ascii="Arial" w:hAnsi="Arial" w:cs="Arial"/>
        </w:rPr>
        <w:t>Roles: During pilot programs and usability testing, provide user feedback.</w:t>
      </w:r>
      <w:r w:rsidRPr="00446045">
        <w:rPr>
          <w:rFonts w:ascii="Arial" w:hAnsi="Arial" w:cs="Arial"/>
        </w:rPr>
        <w:br/>
        <w:t>Benefits: Knowledge of practical applications that can be utilised to improve communications and products.</w:t>
      </w:r>
      <w:r w:rsidRPr="00446045">
        <w:rPr>
          <w:rFonts w:ascii="Arial" w:hAnsi="Arial" w:cs="Arial"/>
        </w:rPr>
        <w:br/>
        <w:t>Challenges: Diverse user needs, doubts about data usage, and worries about device accuracy are challenges.</w:t>
      </w:r>
    </w:p>
    <w:p w14:paraId="67B5D65D" w14:textId="287ECB95" w:rsidR="00081EE3" w:rsidRPr="00081EE3" w:rsidRDefault="00081EE3" w:rsidP="00081EE3">
      <w:pPr>
        <w:rPr>
          <w:rFonts w:ascii="Arial" w:hAnsi="Arial" w:cs="Arial"/>
        </w:rPr>
      </w:pPr>
      <w:r w:rsidRPr="00081EE3">
        <w:rPr>
          <w:rFonts w:ascii="Arial" w:hAnsi="Arial" w:cs="Arial"/>
        </w:rPr>
        <w:t>For every important task, the RACI</w:t>
      </w:r>
      <w:r w:rsidRPr="00AF04A8">
        <w:rPr>
          <w:rFonts w:ascii="Arial" w:hAnsi="Arial" w:cs="Arial"/>
        </w:rPr>
        <w:t xml:space="preserve"> (</w:t>
      </w:r>
      <w:r w:rsidR="009B36A2" w:rsidRPr="00AF04A8">
        <w:rPr>
          <w:rFonts w:ascii="Arial" w:hAnsi="Arial" w:cs="Arial"/>
        </w:rPr>
        <w:t>RACI Matrix Chart)</w:t>
      </w:r>
      <w:r w:rsidRPr="00081EE3">
        <w:rPr>
          <w:rFonts w:ascii="Arial" w:hAnsi="Arial" w:cs="Arial"/>
        </w:rPr>
        <w:t xml:space="preserve"> approach makes it clear who is in charge, accountable, consulted, and informed. Assigning these responsibilities minimises duplicate work, avoids gaps, and makes escalation easier—all of which are crucial in a short timeframe.</w:t>
      </w:r>
    </w:p>
    <w:p w14:paraId="69E70999" w14:textId="65334BCD" w:rsidR="007F7171" w:rsidRPr="00AF04A8" w:rsidRDefault="00635B3F" w:rsidP="00635B3F">
      <w:pPr>
        <w:pStyle w:val="Heading1"/>
        <w:rPr>
          <w:rFonts w:ascii="Arial" w:hAnsi="Arial" w:cs="Arial"/>
        </w:rPr>
      </w:pPr>
      <w:bookmarkStart w:id="20" w:name="_Toc216360780"/>
      <w:r w:rsidRPr="00AF04A8">
        <w:rPr>
          <w:rFonts w:ascii="Arial" w:hAnsi="Arial" w:cs="Arial"/>
        </w:rPr>
        <w:t>5. Frameworks, models and tools for engagement</w:t>
      </w:r>
      <w:bookmarkEnd w:id="20"/>
    </w:p>
    <w:p w14:paraId="671487C4" w14:textId="77777777" w:rsidR="0067338F" w:rsidRPr="0067338F" w:rsidRDefault="0067338F" w:rsidP="0067338F">
      <w:pPr>
        <w:rPr>
          <w:rFonts w:ascii="Arial" w:hAnsi="Arial" w:cs="Arial"/>
        </w:rPr>
      </w:pPr>
      <w:r w:rsidRPr="0067338F">
        <w:rPr>
          <w:rFonts w:ascii="Arial" w:hAnsi="Arial" w:cs="Arial"/>
        </w:rPr>
        <w:t>Transparent, quick, and efficient stakeholder interaction is supported by an organised toolkit. Mendelow's matrix, a stakeholder engagement strategy connected to a communication plan, and a RACI matrix are the main mechanisms selected for this project. Each is summed up along with its intended usage.</w:t>
      </w:r>
    </w:p>
    <w:p w14:paraId="07D94D0B" w14:textId="0B6F8BB2" w:rsidR="00635B3F" w:rsidRPr="00AF04A8" w:rsidRDefault="0053003D" w:rsidP="0053003D">
      <w:pPr>
        <w:pStyle w:val="Heading2"/>
        <w:rPr>
          <w:rFonts w:ascii="Arial" w:hAnsi="Arial" w:cs="Arial"/>
        </w:rPr>
      </w:pPr>
      <w:bookmarkStart w:id="21" w:name="_Toc216360781"/>
      <w:r w:rsidRPr="00AF04A8">
        <w:rPr>
          <w:rFonts w:ascii="Arial" w:hAnsi="Arial" w:cs="Arial"/>
        </w:rPr>
        <w:t>Mendelow’s Stakeholder Matrix (Power vs Interest)</w:t>
      </w:r>
      <w:bookmarkEnd w:id="21"/>
    </w:p>
    <w:p w14:paraId="40706E27" w14:textId="77777777" w:rsidR="0049759E" w:rsidRPr="0049759E" w:rsidRDefault="0049759E" w:rsidP="0049759E">
      <w:pPr>
        <w:rPr>
          <w:rFonts w:ascii="Arial" w:hAnsi="Arial" w:cs="Arial"/>
        </w:rPr>
      </w:pPr>
      <w:r w:rsidRPr="0049759E">
        <w:rPr>
          <w:rFonts w:ascii="Arial" w:hAnsi="Arial" w:cs="Arial"/>
        </w:rPr>
        <w:t>Purpose: Prioritise engagement intensity and manner. Resource distribution is guided by stakeholders divided into four quadrants. Stakeholders with a lot of authority and interest are directly and frequently involved at the decision-making level. Information and opportunity to impact product usability are provided to stakeholders with low power and high interest. When resources are limited, effective involvement is supported by this prioritising.</w:t>
      </w:r>
    </w:p>
    <w:p w14:paraId="564BBC63" w14:textId="42A2993C" w:rsidR="0053003D" w:rsidRPr="00AF04A8" w:rsidRDefault="00245D42" w:rsidP="00245D42">
      <w:pPr>
        <w:pStyle w:val="Heading2"/>
        <w:rPr>
          <w:rFonts w:ascii="Arial" w:hAnsi="Arial" w:cs="Arial"/>
        </w:rPr>
      </w:pPr>
      <w:bookmarkStart w:id="22" w:name="_Toc216360782"/>
      <w:r w:rsidRPr="00AF04A8">
        <w:rPr>
          <w:rFonts w:ascii="Arial" w:hAnsi="Arial" w:cs="Arial"/>
        </w:rPr>
        <w:t>Engagement plan and level of engagement</w:t>
      </w:r>
      <w:bookmarkEnd w:id="22"/>
    </w:p>
    <w:p w14:paraId="5527F1C7" w14:textId="615F218E" w:rsidR="00EC4221" w:rsidRPr="00AF04A8" w:rsidRDefault="00EC4221" w:rsidP="00EC4221">
      <w:pPr>
        <w:rPr>
          <w:rFonts w:ascii="Arial" w:hAnsi="Arial" w:cs="Arial"/>
        </w:rPr>
      </w:pPr>
      <w:r w:rsidRPr="00EC4221">
        <w:rPr>
          <w:rFonts w:ascii="Arial" w:hAnsi="Arial" w:cs="Arial"/>
        </w:rPr>
        <w:t>Each stakeholder group's level of involvement throughout the project lifecycle is outlined in the engagement plan: inform, consult, involve, cooperate, and empower. For example:</w:t>
      </w:r>
      <w:r w:rsidRPr="00EC4221">
        <w:rPr>
          <w:rFonts w:ascii="Arial" w:hAnsi="Arial" w:cs="Arial"/>
        </w:rPr>
        <w:br/>
        <w:t>• When making choices about regulatory strategy, the board and regulatory heads should work together and be trusted.</w:t>
      </w:r>
      <w:r w:rsidRPr="00EC4221">
        <w:rPr>
          <w:rFonts w:ascii="Arial" w:hAnsi="Arial" w:cs="Arial"/>
        </w:rPr>
        <w:br/>
        <w:t>• KOLs and clinical partners should be involved and work together during the design of the trial and the interpretation of the pilot.</w:t>
      </w:r>
      <w:r w:rsidRPr="00EC4221">
        <w:rPr>
          <w:rFonts w:ascii="Arial" w:hAnsi="Arial" w:cs="Arial"/>
        </w:rPr>
        <w:br/>
        <w:t>• End users should be informed and involved in pilot feedback and iterative usability testing.</w:t>
      </w:r>
      <w:r w:rsidRPr="00EC4221">
        <w:rPr>
          <w:rFonts w:ascii="Arial" w:hAnsi="Arial" w:cs="Arial"/>
        </w:rPr>
        <w:br/>
        <w:t>The objectives, stakeholder group, intended level of participation, responsible individual, and success measures like response rates, decision-making time, and issues resolved are all included in a formal engagement strategy.</w:t>
      </w:r>
    </w:p>
    <w:p w14:paraId="314DAEB1" w14:textId="2BB62FE5" w:rsidR="00D0607C" w:rsidRPr="00AF04A8" w:rsidRDefault="00D0607C" w:rsidP="00D0607C">
      <w:pPr>
        <w:pStyle w:val="Heading2"/>
        <w:rPr>
          <w:rFonts w:ascii="Arial" w:hAnsi="Arial" w:cs="Arial"/>
        </w:rPr>
      </w:pPr>
      <w:bookmarkStart w:id="23" w:name="_Toc216360783"/>
      <w:r w:rsidRPr="00AF04A8">
        <w:rPr>
          <w:rFonts w:ascii="Arial" w:hAnsi="Arial" w:cs="Arial"/>
        </w:rPr>
        <w:lastRenderedPageBreak/>
        <w:t>Communication plan</w:t>
      </w:r>
      <w:bookmarkEnd w:id="23"/>
    </w:p>
    <w:p w14:paraId="4F52F112" w14:textId="117484FA" w:rsidR="005D1E7C" w:rsidRPr="005D1E7C" w:rsidRDefault="005D1E7C" w:rsidP="005D1E7C">
      <w:pPr>
        <w:rPr>
          <w:rFonts w:ascii="Arial" w:hAnsi="Arial" w:cs="Arial"/>
        </w:rPr>
      </w:pPr>
      <w:r w:rsidRPr="005D1E7C">
        <w:rPr>
          <w:rFonts w:ascii="Arial" w:hAnsi="Arial" w:cs="Arial"/>
        </w:rPr>
        <w:t>Each stakeholder segment's channels, frequency, content, and metrics are listed in a realistic communications plan. Weekly sprint updates for development teams, monthly executive highlight reports, and focused clinician briefings for KOLs</w:t>
      </w:r>
      <w:r w:rsidR="00B619FF" w:rsidRPr="00AF04A8">
        <w:rPr>
          <w:rFonts w:ascii="Arial" w:hAnsi="Arial" w:cs="Arial"/>
        </w:rPr>
        <w:t xml:space="preserve"> (</w:t>
      </w:r>
      <w:r w:rsidR="00B619FF" w:rsidRPr="00AF04A8">
        <w:rPr>
          <w:rFonts w:ascii="Arial" w:hAnsi="Arial" w:cs="Arial"/>
        </w:rPr>
        <w:t>Key Opinion Leaders</w:t>
      </w:r>
      <w:r w:rsidR="00B619FF" w:rsidRPr="00AF04A8">
        <w:rPr>
          <w:rFonts w:ascii="Arial" w:hAnsi="Arial" w:cs="Arial"/>
          <w:b/>
          <w:bCs/>
        </w:rPr>
        <w:t>)</w:t>
      </w:r>
      <w:r w:rsidRPr="005D1E7C">
        <w:rPr>
          <w:rFonts w:ascii="Arial" w:hAnsi="Arial" w:cs="Arial"/>
        </w:rPr>
        <w:t xml:space="preserve"> are a few examples. The communication plan expedites the escalation of issues, minimises uncertainty, and aligns expectations. </w:t>
      </w:r>
    </w:p>
    <w:p w14:paraId="520B1F5E" w14:textId="46393276" w:rsidR="00D0607C" w:rsidRPr="00AF04A8" w:rsidRDefault="00893CB5" w:rsidP="00D0607C">
      <w:pPr>
        <w:rPr>
          <w:rFonts w:ascii="Arial" w:hAnsi="Arial" w:cs="Arial"/>
        </w:rPr>
      </w:pPr>
      <w:r w:rsidRPr="00AF04A8">
        <w:rPr>
          <w:rFonts w:ascii="Arial" w:hAnsi="Arial" w:cs="Arial"/>
        </w:rPr>
        <w:t>Key elements</w:t>
      </w:r>
      <w:r w:rsidRPr="00AF04A8">
        <w:rPr>
          <w:rFonts w:ascii="Arial" w:hAnsi="Arial" w:cs="Arial"/>
        </w:rPr>
        <w:br/>
        <w:t>• Channel matrix: in person, video calls, intranet page, demo sessions, email newsletters.</w:t>
      </w:r>
      <w:r w:rsidRPr="00AF04A8">
        <w:rPr>
          <w:rFonts w:ascii="Arial" w:hAnsi="Arial" w:cs="Arial"/>
        </w:rPr>
        <w:br/>
        <w:t>• Message architecture: core safety messages, clinical evidence, user benefits and regulatory status.</w:t>
      </w:r>
      <w:r w:rsidRPr="00AF04A8">
        <w:rPr>
          <w:rFonts w:ascii="Arial" w:hAnsi="Arial" w:cs="Arial"/>
        </w:rPr>
        <w:br/>
        <w:t>• Feedback loops: documented mechanisms for stakeholder input, issue logging and resolution timelines.</w:t>
      </w:r>
    </w:p>
    <w:p w14:paraId="3A9EF8EC" w14:textId="56BC494D" w:rsidR="00245D42" w:rsidRPr="00AF04A8" w:rsidRDefault="00893CB5" w:rsidP="00893CB5">
      <w:pPr>
        <w:pStyle w:val="Heading2"/>
        <w:rPr>
          <w:rFonts w:ascii="Arial" w:hAnsi="Arial" w:cs="Arial"/>
        </w:rPr>
      </w:pPr>
      <w:bookmarkStart w:id="24" w:name="_Toc216360784"/>
      <w:r w:rsidRPr="00AF04A8">
        <w:rPr>
          <w:rFonts w:ascii="Arial" w:hAnsi="Arial" w:cs="Arial"/>
        </w:rPr>
        <w:t>RACI matrix</w:t>
      </w:r>
      <w:bookmarkEnd w:id="24"/>
    </w:p>
    <w:p w14:paraId="1F075432" w14:textId="77777777" w:rsidR="00917BC1" w:rsidRPr="00917BC1" w:rsidRDefault="00917BC1" w:rsidP="00917BC1">
      <w:pPr>
        <w:rPr>
          <w:rFonts w:ascii="Arial" w:hAnsi="Arial" w:cs="Arial"/>
        </w:rPr>
      </w:pPr>
      <w:r w:rsidRPr="00917BC1">
        <w:rPr>
          <w:rFonts w:ascii="Arial" w:hAnsi="Arial" w:cs="Arial"/>
        </w:rPr>
        <w:t>The RACI matrix is used to delegate duty and accountability for tasks like clinical trial execution, regulatory dossier preparation, firmware freeze, and go-to-market activities. RACI simplifies escalation routes and minimises redundant work. RACI is a useful assignment tool for complicated projects, according to academic and business sources.</w:t>
      </w:r>
    </w:p>
    <w:p w14:paraId="336B76F0" w14:textId="7D054D3B" w:rsidR="00893CB5" w:rsidRPr="00AF04A8" w:rsidRDefault="00CF53A0" w:rsidP="00CF53A0">
      <w:pPr>
        <w:pStyle w:val="Heading2"/>
        <w:rPr>
          <w:rFonts w:ascii="Arial" w:hAnsi="Arial" w:cs="Arial"/>
        </w:rPr>
      </w:pPr>
      <w:bookmarkStart w:id="25" w:name="_Toc216360785"/>
      <w:r w:rsidRPr="00AF04A8">
        <w:rPr>
          <w:rFonts w:ascii="Arial" w:hAnsi="Arial" w:cs="Arial"/>
        </w:rPr>
        <w:t>Measurement and evaluation tools</w:t>
      </w:r>
      <w:bookmarkEnd w:id="25"/>
    </w:p>
    <w:p w14:paraId="5386FFA2" w14:textId="77777777" w:rsidR="00B2689C" w:rsidRPr="00B2689C" w:rsidRDefault="00B2689C" w:rsidP="00B2689C">
      <w:pPr>
        <w:rPr>
          <w:rFonts w:ascii="Arial" w:hAnsi="Arial" w:cs="Arial"/>
        </w:rPr>
      </w:pPr>
      <w:r w:rsidRPr="00B2689C">
        <w:rPr>
          <w:rFonts w:ascii="Arial" w:hAnsi="Arial" w:cs="Arial"/>
        </w:rPr>
        <w:t>• Surveys of stakeholder satisfaction and a Net Promoter Score specifically designed for early adopters and clinicians.</w:t>
      </w:r>
      <w:r w:rsidRPr="00B2689C">
        <w:rPr>
          <w:rFonts w:ascii="Arial" w:hAnsi="Arial" w:cs="Arial"/>
        </w:rPr>
        <w:br/>
        <w:t>• KPIs for engagement, like issue closure rate, decision lead time, and meeting attendance.</w:t>
      </w:r>
      <w:r w:rsidRPr="00B2689C">
        <w:rPr>
          <w:rFonts w:ascii="Arial" w:hAnsi="Arial" w:cs="Arial"/>
        </w:rPr>
        <w:br/>
        <w:t>• Stakeholder concerns are connected to a risk registry and issue log.</w:t>
      </w:r>
      <w:r w:rsidRPr="00B2689C">
        <w:rPr>
          <w:rFonts w:ascii="Arial" w:hAnsi="Arial" w:cs="Arial"/>
        </w:rPr>
        <w:br/>
      </w:r>
      <w:r w:rsidRPr="00B2689C">
        <w:rPr>
          <w:rFonts w:ascii="Arial" w:hAnsi="Arial" w:cs="Arial"/>
        </w:rPr>
        <w:br/>
        <w:t>When combined, these frameworks produce a predictable framework for making decisions under time constraints and an auditable trace of engaging activity. Regular governance meetings and the project intranet will include them.</w:t>
      </w:r>
    </w:p>
    <w:p w14:paraId="78D46114" w14:textId="286F9C48" w:rsidR="00CF53A0" w:rsidRPr="00AF04A8" w:rsidRDefault="006068D6" w:rsidP="006068D6">
      <w:pPr>
        <w:pStyle w:val="Heading1"/>
        <w:rPr>
          <w:rFonts w:ascii="Arial" w:hAnsi="Arial" w:cs="Arial"/>
        </w:rPr>
      </w:pPr>
      <w:bookmarkStart w:id="26" w:name="_Toc216360786"/>
      <w:r w:rsidRPr="00AF04A8">
        <w:rPr>
          <w:rFonts w:ascii="Arial" w:hAnsi="Arial" w:cs="Arial"/>
        </w:rPr>
        <w:t>6. Stakeholder engagement process and conflict management using the Four Cs</w:t>
      </w:r>
      <w:bookmarkEnd w:id="26"/>
    </w:p>
    <w:p w14:paraId="5223353E" w14:textId="77777777" w:rsidR="006A45AF" w:rsidRPr="006A45AF" w:rsidRDefault="006A45AF" w:rsidP="006A45AF">
      <w:pPr>
        <w:rPr>
          <w:rFonts w:ascii="Arial" w:hAnsi="Arial" w:cs="Arial"/>
        </w:rPr>
      </w:pPr>
      <w:r w:rsidRPr="006A45AF">
        <w:rPr>
          <w:rFonts w:ascii="Arial" w:hAnsi="Arial" w:cs="Arial"/>
        </w:rPr>
        <w:t xml:space="preserve">In my role as project manager, I will oversee a clear, repeatable engagement approach that keeps launch momentum intact, resolves disputes fast, and unites stakeholders behind priorities. Initiate, Plan, Engage, Execute, and Review are the five stages of the process. The Four Cs model—communication, coordination, cooperation, and collaboration—will be used throughout this lifetime to prevent and resolve conflict, preserve alignment, and strengthen connections. In the literature on </w:t>
      </w:r>
      <w:r w:rsidRPr="006A45AF">
        <w:rPr>
          <w:rFonts w:ascii="Arial" w:hAnsi="Arial" w:cs="Arial"/>
        </w:rPr>
        <w:lastRenderedPageBreak/>
        <w:t>partnerships, the Four Cs are frequently mentioned as separate but beneficial methods for handling collaborative activities.</w:t>
      </w:r>
    </w:p>
    <w:p w14:paraId="583DA590" w14:textId="21666244" w:rsidR="006068D6" w:rsidRPr="00AF04A8" w:rsidRDefault="00224FE3" w:rsidP="00224FE3">
      <w:pPr>
        <w:pStyle w:val="Heading2"/>
        <w:rPr>
          <w:rFonts w:ascii="Arial" w:hAnsi="Arial" w:cs="Arial"/>
        </w:rPr>
      </w:pPr>
      <w:bookmarkStart w:id="27" w:name="_Toc216360787"/>
      <w:r w:rsidRPr="00AF04A8">
        <w:rPr>
          <w:rFonts w:ascii="Arial" w:hAnsi="Arial" w:cs="Arial"/>
        </w:rPr>
        <w:t>Phase 1: Initiate (week 0–1)</w:t>
      </w:r>
      <w:bookmarkEnd w:id="27"/>
    </w:p>
    <w:p w14:paraId="0280A454" w14:textId="77777777" w:rsidR="00F21E7A" w:rsidRPr="00F21E7A" w:rsidRDefault="00F21E7A" w:rsidP="00F21E7A">
      <w:pPr>
        <w:rPr>
          <w:rFonts w:ascii="Arial" w:hAnsi="Arial" w:cs="Arial"/>
        </w:rPr>
      </w:pPr>
      <w:r w:rsidRPr="00F21E7A">
        <w:rPr>
          <w:rFonts w:ascii="Arial" w:hAnsi="Arial" w:cs="Arial"/>
        </w:rPr>
        <w:t>Steps to follow include confirming executive sponsorship, identifying and mapping stakeholders using Mendelow's grid, and holding a project governance forum. The outputs include a RACI matrix, a draft communication plan, and a stakeholder map. Accounting clarity at an early stage minimises conflict later. The six-month launch objective and important non-negotiables like compliance levels and clinical evidence standards will be clearly stated in the project charter.</w:t>
      </w:r>
      <w:r w:rsidRPr="00F21E7A">
        <w:rPr>
          <w:rFonts w:ascii="Arial" w:hAnsi="Arial" w:cs="Arial"/>
        </w:rPr>
        <w:br/>
      </w:r>
      <w:r w:rsidRPr="00F21E7A">
        <w:rPr>
          <w:rFonts w:ascii="Arial" w:hAnsi="Arial" w:cs="Arial"/>
        </w:rPr>
        <w:br/>
        <w:t>Application of the Four Cs: Communication. Share an executive summary outlining the scope and timing with the Board and regulators right away. Clear and precise initial communication lowers scope creep and establishes expectations.</w:t>
      </w:r>
    </w:p>
    <w:p w14:paraId="74637097" w14:textId="2CEDD0DC" w:rsidR="00224FE3" w:rsidRPr="00AF04A8" w:rsidRDefault="00695BAC" w:rsidP="00695BAC">
      <w:pPr>
        <w:pStyle w:val="Heading2"/>
        <w:rPr>
          <w:rFonts w:ascii="Arial" w:hAnsi="Arial" w:cs="Arial"/>
        </w:rPr>
      </w:pPr>
      <w:bookmarkStart w:id="28" w:name="_Toc216360788"/>
      <w:r w:rsidRPr="00AF04A8">
        <w:rPr>
          <w:rFonts w:ascii="Arial" w:hAnsi="Arial" w:cs="Arial"/>
        </w:rPr>
        <w:t>Phase 2: Plan (weeks 1–4)</w:t>
      </w:r>
      <w:bookmarkEnd w:id="28"/>
    </w:p>
    <w:p w14:paraId="70D8131A" w14:textId="77777777" w:rsidR="00A50E9A" w:rsidRPr="00A50E9A" w:rsidRDefault="00A50E9A" w:rsidP="00A50E9A">
      <w:pPr>
        <w:rPr>
          <w:rFonts w:ascii="Arial" w:hAnsi="Arial" w:cs="Arial"/>
        </w:rPr>
      </w:pPr>
      <w:r w:rsidRPr="00A50E9A">
        <w:rPr>
          <w:rFonts w:ascii="Arial" w:hAnsi="Arial" w:cs="Arial"/>
        </w:rPr>
        <w:t>Actions include completing the clinical validation procedure, securing supplier contracts with specified SLAs, finalising the SMART objectives, and creating a post-market surveillance strategy and regulatory submission checklist. Assign owners to each stakeholder connection and develop an engagement calendar.</w:t>
      </w:r>
      <w:r w:rsidRPr="00A50E9A">
        <w:rPr>
          <w:rFonts w:ascii="Arial" w:hAnsi="Arial" w:cs="Arial"/>
        </w:rPr>
        <w:br/>
      </w:r>
      <w:r w:rsidRPr="00A50E9A">
        <w:rPr>
          <w:rFonts w:ascii="Arial" w:hAnsi="Arial" w:cs="Arial"/>
        </w:rPr>
        <w:br/>
        <w:t>Coordination is an application of the four Cs. To ensure that clinical partners, technical teams, and regulatory teams all adhere to the same milestones, establish a common project schedule and shared collaboration tools. The project manager will chair a weekly cross-functional coordination meeting to coordinate supplier deliveries, clinical recruiting, and sprints. This lessens bottlenecks and redundant work.</w:t>
      </w:r>
    </w:p>
    <w:p w14:paraId="36EB8B90" w14:textId="601A3407" w:rsidR="002170B8" w:rsidRPr="002170B8" w:rsidRDefault="002170B8" w:rsidP="002170B8">
      <w:pPr>
        <w:rPr>
          <w:rFonts w:ascii="Arial" w:hAnsi="Arial" w:cs="Arial"/>
        </w:rPr>
      </w:pPr>
      <w:r w:rsidRPr="002170B8">
        <w:rPr>
          <w:rFonts w:ascii="Arial" w:hAnsi="Arial" w:cs="Arial"/>
        </w:rPr>
        <w:t>An example of a conflict scenario and how to mitigate it during planning</w:t>
      </w:r>
      <w:r w:rsidRPr="002170B8">
        <w:rPr>
          <w:rFonts w:ascii="Arial" w:hAnsi="Arial" w:cs="Arial"/>
        </w:rPr>
        <w:br/>
        <w:t>Conflict: Procurement objects because of cost, while engineering seeks algorithm tuning that requires more sensor changes and lengthens component lead times.</w:t>
      </w:r>
      <w:r w:rsidRPr="002170B8">
        <w:rPr>
          <w:rFonts w:ascii="Arial" w:hAnsi="Arial" w:cs="Arial"/>
        </w:rPr>
        <w:br/>
        <w:t>In response, call a brief decision-making meeting with representatives from engineering, procurement, quality, and clinical lead. Use data-driven trade-off analysis to demonstrate how launch risk, cost, and accuracy indicators are affected. The responsible executive designated in the RACI matrix is the decision owner. Elevate to the Board if the issue is not resolved. Negotiation impasse is decreased via predetermined escalation routes.</w:t>
      </w:r>
    </w:p>
    <w:p w14:paraId="649D9388" w14:textId="60240FF5" w:rsidR="00695BAC" w:rsidRPr="00AF04A8" w:rsidRDefault="00B2234F" w:rsidP="00B2234F">
      <w:pPr>
        <w:pStyle w:val="Heading2"/>
        <w:rPr>
          <w:rFonts w:ascii="Arial" w:hAnsi="Arial" w:cs="Arial"/>
        </w:rPr>
      </w:pPr>
      <w:bookmarkStart w:id="29" w:name="_Toc216360789"/>
      <w:r w:rsidRPr="00AF04A8">
        <w:rPr>
          <w:rFonts w:ascii="Arial" w:hAnsi="Arial" w:cs="Arial"/>
        </w:rPr>
        <w:t>Phase 3: Engage (weeks 4–12) — active clinical and user validation</w:t>
      </w:r>
      <w:bookmarkEnd w:id="29"/>
    </w:p>
    <w:p w14:paraId="2F265819" w14:textId="77777777" w:rsidR="000D476F" w:rsidRPr="000D476F" w:rsidRDefault="000D476F" w:rsidP="000D476F">
      <w:pPr>
        <w:rPr>
          <w:rFonts w:ascii="Arial" w:hAnsi="Arial" w:cs="Arial"/>
        </w:rPr>
      </w:pPr>
      <w:r w:rsidRPr="000D476F">
        <w:rPr>
          <w:rFonts w:ascii="Arial" w:hAnsi="Arial" w:cs="Arial"/>
        </w:rPr>
        <w:t xml:space="preserve">Steps to take include conducting a clinical accuracy study, holding mid-study reviews with KOLs, and doing iterative usability testing with end users. Make sure the dossier accurately reflects study results by providing frequent regulatory updates. Early on, </w:t>
      </w:r>
      <w:r w:rsidRPr="000D476F">
        <w:rPr>
          <w:rFonts w:ascii="Arial" w:hAnsi="Arial" w:cs="Arial"/>
        </w:rPr>
        <w:lastRenderedPageBreak/>
        <w:t>positioning and training materials are used by marketing and sales.</w:t>
      </w:r>
      <w:r w:rsidRPr="000D476F">
        <w:rPr>
          <w:rFonts w:ascii="Arial" w:hAnsi="Arial" w:cs="Arial"/>
        </w:rPr>
        <w:br/>
      </w:r>
      <w:r w:rsidRPr="000D476F">
        <w:rPr>
          <w:rFonts w:ascii="Arial" w:hAnsi="Arial" w:cs="Arial"/>
        </w:rPr>
        <w:br/>
        <w:t>Cooperation and collaboration are two applications of the four Cs. When groups agree on roles and interfaces without centralised control, cooperation takes place. For instance, engineering and clinical teams collaborate on data sharing agreements and study instrumentation. When KOLs and product teams jointly develop positioning statements based on study findings, collaboration takes place. Independent actions that are in line with agreements are supported by cooperation. Working together makes it possible for partners to create marketing messages that are supported by science.</w:t>
      </w:r>
    </w:p>
    <w:p w14:paraId="43651B73" w14:textId="7EB27D33" w:rsidR="00617E50" w:rsidRPr="00617E50" w:rsidRDefault="00617E50" w:rsidP="00617E50">
      <w:pPr>
        <w:rPr>
          <w:rFonts w:ascii="Arial" w:hAnsi="Arial" w:cs="Arial"/>
        </w:rPr>
      </w:pPr>
      <w:r w:rsidRPr="00617E50">
        <w:rPr>
          <w:rFonts w:ascii="Arial" w:hAnsi="Arial" w:cs="Arial"/>
        </w:rPr>
        <w:t>An example of a conflict scenario during interaction</w:t>
      </w:r>
      <w:r w:rsidRPr="00617E50">
        <w:rPr>
          <w:rFonts w:ascii="Arial" w:hAnsi="Arial" w:cs="Arial"/>
        </w:rPr>
        <w:br/>
        <w:t xml:space="preserve">Conflict: Marketing wants to move forward with general claims, but a </w:t>
      </w:r>
      <w:proofErr w:type="gramStart"/>
      <w:r w:rsidRPr="00617E50">
        <w:rPr>
          <w:rFonts w:ascii="Arial" w:hAnsi="Arial" w:cs="Arial"/>
        </w:rPr>
        <w:t>KOL expresses</w:t>
      </w:r>
      <w:proofErr w:type="gramEnd"/>
      <w:r w:rsidRPr="00617E50">
        <w:rPr>
          <w:rFonts w:ascii="Arial" w:hAnsi="Arial" w:cs="Arial"/>
        </w:rPr>
        <w:t xml:space="preserve"> worries that the sleep staging algorithm incorrectly labels REM in older adults.</w:t>
      </w:r>
      <w:r w:rsidRPr="00617E50">
        <w:rPr>
          <w:rFonts w:ascii="Arial" w:hAnsi="Arial" w:cs="Arial"/>
        </w:rPr>
        <w:br/>
        <w:t>Reaction: Examine raw data and grouping metrics during the project governance meeting. Put certain claims on a temporary marketing hold until clinical validation is finished. Provide a sensible middle ground by launching with a focus on heart rate and SpO2 clinical claims and presenting sleep characteristics as user wellness insights while awaiting more validation. This maintains clinical and regulatory credibility while maintaining launch pace.</w:t>
      </w:r>
    </w:p>
    <w:p w14:paraId="1B03D0C9" w14:textId="00742244" w:rsidR="0085672E" w:rsidRPr="00AF04A8" w:rsidRDefault="00B46484" w:rsidP="00B46484">
      <w:pPr>
        <w:pStyle w:val="Heading2"/>
        <w:rPr>
          <w:rFonts w:ascii="Arial" w:hAnsi="Arial" w:cs="Arial"/>
        </w:rPr>
      </w:pPr>
      <w:bookmarkStart w:id="30" w:name="_Toc216360790"/>
      <w:r w:rsidRPr="00AF04A8">
        <w:rPr>
          <w:rFonts w:ascii="Arial" w:hAnsi="Arial" w:cs="Arial"/>
        </w:rPr>
        <w:t>Phase 4: Execute (weeks 12–24) — manufacturing, regulatory submission, launch preparation</w:t>
      </w:r>
      <w:bookmarkEnd w:id="30"/>
    </w:p>
    <w:p w14:paraId="5BF17616" w14:textId="77777777" w:rsidR="00603495" w:rsidRPr="00603495" w:rsidRDefault="00603495" w:rsidP="00603495">
      <w:pPr>
        <w:rPr>
          <w:rFonts w:ascii="Arial" w:hAnsi="Arial" w:cs="Arial"/>
        </w:rPr>
      </w:pPr>
      <w:r w:rsidRPr="00603495">
        <w:rPr>
          <w:rFonts w:ascii="Arial" w:hAnsi="Arial" w:cs="Arial"/>
        </w:rPr>
        <w:t>Finalise firmware, lock device branding, write clinical claims and user manuals for the regulatory file, and carry out pilot launches with certain channels. Verify customer support preparedness and distribution logistics.</w:t>
      </w:r>
      <w:r w:rsidRPr="00603495">
        <w:rPr>
          <w:rFonts w:ascii="Arial" w:hAnsi="Arial" w:cs="Arial"/>
        </w:rPr>
        <w:br/>
      </w:r>
      <w:r w:rsidRPr="00603495">
        <w:rPr>
          <w:rFonts w:ascii="Arial" w:hAnsi="Arial" w:cs="Arial"/>
        </w:rPr>
        <w:br/>
        <w:t>Application of the Four Cs: Coordination and Communication. Clear daily to weekly updates are required for manufacturing, supplier performance, and regulatory status during execution. Emergent issues are prioritised with the right stakeholders thanks to a daily issue record that the project manager oversees. Coordination guarantees that tasks are completed in a way that meets launch milestones without taking other stakeholders by surprise.</w:t>
      </w:r>
    </w:p>
    <w:p w14:paraId="00BBE7D8" w14:textId="77777777" w:rsidR="00D7731C" w:rsidRPr="00D7731C" w:rsidRDefault="00D7731C" w:rsidP="00D7731C">
      <w:pPr>
        <w:rPr>
          <w:rFonts w:ascii="Arial" w:hAnsi="Arial" w:cs="Arial"/>
        </w:rPr>
      </w:pPr>
      <w:r w:rsidRPr="00D7731C">
        <w:rPr>
          <w:rFonts w:ascii="Arial" w:hAnsi="Arial" w:cs="Arial"/>
        </w:rPr>
        <w:t>An example of a conflict scenario during execution</w:t>
      </w:r>
      <w:r w:rsidRPr="00D7731C">
        <w:rPr>
          <w:rFonts w:ascii="Arial" w:hAnsi="Arial" w:cs="Arial"/>
        </w:rPr>
        <w:br/>
        <w:t>Conflict: A batch is in danger due to a supplier quality issue, and procurement recommends a replacement component that requires revalidation. Before being released, regulatory asks more proof.</w:t>
      </w:r>
      <w:r w:rsidRPr="00D7731C">
        <w:rPr>
          <w:rFonts w:ascii="Arial" w:hAnsi="Arial" w:cs="Arial"/>
        </w:rPr>
        <w:br/>
        <w:t xml:space="preserve">Reaction: Call a cross-functional containment meeting right now. Determine who </w:t>
      </w:r>
      <w:proofErr w:type="gramStart"/>
      <w:r w:rsidRPr="00D7731C">
        <w:rPr>
          <w:rFonts w:ascii="Arial" w:hAnsi="Arial" w:cs="Arial"/>
        </w:rPr>
        <w:t>is in charge of</w:t>
      </w:r>
      <w:proofErr w:type="gramEnd"/>
      <w:r w:rsidRPr="00D7731C">
        <w:rPr>
          <w:rFonts w:ascii="Arial" w:hAnsi="Arial" w:cs="Arial"/>
        </w:rPr>
        <w:t xml:space="preserve"> requalification and who is liable for release choices using the RACI matrix. If substitution is feasible, do accelerated stability or equivalency testing and put in place a brief revalidation procedure that focusses on important characteristics. Use contingency inventory from a different supplier in accordance with contract requirements when time is of the essence.</w:t>
      </w:r>
    </w:p>
    <w:p w14:paraId="0E629626" w14:textId="3D84421D" w:rsidR="00B46484" w:rsidRPr="00AF04A8" w:rsidRDefault="00C75C4B" w:rsidP="00C75C4B">
      <w:pPr>
        <w:pStyle w:val="Heading2"/>
        <w:rPr>
          <w:rFonts w:ascii="Arial" w:hAnsi="Arial" w:cs="Arial"/>
        </w:rPr>
      </w:pPr>
      <w:bookmarkStart w:id="31" w:name="_Toc216360791"/>
      <w:r w:rsidRPr="00AF04A8">
        <w:rPr>
          <w:rFonts w:ascii="Arial" w:hAnsi="Arial" w:cs="Arial"/>
        </w:rPr>
        <w:lastRenderedPageBreak/>
        <w:t>Phase 5: Review and sustain (post launch months 1–6)</w:t>
      </w:r>
      <w:bookmarkEnd w:id="31"/>
    </w:p>
    <w:p w14:paraId="2EE16167" w14:textId="77777777" w:rsidR="0073030B" w:rsidRPr="0073030B" w:rsidRDefault="0073030B" w:rsidP="0073030B">
      <w:pPr>
        <w:rPr>
          <w:rFonts w:ascii="Arial" w:hAnsi="Arial" w:cs="Arial"/>
        </w:rPr>
      </w:pPr>
      <w:r w:rsidRPr="0073030B">
        <w:rPr>
          <w:rFonts w:ascii="Arial" w:hAnsi="Arial" w:cs="Arial"/>
        </w:rPr>
        <w:t xml:space="preserve">Steps to do include keeping an eye on post-market surveillance data, gathering user input, conducting NHS pilot assessments, and modifying the engagement plan </w:t>
      </w:r>
      <w:proofErr w:type="gramStart"/>
      <w:r w:rsidRPr="0073030B">
        <w:rPr>
          <w:rFonts w:ascii="Arial" w:hAnsi="Arial" w:cs="Arial"/>
        </w:rPr>
        <w:t>in light of</w:t>
      </w:r>
      <w:proofErr w:type="gramEnd"/>
      <w:r w:rsidRPr="0073030B">
        <w:rPr>
          <w:rFonts w:ascii="Arial" w:hAnsi="Arial" w:cs="Arial"/>
        </w:rPr>
        <w:t xml:space="preserve"> lessons discovered.</w:t>
      </w:r>
      <w:r w:rsidRPr="0073030B">
        <w:rPr>
          <w:rFonts w:ascii="Arial" w:hAnsi="Arial" w:cs="Arial"/>
        </w:rPr>
        <w:br/>
      </w:r>
      <w:r w:rsidRPr="0073030B">
        <w:rPr>
          <w:rFonts w:ascii="Arial" w:hAnsi="Arial" w:cs="Arial"/>
        </w:rPr>
        <w:br/>
        <w:t>Collaboration is an application of the four Cs. Collaborative analysis between clinical partners, data scientists, and product teams is beneficial for post-launch enhancements. Iterative product changes are made possible by shared dashboards and regular debriefings.</w:t>
      </w:r>
    </w:p>
    <w:p w14:paraId="5D5399FA" w14:textId="5DA1B447" w:rsidR="00C75C4B" w:rsidRPr="00AF04A8" w:rsidRDefault="00AF410D" w:rsidP="00AF410D">
      <w:pPr>
        <w:pStyle w:val="Heading2"/>
        <w:rPr>
          <w:rFonts w:ascii="Arial" w:hAnsi="Arial" w:cs="Arial"/>
        </w:rPr>
      </w:pPr>
      <w:bookmarkStart w:id="32" w:name="_Toc216360792"/>
      <w:r w:rsidRPr="00AF04A8">
        <w:rPr>
          <w:rFonts w:ascii="Arial" w:hAnsi="Arial" w:cs="Arial"/>
        </w:rPr>
        <w:t>Managing conflicts with the Four Cs in practice</w:t>
      </w:r>
      <w:bookmarkEnd w:id="32"/>
    </w:p>
    <w:p w14:paraId="42AB3A9A" w14:textId="77777777" w:rsidR="002F030A" w:rsidRPr="00AF04A8" w:rsidRDefault="004B1B6F" w:rsidP="002F030A">
      <w:pPr>
        <w:rPr>
          <w:rFonts w:ascii="Arial" w:hAnsi="Arial" w:cs="Arial"/>
        </w:rPr>
      </w:pPr>
      <w:r w:rsidRPr="004B1B6F">
        <w:rPr>
          <w:rFonts w:ascii="Arial" w:hAnsi="Arial" w:cs="Arial"/>
        </w:rPr>
        <w:t>Communication: Provide timely, accurate, and transparent updates. Employ structured forms, such as user-facing FAQs for customer service, a one-page dashboard for executives, and a technical digest for engineers and physicians. When disagreements emerge, clear communication is the first line of defence and minimises misunderstandings and misinformation.</w:t>
      </w:r>
      <w:r w:rsidRPr="004B1B6F">
        <w:rPr>
          <w:rFonts w:ascii="Arial" w:hAnsi="Arial" w:cs="Arial"/>
        </w:rPr>
        <w:br/>
      </w:r>
      <w:r w:rsidRPr="004B1B6F">
        <w:rPr>
          <w:rFonts w:ascii="Arial" w:hAnsi="Arial" w:cs="Arial"/>
        </w:rPr>
        <w:br/>
        <w:t>Coordination: Weekly coordination meetings and integrated project management technologies are used to align schedules and interfaces. Make sure owners are identified and dependencies are visible. Deadlines and responsibilities for mitigation are tracked in a shared risk register.</w:t>
      </w:r>
    </w:p>
    <w:p w14:paraId="3211AB35" w14:textId="508969C3" w:rsidR="002F030A" w:rsidRPr="002F030A" w:rsidRDefault="002F030A" w:rsidP="002F030A">
      <w:pPr>
        <w:rPr>
          <w:rFonts w:ascii="Arial" w:hAnsi="Arial" w:cs="Arial"/>
        </w:rPr>
      </w:pPr>
      <w:r w:rsidRPr="002F030A">
        <w:rPr>
          <w:rFonts w:ascii="Arial" w:hAnsi="Arial" w:cs="Arial"/>
        </w:rPr>
        <w:t>Cooperation • For separate work, use bilateral agreements and specified interfaces. For instance, data format and transfer techniques are agreed upon by the engineering and clinical teams, enabling each to move forward independently. When tasks are modular, cooperation is powerful.</w:t>
      </w:r>
      <w:r w:rsidRPr="002F030A">
        <w:rPr>
          <w:rFonts w:ascii="Arial" w:hAnsi="Arial" w:cs="Arial"/>
        </w:rPr>
        <w:br/>
      </w:r>
      <w:r w:rsidRPr="002F030A">
        <w:rPr>
          <w:rFonts w:ascii="Arial" w:hAnsi="Arial" w:cs="Arial"/>
        </w:rPr>
        <w:br/>
        <w:t>Collaboration • Hold cross-functional problem-solving workshops for high-value, high-complexity tasks like interpreting unclear clinical results or creating evidence-based marketing. Collaboration can deliver solutions that no single team could by utilising a variety of experience.</w:t>
      </w:r>
    </w:p>
    <w:p w14:paraId="73DE217F" w14:textId="77777777" w:rsidR="007F35A5" w:rsidRPr="007F35A5" w:rsidRDefault="007F35A5" w:rsidP="007F35A5">
      <w:pPr>
        <w:rPr>
          <w:rFonts w:ascii="Arial" w:hAnsi="Arial" w:cs="Arial"/>
        </w:rPr>
      </w:pPr>
      <w:r w:rsidRPr="007F35A5">
        <w:rPr>
          <w:rFonts w:ascii="Arial" w:hAnsi="Arial" w:cs="Arial"/>
        </w:rPr>
        <w:t>Techniques for resolving conflicts to support the Four Cs</w:t>
      </w:r>
      <w:r w:rsidRPr="007F35A5">
        <w:rPr>
          <w:rFonts w:ascii="Arial" w:hAnsi="Arial" w:cs="Arial"/>
        </w:rPr>
        <w:br/>
        <w:t>• Interest-based negotiation: prioritise needs above positions.</w:t>
      </w:r>
      <w:r w:rsidRPr="007F35A5">
        <w:rPr>
          <w:rFonts w:ascii="Arial" w:hAnsi="Arial" w:cs="Arial"/>
        </w:rPr>
        <w:br/>
        <w:t>• Data-centric decisions: give evidence and predetermined acceptance criteria top priority.</w:t>
      </w:r>
      <w:r w:rsidRPr="007F35A5">
        <w:rPr>
          <w:rFonts w:ascii="Arial" w:hAnsi="Arial" w:cs="Arial"/>
        </w:rPr>
        <w:br/>
        <w:t>• Escalation ladder: the RACI matrix's specified, time-bound escalation steps.</w:t>
      </w:r>
      <w:r w:rsidRPr="007F35A5">
        <w:rPr>
          <w:rFonts w:ascii="Arial" w:hAnsi="Arial" w:cs="Arial"/>
        </w:rPr>
        <w:br/>
        <w:t>• Win-win solutions: look for agreements that allow for incremental market entrance while protecting important claims.</w:t>
      </w:r>
      <w:r w:rsidRPr="007F35A5">
        <w:rPr>
          <w:rFonts w:ascii="Arial" w:hAnsi="Arial" w:cs="Arial"/>
        </w:rPr>
        <w:br/>
      </w:r>
      <w:r w:rsidRPr="007F35A5">
        <w:rPr>
          <w:rFonts w:ascii="Arial" w:hAnsi="Arial" w:cs="Arial"/>
        </w:rPr>
        <w:br/>
        <w:t>Conflicts become manageable operational issues rather than strategic obstacles when the Four Cs are included into every project phase. Practical precautions for a six-month launch timeframe include accountability through RACI, open communication, and early inclusion of high interest, high power parties.</w:t>
      </w:r>
    </w:p>
    <w:p w14:paraId="091135C1" w14:textId="19F44FB1" w:rsidR="006241FD" w:rsidRPr="00AF04A8" w:rsidRDefault="00B760A2" w:rsidP="00B760A2">
      <w:pPr>
        <w:pStyle w:val="Heading1"/>
        <w:rPr>
          <w:rFonts w:ascii="Arial" w:hAnsi="Arial" w:cs="Arial"/>
        </w:rPr>
      </w:pPr>
      <w:bookmarkStart w:id="33" w:name="_Toc216360793"/>
      <w:r w:rsidRPr="00AF04A8">
        <w:rPr>
          <w:rFonts w:ascii="Arial" w:hAnsi="Arial" w:cs="Arial"/>
        </w:rPr>
        <w:lastRenderedPageBreak/>
        <w:t>7. Evaluation of impact on business performance and recommendations for the future</w:t>
      </w:r>
      <w:bookmarkEnd w:id="33"/>
    </w:p>
    <w:p w14:paraId="27D16EBD" w14:textId="2740C309" w:rsidR="00B760A2" w:rsidRPr="00AF04A8" w:rsidRDefault="00B760A2" w:rsidP="00B760A2">
      <w:pPr>
        <w:pStyle w:val="Heading2"/>
        <w:rPr>
          <w:rFonts w:ascii="Arial" w:hAnsi="Arial" w:cs="Arial"/>
        </w:rPr>
      </w:pPr>
      <w:bookmarkStart w:id="34" w:name="_Toc216360794"/>
      <w:r w:rsidRPr="00AF04A8">
        <w:rPr>
          <w:rFonts w:ascii="Arial" w:hAnsi="Arial" w:cs="Arial"/>
        </w:rPr>
        <w:t>Impact evaluation: how effective stakeholder engagement improves performance</w:t>
      </w:r>
      <w:bookmarkEnd w:id="34"/>
    </w:p>
    <w:p w14:paraId="7E4AE5B6" w14:textId="77777777" w:rsidR="008F207C" w:rsidRPr="00AF04A8" w:rsidRDefault="005D1AA9" w:rsidP="008F207C">
      <w:pPr>
        <w:rPr>
          <w:rFonts w:ascii="Arial" w:hAnsi="Arial" w:cs="Arial"/>
        </w:rPr>
      </w:pPr>
      <w:r w:rsidRPr="005D1AA9">
        <w:rPr>
          <w:rFonts w:ascii="Arial" w:hAnsi="Arial" w:cs="Arial"/>
        </w:rPr>
        <w:t>Risk reduction and regulatory readiness</w:t>
      </w:r>
      <w:r w:rsidRPr="005D1AA9">
        <w:rPr>
          <w:rFonts w:ascii="Arial" w:hAnsi="Arial" w:cs="Arial"/>
        </w:rPr>
        <w:br/>
        <w:t xml:space="preserve">Technical documentation and post-market surveillance meet MHRA criteria when regulatory and quality stakeholders are effectively engaged. This lowers the possibility of withdrawal, expensive corrections, or legal repercussions. Sustained market access and brand trust depend on meeting MHRA PMS requirements. </w:t>
      </w:r>
      <w:r w:rsidRPr="005D1AA9">
        <w:rPr>
          <w:rFonts w:ascii="Arial" w:hAnsi="Arial" w:cs="Arial"/>
        </w:rPr>
        <w:br/>
      </w:r>
      <w:r w:rsidRPr="005D1AA9">
        <w:rPr>
          <w:rFonts w:ascii="Arial" w:hAnsi="Arial" w:cs="Arial"/>
        </w:rPr>
        <w:br/>
        <w:t>Reduced rework and quicker decision-making</w:t>
      </w:r>
      <w:r w:rsidRPr="005D1AA9">
        <w:rPr>
          <w:rFonts w:ascii="Arial" w:hAnsi="Arial" w:cs="Arial"/>
        </w:rPr>
        <w:br/>
        <w:t>Regular coordination meetings and a clear RACI matrix cut down on duplication and misaligned priorities, which speeds up decision-making and minimises rework. This is essential for a six-month timetable. Effective stakeholder involvement helps meet launch dates and directly lowers time-related expenses.</w:t>
      </w:r>
    </w:p>
    <w:p w14:paraId="6F107057" w14:textId="5DD98EDF" w:rsidR="008F207C" w:rsidRPr="008F207C" w:rsidRDefault="008F207C" w:rsidP="008F207C">
      <w:pPr>
        <w:rPr>
          <w:rFonts w:ascii="Arial" w:hAnsi="Arial" w:cs="Arial"/>
        </w:rPr>
      </w:pPr>
      <w:r w:rsidRPr="008F207C">
        <w:rPr>
          <w:rFonts w:ascii="Arial" w:hAnsi="Arial" w:cs="Arial"/>
        </w:rPr>
        <w:t>Increased adoption and acceptance of the product</w:t>
      </w:r>
      <w:r w:rsidRPr="008F207C">
        <w:rPr>
          <w:rFonts w:ascii="Arial" w:hAnsi="Arial" w:cs="Arial"/>
        </w:rPr>
        <w:br/>
        <w:t xml:space="preserve">Early engagement of KOLs and doctors produces reliable data to back up clinical claims. Consequently, this facilitates NHS pilots and contracting discussions. Strong evidence and clinical support are powerful indicators of acceptance in healthcare environments and can set the device apart from popular consumer wearables. </w:t>
      </w:r>
      <w:r w:rsidRPr="008F207C">
        <w:rPr>
          <w:rFonts w:ascii="Arial" w:hAnsi="Arial" w:cs="Arial"/>
        </w:rPr>
        <w:br/>
      </w:r>
      <w:r w:rsidRPr="008F207C">
        <w:rPr>
          <w:rFonts w:ascii="Arial" w:hAnsi="Arial" w:cs="Arial"/>
        </w:rPr>
        <w:br/>
        <w:t>Credibility in the market and consumer confidence</w:t>
      </w:r>
      <w:r w:rsidRPr="008F207C">
        <w:rPr>
          <w:rFonts w:ascii="Arial" w:hAnsi="Arial" w:cs="Arial"/>
        </w:rPr>
        <w:br/>
        <w:t>Customer trust is increased through open communication about accuracy, privacy, and post-market intentions. Engagement in cybersecurity and data protection lowers the possibility of breaches that could harm sales and reputation. In addition to boosting client confidence, well-documented data governance may give businesses a competitive edge.</w:t>
      </w:r>
    </w:p>
    <w:p w14:paraId="677C96B3" w14:textId="77777777" w:rsidR="000D2785" w:rsidRPr="000D2785" w:rsidRDefault="000D2785" w:rsidP="000D2785">
      <w:pPr>
        <w:rPr>
          <w:rFonts w:ascii="Arial" w:hAnsi="Arial" w:cs="Arial"/>
        </w:rPr>
      </w:pPr>
      <w:r w:rsidRPr="000D2785">
        <w:rPr>
          <w:rFonts w:ascii="Arial" w:hAnsi="Arial" w:cs="Arial"/>
        </w:rPr>
        <w:t>Partnerships and commercial resilience</w:t>
      </w:r>
      <w:r w:rsidRPr="000D2785">
        <w:rPr>
          <w:rFonts w:ascii="Arial" w:hAnsi="Arial" w:cs="Arial"/>
        </w:rPr>
        <w:br/>
        <w:t xml:space="preserve">Supply chain risk is </w:t>
      </w:r>
      <w:proofErr w:type="gramStart"/>
      <w:r w:rsidRPr="000D2785">
        <w:rPr>
          <w:rFonts w:ascii="Arial" w:hAnsi="Arial" w:cs="Arial"/>
        </w:rPr>
        <w:t>decreased</w:t>
      </w:r>
      <w:proofErr w:type="gramEnd"/>
      <w:r w:rsidRPr="000D2785">
        <w:rPr>
          <w:rFonts w:ascii="Arial" w:hAnsi="Arial" w:cs="Arial"/>
        </w:rPr>
        <w:t xml:space="preserve"> and scalable distribution is supported by including suppliers and distribution partners with explicit SLAs and collaborative backup plans. Converting early pilot success into a full market deployment depends on this.</w:t>
      </w:r>
    </w:p>
    <w:p w14:paraId="46A218FB" w14:textId="77777777" w:rsidR="00614636" w:rsidRPr="00AF04A8" w:rsidRDefault="00614636" w:rsidP="00614636">
      <w:pPr>
        <w:pStyle w:val="Heading1"/>
        <w:rPr>
          <w:rFonts w:ascii="Arial" w:hAnsi="Arial" w:cs="Arial"/>
        </w:rPr>
      </w:pPr>
      <w:bookmarkStart w:id="35" w:name="_Toc216360795"/>
      <w:r w:rsidRPr="00AF04A8">
        <w:rPr>
          <w:rFonts w:ascii="Arial" w:hAnsi="Arial" w:cs="Arial"/>
        </w:rPr>
        <w:t>Measuring impact: KPIs and metrics</w:t>
      </w:r>
      <w:bookmarkEnd w:id="35"/>
    </w:p>
    <w:p w14:paraId="53A53CA9" w14:textId="77777777" w:rsidR="00614636" w:rsidRPr="00AF04A8" w:rsidRDefault="00614636" w:rsidP="00614636">
      <w:pPr>
        <w:rPr>
          <w:rFonts w:ascii="Arial" w:hAnsi="Arial" w:cs="Arial"/>
        </w:rPr>
      </w:pPr>
      <w:r w:rsidRPr="00614636">
        <w:rPr>
          <w:rFonts w:ascii="Arial" w:hAnsi="Arial" w:cs="Arial"/>
        </w:rPr>
        <w:t>• Regulatory milestones achieved on schedule.</w:t>
      </w:r>
      <w:r w:rsidRPr="00614636">
        <w:rPr>
          <w:rFonts w:ascii="Arial" w:hAnsi="Arial" w:cs="Arial"/>
        </w:rPr>
        <w:br/>
        <w:t>• Number of issues logged and time to resolution.</w:t>
      </w:r>
      <w:r w:rsidRPr="00614636">
        <w:rPr>
          <w:rFonts w:ascii="Arial" w:hAnsi="Arial" w:cs="Arial"/>
        </w:rPr>
        <w:br/>
        <w:t>• Clinical performance metrics versus targets (heart rate and SpO2 accuracy).</w:t>
      </w:r>
      <w:r w:rsidRPr="00614636">
        <w:rPr>
          <w:rFonts w:ascii="Arial" w:hAnsi="Arial" w:cs="Arial"/>
        </w:rPr>
        <w:br/>
        <w:t>• Stakeholder engagement scores and meeting attendance rates.</w:t>
      </w:r>
      <w:r w:rsidRPr="00614636">
        <w:rPr>
          <w:rFonts w:ascii="Arial" w:hAnsi="Arial" w:cs="Arial"/>
        </w:rPr>
        <w:br/>
        <w:t>• Customer satisfaction scores and early adopter retention.</w:t>
      </w:r>
      <w:r w:rsidRPr="00614636">
        <w:rPr>
          <w:rFonts w:ascii="Arial" w:hAnsi="Arial" w:cs="Arial"/>
        </w:rPr>
        <w:br/>
        <w:t>• Time to revenue and pilot conversion rates.</w:t>
      </w:r>
    </w:p>
    <w:p w14:paraId="7B852A3D" w14:textId="17635109" w:rsidR="00614636" w:rsidRPr="00AF04A8" w:rsidRDefault="00614636" w:rsidP="00614636">
      <w:pPr>
        <w:pStyle w:val="Heading1"/>
        <w:rPr>
          <w:rFonts w:ascii="Arial" w:hAnsi="Arial" w:cs="Arial"/>
        </w:rPr>
      </w:pPr>
      <w:bookmarkStart w:id="36" w:name="_Toc216360796"/>
      <w:r w:rsidRPr="00AF04A8">
        <w:rPr>
          <w:rFonts w:ascii="Arial" w:hAnsi="Arial" w:cs="Arial"/>
        </w:rPr>
        <w:lastRenderedPageBreak/>
        <w:t>Recommendations for future stakeholder engagement and business sustainability</w:t>
      </w:r>
      <w:bookmarkEnd w:id="36"/>
    </w:p>
    <w:p w14:paraId="771985CC" w14:textId="77777777" w:rsidR="00E45400" w:rsidRPr="00E45400" w:rsidRDefault="00E45400" w:rsidP="00E45400">
      <w:pPr>
        <w:rPr>
          <w:rFonts w:ascii="Arial" w:hAnsi="Arial" w:cs="Arial"/>
        </w:rPr>
      </w:pPr>
      <w:r w:rsidRPr="00E45400">
        <w:rPr>
          <w:rFonts w:ascii="Arial" w:hAnsi="Arial" w:cs="Arial"/>
        </w:rPr>
        <w:t>Establish stakeholder governance.</w:t>
      </w:r>
      <w:r w:rsidRPr="00E45400">
        <w:rPr>
          <w:rFonts w:ascii="Arial" w:hAnsi="Arial" w:cs="Arial"/>
        </w:rPr>
        <w:br/>
        <w:t>Establish a long-term, cross-functional stakeholder council for related health goods. To monitor post-market data, update risk registers, and approve iterative product changes, this council should convene on a regular basis. Ad hoc, reactive decision-making is prevented by institutional governance.</w:t>
      </w:r>
      <w:r w:rsidRPr="00E45400">
        <w:rPr>
          <w:rFonts w:ascii="Arial" w:hAnsi="Arial" w:cs="Arial"/>
        </w:rPr>
        <w:br/>
      </w:r>
      <w:r w:rsidRPr="00E45400">
        <w:rPr>
          <w:rFonts w:ascii="Arial" w:hAnsi="Arial" w:cs="Arial"/>
        </w:rPr>
        <w:br/>
        <w:t>Invest in clinical evidence as a tactical advantage.</w:t>
      </w:r>
      <w:r w:rsidRPr="00E45400">
        <w:rPr>
          <w:rFonts w:ascii="Arial" w:hAnsi="Arial" w:cs="Arial"/>
        </w:rPr>
        <w:br/>
        <w:t>Give priority to long-term, real-world information, and publish validation studies through peer-reviewed channels. Clinical publications can lower barriers with the NHS and professional associations and boost credibility. Discussions about premium pricing and reimbursement are also supported by evidence.</w:t>
      </w:r>
    </w:p>
    <w:p w14:paraId="14F208D2" w14:textId="77777777" w:rsidR="00F52FAB" w:rsidRPr="00F52FAB" w:rsidRDefault="00F52FAB" w:rsidP="00F52FAB">
      <w:pPr>
        <w:rPr>
          <w:rFonts w:ascii="Arial" w:hAnsi="Arial" w:cs="Arial"/>
        </w:rPr>
      </w:pPr>
      <w:r w:rsidRPr="00F52FAB">
        <w:rPr>
          <w:rFonts w:ascii="Arial" w:hAnsi="Arial" w:cs="Arial"/>
        </w:rPr>
        <w:t>Boost transparency and data management</w:t>
      </w:r>
      <w:r w:rsidRPr="00F52FAB">
        <w:rPr>
          <w:rFonts w:ascii="Arial" w:hAnsi="Arial" w:cs="Arial"/>
        </w:rPr>
        <w:br/>
        <w:t>Provide consumers and healthcare providers with a clear data handling flow, security whitepaper, and data privacy policy. Provide users with data export tools and make consent procedures transparent. Reputational and regulatory risk are decreased by transparent data stewardship.</w:t>
      </w:r>
      <w:r w:rsidRPr="00F52FAB">
        <w:rPr>
          <w:rFonts w:ascii="Arial" w:hAnsi="Arial" w:cs="Arial"/>
        </w:rPr>
        <w:br/>
      </w:r>
      <w:r w:rsidRPr="00F52FAB">
        <w:rPr>
          <w:rFonts w:ascii="Arial" w:hAnsi="Arial" w:cs="Arial"/>
        </w:rPr>
        <w:br/>
        <w:t>Create modular regulatory plans for quick revisions.</w:t>
      </w:r>
      <w:r w:rsidRPr="00F52FAB">
        <w:rPr>
          <w:rFonts w:ascii="Arial" w:hAnsi="Arial" w:cs="Arial"/>
        </w:rPr>
        <w:br/>
      </w:r>
      <w:proofErr w:type="gramStart"/>
      <w:r w:rsidRPr="00F52FAB">
        <w:rPr>
          <w:rFonts w:ascii="Arial" w:hAnsi="Arial" w:cs="Arial"/>
        </w:rPr>
        <w:t>Take into account</w:t>
      </w:r>
      <w:proofErr w:type="gramEnd"/>
      <w:r w:rsidRPr="00F52FAB">
        <w:rPr>
          <w:rFonts w:ascii="Arial" w:hAnsi="Arial" w:cs="Arial"/>
        </w:rPr>
        <w:t xml:space="preserve"> phasing claims for product features that are still in the exploratory stage, like sleep staging. Stronger claims should be made at launch for verified metrics like heart rate and SpO2, and sleep elements should be positioned as wellness insights with a clinical validation roadmap. This facilitates quicker market entrance and lessens regulatory friction.</w:t>
      </w:r>
    </w:p>
    <w:p w14:paraId="45EF9A3C" w14:textId="77777777" w:rsidR="00C7464A" w:rsidRPr="00C7464A" w:rsidRDefault="00C7464A" w:rsidP="00C7464A">
      <w:pPr>
        <w:rPr>
          <w:rFonts w:ascii="Arial" w:hAnsi="Arial" w:cs="Arial"/>
        </w:rPr>
      </w:pPr>
      <w:r w:rsidRPr="00C7464A">
        <w:rPr>
          <w:rFonts w:ascii="Arial" w:hAnsi="Arial" w:cs="Arial"/>
        </w:rPr>
        <w:t>Create dual sourcing and supplier redundancy</w:t>
      </w:r>
      <w:r w:rsidRPr="00C7464A">
        <w:rPr>
          <w:rFonts w:ascii="Arial" w:hAnsi="Arial" w:cs="Arial"/>
        </w:rPr>
        <w:br/>
        <w:t>Contractually mandate that secondary suppliers be qualified and that key suppliers keep safety stock. Dual sourcing increases robustness and lowers the risk of supply chain failure.</w:t>
      </w:r>
      <w:r w:rsidRPr="00C7464A">
        <w:rPr>
          <w:rFonts w:ascii="Arial" w:hAnsi="Arial" w:cs="Arial"/>
        </w:rPr>
        <w:br/>
      </w:r>
      <w:r w:rsidRPr="00C7464A">
        <w:rPr>
          <w:rFonts w:ascii="Arial" w:hAnsi="Arial" w:cs="Arial"/>
        </w:rPr>
        <w:br/>
        <w:t>Include employers and payers in the stakeholder mapping process.</w:t>
      </w:r>
      <w:r w:rsidRPr="00C7464A">
        <w:rPr>
          <w:rFonts w:ascii="Arial" w:hAnsi="Arial" w:cs="Arial"/>
        </w:rPr>
        <w:br/>
        <w:t>Adoption of workplace health programs can be accelerated and alternative distribution channels created by early engagement with insurers and occupational health buyers.</w:t>
      </w:r>
      <w:r w:rsidRPr="00C7464A">
        <w:rPr>
          <w:rFonts w:ascii="Arial" w:hAnsi="Arial" w:cs="Arial"/>
        </w:rPr>
        <w:br/>
      </w:r>
      <w:r w:rsidRPr="00C7464A">
        <w:rPr>
          <w:rFonts w:ascii="Arial" w:hAnsi="Arial" w:cs="Arial"/>
        </w:rPr>
        <w:br/>
        <w:t>Metrics for ongoing engagement and learning loops</w:t>
      </w:r>
      <w:r w:rsidRPr="00C7464A">
        <w:rPr>
          <w:rFonts w:ascii="Arial" w:hAnsi="Arial" w:cs="Arial"/>
        </w:rPr>
        <w:br/>
        <w:t>Establish a dashboard that monitors engagement KPIs and applies lessons learnt into upcoming product cycles. Iterate algorithms and firmware updates using post-market data while informing stakeholders.</w:t>
      </w:r>
    </w:p>
    <w:p w14:paraId="3BE130DB" w14:textId="5D792EAC" w:rsidR="00614636" w:rsidRPr="00AF04A8" w:rsidRDefault="009269B3" w:rsidP="009269B3">
      <w:pPr>
        <w:pStyle w:val="Heading2"/>
        <w:rPr>
          <w:rFonts w:ascii="Arial" w:hAnsi="Arial" w:cs="Arial"/>
        </w:rPr>
      </w:pPr>
      <w:bookmarkStart w:id="37" w:name="_Toc216360797"/>
      <w:r w:rsidRPr="00AF04A8">
        <w:rPr>
          <w:rFonts w:ascii="Arial" w:hAnsi="Arial" w:cs="Arial"/>
        </w:rPr>
        <w:lastRenderedPageBreak/>
        <w:t>Expected business outcomes if recommendations are implemented</w:t>
      </w:r>
      <w:bookmarkEnd w:id="37"/>
    </w:p>
    <w:p w14:paraId="7DA7F034" w14:textId="77777777" w:rsidR="00FA45A1" w:rsidRPr="00AF04A8" w:rsidRDefault="00FA45A1" w:rsidP="00FA45A1">
      <w:pPr>
        <w:rPr>
          <w:rFonts w:ascii="Arial" w:hAnsi="Arial" w:cs="Arial"/>
        </w:rPr>
      </w:pPr>
      <w:r w:rsidRPr="00FA45A1">
        <w:rPr>
          <w:rFonts w:ascii="Arial" w:hAnsi="Arial" w:cs="Arial"/>
        </w:rPr>
        <w:t>• Faster time to market for upcoming product versions and fewer regulatory problems.</w:t>
      </w:r>
      <w:r w:rsidRPr="00FA45A1">
        <w:rPr>
          <w:rFonts w:ascii="Arial" w:hAnsi="Arial" w:cs="Arial"/>
        </w:rPr>
        <w:br/>
        <w:t>• Better NHS pilot conversions and higher uptake rates among clinicians.</w:t>
      </w:r>
      <w:r w:rsidRPr="00FA45A1">
        <w:rPr>
          <w:rFonts w:ascii="Arial" w:hAnsi="Arial" w:cs="Arial"/>
        </w:rPr>
        <w:br/>
        <w:t>• Improved brand recognition as a wearable with clinical credibility, allowing for higher prices.</w:t>
      </w:r>
      <w:r w:rsidRPr="00FA45A1">
        <w:rPr>
          <w:rFonts w:ascii="Arial" w:hAnsi="Arial" w:cs="Arial"/>
        </w:rPr>
        <w:br/>
        <w:t>• Less operational risk and fewer disruptions to the supply chain.</w:t>
      </w:r>
      <w:r w:rsidRPr="00FA45A1">
        <w:rPr>
          <w:rFonts w:ascii="Arial" w:hAnsi="Arial" w:cs="Arial"/>
        </w:rPr>
        <w:br/>
        <w:t>• A rise in early adopters' retention and consumer trust.</w:t>
      </w:r>
      <w:r w:rsidRPr="00FA45A1">
        <w:rPr>
          <w:rFonts w:ascii="Arial" w:hAnsi="Arial" w:cs="Arial"/>
        </w:rPr>
        <w:br/>
      </w:r>
      <w:r w:rsidRPr="00FA45A1">
        <w:rPr>
          <w:rFonts w:ascii="Arial" w:hAnsi="Arial" w:cs="Arial"/>
        </w:rPr>
        <w:br/>
        <w:t>In conclusion, engaging stakeholders in an organised and evidence-based manner is not a compliance exercise. In a cutthroat wearable market, it is a strategic lever that can unlock clinical credibility, operational resilience, and distinctive market positioning. Investment in engagement and evidence will probably result in measurable economic benefit because market reports and clinical literature both emphasise that adoption in health contexts is driven by credibility and accuracy.</w:t>
      </w:r>
    </w:p>
    <w:p w14:paraId="0D22FEBF" w14:textId="25AC03E8" w:rsidR="009B4F11" w:rsidRPr="00AF04A8" w:rsidRDefault="009B4F11" w:rsidP="009B4F11">
      <w:pPr>
        <w:pStyle w:val="Heading1"/>
        <w:rPr>
          <w:rFonts w:ascii="Arial" w:hAnsi="Arial" w:cs="Arial"/>
        </w:rPr>
      </w:pPr>
      <w:bookmarkStart w:id="38" w:name="_Toc216360798"/>
      <w:r w:rsidRPr="00AF04A8">
        <w:rPr>
          <w:rFonts w:ascii="Arial" w:hAnsi="Arial" w:cs="Arial"/>
        </w:rPr>
        <w:t>8. Conclusion</w:t>
      </w:r>
      <w:bookmarkEnd w:id="38"/>
    </w:p>
    <w:p w14:paraId="1671F916" w14:textId="77777777" w:rsidR="00EB767B" w:rsidRPr="00EB767B" w:rsidRDefault="00EB767B" w:rsidP="00EB767B">
      <w:pPr>
        <w:rPr>
          <w:rFonts w:ascii="Arial" w:hAnsi="Arial" w:cs="Arial"/>
        </w:rPr>
      </w:pPr>
      <w:r w:rsidRPr="00EB767B">
        <w:rPr>
          <w:rFonts w:ascii="Arial" w:hAnsi="Arial" w:cs="Arial"/>
        </w:rPr>
        <w:t>It is challenging but doable to launch a consumer-facing health wearable that monitors oxygen saturation, heart rate, and sleep habits in a six-month period. The organization's ability to successfully engage and align key stakeholders across the regulatory, clinical, engineering, manufacturing, and commercial domains is more important for success than any one department.</w:t>
      </w:r>
      <w:r w:rsidRPr="00EB767B">
        <w:rPr>
          <w:rFonts w:ascii="Arial" w:hAnsi="Arial" w:cs="Arial"/>
        </w:rPr>
        <w:br/>
      </w:r>
      <w:r w:rsidRPr="00EB767B">
        <w:rPr>
          <w:rFonts w:ascii="Arial" w:hAnsi="Arial" w:cs="Arial"/>
        </w:rPr>
        <w:br/>
        <w:t>Mendelow's matrix makes it possible to prioritise engagement efforts such that high-power, high-interest stakeholders receive targeted involvement. A thorough communication plan standardises the flow and content of messages, while RACI makes accountability clear and avoids duplication. The Four Cs approach offers useful behavioural strategies for handling relationships and settling disputes. Cooperation allows for modular progress, coordination synchronises timeframes and interfaces, communication avoids misunderstandings, and collaboration unlocks innovative solutions to challenging issues.</w:t>
      </w:r>
    </w:p>
    <w:p w14:paraId="202FD74C" w14:textId="77777777" w:rsidR="000D05F2" w:rsidRPr="000D05F2" w:rsidRDefault="000D05F2" w:rsidP="000D05F2">
      <w:pPr>
        <w:rPr>
          <w:rFonts w:ascii="Arial" w:hAnsi="Arial" w:cs="Arial"/>
        </w:rPr>
      </w:pPr>
      <w:r w:rsidRPr="000D05F2">
        <w:rPr>
          <w:rFonts w:ascii="Arial" w:hAnsi="Arial" w:cs="Arial"/>
        </w:rPr>
        <w:t>For Owen Mumford, the company's skills in regulated manufacturing and engineering offer a strong base. However, the business will have to handle the risks of accuracy instability and fierce competition, as well as weaknesses in consumer brand identification. Staging clinical claims, investing in evidence, improving data stewardship, and institutionalising stakeholder governance are some of the suggestions made with the goal of lowering risk and gaining a competitive edge.</w:t>
      </w:r>
    </w:p>
    <w:p w14:paraId="4B52EBDB" w14:textId="77777777" w:rsidR="002F5E6F" w:rsidRPr="002F5E6F" w:rsidRDefault="002F5E6F" w:rsidP="002F5E6F">
      <w:pPr>
        <w:rPr>
          <w:rFonts w:ascii="Arial" w:hAnsi="Arial" w:cs="Arial"/>
        </w:rPr>
      </w:pPr>
      <w:r w:rsidRPr="002F5E6F">
        <w:rPr>
          <w:rFonts w:ascii="Arial" w:hAnsi="Arial" w:cs="Arial"/>
        </w:rPr>
        <w:t xml:space="preserve">Practically speaking, the project manager's responsibilities include organising the strategy, informing decision-makers, ensuring that clinical evidence and regulatory </w:t>
      </w:r>
      <w:r w:rsidRPr="002F5E6F">
        <w:rPr>
          <w:rFonts w:ascii="Arial" w:hAnsi="Arial" w:cs="Arial"/>
        </w:rPr>
        <w:lastRenderedPageBreak/>
        <w:t>standards are satisfied, and using organised dispute resolution to maintain a reasonable launch date. The wearable may enter the market while preserving safety and reputation and establishing a foundation for upcoming connected health solutions if stakeholder participation is transparent, evidence-based, and disciplined.</w:t>
      </w:r>
    </w:p>
    <w:p w14:paraId="0383DC1B" w14:textId="12BFB0E7" w:rsidR="009B4F11" w:rsidRPr="009B4F11" w:rsidRDefault="00943F9E" w:rsidP="00943F9E">
      <w:pPr>
        <w:pStyle w:val="Heading1"/>
      </w:pPr>
      <w:bookmarkStart w:id="39" w:name="_Toc216360799"/>
      <w:r w:rsidRPr="00943F9E">
        <w:t>References</w:t>
      </w:r>
      <w:bookmarkEnd w:id="39"/>
    </w:p>
    <w:p w14:paraId="26B31AD2" w14:textId="43DED701" w:rsidR="00943F9E" w:rsidRPr="00943F9E" w:rsidRDefault="00943F9E" w:rsidP="00943F9E">
      <w:r w:rsidRPr="00943F9E">
        <w:t xml:space="preserve">Owen Mumford. (2025) Medical devices. Available at: </w:t>
      </w:r>
      <w:hyperlink r:id="rId10" w:tgtFrame="_new" w:history="1">
        <w:r w:rsidRPr="00943F9E">
          <w:rPr>
            <w:rStyle w:val="Hyperlink"/>
          </w:rPr>
          <w:t>https://www.owenmumford.com/medical-devices</w:t>
        </w:r>
      </w:hyperlink>
      <w:r w:rsidRPr="00943F9E">
        <w:t xml:space="preserve"> (Accessed: </w:t>
      </w:r>
      <w:r w:rsidR="00054BA5">
        <w:t>7</w:t>
      </w:r>
      <w:r w:rsidRPr="00943F9E">
        <w:t xml:space="preserve">December 2025). </w:t>
      </w:r>
      <w:hyperlink r:id="rId11" w:tgtFrame="_blank" w:history="1">
        <w:r w:rsidRPr="00943F9E">
          <w:rPr>
            <w:rStyle w:val="Hyperlink"/>
          </w:rPr>
          <w:t>Owen Mumford</w:t>
        </w:r>
      </w:hyperlink>
    </w:p>
    <w:p w14:paraId="4018B046" w14:textId="18F9B1F7" w:rsidR="00943F9E" w:rsidRPr="00943F9E" w:rsidRDefault="00943F9E" w:rsidP="00943F9E">
      <w:r w:rsidRPr="00943F9E">
        <w:t xml:space="preserve">Owen Mumford. (2025) Our story. Available at: </w:t>
      </w:r>
      <w:hyperlink r:id="rId12" w:tgtFrame="_new" w:history="1">
        <w:r w:rsidRPr="00943F9E">
          <w:rPr>
            <w:rStyle w:val="Hyperlink"/>
          </w:rPr>
          <w:t>https://www.owenmumford.com/our-story</w:t>
        </w:r>
      </w:hyperlink>
      <w:r w:rsidRPr="00943F9E">
        <w:t xml:space="preserve"> (Accessed: 11 December 2025). </w:t>
      </w:r>
      <w:hyperlink r:id="rId13" w:tgtFrame="_blank" w:history="1">
        <w:r w:rsidRPr="00943F9E">
          <w:rPr>
            <w:rStyle w:val="Hyperlink"/>
          </w:rPr>
          <w:t>Owen Mumford</w:t>
        </w:r>
      </w:hyperlink>
    </w:p>
    <w:p w14:paraId="0E2F39EF" w14:textId="5AC17527" w:rsidR="00943F9E" w:rsidRPr="00943F9E" w:rsidRDefault="00943F9E" w:rsidP="00943F9E">
      <w:r w:rsidRPr="00943F9E">
        <w:t xml:space="preserve">GOV.UK. (n.d.) Using the UKCA marking. Available at: </w:t>
      </w:r>
      <w:hyperlink r:id="rId14" w:tgtFrame="_new" w:history="1">
        <w:r w:rsidRPr="00943F9E">
          <w:rPr>
            <w:rStyle w:val="Hyperlink"/>
          </w:rPr>
          <w:t>https://www.gov.uk/guidance/using-the-ukca-marking</w:t>
        </w:r>
      </w:hyperlink>
      <w:r w:rsidRPr="00943F9E">
        <w:t xml:space="preserve"> (Accessed: </w:t>
      </w:r>
      <w:r w:rsidR="00054BA5">
        <w:t xml:space="preserve">7 </w:t>
      </w:r>
      <w:r w:rsidRPr="00943F9E">
        <w:t xml:space="preserve">December 2025). </w:t>
      </w:r>
      <w:hyperlink r:id="rId15" w:tgtFrame="_blank" w:history="1">
        <w:r w:rsidRPr="00943F9E">
          <w:rPr>
            <w:rStyle w:val="Hyperlink"/>
          </w:rPr>
          <w:t>GOV.UK</w:t>
        </w:r>
      </w:hyperlink>
    </w:p>
    <w:p w14:paraId="44CE4AC2" w14:textId="54D610C4" w:rsidR="00943F9E" w:rsidRPr="00943F9E" w:rsidRDefault="00943F9E" w:rsidP="00943F9E">
      <w:r w:rsidRPr="00943F9E">
        <w:t xml:space="preserve">GOV.UK. (n.d.) Regulating medical devices in the UK. Available at: </w:t>
      </w:r>
      <w:hyperlink r:id="rId16" w:tgtFrame="_new" w:history="1">
        <w:r w:rsidRPr="00943F9E">
          <w:rPr>
            <w:rStyle w:val="Hyperlink"/>
          </w:rPr>
          <w:t>https://www.gov.uk/guidance/regulating-medical-devices-in-the-uk</w:t>
        </w:r>
      </w:hyperlink>
      <w:r w:rsidRPr="00943F9E">
        <w:t xml:space="preserve"> (Accessed: </w:t>
      </w:r>
      <w:r w:rsidR="00054BA5">
        <w:t xml:space="preserve">8 </w:t>
      </w:r>
      <w:r w:rsidRPr="00943F9E">
        <w:t xml:space="preserve">December 2025). </w:t>
      </w:r>
    </w:p>
    <w:p w14:paraId="3916D283" w14:textId="576112C4" w:rsidR="00943F9E" w:rsidRPr="00943F9E" w:rsidRDefault="00943F9E" w:rsidP="00943F9E">
      <w:r w:rsidRPr="00943F9E">
        <w:t>Markets</w:t>
      </w:r>
      <w:r w:rsidR="00054BA5">
        <w:t xml:space="preserve"> </w:t>
      </w:r>
      <w:r w:rsidRPr="00943F9E">
        <w:t>and</w:t>
      </w:r>
      <w:r w:rsidR="00054BA5">
        <w:t xml:space="preserve"> </w:t>
      </w:r>
      <w:r w:rsidRPr="00943F9E">
        <w:t xml:space="preserve">Markets. (2025) Wearable Healthcare Devices Market Growth, Drivers, and Trends. Available at: </w:t>
      </w:r>
      <w:hyperlink r:id="rId17" w:tgtFrame="_new" w:history="1">
        <w:r w:rsidRPr="00943F9E">
          <w:rPr>
            <w:rStyle w:val="Hyperlink"/>
          </w:rPr>
          <w:t>https://www.marketsandmarkets.com/Market-Reports/wearable-medical-device-market-81753973.html</w:t>
        </w:r>
      </w:hyperlink>
      <w:r w:rsidRPr="00943F9E">
        <w:t xml:space="preserve"> (Accessed: </w:t>
      </w:r>
      <w:r w:rsidR="00054BA5">
        <w:t xml:space="preserve">8 </w:t>
      </w:r>
      <w:r w:rsidRPr="00943F9E">
        <w:t>December 2025).</w:t>
      </w:r>
      <w:r w:rsidRPr="00943F9E">
        <w:t xml:space="preserve"> </w:t>
      </w:r>
    </w:p>
    <w:p w14:paraId="3B96C3DB" w14:textId="2146CE8C" w:rsidR="00943F9E" w:rsidRPr="00943F9E" w:rsidRDefault="00943F9E" w:rsidP="00943F9E">
      <w:r w:rsidRPr="00943F9E">
        <w:t xml:space="preserve">BCC Research. (2024) The Wearable Medical Device Market: Trends, Innovations, and Future Outlook. Available at: </w:t>
      </w:r>
      <w:hyperlink r:id="rId18" w:tgtFrame="_new" w:history="1">
        <w:r w:rsidRPr="00943F9E">
          <w:rPr>
            <w:rStyle w:val="Hyperlink"/>
          </w:rPr>
          <w:t>https://blog.bccresearch.com/the-wearable-medical-device-market-trends-innovations-and-future-outlook</w:t>
        </w:r>
      </w:hyperlink>
      <w:r w:rsidRPr="00943F9E">
        <w:t xml:space="preserve"> (Accessed: </w:t>
      </w:r>
      <w:r w:rsidR="00054BA5">
        <w:t xml:space="preserve">8 </w:t>
      </w:r>
      <w:r w:rsidRPr="00943F9E">
        <w:t xml:space="preserve">December 2025). </w:t>
      </w:r>
    </w:p>
    <w:p w14:paraId="21E4815A" w14:textId="32C7875C" w:rsidR="00943F9E" w:rsidRPr="00943F9E" w:rsidRDefault="00943F9E" w:rsidP="00943F9E">
      <w:r w:rsidRPr="00943F9E">
        <w:t xml:space="preserve">Doherty, C. et al. (2024) Keeping Pace with Wearables: A Living Umbrella Review. Available at: https://www.ncbi.nlm.nih.gov/pmc/articles/PMC11560992/ (Accessed: </w:t>
      </w:r>
      <w:r w:rsidR="00054BA5">
        <w:t xml:space="preserve">8 </w:t>
      </w:r>
      <w:r w:rsidRPr="00943F9E">
        <w:t xml:space="preserve">December 2025). </w:t>
      </w:r>
    </w:p>
    <w:p w14:paraId="56431689" w14:textId="67E1B665" w:rsidR="00943F9E" w:rsidRPr="00943F9E" w:rsidRDefault="00943F9E" w:rsidP="00943F9E">
      <w:r w:rsidRPr="00943F9E">
        <w:t xml:space="preserve">The Guardian. (2023) Wearable fitness trackers could interfere with cardiac devices. Available at: </w:t>
      </w:r>
      <w:hyperlink r:id="rId19" w:tgtFrame="_new" w:history="1">
        <w:r w:rsidRPr="00943F9E">
          <w:rPr>
            <w:rStyle w:val="Hyperlink"/>
          </w:rPr>
          <w:t>https://www.theguardian.com/technology/2023/feb/22/wearable-fitness-trackers-could-interfere-with-cardiac-devices-study-warns</w:t>
        </w:r>
      </w:hyperlink>
      <w:r w:rsidRPr="00943F9E">
        <w:t xml:space="preserve"> (Accessed: </w:t>
      </w:r>
      <w:r w:rsidR="00EB63BC">
        <w:t>8</w:t>
      </w:r>
      <w:r w:rsidRPr="00943F9E">
        <w:t xml:space="preserve">December 2025). </w:t>
      </w:r>
    </w:p>
    <w:p w14:paraId="66C4727D" w14:textId="197C5A89" w:rsidR="00943F9E" w:rsidRPr="00943F9E" w:rsidRDefault="00943F9E" w:rsidP="00943F9E">
      <w:r w:rsidRPr="00943F9E">
        <w:t xml:space="preserve">Tom’s Guide. (2025) Sorry, Garmin - the Apple Watch Ultra 2 is the Most Accurate Fitness Tracker. Available at: </w:t>
      </w:r>
      <w:hyperlink r:id="rId20" w:tgtFrame="_new" w:history="1">
        <w:r w:rsidRPr="00943F9E">
          <w:rPr>
            <w:rStyle w:val="Hyperlink"/>
          </w:rPr>
          <w:t>https://www.tomsguide.com/wellness/fitness-trackers/sorry-garmin-the-apple-watch-ultra-2-is-the-most-accurate-fitness-tracker-according-to-a-recent-study</w:t>
        </w:r>
      </w:hyperlink>
      <w:r w:rsidRPr="00943F9E">
        <w:t xml:space="preserve"> (Accessed: </w:t>
      </w:r>
      <w:r w:rsidR="00EB63BC">
        <w:t>8</w:t>
      </w:r>
      <w:r w:rsidRPr="00943F9E">
        <w:t xml:space="preserve"> December 2025).</w:t>
      </w:r>
      <w:r w:rsidRPr="00943F9E">
        <w:t xml:space="preserve"> </w:t>
      </w:r>
    </w:p>
    <w:p w14:paraId="196914C2" w14:textId="4810A308" w:rsidR="00943F9E" w:rsidRPr="00943F9E" w:rsidRDefault="00943F9E" w:rsidP="00943F9E">
      <w:r w:rsidRPr="00943F9E">
        <w:t xml:space="preserve"> Mendelow, A. (1991) Stakeholder mapping. Proceedings of the 2nd International Conference on Information Systems. (Referenced via Mendelow overview). Available at: </w:t>
      </w:r>
      <w:hyperlink r:id="rId21" w:tgtFrame="_new" w:history="1">
        <w:r w:rsidRPr="00943F9E">
          <w:rPr>
            <w:rStyle w:val="Hyperlink"/>
          </w:rPr>
          <w:t>https://scholar.google.com/citations?hl=en&amp;user=rmGZ_IIAAAAJ</w:t>
        </w:r>
      </w:hyperlink>
      <w:r w:rsidRPr="00943F9E">
        <w:t xml:space="preserve"> (Accessed: </w:t>
      </w:r>
      <w:r w:rsidR="000A794B">
        <w:t xml:space="preserve">9 </w:t>
      </w:r>
      <w:r w:rsidRPr="00943F9E">
        <w:t>December 2025).</w:t>
      </w:r>
      <w:r w:rsidRPr="00943F9E">
        <w:t xml:space="preserve"> </w:t>
      </w:r>
    </w:p>
    <w:p w14:paraId="6F4E06CE" w14:textId="0DE44D31" w:rsidR="00943F9E" w:rsidRPr="00943F9E" w:rsidRDefault="00943F9E" w:rsidP="00943F9E">
      <w:r w:rsidRPr="00943F9E">
        <w:t xml:space="preserve">Oxford College of Marketing. (2018) What is Mendelow's Matrix and Why Is It Useful </w:t>
      </w:r>
      <w:proofErr w:type="gramStart"/>
      <w:r w:rsidRPr="00943F9E">
        <w:t>For</w:t>
      </w:r>
      <w:proofErr w:type="gramEnd"/>
      <w:r w:rsidRPr="00943F9E">
        <w:t xml:space="preserve"> Stakeholder Management. Available at: </w:t>
      </w:r>
      <w:hyperlink r:id="rId22" w:tgtFrame="_new" w:history="1">
        <w:r w:rsidRPr="00943F9E">
          <w:rPr>
            <w:rStyle w:val="Hyperlink"/>
          </w:rPr>
          <w:t>https://blog.oxfordcollegeofmarketing.com/2018/04/23/what-is-mendelows-matrix-and-how-is-it-useful/</w:t>
        </w:r>
      </w:hyperlink>
      <w:r w:rsidRPr="00943F9E">
        <w:t xml:space="preserve"> (Accessed: </w:t>
      </w:r>
      <w:r w:rsidR="000A794B">
        <w:t>9</w:t>
      </w:r>
      <w:r w:rsidRPr="00943F9E">
        <w:t xml:space="preserve"> December 2025). </w:t>
      </w:r>
    </w:p>
    <w:p w14:paraId="1F67ECBF" w14:textId="3905D0FC" w:rsidR="00943F9E" w:rsidRPr="00943F9E" w:rsidRDefault="00943F9E" w:rsidP="00943F9E">
      <w:r w:rsidRPr="00943F9E">
        <w:t xml:space="preserve">ResearchGate. (2025) The Four Cs of Disaster Partnering: Communication, Cooperation, Coordination and Collaboration. Available at: </w:t>
      </w:r>
      <w:hyperlink r:id="rId23" w:tgtFrame="_new" w:history="1">
        <w:r w:rsidRPr="00943F9E">
          <w:rPr>
            <w:rStyle w:val="Hyperlink"/>
          </w:rPr>
          <w:t>https://www.researchgate.net/publication/276892427_The_Four_Cs_of_Disaster_Partnering_Communication_Cooperation_Coordination_and_Collaboration</w:t>
        </w:r>
      </w:hyperlink>
      <w:r w:rsidRPr="00943F9E">
        <w:t xml:space="preserve"> (Accessed: </w:t>
      </w:r>
      <w:r w:rsidR="000A794B">
        <w:t>9</w:t>
      </w:r>
      <w:r w:rsidRPr="00943F9E">
        <w:t xml:space="preserve"> December 2025). </w:t>
      </w:r>
    </w:p>
    <w:p w14:paraId="70F2220B" w14:textId="272DE77D" w:rsidR="00943F9E" w:rsidRPr="00943F9E" w:rsidRDefault="00943F9E" w:rsidP="00943F9E">
      <w:r w:rsidRPr="00943F9E">
        <w:t xml:space="preserve">Convergence Labs. (2018) The Four Cs: Communication, Coordination, Cooperation, and Collaboration. Available at: </w:t>
      </w:r>
      <w:hyperlink r:id="rId24" w:tgtFrame="_new" w:history="1">
        <w:r w:rsidRPr="00943F9E">
          <w:rPr>
            <w:rStyle w:val="Hyperlink"/>
          </w:rPr>
          <w:t>https://convergencelabs.com/blog/2018/01/the-four-cs-communication-coordination-cooperation-and-collaboration/</w:t>
        </w:r>
      </w:hyperlink>
      <w:r w:rsidRPr="00943F9E">
        <w:t xml:space="preserve"> (Accessed: 1</w:t>
      </w:r>
      <w:r w:rsidR="000A794B">
        <w:t>0</w:t>
      </w:r>
      <w:r w:rsidRPr="00943F9E">
        <w:t xml:space="preserve"> December 2025). </w:t>
      </w:r>
    </w:p>
    <w:p w14:paraId="1410E4DA" w14:textId="7E1B3672" w:rsidR="00943F9E" w:rsidRPr="00943F9E" w:rsidRDefault="00943F9E" w:rsidP="00943F9E">
      <w:r w:rsidRPr="00943F9E">
        <w:t xml:space="preserve">Wiley Online Library. (2012) RACI Matrices - Business Process Mapping. Available at: </w:t>
      </w:r>
      <w:hyperlink r:id="rId25" w:tgtFrame="_new" w:history="1">
        <w:r w:rsidRPr="00943F9E">
          <w:rPr>
            <w:rStyle w:val="Hyperlink"/>
          </w:rPr>
          <w:t>https://onlinelibrary.wiley.com/doi/10.1002/9781119198390.ch10</w:t>
        </w:r>
      </w:hyperlink>
      <w:r w:rsidRPr="00943F9E">
        <w:t xml:space="preserve"> (Accessed: 1</w:t>
      </w:r>
      <w:r w:rsidR="000A794B">
        <w:t xml:space="preserve">0 </w:t>
      </w:r>
      <w:r w:rsidRPr="00943F9E">
        <w:t>December 2025).</w:t>
      </w:r>
      <w:r w:rsidRPr="00943F9E">
        <w:t xml:space="preserve"> </w:t>
      </w:r>
    </w:p>
    <w:p w14:paraId="6728458D" w14:textId="076927D1" w:rsidR="00943F9E" w:rsidRPr="00943F9E" w:rsidRDefault="00943F9E" w:rsidP="00943F9E">
      <w:r w:rsidRPr="00943F9E">
        <w:t xml:space="preserve">MDPI. (2021) Development of the RACI Model for Processes. Available at: </w:t>
      </w:r>
      <w:hyperlink r:id="rId26" w:tgtFrame="_new" w:history="1">
        <w:r w:rsidRPr="00943F9E">
          <w:rPr>
            <w:rStyle w:val="Hyperlink"/>
          </w:rPr>
          <w:t>https://www.mdpi.com/2071-1050/13/4/1806</w:t>
        </w:r>
      </w:hyperlink>
      <w:r w:rsidRPr="00943F9E">
        <w:t xml:space="preserve"> (Accessed: 11 December 2025). </w:t>
      </w:r>
    </w:p>
    <w:p w14:paraId="0F012192" w14:textId="1EFC8652" w:rsidR="00943F9E" w:rsidRPr="00943F9E" w:rsidRDefault="00943F9E" w:rsidP="00943F9E">
      <w:r w:rsidRPr="00943F9E">
        <w:t xml:space="preserve"> LFH Regulatory. (2025) MHRA PMS Requirements 2025: Key UK Device Guidance. Available at: </w:t>
      </w:r>
      <w:hyperlink r:id="rId27" w:tgtFrame="_new" w:history="1">
        <w:r w:rsidRPr="00943F9E">
          <w:rPr>
            <w:rStyle w:val="Hyperlink"/>
          </w:rPr>
          <w:t>https://lfhregulatory.co.uk/mhra-pms-requirements-2025-what-uk-device-manufacturers-must-know/</w:t>
        </w:r>
      </w:hyperlink>
      <w:r w:rsidRPr="00943F9E">
        <w:t xml:space="preserve"> (Accessed: 11 December 2025). </w:t>
      </w:r>
    </w:p>
    <w:p w14:paraId="69D432B2" w14:textId="56EFCC6D" w:rsidR="009269B3" w:rsidRPr="009269B3" w:rsidRDefault="00943F9E" w:rsidP="009269B3">
      <w:r w:rsidRPr="00943F9E">
        <w:t>Markets</w:t>
      </w:r>
      <w:r w:rsidR="00AF04A8">
        <w:t xml:space="preserve"> </w:t>
      </w:r>
      <w:r w:rsidRPr="00943F9E">
        <w:t>and</w:t>
      </w:r>
      <w:r w:rsidR="00AF04A8">
        <w:t xml:space="preserve"> </w:t>
      </w:r>
      <w:r w:rsidRPr="00943F9E">
        <w:t xml:space="preserve">Markets. (2025) Wearable medical devices market report. Available at: </w:t>
      </w:r>
      <w:hyperlink r:id="rId28" w:tgtFrame="_new" w:history="1">
        <w:r w:rsidRPr="00943F9E">
          <w:rPr>
            <w:rStyle w:val="Hyperlink"/>
          </w:rPr>
          <w:t>https://www.marketsandmarkets.com/</w:t>
        </w:r>
      </w:hyperlink>
      <w:r w:rsidRPr="00943F9E">
        <w:t xml:space="preserve"> (Accessed: 11 December 2025). </w:t>
      </w:r>
    </w:p>
    <w:p w14:paraId="5D55AC39" w14:textId="77777777" w:rsidR="00614636" w:rsidRPr="00614636" w:rsidRDefault="00614636" w:rsidP="00614636"/>
    <w:p w14:paraId="66677A4B" w14:textId="77777777" w:rsidR="00B760A2" w:rsidRPr="00B760A2" w:rsidRDefault="00B760A2" w:rsidP="00B760A2"/>
    <w:p w14:paraId="7A34E8B7" w14:textId="77777777" w:rsidR="005F033A" w:rsidRPr="005F033A" w:rsidRDefault="005F033A" w:rsidP="005F033A"/>
    <w:p w14:paraId="42863D5F" w14:textId="77777777" w:rsidR="006728CA" w:rsidRPr="006728CA" w:rsidRDefault="006728CA" w:rsidP="006728CA"/>
    <w:p w14:paraId="15BCE2DE" w14:textId="77777777" w:rsidR="005F25D4" w:rsidRPr="00B90E18" w:rsidRDefault="005F25D4" w:rsidP="00B90E18"/>
    <w:p w14:paraId="17D0E598" w14:textId="77777777" w:rsidR="00F571BA" w:rsidRPr="00F571BA" w:rsidRDefault="00F571BA" w:rsidP="00F571BA"/>
    <w:p w14:paraId="242DF06F" w14:textId="77777777" w:rsidR="00F614A8" w:rsidRPr="00F614A8" w:rsidRDefault="00F614A8" w:rsidP="00F614A8"/>
    <w:p w14:paraId="1BEADDB5" w14:textId="3E3F10E9" w:rsidR="004C1D4C" w:rsidRPr="004C1D4C" w:rsidRDefault="004C1D4C" w:rsidP="004C1D4C"/>
    <w:sectPr w:rsidR="004C1D4C" w:rsidRPr="004C1D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48F24" w14:textId="77777777" w:rsidR="009B4F11" w:rsidRDefault="009B4F11" w:rsidP="009B4F11">
      <w:pPr>
        <w:spacing w:after="0" w:line="240" w:lineRule="auto"/>
      </w:pPr>
      <w:r>
        <w:separator/>
      </w:r>
    </w:p>
  </w:endnote>
  <w:endnote w:type="continuationSeparator" w:id="0">
    <w:p w14:paraId="08DE844F" w14:textId="77777777" w:rsidR="009B4F11" w:rsidRDefault="009B4F11" w:rsidP="009B4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86841" w14:textId="77777777" w:rsidR="009B4F11" w:rsidRDefault="009B4F11" w:rsidP="009B4F11">
      <w:pPr>
        <w:spacing w:after="0" w:line="240" w:lineRule="auto"/>
      </w:pPr>
      <w:r>
        <w:separator/>
      </w:r>
    </w:p>
  </w:footnote>
  <w:footnote w:type="continuationSeparator" w:id="0">
    <w:p w14:paraId="12CA868C" w14:textId="77777777" w:rsidR="009B4F11" w:rsidRDefault="009B4F11" w:rsidP="009B4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96238"/>
    <w:multiLevelType w:val="hybridMultilevel"/>
    <w:tmpl w:val="F9AE38CC"/>
    <w:lvl w:ilvl="0" w:tplc="D3EC91C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6447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4C0"/>
    <w:rsid w:val="000034C0"/>
    <w:rsid w:val="000438B0"/>
    <w:rsid w:val="00054BA5"/>
    <w:rsid w:val="00081EE3"/>
    <w:rsid w:val="000A794B"/>
    <w:rsid w:val="000D05F2"/>
    <w:rsid w:val="000D2785"/>
    <w:rsid w:val="000D476F"/>
    <w:rsid w:val="000E0CBD"/>
    <w:rsid w:val="000E1D6A"/>
    <w:rsid w:val="002024AA"/>
    <w:rsid w:val="002170B8"/>
    <w:rsid w:val="00224FE3"/>
    <w:rsid w:val="00245D42"/>
    <w:rsid w:val="002F030A"/>
    <w:rsid w:val="002F5E6F"/>
    <w:rsid w:val="00316168"/>
    <w:rsid w:val="003271EE"/>
    <w:rsid w:val="00347D48"/>
    <w:rsid w:val="003D57B5"/>
    <w:rsid w:val="003E04B2"/>
    <w:rsid w:val="00446045"/>
    <w:rsid w:val="00475164"/>
    <w:rsid w:val="0049759E"/>
    <w:rsid w:val="004B1B6F"/>
    <w:rsid w:val="004C1D4C"/>
    <w:rsid w:val="004E345E"/>
    <w:rsid w:val="005169DA"/>
    <w:rsid w:val="0053003D"/>
    <w:rsid w:val="005740FE"/>
    <w:rsid w:val="005906BB"/>
    <w:rsid w:val="005D1AA9"/>
    <w:rsid w:val="005D1E7C"/>
    <w:rsid w:val="005F033A"/>
    <w:rsid w:val="005F25D4"/>
    <w:rsid w:val="00603495"/>
    <w:rsid w:val="006068D6"/>
    <w:rsid w:val="00614636"/>
    <w:rsid w:val="00617E50"/>
    <w:rsid w:val="006241FD"/>
    <w:rsid w:val="00635B3F"/>
    <w:rsid w:val="00641D13"/>
    <w:rsid w:val="00666143"/>
    <w:rsid w:val="00667010"/>
    <w:rsid w:val="006728CA"/>
    <w:rsid w:val="0067338F"/>
    <w:rsid w:val="00695BAC"/>
    <w:rsid w:val="006A45AF"/>
    <w:rsid w:val="006B3ED4"/>
    <w:rsid w:val="00704631"/>
    <w:rsid w:val="0073030B"/>
    <w:rsid w:val="007F35A5"/>
    <w:rsid w:val="007F7171"/>
    <w:rsid w:val="00850966"/>
    <w:rsid w:val="0085672E"/>
    <w:rsid w:val="00856CDC"/>
    <w:rsid w:val="00893CB5"/>
    <w:rsid w:val="008E3EC0"/>
    <w:rsid w:val="008F207C"/>
    <w:rsid w:val="00917BC1"/>
    <w:rsid w:val="009269B3"/>
    <w:rsid w:val="00943F9E"/>
    <w:rsid w:val="0095661C"/>
    <w:rsid w:val="00956E67"/>
    <w:rsid w:val="009B36A2"/>
    <w:rsid w:val="009B4F11"/>
    <w:rsid w:val="009F18D1"/>
    <w:rsid w:val="00A1179B"/>
    <w:rsid w:val="00A50E9A"/>
    <w:rsid w:val="00A64507"/>
    <w:rsid w:val="00A80C59"/>
    <w:rsid w:val="00AF04A8"/>
    <w:rsid w:val="00AF410D"/>
    <w:rsid w:val="00B2234F"/>
    <w:rsid w:val="00B2689C"/>
    <w:rsid w:val="00B46484"/>
    <w:rsid w:val="00B619FF"/>
    <w:rsid w:val="00B760A2"/>
    <w:rsid w:val="00B760CF"/>
    <w:rsid w:val="00B90E18"/>
    <w:rsid w:val="00BC1B8D"/>
    <w:rsid w:val="00C334FB"/>
    <w:rsid w:val="00C67C67"/>
    <w:rsid w:val="00C7464A"/>
    <w:rsid w:val="00C75C4B"/>
    <w:rsid w:val="00CC6E32"/>
    <w:rsid w:val="00CC71AB"/>
    <w:rsid w:val="00CF53A0"/>
    <w:rsid w:val="00D0607C"/>
    <w:rsid w:val="00D644EB"/>
    <w:rsid w:val="00D7731C"/>
    <w:rsid w:val="00D83ADA"/>
    <w:rsid w:val="00DB60BC"/>
    <w:rsid w:val="00DF08C1"/>
    <w:rsid w:val="00E45400"/>
    <w:rsid w:val="00EB63BC"/>
    <w:rsid w:val="00EB767B"/>
    <w:rsid w:val="00EC4221"/>
    <w:rsid w:val="00F1324E"/>
    <w:rsid w:val="00F21E7A"/>
    <w:rsid w:val="00F52FAB"/>
    <w:rsid w:val="00F571BA"/>
    <w:rsid w:val="00F614A8"/>
    <w:rsid w:val="00F91105"/>
    <w:rsid w:val="00FA45A1"/>
    <w:rsid w:val="00FC0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D4B5D"/>
  <w15:chartTrackingRefBased/>
  <w15:docId w15:val="{BF3D766F-FACE-4E61-9727-BE3234F00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4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34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4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4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4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4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4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4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4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4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34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4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4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4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4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4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4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4C0"/>
    <w:rPr>
      <w:rFonts w:eastAsiaTheme="majorEastAsia" w:cstheme="majorBidi"/>
      <w:color w:val="272727" w:themeColor="text1" w:themeTint="D8"/>
    </w:rPr>
  </w:style>
  <w:style w:type="paragraph" w:styleId="Title">
    <w:name w:val="Title"/>
    <w:basedOn w:val="Normal"/>
    <w:next w:val="Normal"/>
    <w:link w:val="TitleChar"/>
    <w:uiPriority w:val="10"/>
    <w:qFormat/>
    <w:rsid w:val="000034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4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4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4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4C0"/>
    <w:pPr>
      <w:spacing w:before="160"/>
      <w:jc w:val="center"/>
    </w:pPr>
    <w:rPr>
      <w:i/>
      <w:iCs/>
      <w:color w:val="404040" w:themeColor="text1" w:themeTint="BF"/>
    </w:rPr>
  </w:style>
  <w:style w:type="character" w:customStyle="1" w:styleId="QuoteChar">
    <w:name w:val="Quote Char"/>
    <w:basedOn w:val="DefaultParagraphFont"/>
    <w:link w:val="Quote"/>
    <w:uiPriority w:val="29"/>
    <w:rsid w:val="000034C0"/>
    <w:rPr>
      <w:i/>
      <w:iCs/>
      <w:color w:val="404040" w:themeColor="text1" w:themeTint="BF"/>
    </w:rPr>
  </w:style>
  <w:style w:type="paragraph" w:styleId="ListParagraph">
    <w:name w:val="List Paragraph"/>
    <w:basedOn w:val="Normal"/>
    <w:uiPriority w:val="34"/>
    <w:qFormat/>
    <w:rsid w:val="000034C0"/>
    <w:pPr>
      <w:ind w:left="720"/>
      <w:contextualSpacing/>
    </w:pPr>
  </w:style>
  <w:style w:type="character" w:styleId="IntenseEmphasis">
    <w:name w:val="Intense Emphasis"/>
    <w:basedOn w:val="DefaultParagraphFont"/>
    <w:uiPriority w:val="21"/>
    <w:qFormat/>
    <w:rsid w:val="000034C0"/>
    <w:rPr>
      <w:i/>
      <w:iCs/>
      <w:color w:val="0F4761" w:themeColor="accent1" w:themeShade="BF"/>
    </w:rPr>
  </w:style>
  <w:style w:type="paragraph" w:styleId="IntenseQuote">
    <w:name w:val="Intense Quote"/>
    <w:basedOn w:val="Normal"/>
    <w:next w:val="Normal"/>
    <w:link w:val="IntenseQuoteChar"/>
    <w:uiPriority w:val="30"/>
    <w:qFormat/>
    <w:rsid w:val="000034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4C0"/>
    <w:rPr>
      <w:i/>
      <w:iCs/>
      <w:color w:val="0F4761" w:themeColor="accent1" w:themeShade="BF"/>
    </w:rPr>
  </w:style>
  <w:style w:type="character" w:styleId="IntenseReference">
    <w:name w:val="Intense Reference"/>
    <w:basedOn w:val="DefaultParagraphFont"/>
    <w:uiPriority w:val="32"/>
    <w:qFormat/>
    <w:rsid w:val="000034C0"/>
    <w:rPr>
      <w:b/>
      <w:bCs/>
      <w:smallCaps/>
      <w:color w:val="0F4761" w:themeColor="accent1" w:themeShade="BF"/>
      <w:spacing w:val="5"/>
    </w:rPr>
  </w:style>
  <w:style w:type="paragraph" w:styleId="NoSpacing">
    <w:name w:val="No Spacing"/>
    <w:uiPriority w:val="1"/>
    <w:qFormat/>
    <w:rsid w:val="00A1179B"/>
    <w:pPr>
      <w:spacing w:after="0" w:line="240" w:lineRule="auto"/>
    </w:pPr>
  </w:style>
  <w:style w:type="paragraph" w:styleId="Header">
    <w:name w:val="header"/>
    <w:basedOn w:val="Normal"/>
    <w:link w:val="HeaderChar"/>
    <w:uiPriority w:val="99"/>
    <w:unhideWhenUsed/>
    <w:rsid w:val="009B4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F11"/>
  </w:style>
  <w:style w:type="paragraph" w:styleId="Footer">
    <w:name w:val="footer"/>
    <w:basedOn w:val="Normal"/>
    <w:link w:val="FooterChar"/>
    <w:uiPriority w:val="99"/>
    <w:unhideWhenUsed/>
    <w:rsid w:val="009B4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F11"/>
  </w:style>
  <w:style w:type="character" w:styleId="Hyperlink">
    <w:name w:val="Hyperlink"/>
    <w:basedOn w:val="DefaultParagraphFont"/>
    <w:uiPriority w:val="99"/>
    <w:unhideWhenUsed/>
    <w:rsid w:val="00943F9E"/>
    <w:rPr>
      <w:color w:val="467886" w:themeColor="hyperlink"/>
      <w:u w:val="single"/>
    </w:rPr>
  </w:style>
  <w:style w:type="character" w:styleId="UnresolvedMention">
    <w:name w:val="Unresolved Mention"/>
    <w:basedOn w:val="DefaultParagraphFont"/>
    <w:uiPriority w:val="99"/>
    <w:semiHidden/>
    <w:unhideWhenUsed/>
    <w:rsid w:val="00943F9E"/>
    <w:rPr>
      <w:color w:val="605E5C"/>
      <w:shd w:val="clear" w:color="auto" w:fill="E1DFDD"/>
    </w:rPr>
  </w:style>
  <w:style w:type="paragraph" w:styleId="TOCHeading">
    <w:name w:val="TOC Heading"/>
    <w:basedOn w:val="Heading1"/>
    <w:next w:val="Normal"/>
    <w:uiPriority w:val="39"/>
    <w:unhideWhenUsed/>
    <w:qFormat/>
    <w:rsid w:val="0066614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66143"/>
    <w:pPr>
      <w:spacing w:after="100"/>
    </w:pPr>
  </w:style>
  <w:style w:type="paragraph" w:styleId="TOC2">
    <w:name w:val="toc 2"/>
    <w:basedOn w:val="Normal"/>
    <w:next w:val="Normal"/>
    <w:autoRedefine/>
    <w:uiPriority w:val="39"/>
    <w:unhideWhenUsed/>
    <w:rsid w:val="0066614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wenmumford.com/our-story?utm_source=chatgpt.com" TargetMode="External"/><Relationship Id="rId18" Type="http://schemas.openxmlformats.org/officeDocument/2006/relationships/hyperlink" Target="https://blog.bccresearch.com/the-wearable-medical-device-market-trends-innovations-and-future-outlook?utm_source=chatgpt.com" TargetMode="External"/><Relationship Id="rId26" Type="http://schemas.openxmlformats.org/officeDocument/2006/relationships/hyperlink" Target="https://www.mdpi.com/2071-1050/13/4/1806?utm_source=chatgpt.com" TargetMode="External"/><Relationship Id="rId3" Type="http://schemas.openxmlformats.org/officeDocument/2006/relationships/customXml" Target="../customXml/item3.xml"/><Relationship Id="rId21" Type="http://schemas.openxmlformats.org/officeDocument/2006/relationships/hyperlink" Target="https://scholar.google.com/citations?hl=en&amp;user=rmGZ_IIAAAAJ&amp;utm_source=chatgpt.com" TargetMode="External"/><Relationship Id="rId7" Type="http://schemas.openxmlformats.org/officeDocument/2006/relationships/webSettings" Target="webSettings.xml"/><Relationship Id="rId12" Type="http://schemas.openxmlformats.org/officeDocument/2006/relationships/hyperlink" Target="https://www.owenmumford.com/our-story?utm_source=chatgpt.com" TargetMode="External"/><Relationship Id="rId17" Type="http://schemas.openxmlformats.org/officeDocument/2006/relationships/hyperlink" Target="https://www.marketsandmarkets.com/Market-Reports/wearable-medical-device-market-81753973.html?utm_source=chatgpt.com" TargetMode="External"/><Relationship Id="rId25" Type="http://schemas.openxmlformats.org/officeDocument/2006/relationships/hyperlink" Target="https://onlinelibrary.wiley.com/doi/10.1002/9781119198390.ch10?utm_source=chatgpt.com" TargetMode="External"/><Relationship Id="rId2" Type="http://schemas.openxmlformats.org/officeDocument/2006/relationships/customXml" Target="../customXml/item2.xml"/><Relationship Id="rId16" Type="http://schemas.openxmlformats.org/officeDocument/2006/relationships/hyperlink" Target="https://www.gov.uk/guidance/regulating-medical-devices-in-the-uk?utm_source=chatgpt.com" TargetMode="External"/><Relationship Id="rId20" Type="http://schemas.openxmlformats.org/officeDocument/2006/relationships/hyperlink" Target="https://www.tomsguide.com/wellness/fitness-trackers/sorry-garmin-the-apple-watch-ultra-2-is-the-most-accurate-fitness-tracker-according-to-a-recent-study?utm_source=chatgp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wenmumford.com/medical-devices?utm_source=chatgpt.com" TargetMode="External"/><Relationship Id="rId24" Type="http://schemas.openxmlformats.org/officeDocument/2006/relationships/hyperlink" Target="https://convergencelabs.com/blog/2018/01/the-four-cs-communication-coordination-cooperation-and-collaboration/?utm_source=chatgpt.com" TargetMode="External"/><Relationship Id="rId5" Type="http://schemas.openxmlformats.org/officeDocument/2006/relationships/styles" Target="styles.xml"/><Relationship Id="rId15" Type="http://schemas.openxmlformats.org/officeDocument/2006/relationships/hyperlink" Target="https://www.gov.uk/guidance/using-the-ukca-marking?utm_source=chatgpt.com" TargetMode="External"/><Relationship Id="rId23" Type="http://schemas.openxmlformats.org/officeDocument/2006/relationships/hyperlink" Target="https://www.researchgate.net/publication/276892427_The_Four_Cs_of_Disaster_Partnering_Communication_Cooperation_Coordination_and_Collaboration?utm_source=chatgpt.com" TargetMode="External"/><Relationship Id="rId28" Type="http://schemas.openxmlformats.org/officeDocument/2006/relationships/hyperlink" Target="https://www.marketsandmarkets.com/" TargetMode="External"/><Relationship Id="rId10" Type="http://schemas.openxmlformats.org/officeDocument/2006/relationships/hyperlink" Target="https://www.owenmumford.com/medical-devices?utm_source=chatgpt.com" TargetMode="External"/><Relationship Id="rId19" Type="http://schemas.openxmlformats.org/officeDocument/2006/relationships/hyperlink" Target="https://www.theguardian.com/technology/2023/feb/22/wearable-fitness-trackers-could-interfere-with-cardiac-devices-study-warns?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uidance/using-the-ukca-marking?utm_source=chatgpt.com" TargetMode="External"/><Relationship Id="rId22" Type="http://schemas.openxmlformats.org/officeDocument/2006/relationships/hyperlink" Target="https://blog.oxfordcollegeofmarketing.com/2018/04/23/what-is-mendelows-matrix-and-how-is-it-useful/?utm_source=chatgpt.com" TargetMode="External"/><Relationship Id="rId27" Type="http://schemas.openxmlformats.org/officeDocument/2006/relationships/hyperlink" Target="https://lfhregulatory.co.uk/mhra-pms-requirements-2025-what-uk-device-manufacturers-must-know/?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710dbf392431d5bd0a8740d9d2193fd4">
  <xsd:schema xmlns:xsd="http://www.w3.org/2001/XMLSchema" xmlns:xs="http://www.w3.org/2001/XMLSchema" xmlns:p="http://schemas.microsoft.com/office/2006/metadata/properties" xmlns:ns3="bf244c3e-e0b4-4871-bb4e-fd032a14544d" targetNamespace="http://schemas.microsoft.com/office/2006/metadata/properties" ma:root="true" ma:fieldsID="f6f4a1e8ca37ed7781e2506b360cd69b"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29E4056-D948-47CA-B0C7-0DB4B1AE94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BA1A5D-01E0-4290-9F5E-D5140DBF6E38}">
  <ds:schemaRefs>
    <ds:schemaRef ds:uri="http://schemas.microsoft.com/sharepoint/v3/contenttype/forms"/>
  </ds:schemaRefs>
</ds:datastoreItem>
</file>

<file path=customXml/itemProps3.xml><?xml version="1.0" encoding="utf-8"?>
<ds:datastoreItem xmlns:ds="http://schemas.openxmlformats.org/officeDocument/2006/customXml" ds:itemID="{DC0537B9-22C0-40BA-95C3-FEBBF928F55C}">
  <ds:schemaRefs>
    <ds:schemaRef ds:uri="http://schemas.microsoft.com/office/2006/documentManagement/types"/>
    <ds:schemaRef ds:uri="bf244c3e-e0b4-4871-bb4e-fd032a14544d"/>
    <ds:schemaRef ds:uri="http://purl.org/dc/terms/"/>
    <ds:schemaRef ds:uri="http://schemas.microsoft.com/office/infopath/2007/PartnerControls"/>
    <ds:schemaRef ds:uri="http://schemas.microsoft.com/office/2006/metadata/properties"/>
    <ds:schemaRef ds:uri="http://purl.org/dc/dcmitype/"/>
    <ds:schemaRef ds:uri="http://www.w3.org/XML/1998/namespace"/>
    <ds:schemaRef ds:uri="http://purl.org/dc/elements/1.1/"/>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5436</Words>
  <Characters>35178</Characters>
  <Application>Microsoft Office Word</Application>
  <DocSecurity>0</DocSecurity>
  <Lines>689</Lines>
  <Paragraphs>220</Paragraphs>
  <ScaleCrop>false</ScaleCrop>
  <Company/>
  <LinksUpToDate>false</LinksUpToDate>
  <CharactersWithSpaces>40394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Krasimirov Gadzhev (2414422)</dc:creator>
  <cp:keywords/>
  <dc:description/>
  <cp:lastModifiedBy>Kristian Krasimirov Gadzhev (2414422)</cp:lastModifiedBy>
  <cp:revision>2</cp:revision>
  <dcterms:created xsi:type="dcterms:W3CDTF">2025-12-11T16:04:00Z</dcterms:created>
  <dcterms:modified xsi:type="dcterms:W3CDTF">2025-12-11T16:04:00Z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