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9D042E" w14:textId="77777777" w:rsidR="008716FE" w:rsidRDefault="008716FE" w:rsidP="008716FE">
      <w:pPr>
        <w:spacing w:line="240" w:lineRule="auto"/>
        <w:jc w:val="both"/>
        <w:rPr>
          <w:rFonts w:ascii="Times New Roman" w:hAnsi="Times New Roman" w:cs="Times New Roman"/>
          <w:sz w:val="20"/>
        </w:rPr>
      </w:pPr>
      <w:r>
        <w:rPr>
          <w:rFonts w:ascii="Times New Roman" w:hAnsi="Times New Roman" w:cs="Times New Roman"/>
          <w:sz w:val="20"/>
        </w:rPr>
        <w:t>Louix Farthing</w:t>
      </w:r>
    </w:p>
    <w:p w14:paraId="5AB61494" w14:textId="77777777" w:rsidR="008716FE" w:rsidRDefault="008716FE" w:rsidP="008716FE">
      <w:pPr>
        <w:spacing w:line="240" w:lineRule="auto"/>
        <w:jc w:val="both"/>
        <w:rPr>
          <w:rFonts w:ascii="Times New Roman" w:hAnsi="Times New Roman" w:cs="Times New Roman"/>
          <w:sz w:val="20"/>
        </w:rPr>
      </w:pPr>
      <w:r>
        <w:rPr>
          <w:rFonts w:ascii="Times New Roman" w:hAnsi="Times New Roman" w:cs="Times New Roman"/>
          <w:sz w:val="20"/>
        </w:rPr>
        <w:t>1401504</w:t>
      </w:r>
    </w:p>
    <w:p w14:paraId="164050A1" w14:textId="77777777" w:rsidR="008716FE" w:rsidRPr="008716FE" w:rsidRDefault="008716FE" w:rsidP="008716FE">
      <w:pPr>
        <w:spacing w:line="480" w:lineRule="auto"/>
        <w:jc w:val="both"/>
        <w:rPr>
          <w:rFonts w:ascii="Times New Roman" w:hAnsi="Times New Roman" w:cs="Times New Roman"/>
          <w:sz w:val="20"/>
        </w:rPr>
      </w:pPr>
      <w:r>
        <w:rPr>
          <w:rFonts w:ascii="Times New Roman" w:hAnsi="Times New Roman" w:cs="Times New Roman"/>
          <w:sz w:val="20"/>
        </w:rPr>
        <w:t>Dr Errietta Bissa</w:t>
      </w:r>
    </w:p>
    <w:p w14:paraId="3C61E251" w14:textId="77777777" w:rsidR="008716FE" w:rsidRDefault="008716FE" w:rsidP="008716FE">
      <w:pPr>
        <w:spacing w:line="480" w:lineRule="auto"/>
        <w:jc w:val="both"/>
        <w:rPr>
          <w:rFonts w:ascii="Times New Roman" w:hAnsi="Times New Roman" w:cs="Times New Roman"/>
          <w:sz w:val="28"/>
          <w:u w:val="single"/>
        </w:rPr>
      </w:pPr>
      <w:r w:rsidRPr="008716FE">
        <w:rPr>
          <w:rFonts w:ascii="Times New Roman" w:hAnsi="Times New Roman" w:cs="Times New Roman"/>
          <w:sz w:val="28"/>
          <w:u w:val="single"/>
        </w:rPr>
        <w:t xml:space="preserve">A scholarly reply to M. Christ ‘Conscription of Hoplites in Classical Athens’ </w:t>
      </w:r>
    </w:p>
    <w:p w14:paraId="12340F40" w14:textId="77777777" w:rsidR="008716FE" w:rsidRDefault="008716FE" w:rsidP="008716FE">
      <w:pPr>
        <w:spacing w:line="480" w:lineRule="auto"/>
        <w:jc w:val="both"/>
        <w:rPr>
          <w:rFonts w:ascii="Times New Roman" w:hAnsi="Times New Roman" w:cs="Times New Roman"/>
          <w:sz w:val="28"/>
          <w:u w:val="single"/>
        </w:rPr>
      </w:pPr>
    </w:p>
    <w:p w14:paraId="7239CB36" w14:textId="4242BB00" w:rsidR="008716FE" w:rsidRDefault="005A3249" w:rsidP="008716FE">
      <w:pPr>
        <w:spacing w:line="480" w:lineRule="auto"/>
        <w:jc w:val="both"/>
        <w:rPr>
          <w:rFonts w:ascii="Times New Roman" w:hAnsi="Times New Roman" w:cs="Times New Roman"/>
        </w:rPr>
      </w:pPr>
      <w:r>
        <w:rPr>
          <w:rFonts w:ascii="Times New Roman" w:hAnsi="Times New Roman" w:cs="Times New Roman"/>
        </w:rPr>
        <w:t>M Christ’s comprehensive article regarding the conscription of hoplite troops during the classical period in Athens sets out to rectify the overall lack of academic substance regardin</w:t>
      </w:r>
      <w:r w:rsidR="00437F4E">
        <w:rPr>
          <w:rFonts w:ascii="Times New Roman" w:hAnsi="Times New Roman" w:cs="Times New Roman"/>
        </w:rPr>
        <w:t xml:space="preserve">g the matter. Noting firstly </w:t>
      </w:r>
      <w:r>
        <w:rPr>
          <w:rFonts w:ascii="Times New Roman" w:hAnsi="Times New Roman" w:cs="Times New Roman"/>
        </w:rPr>
        <w:t xml:space="preserve">that the only historical </w:t>
      </w:r>
      <w:r w:rsidRPr="00437F4E">
        <w:rPr>
          <w:rFonts w:ascii="Times New Roman" w:hAnsi="Times New Roman" w:cs="Times New Roman"/>
        </w:rPr>
        <w:t>interest</w:t>
      </w:r>
      <w:r>
        <w:rPr>
          <w:rFonts w:ascii="Times New Roman" w:hAnsi="Times New Roman" w:cs="Times New Roman"/>
        </w:rPr>
        <w:t xml:space="preserve"> on this subject comes as a by-product of investigations into other political or military issues during the Athenian classical period</w:t>
      </w:r>
      <w:r w:rsidR="0095481D">
        <w:rPr>
          <w:rStyle w:val="FootnoteReference"/>
          <w:rFonts w:ascii="Times New Roman" w:hAnsi="Times New Roman" w:cs="Times New Roman"/>
        </w:rPr>
        <w:footnoteReference w:id="1"/>
      </w:r>
      <w:r>
        <w:rPr>
          <w:rFonts w:ascii="Times New Roman" w:hAnsi="Times New Roman" w:cs="Times New Roman"/>
        </w:rPr>
        <w:t>.</w:t>
      </w:r>
      <w:r w:rsidR="00627682">
        <w:rPr>
          <w:rFonts w:ascii="Times New Roman" w:hAnsi="Times New Roman" w:cs="Times New Roman"/>
        </w:rPr>
        <w:t xml:space="preserve"> Firstly the distinction is made between the two systems of </w:t>
      </w:r>
      <w:r w:rsidR="008E1F8D">
        <w:rPr>
          <w:rFonts w:ascii="Times New Roman" w:hAnsi="Times New Roman" w:cs="Times New Roman"/>
        </w:rPr>
        <w:t>conscription;</w:t>
      </w:r>
      <w:r w:rsidR="008E1F8D">
        <w:rPr>
          <w:rFonts w:ascii="Times New Roman" w:hAnsi="Times New Roman" w:cs="Times New Roman"/>
          <w:i/>
        </w:rPr>
        <w:t xml:space="preserve"> Katalogos</w:t>
      </w:r>
      <w:r w:rsidR="00627682">
        <w:rPr>
          <w:rFonts w:ascii="Times New Roman" w:hAnsi="Times New Roman" w:cs="Times New Roman"/>
          <w:i/>
        </w:rPr>
        <w:t>,</w:t>
      </w:r>
      <w:r w:rsidR="00627682">
        <w:rPr>
          <w:rFonts w:ascii="Times New Roman" w:hAnsi="Times New Roman" w:cs="Times New Roman"/>
        </w:rPr>
        <w:t xml:space="preserve"> which Christ separates into five distinct phases</w:t>
      </w:r>
      <w:r w:rsidR="00F213CA">
        <w:rPr>
          <w:rFonts w:ascii="Times New Roman" w:hAnsi="Times New Roman" w:cs="Times New Roman"/>
        </w:rPr>
        <w:t xml:space="preserve"> (</w:t>
      </w:r>
      <w:r w:rsidR="00627682">
        <w:rPr>
          <w:rFonts w:ascii="Times New Roman" w:hAnsi="Times New Roman" w:cs="Times New Roman"/>
        </w:rPr>
        <w:t>. And Secondly conscrip</w:t>
      </w:r>
      <w:r w:rsidR="00437F4E">
        <w:rPr>
          <w:rFonts w:ascii="Times New Roman" w:hAnsi="Times New Roman" w:cs="Times New Roman"/>
        </w:rPr>
        <w:t>tion by age groups. In this reply I will argue that Christ’s investigation regarding the practical</w:t>
      </w:r>
      <w:r w:rsidR="00567170">
        <w:rPr>
          <w:rFonts w:ascii="Times New Roman" w:hAnsi="Times New Roman" w:cs="Times New Roman"/>
        </w:rPr>
        <w:t>ities of</w:t>
      </w:r>
      <w:r w:rsidR="00437F4E">
        <w:rPr>
          <w:rFonts w:ascii="Times New Roman" w:hAnsi="Times New Roman" w:cs="Times New Roman"/>
        </w:rPr>
        <w:t xml:space="preserve"> hoplite conscription</w:t>
      </w:r>
      <w:r w:rsidR="00567170">
        <w:rPr>
          <w:rFonts w:ascii="Times New Roman" w:hAnsi="Times New Roman" w:cs="Times New Roman"/>
        </w:rPr>
        <w:t xml:space="preserve"> using Katalogos</w:t>
      </w:r>
      <w:r w:rsidR="00437F4E">
        <w:rPr>
          <w:rFonts w:ascii="Times New Roman" w:hAnsi="Times New Roman" w:cs="Times New Roman"/>
        </w:rPr>
        <w:t xml:space="preserve"> is well founded and provides a solid basis from which historians may study a fundamental facet of Athenian warfare in the 4</w:t>
      </w:r>
      <w:r w:rsidR="00437F4E" w:rsidRPr="00437F4E">
        <w:rPr>
          <w:rFonts w:ascii="Times New Roman" w:hAnsi="Times New Roman" w:cs="Times New Roman"/>
          <w:vertAlign w:val="superscript"/>
        </w:rPr>
        <w:t>th</w:t>
      </w:r>
      <w:r w:rsidR="00437F4E">
        <w:rPr>
          <w:rFonts w:ascii="Times New Roman" w:hAnsi="Times New Roman" w:cs="Times New Roman"/>
        </w:rPr>
        <w:t xml:space="preserve"> Century.</w:t>
      </w:r>
      <w:r w:rsidR="00567170">
        <w:rPr>
          <w:rFonts w:ascii="Times New Roman" w:hAnsi="Times New Roman" w:cs="Times New Roman"/>
        </w:rPr>
        <w:t xml:space="preserve"> Investigation into both forms of conscription however will not be considered in this reply due to the volume of materials which would be required in contrast to the scope of investigation possible for this reply.</w:t>
      </w:r>
      <w:r w:rsidR="00437F4E">
        <w:rPr>
          <w:rFonts w:ascii="Times New Roman" w:hAnsi="Times New Roman" w:cs="Times New Roman"/>
        </w:rPr>
        <w:t xml:space="preserve"> Regardless of this however there are also several notions which have not been addressed in Christ’s work which I will attempt to incorporate into his argument on a supportive basis. </w:t>
      </w:r>
    </w:p>
    <w:p w14:paraId="2E35C2F7" w14:textId="77777777" w:rsidR="00437F4E" w:rsidRDefault="00437F4E" w:rsidP="008716FE">
      <w:pPr>
        <w:spacing w:line="480" w:lineRule="auto"/>
        <w:jc w:val="both"/>
        <w:rPr>
          <w:rFonts w:ascii="Times New Roman" w:hAnsi="Times New Roman" w:cs="Times New Roman"/>
        </w:rPr>
      </w:pPr>
    </w:p>
    <w:p w14:paraId="5F854A61" w14:textId="64264607" w:rsidR="00437F4E" w:rsidRDefault="00910397" w:rsidP="008716FE">
      <w:pPr>
        <w:spacing w:line="480" w:lineRule="auto"/>
        <w:jc w:val="both"/>
        <w:rPr>
          <w:rFonts w:ascii="Times New Roman" w:hAnsi="Times New Roman" w:cs="Times New Roman"/>
        </w:rPr>
      </w:pPr>
      <w:r>
        <w:rPr>
          <w:rFonts w:ascii="Times New Roman" w:hAnsi="Times New Roman" w:cs="Times New Roman"/>
        </w:rPr>
        <w:t>Working forward from the middle 5</w:t>
      </w:r>
      <w:r w:rsidRPr="00910397">
        <w:rPr>
          <w:rFonts w:ascii="Times New Roman" w:hAnsi="Times New Roman" w:cs="Times New Roman"/>
          <w:vertAlign w:val="superscript"/>
        </w:rPr>
        <w:t>th</w:t>
      </w:r>
      <w:r>
        <w:rPr>
          <w:rFonts w:ascii="Times New Roman" w:hAnsi="Times New Roman" w:cs="Times New Roman"/>
        </w:rPr>
        <w:t xml:space="preserve"> century and going into the 4</w:t>
      </w:r>
      <w:r w:rsidRPr="00910397">
        <w:rPr>
          <w:rFonts w:ascii="Times New Roman" w:hAnsi="Times New Roman" w:cs="Times New Roman"/>
          <w:vertAlign w:val="superscript"/>
        </w:rPr>
        <w:t>th</w:t>
      </w:r>
      <w:r>
        <w:rPr>
          <w:rFonts w:ascii="Times New Roman" w:hAnsi="Times New Roman" w:cs="Times New Roman"/>
        </w:rPr>
        <w:t xml:space="preserve"> century Christ begins his assessment of these types of conscription with Katalogos, the system in place for a majority of Athenian military history, in this instance he uses the levying of troops for the Peloponnesian wars as an</w:t>
      </w:r>
      <w:r w:rsidR="00EE73AC">
        <w:rPr>
          <w:rFonts w:ascii="Times New Roman" w:hAnsi="Times New Roman" w:cs="Times New Roman"/>
        </w:rPr>
        <w:t xml:space="preserve"> early</w:t>
      </w:r>
      <w:r>
        <w:rPr>
          <w:rFonts w:ascii="Times New Roman" w:hAnsi="Times New Roman" w:cs="Times New Roman"/>
        </w:rPr>
        <w:t xml:space="preserve"> example. This section of the work outlines that t</w:t>
      </w:r>
      <w:r w:rsidR="00FD6F24">
        <w:rPr>
          <w:rFonts w:ascii="Times New Roman" w:hAnsi="Times New Roman" w:cs="Times New Roman"/>
        </w:rPr>
        <w:t>his process would begin once the general assembly had both voted to conduct military expeditions and had elected a general to oversee these operations.</w:t>
      </w:r>
      <w:r w:rsidR="006C1F15">
        <w:rPr>
          <w:rFonts w:ascii="Times New Roman" w:hAnsi="Times New Roman" w:cs="Times New Roman"/>
        </w:rPr>
        <w:t xml:space="preserve"> Subsequent to the vote to conduct expeditions and the general(s) had been appointed</w:t>
      </w:r>
      <w:r w:rsidR="00EE73AC">
        <w:rPr>
          <w:rFonts w:ascii="Times New Roman" w:hAnsi="Times New Roman" w:cs="Times New Roman"/>
        </w:rPr>
        <w:t>,</w:t>
      </w:r>
      <w:r w:rsidR="006C1F15">
        <w:rPr>
          <w:rFonts w:ascii="Times New Roman" w:hAnsi="Times New Roman" w:cs="Times New Roman"/>
        </w:rPr>
        <w:t xml:space="preserve"> it would then be their </w:t>
      </w:r>
      <w:r w:rsidR="006C1F15">
        <w:rPr>
          <w:rFonts w:ascii="Times New Roman" w:hAnsi="Times New Roman" w:cs="Times New Roman"/>
        </w:rPr>
        <w:lastRenderedPageBreak/>
        <w:t>responsibility to compile a list of potential conscripts.</w:t>
      </w:r>
      <w:r w:rsidR="000767B5">
        <w:rPr>
          <w:rFonts w:ascii="Times New Roman" w:hAnsi="Times New Roman" w:cs="Times New Roman"/>
        </w:rPr>
        <w:t xml:space="preserve"> Christ also notes that in instances such as this it is probable that the other generals whom have not been chosen to lead campaigning </w:t>
      </w:r>
      <w:r w:rsidR="00EE73AC">
        <w:rPr>
          <w:rFonts w:ascii="Times New Roman" w:hAnsi="Times New Roman" w:cs="Times New Roman"/>
        </w:rPr>
        <w:t xml:space="preserve">may assist in the organisation of the operation; however does not specify exactly how. Christ does however allude to the supportive role of these generals </w:t>
      </w:r>
      <w:r w:rsidR="0095481D">
        <w:rPr>
          <w:rFonts w:ascii="Times New Roman" w:hAnsi="Times New Roman" w:cs="Times New Roman"/>
        </w:rPr>
        <w:t xml:space="preserve">in this circumstance, citing that it is plausible that the generals would help compile a list of prospective conscripts for each of the ten tribes while working closely with the </w:t>
      </w:r>
      <w:proofErr w:type="spellStart"/>
      <w:r w:rsidR="0095481D">
        <w:rPr>
          <w:rFonts w:ascii="Times New Roman" w:hAnsi="Times New Roman" w:cs="Times New Roman"/>
        </w:rPr>
        <w:t>taxiarch</w:t>
      </w:r>
      <w:proofErr w:type="spellEnd"/>
      <w:r w:rsidR="00D748A9">
        <w:rPr>
          <w:rStyle w:val="FootnoteReference"/>
          <w:rFonts w:ascii="Times New Roman" w:hAnsi="Times New Roman" w:cs="Times New Roman"/>
        </w:rPr>
        <w:footnoteReference w:id="2"/>
      </w:r>
      <w:r w:rsidR="00044BEE">
        <w:rPr>
          <w:rFonts w:ascii="Times New Roman" w:hAnsi="Times New Roman" w:cs="Times New Roman"/>
        </w:rPr>
        <w:t>. However I doubt this claim on</w:t>
      </w:r>
      <w:r w:rsidR="0095481D">
        <w:rPr>
          <w:rFonts w:ascii="Times New Roman" w:hAnsi="Times New Roman" w:cs="Times New Roman"/>
        </w:rPr>
        <w:t xml:space="preserve"> the basis that while C. maintains </w:t>
      </w:r>
      <w:r w:rsidR="00044BEE">
        <w:rPr>
          <w:rFonts w:ascii="Times New Roman" w:hAnsi="Times New Roman" w:cs="Times New Roman"/>
        </w:rPr>
        <w:t>the general whom is picked exercises complete discretion over the whole of the operation, he would also by this reasoning assume control of those involved in the organisation process for his specific campaign. Thus the notion of autonomy in the organisation of campaigns could not be classified as such if matters such as supply and planning were left to other generals. By this reasoning then why would a general whom has enlisted the help of</w:t>
      </w:r>
      <w:r w:rsidR="00187B4D">
        <w:rPr>
          <w:rFonts w:ascii="Times New Roman" w:hAnsi="Times New Roman" w:cs="Times New Roman"/>
        </w:rPr>
        <w:t xml:space="preserve"> his</w:t>
      </w:r>
      <w:r w:rsidR="00044BEE">
        <w:rPr>
          <w:rFonts w:ascii="Times New Roman" w:hAnsi="Times New Roman" w:cs="Times New Roman"/>
        </w:rPr>
        <w:t xml:space="preserve"> military and political peers choose to enlist help in the form of conscript organisation while there are other potentially more pressing matters to be dealt with that would require the expertise of the</w:t>
      </w:r>
      <w:r w:rsidR="00187B4D">
        <w:rPr>
          <w:rFonts w:ascii="Times New Roman" w:hAnsi="Times New Roman" w:cs="Times New Roman"/>
        </w:rPr>
        <w:t xml:space="preserve"> remaining generals while this facet of warfare would be dealt with by lesser magistrates.</w:t>
      </w:r>
      <w:r w:rsidR="00D748A9">
        <w:rPr>
          <w:rFonts w:ascii="Times New Roman" w:hAnsi="Times New Roman" w:cs="Times New Roman"/>
        </w:rPr>
        <w:t xml:space="preserve"> Moreover, according to the figures cited by Rhodes</w:t>
      </w:r>
      <w:r w:rsidR="00D748A9">
        <w:rPr>
          <w:rStyle w:val="FootnoteReference"/>
          <w:rFonts w:ascii="Times New Roman" w:hAnsi="Times New Roman" w:cs="Times New Roman"/>
        </w:rPr>
        <w:footnoteReference w:id="3"/>
      </w:r>
      <w:r w:rsidR="00187B4D">
        <w:rPr>
          <w:rFonts w:ascii="Times New Roman" w:hAnsi="Times New Roman" w:cs="Times New Roman"/>
        </w:rPr>
        <w:t xml:space="preserve"> </w:t>
      </w:r>
      <w:r w:rsidR="00D748A9">
        <w:rPr>
          <w:rFonts w:ascii="Times New Roman" w:hAnsi="Times New Roman" w:cs="Times New Roman"/>
        </w:rPr>
        <w:t xml:space="preserve">in C’s. article this entire list would have like comprised of around 18-24 thousand potential conscripts, such a list would surely </w:t>
      </w:r>
      <w:r w:rsidR="00364BDF">
        <w:rPr>
          <w:rFonts w:ascii="Times New Roman" w:hAnsi="Times New Roman" w:cs="Times New Roman"/>
        </w:rPr>
        <w:t xml:space="preserve">need </w:t>
      </w:r>
      <w:r w:rsidR="00D748A9">
        <w:rPr>
          <w:rFonts w:ascii="Times New Roman" w:hAnsi="Times New Roman" w:cs="Times New Roman"/>
        </w:rPr>
        <w:t>to</w:t>
      </w:r>
      <w:r w:rsidR="00364BDF">
        <w:rPr>
          <w:rFonts w:ascii="Times New Roman" w:hAnsi="Times New Roman" w:cs="Times New Roman"/>
        </w:rPr>
        <w:t xml:space="preserve"> be</w:t>
      </w:r>
      <w:r w:rsidR="00D748A9">
        <w:rPr>
          <w:rFonts w:ascii="Times New Roman" w:hAnsi="Times New Roman" w:cs="Times New Roman"/>
        </w:rPr>
        <w:t xml:space="preserve"> comprised months in advance of the actual decision to draft X number of troops </w:t>
      </w:r>
      <w:r w:rsidR="00364BDF">
        <w:rPr>
          <w:rFonts w:ascii="Times New Roman" w:hAnsi="Times New Roman" w:cs="Times New Roman"/>
        </w:rPr>
        <w:t>and even when complete, several copies would most likely be needed in case of loss or damage of these documents</w:t>
      </w:r>
      <w:r w:rsidR="00800ABD">
        <w:rPr>
          <w:rStyle w:val="FootnoteReference"/>
          <w:rFonts w:ascii="Times New Roman" w:hAnsi="Times New Roman" w:cs="Times New Roman"/>
        </w:rPr>
        <w:footnoteReference w:id="4"/>
      </w:r>
      <w:r w:rsidR="00364BDF">
        <w:rPr>
          <w:rFonts w:ascii="Times New Roman" w:hAnsi="Times New Roman" w:cs="Times New Roman"/>
        </w:rPr>
        <w:t xml:space="preserve">. </w:t>
      </w:r>
    </w:p>
    <w:p w14:paraId="40419B3A" w14:textId="2BDCBDC1" w:rsidR="00187B4D" w:rsidRDefault="00187B4D" w:rsidP="008716FE">
      <w:pPr>
        <w:spacing w:line="480" w:lineRule="auto"/>
        <w:jc w:val="both"/>
        <w:rPr>
          <w:rFonts w:ascii="Times New Roman" w:hAnsi="Times New Roman" w:cs="Times New Roman"/>
        </w:rPr>
      </w:pPr>
    </w:p>
    <w:p w14:paraId="13019EAC" w14:textId="568168B7" w:rsidR="00364BDF" w:rsidRDefault="00567170" w:rsidP="008716FE">
      <w:pPr>
        <w:spacing w:line="480" w:lineRule="auto"/>
        <w:jc w:val="both"/>
        <w:rPr>
          <w:rFonts w:ascii="Times New Roman" w:hAnsi="Times New Roman" w:cs="Times New Roman"/>
        </w:rPr>
      </w:pPr>
      <w:r>
        <w:rPr>
          <w:rFonts w:ascii="Times New Roman" w:hAnsi="Times New Roman" w:cs="Times New Roman"/>
        </w:rPr>
        <w:t xml:space="preserve">The next stage of conscription contra to C’s. </w:t>
      </w:r>
      <w:r w:rsidR="00B86ADD">
        <w:rPr>
          <w:rFonts w:ascii="Times New Roman" w:hAnsi="Times New Roman" w:cs="Times New Roman"/>
        </w:rPr>
        <w:t>c</w:t>
      </w:r>
      <w:r w:rsidR="00CC7E22">
        <w:rPr>
          <w:rFonts w:ascii="Times New Roman" w:hAnsi="Times New Roman" w:cs="Times New Roman"/>
        </w:rPr>
        <w:t>ontribution</w:t>
      </w:r>
      <w:r>
        <w:rPr>
          <w:rFonts w:ascii="Times New Roman" w:hAnsi="Times New Roman" w:cs="Times New Roman"/>
        </w:rPr>
        <w:t xml:space="preserve"> wou</w:t>
      </w:r>
      <w:r w:rsidR="00CC7E22">
        <w:rPr>
          <w:rFonts w:ascii="Times New Roman" w:hAnsi="Times New Roman" w:cs="Times New Roman"/>
        </w:rPr>
        <w:t>ld be that of conscript notification</w:t>
      </w:r>
      <w:r w:rsidR="00E244C3">
        <w:rPr>
          <w:rStyle w:val="FootnoteReference"/>
          <w:rFonts w:ascii="Times New Roman" w:hAnsi="Times New Roman" w:cs="Times New Roman"/>
        </w:rPr>
        <w:footnoteReference w:id="5"/>
      </w:r>
      <w:r w:rsidR="00CC7E22">
        <w:rPr>
          <w:rFonts w:ascii="Times New Roman" w:hAnsi="Times New Roman" w:cs="Times New Roman"/>
        </w:rPr>
        <w:t>. Not only notifi</w:t>
      </w:r>
      <w:r w:rsidR="00B86ADD">
        <w:rPr>
          <w:rFonts w:ascii="Times New Roman" w:hAnsi="Times New Roman" w:cs="Times New Roman"/>
        </w:rPr>
        <w:t>cation to the eligible conscripts that a draft had been posted but notification to those whom had been named in the draft. Here is where it becomes more difficult to discern the exact method of notificat</w:t>
      </w:r>
      <w:r w:rsidR="00D65718">
        <w:rPr>
          <w:rFonts w:ascii="Times New Roman" w:hAnsi="Times New Roman" w:cs="Times New Roman"/>
        </w:rPr>
        <w:t>ion. One suggestion put forward</w:t>
      </w:r>
      <w:r w:rsidR="00B86ADD">
        <w:rPr>
          <w:rFonts w:ascii="Times New Roman" w:hAnsi="Times New Roman" w:cs="Times New Roman"/>
        </w:rPr>
        <w:t xml:space="preserve"> is that of whitened</w:t>
      </w:r>
      <w:r w:rsidR="005B0061">
        <w:rPr>
          <w:rFonts w:ascii="Times New Roman" w:hAnsi="Times New Roman" w:cs="Times New Roman"/>
        </w:rPr>
        <w:t xml:space="preserve"> wooden</w:t>
      </w:r>
      <w:r w:rsidR="00B86ADD">
        <w:rPr>
          <w:rFonts w:ascii="Times New Roman" w:hAnsi="Times New Roman" w:cs="Times New Roman"/>
        </w:rPr>
        <w:t xml:space="preserve"> boards posted at the foot of each of the ten tribes</w:t>
      </w:r>
      <w:r w:rsidR="005B0061">
        <w:rPr>
          <w:rFonts w:ascii="Times New Roman" w:hAnsi="Times New Roman" w:cs="Times New Roman"/>
        </w:rPr>
        <w:t xml:space="preserve"> statue of their</w:t>
      </w:r>
      <w:r w:rsidR="00B86ADD">
        <w:rPr>
          <w:rFonts w:ascii="Times New Roman" w:hAnsi="Times New Roman" w:cs="Times New Roman"/>
        </w:rPr>
        <w:t xml:space="preserve"> eponymous hero</w:t>
      </w:r>
      <w:r w:rsidR="00D65718">
        <w:rPr>
          <w:rFonts w:ascii="Times New Roman" w:hAnsi="Times New Roman" w:cs="Times New Roman"/>
        </w:rPr>
        <w:t>’s</w:t>
      </w:r>
      <w:r w:rsidR="005B0061">
        <w:rPr>
          <w:rFonts w:ascii="Times New Roman" w:hAnsi="Times New Roman" w:cs="Times New Roman"/>
        </w:rPr>
        <w:t>,</w:t>
      </w:r>
      <w:r w:rsidR="00D65718">
        <w:rPr>
          <w:rFonts w:ascii="Times New Roman" w:hAnsi="Times New Roman" w:cs="Times New Roman"/>
        </w:rPr>
        <w:t xml:space="preserve"> each with the names of the chosen conscripts from each tribe written in black for ease of reading. While this is certainly a good way of mass notification </w:t>
      </w:r>
      <w:r w:rsidR="00D65718">
        <w:rPr>
          <w:rFonts w:ascii="Times New Roman" w:hAnsi="Times New Roman" w:cs="Times New Roman"/>
        </w:rPr>
        <w:lastRenderedPageBreak/>
        <w:t>it fails to totally account for several factors. Firstly how would it be known for sure when these had been posted? The Argume</w:t>
      </w:r>
      <w:r w:rsidR="005B0061">
        <w:rPr>
          <w:rFonts w:ascii="Times New Roman" w:hAnsi="Times New Roman" w:cs="Times New Roman"/>
        </w:rPr>
        <w:t>nt Christ gives here is that of</w:t>
      </w:r>
      <w:r w:rsidR="00D65718">
        <w:rPr>
          <w:rFonts w:ascii="Times New Roman" w:hAnsi="Times New Roman" w:cs="Times New Roman"/>
        </w:rPr>
        <w:t xml:space="preserve"> </w:t>
      </w:r>
      <w:r w:rsidR="005B0061">
        <w:rPr>
          <w:rFonts w:ascii="Times New Roman" w:hAnsi="Times New Roman" w:cs="Times New Roman"/>
        </w:rPr>
        <w:t>trumpets or heralds being utilised to notify the eligible citizens that they should check the draft listings</w:t>
      </w:r>
      <w:r w:rsidR="00A823C5">
        <w:rPr>
          <w:rFonts w:ascii="Times New Roman" w:hAnsi="Times New Roman" w:cs="Times New Roman"/>
        </w:rPr>
        <w:t xml:space="preserve"> however,</w:t>
      </w:r>
      <w:r w:rsidR="00364BDF">
        <w:rPr>
          <w:rFonts w:ascii="Times New Roman" w:hAnsi="Times New Roman" w:cs="Times New Roman"/>
        </w:rPr>
        <w:t xml:space="preserve"> Christ</w:t>
      </w:r>
      <w:r w:rsidR="00A823C5">
        <w:rPr>
          <w:rFonts w:ascii="Times New Roman" w:hAnsi="Times New Roman" w:cs="Times New Roman"/>
        </w:rPr>
        <w:t xml:space="preserve"> also acknowledges the fact that trumpets may have been used for a variety of reasons</w:t>
      </w:r>
      <w:r w:rsidR="00F740DB">
        <w:rPr>
          <w:rFonts w:ascii="Times New Roman" w:hAnsi="Times New Roman" w:cs="Times New Roman"/>
        </w:rPr>
        <w:t xml:space="preserve">, including that of calling citizens to arms in times of desperation. </w:t>
      </w:r>
      <w:r w:rsidR="00364BDF">
        <w:rPr>
          <w:rFonts w:ascii="Times New Roman" w:hAnsi="Times New Roman" w:cs="Times New Roman"/>
        </w:rPr>
        <w:t xml:space="preserve">This assumption is at best satisfactory to explain the actual process- as asserted by C, draft dodging was a prominent concern among Athenian citizens in times of war and this may method certainly leaves many excuses for individuals to avoid </w:t>
      </w:r>
      <w:r w:rsidR="00007E86">
        <w:rPr>
          <w:rFonts w:ascii="Times New Roman" w:hAnsi="Times New Roman" w:cs="Times New Roman"/>
        </w:rPr>
        <w:t>conscription</w:t>
      </w:r>
      <w:r w:rsidR="00800ABD">
        <w:rPr>
          <w:rStyle w:val="FootnoteReference"/>
          <w:rFonts w:ascii="Times New Roman" w:hAnsi="Times New Roman" w:cs="Times New Roman"/>
        </w:rPr>
        <w:footnoteReference w:id="6"/>
      </w:r>
      <w:r w:rsidR="00007E86">
        <w:rPr>
          <w:rFonts w:ascii="Times New Roman" w:hAnsi="Times New Roman" w:cs="Times New Roman"/>
        </w:rPr>
        <w:t>.</w:t>
      </w:r>
    </w:p>
    <w:p w14:paraId="57DC5C8B" w14:textId="61511BB6" w:rsidR="00FA2197" w:rsidRDefault="00D43285" w:rsidP="008716FE">
      <w:pPr>
        <w:spacing w:line="480" w:lineRule="auto"/>
        <w:jc w:val="both"/>
        <w:rPr>
          <w:rFonts w:ascii="Times New Roman" w:hAnsi="Times New Roman" w:cs="Times New Roman"/>
        </w:rPr>
      </w:pPr>
      <w:r>
        <w:rPr>
          <w:rFonts w:ascii="Times New Roman" w:hAnsi="Times New Roman" w:cs="Times New Roman"/>
        </w:rPr>
        <w:t xml:space="preserve">Another consideration which may have had an effect on the process of </w:t>
      </w:r>
      <w:r w:rsidR="006E3EAB">
        <w:rPr>
          <w:rFonts w:ascii="Times New Roman" w:hAnsi="Times New Roman" w:cs="Times New Roman"/>
        </w:rPr>
        <w:t>Katalogos which is not considered by Christ is that of Athenians whom fall into the class wealthy enough to afford the minimum amount of equipment however are unable to afford literacy lessons thus would be unable to read the draft lists</w:t>
      </w:r>
      <w:r w:rsidR="00A32CB9">
        <w:rPr>
          <w:rFonts w:ascii="Times New Roman" w:hAnsi="Times New Roman" w:cs="Times New Roman"/>
        </w:rPr>
        <w:t xml:space="preserve"> when posted</w:t>
      </w:r>
      <w:r w:rsidR="00400391">
        <w:rPr>
          <w:rFonts w:ascii="Times New Roman" w:hAnsi="Times New Roman" w:cs="Times New Roman"/>
        </w:rPr>
        <w:t>. Christ himself admits that previously hoplite armour and weaponry were fairly expensive, but over time the amount of equipment needed to serve as an infantry hoplite fell dramatically, thus making military service more accessible to the lower classes</w:t>
      </w:r>
      <w:r w:rsidR="00A32CB9">
        <w:rPr>
          <w:rFonts w:ascii="Times New Roman" w:hAnsi="Times New Roman" w:cs="Times New Roman"/>
        </w:rPr>
        <w:t>.</w:t>
      </w:r>
      <w:r w:rsidR="00400391">
        <w:rPr>
          <w:rFonts w:ascii="Times New Roman" w:hAnsi="Times New Roman" w:cs="Times New Roman"/>
        </w:rPr>
        <w:t xml:space="preserve"> Here H. Van Wees’ argument concerning the training of citizen militias may be helpful</w:t>
      </w:r>
      <w:r w:rsidR="00400391">
        <w:rPr>
          <w:rStyle w:val="FootnoteReference"/>
          <w:rFonts w:ascii="Times New Roman" w:hAnsi="Times New Roman" w:cs="Times New Roman"/>
        </w:rPr>
        <w:footnoteReference w:id="7"/>
      </w:r>
      <w:r w:rsidR="00400391">
        <w:rPr>
          <w:rFonts w:ascii="Times New Roman" w:hAnsi="Times New Roman" w:cs="Times New Roman"/>
        </w:rPr>
        <w:t xml:space="preserve">. </w:t>
      </w:r>
      <w:r w:rsidR="00A32CB9">
        <w:rPr>
          <w:rFonts w:ascii="Times New Roman" w:hAnsi="Times New Roman" w:cs="Times New Roman"/>
        </w:rPr>
        <w:t xml:space="preserve"> </w:t>
      </w:r>
      <w:r w:rsidR="00400391">
        <w:rPr>
          <w:rFonts w:ascii="Times New Roman" w:hAnsi="Times New Roman" w:cs="Times New Roman"/>
        </w:rPr>
        <w:t>Here Van Wees argues that according to Thucydides,</w:t>
      </w:r>
      <w:r w:rsidR="00E244C3">
        <w:rPr>
          <w:rFonts w:ascii="Times New Roman" w:hAnsi="Times New Roman" w:cs="Times New Roman"/>
        </w:rPr>
        <w:t xml:space="preserve"> the</w:t>
      </w:r>
      <w:r w:rsidR="00400391">
        <w:rPr>
          <w:rFonts w:ascii="Times New Roman" w:hAnsi="Times New Roman" w:cs="Times New Roman"/>
        </w:rPr>
        <w:t xml:space="preserve"> young</w:t>
      </w:r>
      <w:r w:rsidR="00E244C3">
        <w:rPr>
          <w:rFonts w:ascii="Times New Roman" w:hAnsi="Times New Roman" w:cs="Times New Roman"/>
        </w:rPr>
        <w:t>est</w:t>
      </w:r>
      <w:r w:rsidR="00400391">
        <w:rPr>
          <w:rFonts w:ascii="Times New Roman" w:hAnsi="Times New Roman" w:cs="Times New Roman"/>
        </w:rPr>
        <w:t xml:space="preserve"> men eligible for service were more often than not excluded from the practice of open warfare, however were prepared by postings on the city walls and ports, seeing off potential raiders and wrong doers </w:t>
      </w:r>
      <w:r w:rsidR="00E244C3">
        <w:rPr>
          <w:rFonts w:ascii="Times New Roman" w:hAnsi="Times New Roman" w:cs="Times New Roman"/>
        </w:rPr>
        <w:t>under the supervisor of an individual versed in the conduct of at the very least single combat and small time poleis defence or at the very most large scale hoplite warfare. Furthermore this posting would have taken away a considerable amount of free time and would serve to prepare them for their eventual partaking in campaign, voluntarily or otherwise. Moreover, Van Wees argues that during this time the state would have likely paid these citizen something in the region of 4 obols per day, allowing for the gradual saving of funds to afford the necessary equipment</w:t>
      </w:r>
      <w:r w:rsidR="008B28FC">
        <w:rPr>
          <w:rFonts w:ascii="Times New Roman" w:hAnsi="Times New Roman" w:cs="Times New Roman"/>
        </w:rPr>
        <w:t xml:space="preserve"> and by extension literacy lessons</w:t>
      </w:r>
      <w:r w:rsidR="00E244C3">
        <w:rPr>
          <w:rStyle w:val="FootnoteReference"/>
          <w:rFonts w:ascii="Times New Roman" w:hAnsi="Times New Roman" w:cs="Times New Roman"/>
        </w:rPr>
        <w:footnoteReference w:id="8"/>
      </w:r>
      <w:r w:rsidR="00E244C3">
        <w:rPr>
          <w:rFonts w:ascii="Times New Roman" w:hAnsi="Times New Roman" w:cs="Times New Roman"/>
        </w:rPr>
        <w:t xml:space="preserve">. </w:t>
      </w:r>
      <w:r w:rsidR="00A32CB9">
        <w:rPr>
          <w:rFonts w:ascii="Times New Roman" w:hAnsi="Times New Roman" w:cs="Times New Roman"/>
        </w:rPr>
        <w:t xml:space="preserve">However this issue is mostly one of </w:t>
      </w:r>
      <w:r w:rsidR="00CE4ED9">
        <w:rPr>
          <w:rFonts w:ascii="Times New Roman" w:hAnsi="Times New Roman" w:cs="Times New Roman"/>
        </w:rPr>
        <w:t xml:space="preserve">insubstantial significance, but nonetheless a possible hindrance for the smooth conduct of a hoplite draft. Moreover it is reasonable to </w:t>
      </w:r>
      <w:r w:rsidR="00CE4ED9">
        <w:rPr>
          <w:rFonts w:ascii="Times New Roman" w:hAnsi="Times New Roman" w:cs="Times New Roman"/>
        </w:rPr>
        <w:lastRenderedPageBreak/>
        <w:t>assume that while exemptions from service a</w:t>
      </w:r>
      <w:r w:rsidR="00FA2197">
        <w:rPr>
          <w:rFonts w:ascii="Times New Roman" w:hAnsi="Times New Roman" w:cs="Times New Roman"/>
        </w:rPr>
        <w:t>re granted, an individual could</w:t>
      </w:r>
      <w:r w:rsidR="00CE4ED9">
        <w:rPr>
          <w:rFonts w:ascii="Times New Roman" w:hAnsi="Times New Roman" w:cs="Times New Roman"/>
        </w:rPr>
        <w:t xml:space="preserve"> too </w:t>
      </w:r>
      <w:r w:rsidR="00FA2197">
        <w:rPr>
          <w:rFonts w:ascii="Times New Roman" w:hAnsi="Times New Roman" w:cs="Times New Roman"/>
        </w:rPr>
        <w:t>claim ign</w:t>
      </w:r>
      <w:r w:rsidR="008B28FC">
        <w:rPr>
          <w:rFonts w:ascii="Times New Roman" w:hAnsi="Times New Roman" w:cs="Times New Roman"/>
        </w:rPr>
        <w:t xml:space="preserve">orance to his civic obligation on this basis. </w:t>
      </w:r>
    </w:p>
    <w:p w14:paraId="4705DC4F" w14:textId="77777777" w:rsidR="00FA2197" w:rsidRDefault="00FA2197" w:rsidP="008716FE">
      <w:pPr>
        <w:spacing w:line="480" w:lineRule="auto"/>
        <w:jc w:val="both"/>
        <w:rPr>
          <w:rFonts w:ascii="Times New Roman" w:hAnsi="Times New Roman" w:cs="Times New Roman"/>
        </w:rPr>
      </w:pPr>
    </w:p>
    <w:p w14:paraId="769A6D3B" w14:textId="1EBF4E30" w:rsidR="008B28FC" w:rsidRDefault="00F213CA" w:rsidP="008716FE">
      <w:pPr>
        <w:spacing w:line="480" w:lineRule="auto"/>
        <w:jc w:val="both"/>
        <w:rPr>
          <w:rFonts w:ascii="Times New Roman" w:hAnsi="Times New Roman" w:cs="Times New Roman"/>
        </w:rPr>
      </w:pPr>
      <w:r>
        <w:rPr>
          <w:rFonts w:ascii="Times New Roman" w:hAnsi="Times New Roman" w:cs="Times New Roman"/>
        </w:rPr>
        <w:t xml:space="preserve">A controversial point in Christ’s argument however is that of the granting of exemptions from draft, an occurrence which as highlighted by </w:t>
      </w:r>
      <w:r w:rsidR="00800ABD">
        <w:rPr>
          <w:rFonts w:ascii="Times New Roman" w:hAnsi="Times New Roman" w:cs="Times New Roman"/>
        </w:rPr>
        <w:t>Plutarch’s anecdote regarding Phocion and Aristogeon</w:t>
      </w:r>
      <w:r w:rsidR="008B28FC">
        <w:rPr>
          <w:rFonts w:ascii="Times New Roman" w:hAnsi="Times New Roman" w:cs="Times New Roman"/>
        </w:rPr>
        <w:t xml:space="preserve">: </w:t>
      </w:r>
    </w:p>
    <w:p w14:paraId="1BC08B8F" w14:textId="7B842CB7" w:rsidR="008B28FC" w:rsidRPr="005520A0" w:rsidRDefault="008B28FC" w:rsidP="008716FE">
      <w:pPr>
        <w:spacing w:line="480" w:lineRule="auto"/>
        <w:jc w:val="both"/>
        <w:rPr>
          <w:rFonts w:ascii="Times New Roman" w:hAnsi="Times New Roman" w:cs="Times New Roman"/>
          <w:i/>
          <w:u w:val="single"/>
        </w:rPr>
      </w:pPr>
      <w:r w:rsidRPr="005520A0">
        <w:rPr>
          <w:rFonts w:ascii="Times New Roman" w:hAnsi="Times New Roman" w:cs="Times New Roman"/>
          <w:i/>
          <w:u w:val="single"/>
        </w:rPr>
        <w:t>“When Aristogeon approached the place of muster, leaning on a staff with both legs bandaged, Phocion cried out ‘Write down Aristogeon too as lame and worthless’”- Plutarch ‘Lives VIII’ Cambridge MA 1919</w:t>
      </w:r>
      <w:r w:rsidR="00723BCA" w:rsidRPr="005520A0">
        <w:rPr>
          <w:rStyle w:val="FootnoteReference"/>
          <w:rFonts w:ascii="Times New Roman" w:hAnsi="Times New Roman" w:cs="Times New Roman"/>
          <w:i/>
          <w:u w:val="single"/>
        </w:rPr>
        <w:footnoteReference w:id="9"/>
      </w:r>
    </w:p>
    <w:p w14:paraId="24F43D37" w14:textId="23380A9A" w:rsidR="00D43285" w:rsidRDefault="008B28FC" w:rsidP="008716FE">
      <w:pPr>
        <w:spacing w:line="480" w:lineRule="auto"/>
        <w:jc w:val="both"/>
        <w:rPr>
          <w:rFonts w:ascii="Times New Roman" w:hAnsi="Times New Roman" w:cs="Times New Roman"/>
        </w:rPr>
      </w:pPr>
      <w:r>
        <w:rPr>
          <w:rFonts w:ascii="Times New Roman" w:hAnsi="Times New Roman" w:cs="Times New Roman"/>
        </w:rPr>
        <w:t>This</w:t>
      </w:r>
      <w:r w:rsidR="00800ABD">
        <w:rPr>
          <w:rFonts w:ascii="Times New Roman" w:hAnsi="Times New Roman" w:cs="Times New Roman"/>
        </w:rPr>
        <w:t xml:space="preserve"> </w:t>
      </w:r>
      <w:r>
        <w:rPr>
          <w:rFonts w:ascii="Times New Roman" w:hAnsi="Times New Roman" w:cs="Times New Roman"/>
        </w:rPr>
        <w:t>proves</w:t>
      </w:r>
      <w:r w:rsidR="00800ABD">
        <w:rPr>
          <w:rFonts w:ascii="Times New Roman" w:hAnsi="Times New Roman" w:cs="Times New Roman"/>
        </w:rPr>
        <w:t xml:space="preserve"> that not only exemptions may be given on the grounds of ill health, mental or physical- they may also be granted at the last minute before the troops embark. This example however </w:t>
      </w:r>
      <w:r w:rsidR="00561929">
        <w:rPr>
          <w:rFonts w:ascii="Times New Roman" w:hAnsi="Times New Roman" w:cs="Times New Roman"/>
        </w:rPr>
        <w:t>may be subject to some exaggeration by the author, as surely if Aristogeon was granted his exemption on the basis of</w:t>
      </w:r>
      <w:r w:rsidR="00514B71">
        <w:rPr>
          <w:rFonts w:ascii="Times New Roman" w:hAnsi="Times New Roman" w:cs="Times New Roman"/>
        </w:rPr>
        <w:t xml:space="preserve"> merely appearing to be in poor</w:t>
      </w:r>
      <w:r w:rsidR="00561929">
        <w:rPr>
          <w:rFonts w:ascii="Times New Roman" w:hAnsi="Times New Roman" w:cs="Times New Roman"/>
        </w:rPr>
        <w:t xml:space="preserve"> physical health, any number of conscripts whom are unwilling to fight may simply do the same. Christ has also admitted that one of the problems concerning the compilation of draftees</w:t>
      </w:r>
      <w:r w:rsidR="00800ABD">
        <w:rPr>
          <w:rFonts w:ascii="Times New Roman" w:hAnsi="Times New Roman" w:cs="Times New Roman"/>
        </w:rPr>
        <w:t xml:space="preserve"> </w:t>
      </w:r>
      <w:r w:rsidR="00561929">
        <w:rPr>
          <w:rFonts w:ascii="Times New Roman" w:hAnsi="Times New Roman" w:cs="Times New Roman"/>
        </w:rPr>
        <w:t xml:space="preserve">is the generals seemingly </w:t>
      </w:r>
      <w:r w:rsidR="00514B71">
        <w:rPr>
          <w:rFonts w:ascii="Times New Roman" w:hAnsi="Times New Roman" w:cs="Times New Roman"/>
        </w:rPr>
        <w:t xml:space="preserve">autonomous descression, surely it would be probably to assume that generals may offer exemptions to close friends and family members, or simply to his favourites among the conscripted. Here it would seem more plausible that the granting of last minute exemptions would need to be cleared not only by the general whom is leading the expedition but also to the </w:t>
      </w:r>
      <w:r w:rsidR="000E450C">
        <w:rPr>
          <w:rFonts w:ascii="Times New Roman" w:hAnsi="Times New Roman" w:cs="Times New Roman"/>
        </w:rPr>
        <w:t>assisting magistrates on the day of muster. On the issue of general exemption however it would seem that one of the only other criteria which would render a conscript exempt would be the lack of equipment due to adverse changes in his monetary situation. We have already discussed the notion that in order to qualify for the draft, a citizen would need to be able to afford th</w:t>
      </w:r>
      <w:r w:rsidR="00762A0D">
        <w:rPr>
          <w:rFonts w:ascii="Times New Roman" w:hAnsi="Times New Roman" w:cs="Times New Roman"/>
        </w:rPr>
        <w:t>e equipment needed on campaign. However</w:t>
      </w:r>
      <w:r w:rsidR="000E450C">
        <w:rPr>
          <w:rFonts w:ascii="Times New Roman" w:hAnsi="Times New Roman" w:cs="Times New Roman"/>
        </w:rPr>
        <w:t xml:space="preserve"> in the case of people whom have already been drafted in the past and survived the campaign season</w:t>
      </w:r>
      <w:r w:rsidR="00762A0D">
        <w:rPr>
          <w:rFonts w:ascii="Times New Roman" w:hAnsi="Times New Roman" w:cs="Times New Roman"/>
        </w:rPr>
        <w:t xml:space="preserve"> without injury,</w:t>
      </w:r>
      <w:r w:rsidR="000E450C">
        <w:rPr>
          <w:rFonts w:ascii="Times New Roman" w:hAnsi="Times New Roman" w:cs="Times New Roman"/>
        </w:rPr>
        <w:t xml:space="preserve"> only to be d</w:t>
      </w:r>
      <w:r w:rsidR="00762A0D">
        <w:rPr>
          <w:rFonts w:ascii="Times New Roman" w:hAnsi="Times New Roman" w:cs="Times New Roman"/>
        </w:rPr>
        <w:t>rafted again the following year an exemption on the grounds of insufficient wealth would be difficult to prove. Their equipment (assuming it is not damaged beyond the point of possible use) would still be in their possession a</w:t>
      </w:r>
      <w:r w:rsidR="006D3F0C">
        <w:rPr>
          <w:rFonts w:ascii="Times New Roman" w:hAnsi="Times New Roman" w:cs="Times New Roman"/>
        </w:rPr>
        <w:t xml:space="preserve">nd thus there would be no ground </w:t>
      </w:r>
      <w:r w:rsidR="006D3F0C">
        <w:rPr>
          <w:rFonts w:ascii="Times New Roman" w:hAnsi="Times New Roman" w:cs="Times New Roman"/>
        </w:rPr>
        <w:lastRenderedPageBreak/>
        <w:t xml:space="preserve">to seek exemption. However in cases of severe financial adversity it is not </w:t>
      </w:r>
      <w:r w:rsidR="00007E86">
        <w:rPr>
          <w:rFonts w:ascii="Times New Roman" w:hAnsi="Times New Roman" w:cs="Times New Roman"/>
        </w:rPr>
        <w:t>unlikely</w:t>
      </w:r>
      <w:r w:rsidR="006D3F0C">
        <w:rPr>
          <w:rFonts w:ascii="Times New Roman" w:hAnsi="Times New Roman" w:cs="Times New Roman"/>
        </w:rPr>
        <w:t xml:space="preserve"> that weapons and military equipment may have been sold to support an individual, thus making </w:t>
      </w:r>
      <w:r w:rsidR="00007E86">
        <w:rPr>
          <w:rFonts w:ascii="Times New Roman" w:hAnsi="Times New Roman" w:cs="Times New Roman"/>
        </w:rPr>
        <w:t>them ineligible to be drafted. This, Christ reasons would constitute considerable conniving on the part of the draftee to the general to be granted an exemption; and will have needed to be done a short time after the official list of conscribes was posted in the agora and certainly a large period of time before the expected muster date</w:t>
      </w:r>
      <w:r w:rsidR="00007E86">
        <w:rPr>
          <w:rStyle w:val="FootnoteReference"/>
          <w:rFonts w:ascii="Times New Roman" w:hAnsi="Times New Roman" w:cs="Times New Roman"/>
        </w:rPr>
        <w:footnoteReference w:id="10"/>
      </w:r>
      <w:r w:rsidR="00007E86">
        <w:rPr>
          <w:rFonts w:ascii="Times New Roman" w:hAnsi="Times New Roman" w:cs="Times New Roman"/>
        </w:rPr>
        <w:t xml:space="preserve">. </w:t>
      </w:r>
    </w:p>
    <w:p w14:paraId="37FB8AD7" w14:textId="1C490055" w:rsidR="00723BCA" w:rsidRDefault="00723BCA" w:rsidP="008716FE">
      <w:pPr>
        <w:spacing w:line="480" w:lineRule="auto"/>
        <w:jc w:val="both"/>
        <w:rPr>
          <w:rFonts w:ascii="Times New Roman" w:hAnsi="Times New Roman" w:cs="Times New Roman"/>
        </w:rPr>
      </w:pPr>
      <w:r>
        <w:rPr>
          <w:rFonts w:ascii="Times New Roman" w:hAnsi="Times New Roman" w:cs="Times New Roman"/>
        </w:rPr>
        <w:t xml:space="preserve">Christ also reason that it is more than likely that the amount of conscribes posted on the Katalogos would far surpass the total number of troops actually needed for a campaign. There are several practical reasons for a general organising military expeditions to have done so. First the Athenian Law dictated contra to Christs own analysis, that holders of public office, including but not limited to the assembly of the 500 would automatically be exempt from military service if their names were to appear on the draft list. Practically because without these individuals the running of the Athenian state would be left to no one suitable for the role, and secondly because these are the individuals whom play a part in overseeing the mass organisation required for the expedition at hand. Moreover there was never a </w:t>
      </w:r>
      <w:r w:rsidR="002A6321">
        <w:rPr>
          <w:rFonts w:ascii="Times New Roman" w:hAnsi="Times New Roman" w:cs="Times New Roman"/>
        </w:rPr>
        <w:t>guarantee</w:t>
      </w:r>
      <w:r>
        <w:rPr>
          <w:rFonts w:ascii="Times New Roman" w:hAnsi="Times New Roman" w:cs="Times New Roman"/>
        </w:rPr>
        <w:t xml:space="preserve"> that everyone would show up whom is named in the draft for service, regardless of the measures in place to count</w:t>
      </w:r>
      <w:r w:rsidR="002A6321">
        <w:rPr>
          <w:rFonts w:ascii="Times New Roman" w:hAnsi="Times New Roman" w:cs="Times New Roman"/>
        </w:rPr>
        <w:t xml:space="preserve">er this. Thus as an extra precaution a significant amount of conscribes were listed to make up for the missing ones; furthermore it would be expected that at least a portion of those listed would indeed be genuinely ineligible to serve as part of the draft for any of the reasons I have stated above. </w:t>
      </w:r>
      <w:r w:rsidR="0006546F">
        <w:rPr>
          <w:rFonts w:ascii="Times New Roman" w:hAnsi="Times New Roman" w:cs="Times New Roman"/>
        </w:rPr>
        <w:t xml:space="preserve">Not only this though, there is also the possibility that in the time between the list being drawn up and the muster being carried out, that the need for more hoplites than originally had been anticipated must be met. This could have been for any number of reasons including the sanction of another campaign independent of the current one, (here we may assume that the general conducting the new campaign may simply take a portion of those not selected in the original campaign draft) or indeed alongside it in a joint operation. We must also consider the possibility of these troops being used to assist Athenian allies in various operations. </w:t>
      </w:r>
    </w:p>
    <w:p w14:paraId="628547A6" w14:textId="2E1A8C0A" w:rsidR="00561929" w:rsidRDefault="00561929" w:rsidP="008716FE">
      <w:pPr>
        <w:spacing w:line="480" w:lineRule="auto"/>
        <w:jc w:val="both"/>
        <w:rPr>
          <w:rFonts w:ascii="Times New Roman" w:hAnsi="Times New Roman" w:cs="Times New Roman"/>
        </w:rPr>
      </w:pPr>
    </w:p>
    <w:p w14:paraId="6915E888" w14:textId="7A16AE3E" w:rsidR="00561929" w:rsidRDefault="00723BCA" w:rsidP="008716FE">
      <w:pPr>
        <w:spacing w:line="480" w:lineRule="auto"/>
        <w:jc w:val="both"/>
        <w:rPr>
          <w:rFonts w:ascii="Times New Roman" w:hAnsi="Times New Roman" w:cs="Times New Roman"/>
        </w:rPr>
      </w:pPr>
      <w:r>
        <w:rPr>
          <w:rFonts w:ascii="Times New Roman" w:hAnsi="Times New Roman" w:cs="Times New Roman"/>
        </w:rPr>
        <w:t xml:space="preserve"> </w:t>
      </w:r>
      <w:r w:rsidR="00561929">
        <w:rPr>
          <w:rFonts w:ascii="Times New Roman" w:hAnsi="Times New Roman" w:cs="Times New Roman"/>
        </w:rPr>
        <w:t>Overall I believe that the models of conscription and their political consequences which Christ has set forward in his article provide a comprehensive overview of the militaristic transitions which take place in Athens over the course of the classical period. Furthermore it is argues soundly that it was the transition between the two systems of conscription which helped develop the Athenian military from a collective of citizen militias under the supervision of a general, professional standing army acting on behalf of the state as a means by which to survive. Furthermore because the limited scope of this reply and the</w:t>
      </w:r>
      <w:r w:rsidR="00514B71">
        <w:rPr>
          <w:rFonts w:ascii="Times New Roman" w:hAnsi="Times New Roman" w:cs="Times New Roman"/>
        </w:rPr>
        <w:t xml:space="preserve"> attention which I have placed o</w:t>
      </w:r>
      <w:r w:rsidR="00561929">
        <w:rPr>
          <w:rFonts w:ascii="Times New Roman" w:hAnsi="Times New Roman" w:cs="Times New Roman"/>
        </w:rPr>
        <w:t xml:space="preserve">n the Katalogos system </w:t>
      </w:r>
      <w:r w:rsidR="00514B71">
        <w:rPr>
          <w:rFonts w:ascii="Times New Roman" w:hAnsi="Times New Roman" w:cs="Times New Roman"/>
        </w:rPr>
        <w:t xml:space="preserve">my arguments for Christ’s contributions are admittedly limited thus further investigation is needed on the latter conscription by age group section of the argument to form a clearer academic reply. </w:t>
      </w:r>
    </w:p>
    <w:p w14:paraId="5327751C" w14:textId="2BC4A54A" w:rsidR="00AA06A4" w:rsidRDefault="00AA06A4" w:rsidP="008716FE">
      <w:pPr>
        <w:spacing w:line="480" w:lineRule="auto"/>
        <w:jc w:val="both"/>
        <w:rPr>
          <w:rFonts w:ascii="Times New Roman" w:hAnsi="Times New Roman" w:cs="Times New Roman"/>
        </w:rPr>
      </w:pPr>
    </w:p>
    <w:p w14:paraId="3205D3DC" w14:textId="249D7FCE" w:rsidR="00AA06A4" w:rsidRDefault="00AA06A4" w:rsidP="008716FE">
      <w:pPr>
        <w:spacing w:line="480" w:lineRule="auto"/>
        <w:jc w:val="both"/>
        <w:rPr>
          <w:rFonts w:ascii="Times New Roman" w:hAnsi="Times New Roman" w:cs="Times New Roman"/>
        </w:rPr>
      </w:pPr>
    </w:p>
    <w:p w14:paraId="493CD65B" w14:textId="3DF836B4" w:rsidR="00AA06A4" w:rsidRDefault="00AA06A4" w:rsidP="008716FE">
      <w:pPr>
        <w:spacing w:line="480" w:lineRule="auto"/>
        <w:jc w:val="both"/>
        <w:rPr>
          <w:rFonts w:ascii="Times New Roman" w:hAnsi="Times New Roman" w:cs="Times New Roman"/>
        </w:rPr>
      </w:pPr>
    </w:p>
    <w:p w14:paraId="76576277" w14:textId="49F5D561" w:rsidR="00AA06A4" w:rsidRPr="00834880" w:rsidRDefault="00AA06A4" w:rsidP="008D0DE2">
      <w:pPr>
        <w:spacing w:line="240" w:lineRule="auto"/>
        <w:jc w:val="both"/>
        <w:rPr>
          <w:rFonts w:ascii="Times New Roman" w:hAnsi="Times New Roman" w:cs="Times New Roman"/>
          <w:b/>
        </w:rPr>
      </w:pPr>
      <w:r w:rsidRPr="00834880">
        <w:rPr>
          <w:rFonts w:ascii="Times New Roman" w:hAnsi="Times New Roman" w:cs="Times New Roman"/>
          <w:b/>
        </w:rPr>
        <w:t xml:space="preserve">Ancient Sources: </w:t>
      </w:r>
    </w:p>
    <w:p w14:paraId="2E13FAC9" w14:textId="5544D298" w:rsidR="00834880" w:rsidRDefault="00834880" w:rsidP="008D0DE2">
      <w:pPr>
        <w:spacing w:line="240" w:lineRule="auto"/>
        <w:jc w:val="both"/>
        <w:rPr>
          <w:rFonts w:ascii="Times New Roman" w:hAnsi="Times New Roman" w:cs="Times New Roman"/>
        </w:rPr>
      </w:pPr>
      <w:r w:rsidRPr="00834880">
        <w:rPr>
          <w:rFonts w:ascii="Times New Roman" w:hAnsi="Times New Roman" w:cs="Times New Roman"/>
        </w:rPr>
        <w:t>Herodotus ‘Histories’ Trans. A. De Selincourt. Penguin Books 1972</w:t>
      </w:r>
    </w:p>
    <w:p w14:paraId="391F1240" w14:textId="1D28644A" w:rsidR="00834880" w:rsidRDefault="00834880" w:rsidP="008D0DE2">
      <w:pPr>
        <w:spacing w:line="240" w:lineRule="auto"/>
        <w:jc w:val="both"/>
        <w:rPr>
          <w:rFonts w:ascii="Times New Roman" w:hAnsi="Times New Roman" w:cs="Times New Roman"/>
        </w:rPr>
      </w:pPr>
      <w:r w:rsidRPr="00834880">
        <w:rPr>
          <w:rFonts w:ascii="Times New Roman" w:hAnsi="Times New Roman" w:cs="Times New Roman"/>
        </w:rPr>
        <w:t>Plutarch ‘Lives VIII’ Cambridge MA 1919</w:t>
      </w:r>
    </w:p>
    <w:p w14:paraId="04E0869F" w14:textId="319C3344" w:rsidR="00834880" w:rsidRDefault="00AA06A4" w:rsidP="008D0DE2">
      <w:pPr>
        <w:spacing w:line="240" w:lineRule="auto"/>
        <w:jc w:val="both"/>
        <w:rPr>
          <w:rFonts w:ascii="Times New Roman" w:hAnsi="Times New Roman" w:cs="Times New Roman"/>
        </w:rPr>
      </w:pPr>
      <w:r>
        <w:rPr>
          <w:rFonts w:ascii="Times New Roman" w:hAnsi="Times New Roman" w:cs="Times New Roman"/>
        </w:rPr>
        <w:t>Thucydides</w:t>
      </w:r>
      <w:r w:rsidR="00141AE8">
        <w:rPr>
          <w:rFonts w:ascii="Times New Roman" w:hAnsi="Times New Roman" w:cs="Times New Roman"/>
        </w:rPr>
        <w:t xml:space="preserve"> ‘History of the Peloponnesian War’ Trans. W.R Connor. Princeton </w:t>
      </w:r>
      <w:proofErr w:type="gramStart"/>
      <w:r w:rsidR="00141AE8">
        <w:rPr>
          <w:rFonts w:ascii="Times New Roman" w:hAnsi="Times New Roman" w:cs="Times New Roman"/>
        </w:rPr>
        <w:t>university</w:t>
      </w:r>
      <w:proofErr w:type="gramEnd"/>
      <w:r w:rsidR="00141AE8">
        <w:rPr>
          <w:rFonts w:ascii="Times New Roman" w:hAnsi="Times New Roman" w:cs="Times New Roman"/>
        </w:rPr>
        <w:t xml:space="preserve"> Press 2013</w:t>
      </w:r>
      <w:r w:rsidR="00141AE8" w:rsidRPr="00141AE8">
        <w:rPr>
          <w:rFonts w:ascii="Times New Roman" w:hAnsi="Times New Roman" w:cs="Times New Roman"/>
        </w:rPr>
        <w:t xml:space="preserve">  </w:t>
      </w:r>
    </w:p>
    <w:p w14:paraId="50677D03" w14:textId="1074C600" w:rsidR="00834880" w:rsidRDefault="00834880" w:rsidP="008D0DE2">
      <w:pPr>
        <w:spacing w:line="240" w:lineRule="auto"/>
        <w:jc w:val="both"/>
        <w:rPr>
          <w:rFonts w:ascii="Times New Roman" w:hAnsi="Times New Roman" w:cs="Times New Roman"/>
        </w:rPr>
      </w:pPr>
      <w:r>
        <w:rPr>
          <w:rFonts w:ascii="Times New Roman" w:hAnsi="Times New Roman" w:cs="Times New Roman"/>
        </w:rPr>
        <w:t>Xenophon ‘</w:t>
      </w:r>
      <w:proofErr w:type="spellStart"/>
      <w:r>
        <w:rPr>
          <w:rFonts w:ascii="Times New Roman" w:hAnsi="Times New Roman" w:cs="Times New Roman"/>
        </w:rPr>
        <w:t>Hellenika</w:t>
      </w:r>
      <w:proofErr w:type="spellEnd"/>
      <w:r>
        <w:rPr>
          <w:rFonts w:ascii="Times New Roman" w:hAnsi="Times New Roman" w:cs="Times New Roman"/>
        </w:rPr>
        <w:t xml:space="preserve">’ Penguin Books </w:t>
      </w:r>
    </w:p>
    <w:p w14:paraId="2266B24C" w14:textId="7D3129C8" w:rsidR="00834880" w:rsidRDefault="00834880" w:rsidP="008716FE">
      <w:pPr>
        <w:spacing w:line="480" w:lineRule="auto"/>
        <w:jc w:val="both"/>
        <w:rPr>
          <w:rFonts w:ascii="Times New Roman" w:hAnsi="Times New Roman" w:cs="Times New Roman"/>
        </w:rPr>
      </w:pPr>
    </w:p>
    <w:p w14:paraId="621CE4D3" w14:textId="0C9C0D2D" w:rsidR="00834880" w:rsidRDefault="00834880" w:rsidP="008716FE">
      <w:pPr>
        <w:spacing w:line="480" w:lineRule="auto"/>
        <w:jc w:val="both"/>
        <w:rPr>
          <w:rFonts w:ascii="Times New Roman" w:hAnsi="Times New Roman" w:cs="Times New Roman"/>
          <w:b/>
        </w:rPr>
      </w:pPr>
      <w:r w:rsidRPr="00834880">
        <w:rPr>
          <w:rFonts w:ascii="Times New Roman" w:hAnsi="Times New Roman" w:cs="Times New Roman"/>
          <w:b/>
        </w:rPr>
        <w:t>Modern Scholarship:</w:t>
      </w:r>
      <w:bookmarkStart w:id="0" w:name="_GoBack"/>
      <w:bookmarkEnd w:id="0"/>
    </w:p>
    <w:p w14:paraId="59B21CBC" w14:textId="5EFD2B61" w:rsidR="00834880" w:rsidRDefault="00834880" w:rsidP="008D0DE2">
      <w:pPr>
        <w:spacing w:line="240" w:lineRule="auto"/>
        <w:jc w:val="both"/>
        <w:rPr>
          <w:rFonts w:ascii="Times New Roman" w:hAnsi="Times New Roman" w:cs="Times New Roman"/>
        </w:rPr>
      </w:pPr>
      <w:r w:rsidRPr="00834880">
        <w:rPr>
          <w:rFonts w:ascii="Times New Roman" w:hAnsi="Times New Roman" w:cs="Times New Roman"/>
        </w:rPr>
        <w:t xml:space="preserve">  M.R Christ ‘Hoplite conscription in Classical Athens’ The Classical Quarterly. Vol.52 No.2 (2001) pp.398-422 P398</w:t>
      </w:r>
    </w:p>
    <w:p w14:paraId="3175FE2F" w14:textId="00D1BF5B" w:rsidR="00834880" w:rsidRDefault="00834880" w:rsidP="008D0DE2">
      <w:pPr>
        <w:spacing w:line="240" w:lineRule="auto"/>
        <w:jc w:val="both"/>
        <w:rPr>
          <w:rFonts w:ascii="Times New Roman" w:hAnsi="Times New Roman" w:cs="Times New Roman"/>
        </w:rPr>
      </w:pPr>
      <w:r>
        <w:rPr>
          <w:rFonts w:ascii="Times New Roman" w:hAnsi="Times New Roman" w:cs="Times New Roman"/>
        </w:rPr>
        <w:t>V.D Hanson ‘Wars of the Ancient Greeks’ 1999 Smithsonian Books</w:t>
      </w:r>
    </w:p>
    <w:p w14:paraId="09A6C97F" w14:textId="30524DD9" w:rsidR="00834880" w:rsidRDefault="00834880" w:rsidP="008D0DE2">
      <w:pPr>
        <w:spacing w:line="240" w:lineRule="auto"/>
        <w:jc w:val="both"/>
        <w:rPr>
          <w:rFonts w:ascii="Times New Roman" w:hAnsi="Times New Roman" w:cs="Times New Roman"/>
        </w:rPr>
      </w:pPr>
      <w:r>
        <w:rPr>
          <w:rFonts w:ascii="Times New Roman" w:hAnsi="Times New Roman" w:cs="Times New Roman"/>
        </w:rPr>
        <w:t xml:space="preserve">S. </w:t>
      </w:r>
      <w:proofErr w:type="spellStart"/>
      <w:r>
        <w:rPr>
          <w:rFonts w:ascii="Times New Roman" w:hAnsi="Times New Roman" w:cs="Times New Roman"/>
        </w:rPr>
        <w:t>Hornblower</w:t>
      </w:r>
      <w:proofErr w:type="spellEnd"/>
      <w:r>
        <w:rPr>
          <w:rFonts w:ascii="Times New Roman" w:hAnsi="Times New Roman" w:cs="Times New Roman"/>
        </w:rPr>
        <w:t xml:space="preserve"> ‘The Greek World</w:t>
      </w:r>
      <w:proofErr w:type="gramStart"/>
      <w:r>
        <w:rPr>
          <w:rFonts w:ascii="Times New Roman" w:hAnsi="Times New Roman" w:cs="Times New Roman"/>
        </w:rPr>
        <w:t>:479</w:t>
      </w:r>
      <w:proofErr w:type="gramEnd"/>
      <w:r>
        <w:rPr>
          <w:rFonts w:ascii="Times New Roman" w:hAnsi="Times New Roman" w:cs="Times New Roman"/>
        </w:rPr>
        <w:t>-323BC’ 2011 Routledge</w:t>
      </w:r>
    </w:p>
    <w:p w14:paraId="608148D5" w14:textId="242D8E12" w:rsidR="00834880" w:rsidRDefault="00834880" w:rsidP="008D0DE2">
      <w:pPr>
        <w:spacing w:line="240" w:lineRule="auto"/>
        <w:jc w:val="both"/>
        <w:rPr>
          <w:rFonts w:ascii="Times New Roman" w:hAnsi="Times New Roman" w:cs="Times New Roman"/>
        </w:rPr>
      </w:pPr>
      <w:r>
        <w:rPr>
          <w:rFonts w:ascii="Times New Roman" w:hAnsi="Times New Roman" w:cs="Times New Roman"/>
        </w:rPr>
        <w:t>M.H Hansen ‘The number of Athenian Hoplites in 431BC’ SO 56, 19-32</w:t>
      </w:r>
    </w:p>
    <w:p w14:paraId="12599FF7" w14:textId="135A744A" w:rsidR="00834880" w:rsidRDefault="00834880" w:rsidP="008D0DE2">
      <w:pPr>
        <w:spacing w:line="240" w:lineRule="auto"/>
        <w:jc w:val="both"/>
        <w:rPr>
          <w:rFonts w:ascii="Times New Roman" w:hAnsi="Times New Roman" w:cs="Times New Roman"/>
        </w:rPr>
      </w:pPr>
      <w:r w:rsidRPr="00834880">
        <w:rPr>
          <w:rFonts w:ascii="Times New Roman" w:hAnsi="Times New Roman" w:cs="Times New Roman"/>
        </w:rPr>
        <w:t xml:space="preserve">H. Van Wees ‘Greek Warfare: Myth and Reality’ 2005 Duckworth </w:t>
      </w:r>
    </w:p>
    <w:p w14:paraId="02AFFEB7" w14:textId="40AB9AAC" w:rsidR="00834880" w:rsidRDefault="00834880" w:rsidP="008D0DE2">
      <w:pPr>
        <w:spacing w:line="240" w:lineRule="auto"/>
        <w:jc w:val="both"/>
        <w:rPr>
          <w:rFonts w:ascii="Times New Roman" w:hAnsi="Times New Roman" w:cs="Times New Roman"/>
        </w:rPr>
      </w:pPr>
      <w:r>
        <w:rPr>
          <w:rFonts w:ascii="Times New Roman" w:hAnsi="Times New Roman" w:cs="Times New Roman"/>
        </w:rPr>
        <w:t xml:space="preserve"> H. Van Wees’ War and Violence in Ancient Greece’ 2009 Classical press of Wales</w:t>
      </w:r>
    </w:p>
    <w:p w14:paraId="1FCCE009" w14:textId="77777777" w:rsidR="00834880" w:rsidRPr="00834880" w:rsidRDefault="00834880" w:rsidP="008716FE">
      <w:pPr>
        <w:spacing w:line="480" w:lineRule="auto"/>
        <w:jc w:val="both"/>
        <w:rPr>
          <w:rFonts w:ascii="Times New Roman" w:hAnsi="Times New Roman" w:cs="Times New Roman"/>
        </w:rPr>
      </w:pPr>
    </w:p>
    <w:sectPr w:rsidR="00834880" w:rsidRPr="008348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017433" w14:textId="77777777" w:rsidR="00B36907" w:rsidRDefault="00B36907" w:rsidP="0095481D">
      <w:pPr>
        <w:spacing w:after="0" w:line="240" w:lineRule="auto"/>
      </w:pPr>
      <w:r>
        <w:separator/>
      </w:r>
    </w:p>
  </w:endnote>
  <w:endnote w:type="continuationSeparator" w:id="0">
    <w:p w14:paraId="6DAA3D1B" w14:textId="77777777" w:rsidR="00B36907" w:rsidRDefault="00B36907" w:rsidP="00954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748260" w14:textId="77777777" w:rsidR="00B36907" w:rsidRDefault="00B36907" w:rsidP="0095481D">
      <w:pPr>
        <w:spacing w:after="0" w:line="240" w:lineRule="auto"/>
      </w:pPr>
      <w:r>
        <w:separator/>
      </w:r>
    </w:p>
  </w:footnote>
  <w:footnote w:type="continuationSeparator" w:id="0">
    <w:p w14:paraId="1620E85E" w14:textId="77777777" w:rsidR="00B36907" w:rsidRDefault="00B36907" w:rsidP="0095481D">
      <w:pPr>
        <w:spacing w:after="0" w:line="240" w:lineRule="auto"/>
      </w:pPr>
      <w:r>
        <w:continuationSeparator/>
      </w:r>
    </w:p>
  </w:footnote>
  <w:footnote w:id="1">
    <w:p w14:paraId="5A38C3BB" w14:textId="0D09FB15" w:rsidR="0095481D" w:rsidRDefault="0095481D">
      <w:pPr>
        <w:pStyle w:val="FootnoteText"/>
      </w:pPr>
      <w:r>
        <w:rPr>
          <w:rStyle w:val="FootnoteReference"/>
        </w:rPr>
        <w:footnoteRef/>
      </w:r>
      <w:r>
        <w:t xml:space="preserve"> M.R Christ ‘Hoplite conscription in Classical Athens’ The Classical Quarterly. Vol.52 No.2 (2001) pp.398-422 P398</w:t>
      </w:r>
    </w:p>
  </w:footnote>
  <w:footnote w:id="2">
    <w:p w14:paraId="02D422EF" w14:textId="57ADF218" w:rsidR="00D748A9" w:rsidRDefault="00D748A9">
      <w:pPr>
        <w:pStyle w:val="FootnoteText"/>
      </w:pPr>
      <w:r>
        <w:rPr>
          <w:rStyle w:val="FootnoteReference"/>
        </w:rPr>
        <w:footnoteRef/>
      </w:r>
      <w:r>
        <w:t xml:space="preserve"> Ibid: p400</w:t>
      </w:r>
    </w:p>
  </w:footnote>
  <w:footnote w:id="3">
    <w:p w14:paraId="1B6F0D3E" w14:textId="1AFEB20A" w:rsidR="00D748A9" w:rsidRDefault="00D748A9">
      <w:pPr>
        <w:pStyle w:val="FootnoteText"/>
      </w:pPr>
      <w:r>
        <w:rPr>
          <w:rStyle w:val="FootnoteReference"/>
        </w:rPr>
        <w:footnoteRef/>
      </w:r>
      <w:r>
        <w:t xml:space="preserve"> P.J. Rhodes ‘Thucydides’ History II, Warminster 1988 </w:t>
      </w:r>
    </w:p>
  </w:footnote>
  <w:footnote w:id="4">
    <w:p w14:paraId="2B5953B6" w14:textId="3D8E9C06" w:rsidR="00800ABD" w:rsidRDefault="00800ABD">
      <w:pPr>
        <w:pStyle w:val="FootnoteText"/>
      </w:pPr>
      <w:r>
        <w:rPr>
          <w:rStyle w:val="FootnoteReference"/>
        </w:rPr>
        <w:footnoteRef/>
      </w:r>
      <w:r>
        <w:t xml:space="preserve"> Christ. M 2001</w:t>
      </w:r>
    </w:p>
  </w:footnote>
  <w:footnote w:id="5">
    <w:p w14:paraId="4640AB1D" w14:textId="42C775A2" w:rsidR="00E244C3" w:rsidRDefault="00E244C3">
      <w:pPr>
        <w:pStyle w:val="FootnoteText"/>
      </w:pPr>
      <w:r>
        <w:rPr>
          <w:rStyle w:val="FootnoteReference"/>
        </w:rPr>
        <w:footnoteRef/>
      </w:r>
      <w:r>
        <w:t xml:space="preserve"> </w:t>
      </w:r>
      <w:r w:rsidR="00800ABD">
        <w:t xml:space="preserve">Ibid </w:t>
      </w:r>
    </w:p>
  </w:footnote>
  <w:footnote w:id="6">
    <w:p w14:paraId="313AF165" w14:textId="4A4C174A" w:rsidR="00800ABD" w:rsidRDefault="00800ABD">
      <w:pPr>
        <w:pStyle w:val="FootnoteText"/>
      </w:pPr>
      <w:r>
        <w:rPr>
          <w:rStyle w:val="FootnoteReference"/>
        </w:rPr>
        <w:footnoteRef/>
      </w:r>
      <w:r>
        <w:t xml:space="preserve"> Ibid</w:t>
      </w:r>
    </w:p>
  </w:footnote>
  <w:footnote w:id="7">
    <w:p w14:paraId="63D6F389" w14:textId="5A1B15DC" w:rsidR="00400391" w:rsidRDefault="00400391">
      <w:pPr>
        <w:pStyle w:val="FootnoteText"/>
      </w:pPr>
      <w:r>
        <w:rPr>
          <w:rStyle w:val="FootnoteReference"/>
        </w:rPr>
        <w:footnoteRef/>
      </w:r>
      <w:r>
        <w:t xml:space="preserve"> H. Van Wees ‘Greek Warfare: Myth and Reality’ 2005 Duckworth p93-101</w:t>
      </w:r>
    </w:p>
  </w:footnote>
  <w:footnote w:id="8">
    <w:p w14:paraId="090FAF37" w14:textId="5A72DB4D" w:rsidR="00E244C3" w:rsidRDefault="00E244C3">
      <w:pPr>
        <w:pStyle w:val="FootnoteText"/>
      </w:pPr>
      <w:r>
        <w:rPr>
          <w:rStyle w:val="FootnoteReference"/>
        </w:rPr>
        <w:footnoteRef/>
      </w:r>
      <w:r>
        <w:t xml:space="preserve"> Ibid: p94</w:t>
      </w:r>
    </w:p>
  </w:footnote>
  <w:footnote w:id="9">
    <w:p w14:paraId="4FF71FC5" w14:textId="114D9266" w:rsidR="00723BCA" w:rsidRDefault="00723BCA">
      <w:pPr>
        <w:pStyle w:val="FootnoteText"/>
      </w:pPr>
      <w:r>
        <w:rPr>
          <w:rStyle w:val="FootnoteReference"/>
        </w:rPr>
        <w:footnoteRef/>
      </w:r>
      <w:r>
        <w:t xml:space="preserve"> Plutarch ‘Lives VIII’ Cambridge MA 1919. Cited by M.R Christ ‘Hoplite conscription in Classical Athens’ 2001 </w:t>
      </w:r>
    </w:p>
  </w:footnote>
  <w:footnote w:id="10">
    <w:p w14:paraId="26E7B71E" w14:textId="271B9BE8" w:rsidR="00007E86" w:rsidRDefault="00007E86">
      <w:pPr>
        <w:pStyle w:val="FootnoteText"/>
      </w:pPr>
      <w:r>
        <w:rPr>
          <w:rStyle w:val="FootnoteReference"/>
        </w:rPr>
        <w:footnoteRef/>
      </w:r>
      <w:r>
        <w:t xml:space="preserve"> Christ. M 2001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16FE"/>
    <w:rsid w:val="00007E86"/>
    <w:rsid w:val="00044BEE"/>
    <w:rsid w:val="0006546F"/>
    <w:rsid w:val="000767B5"/>
    <w:rsid w:val="000E450C"/>
    <w:rsid w:val="000F4608"/>
    <w:rsid w:val="00141AE8"/>
    <w:rsid w:val="00187B4D"/>
    <w:rsid w:val="002A6321"/>
    <w:rsid w:val="00364BDF"/>
    <w:rsid w:val="00400391"/>
    <w:rsid w:val="00437F4E"/>
    <w:rsid w:val="00514B71"/>
    <w:rsid w:val="005520A0"/>
    <w:rsid w:val="00561929"/>
    <w:rsid w:val="00567170"/>
    <w:rsid w:val="005A3249"/>
    <w:rsid w:val="005B0061"/>
    <w:rsid w:val="00627682"/>
    <w:rsid w:val="00681BCF"/>
    <w:rsid w:val="006C1F15"/>
    <w:rsid w:val="006D3F0C"/>
    <w:rsid w:val="006E3EAB"/>
    <w:rsid w:val="00723BCA"/>
    <w:rsid w:val="00762A0D"/>
    <w:rsid w:val="00800ABD"/>
    <w:rsid w:val="00834880"/>
    <w:rsid w:val="008716FE"/>
    <w:rsid w:val="008B28FC"/>
    <w:rsid w:val="008D0DE2"/>
    <w:rsid w:val="008E1F8D"/>
    <w:rsid w:val="00910397"/>
    <w:rsid w:val="0095481D"/>
    <w:rsid w:val="00A32CB9"/>
    <w:rsid w:val="00A823C5"/>
    <w:rsid w:val="00AA06A4"/>
    <w:rsid w:val="00AD5D8D"/>
    <w:rsid w:val="00B36907"/>
    <w:rsid w:val="00B86ADD"/>
    <w:rsid w:val="00BA54FF"/>
    <w:rsid w:val="00CC7E22"/>
    <w:rsid w:val="00CE4ED9"/>
    <w:rsid w:val="00D43285"/>
    <w:rsid w:val="00D65718"/>
    <w:rsid w:val="00D748A9"/>
    <w:rsid w:val="00E244C3"/>
    <w:rsid w:val="00EE73AC"/>
    <w:rsid w:val="00F213CA"/>
    <w:rsid w:val="00F740DB"/>
    <w:rsid w:val="00FA2197"/>
    <w:rsid w:val="00FD6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1D7F4"/>
  <w15:chartTrackingRefBased/>
  <w15:docId w15:val="{A58A5C2E-6C2D-4775-8197-73B1425C7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548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481D"/>
    <w:rPr>
      <w:sz w:val="20"/>
      <w:szCs w:val="20"/>
    </w:rPr>
  </w:style>
  <w:style w:type="character" w:styleId="FootnoteReference">
    <w:name w:val="footnote reference"/>
    <w:basedOn w:val="DefaultParagraphFont"/>
    <w:uiPriority w:val="99"/>
    <w:semiHidden/>
    <w:unhideWhenUsed/>
    <w:rsid w:val="0095481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15D94-E77C-4909-BB4D-6E0532CD5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6</Pages>
  <Words>1932</Words>
  <Characters>11017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Louix Farthing</dc:creator>
  <cp:keywords/>
  <dc:description/>
  <cp:lastModifiedBy>Louix Farthing (1401504)</cp:lastModifiedBy>
  <cp:revision>19</cp:revision>
  <dcterms:created xsi:type="dcterms:W3CDTF">2018-03-15T16:42:00Z</dcterms:created>
  <dcterms:modified xsi:type="dcterms:W3CDTF">2018-03-15T23:52:00Z</dcterms:modified>
</cp:coreProperties>
</file>