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56112" w14:textId="77777777" w:rsidR="00E00F87" w:rsidRDefault="00E00F87" w:rsidP="00E00F87">
      <w:pPr>
        <w:pStyle w:val="paragraph"/>
        <w:spacing w:before="0" w:beforeAutospacing="0" w:after="0" w:afterAutospacing="0" w:line="480" w:lineRule="auto"/>
        <w:textAlignment w:val="baseline"/>
        <w:rPr>
          <w:rStyle w:val="normaltextrun"/>
          <w:rFonts w:ascii="Calibri" w:hAnsi="Calibri" w:cs="Calibri"/>
          <w:sz w:val="22"/>
          <w:szCs w:val="22"/>
        </w:rPr>
      </w:pPr>
    </w:p>
    <w:p w14:paraId="2379D7D7"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r>
        <w:rPr>
          <w:rStyle w:val="normaltextrun"/>
          <w:rFonts w:ascii="Calibri" w:hAnsi="Calibri" w:cs="Calibri"/>
          <w:sz w:val="22"/>
          <w:szCs w:val="22"/>
        </w:rPr>
        <w:t xml:space="preserve">The curriculum for Wales (2022) proposes four purposes for preparing students. This encouraging imagination, decision making, competence and organisation. The Welsh Government (2022a) developed these purposes to ensure students are gifted with skills to such as teamwork, technological awareness, and creativity to prepare them for modern society.  The Welsh Government (2022b) composed cross curricular teaching whereby students connect with the full scope of the curriculum to comprehend the four purposes. The Welsh Government (2022) </w:t>
      </w:r>
      <w:r>
        <w:rPr>
          <w:rStyle w:val="eop"/>
          <w:rFonts w:ascii="Calibri" w:hAnsi="Calibri" w:cs="Calibri"/>
          <w:sz w:val="22"/>
          <w:szCs w:val="22"/>
        </w:rPr>
        <w:t xml:space="preserve">state that numeracy, literacy, and digital competency should be taught as obligatory cross curricular subjects. The </w:t>
      </w:r>
      <w:r>
        <w:rPr>
          <w:rStyle w:val="normaltextrun"/>
          <w:rFonts w:ascii="Calibri" w:hAnsi="Calibri" w:cs="Calibri"/>
          <w:sz w:val="22"/>
          <w:szCs w:val="22"/>
        </w:rPr>
        <w:t>Welsh Government</w:t>
      </w:r>
      <w:r>
        <w:rPr>
          <w:rStyle w:val="eop"/>
          <w:rFonts w:ascii="Calibri" w:hAnsi="Calibri" w:cs="Calibri"/>
          <w:sz w:val="22"/>
          <w:szCs w:val="22"/>
        </w:rPr>
        <w:t xml:space="preserve"> (2022) created non-statutory framework as a guidance for practioners. Having said this, the </w:t>
      </w:r>
      <w:r>
        <w:rPr>
          <w:rStyle w:val="normaltextrun"/>
          <w:rFonts w:ascii="Calibri" w:hAnsi="Calibri" w:cs="Calibri"/>
          <w:sz w:val="22"/>
          <w:szCs w:val="22"/>
        </w:rPr>
        <w:t>Curriculum for Wales</w:t>
      </w:r>
      <w:r>
        <w:rPr>
          <w:rStyle w:val="eop"/>
          <w:rFonts w:ascii="Calibri" w:hAnsi="Calibri" w:cs="Calibri"/>
          <w:sz w:val="22"/>
          <w:szCs w:val="22"/>
        </w:rPr>
        <w:t xml:space="preserve"> (2022) specifies that curriculum needs are dependent on context of the location and type of school. An example of this, is that in Wales, the Welsh language must be incorporated into the curriculum to amplify importance of culture.</w:t>
      </w:r>
    </w:p>
    <w:p w14:paraId="145A26F4"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p>
    <w:p w14:paraId="61951BEE"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r>
        <w:rPr>
          <w:rStyle w:val="eop"/>
          <w:rFonts w:ascii="Calibri" w:hAnsi="Calibri" w:cs="Calibri"/>
          <w:sz w:val="22"/>
          <w:szCs w:val="22"/>
        </w:rPr>
        <w:t xml:space="preserve">Beckmann (2009) sees cross curricular teaching as amalgamating two or more areas of learning into one lesson. Timmerman (2017) States that cross curricular approaches support students that may struggle when accessing information as it offers alternative perspectives on concepts. Ashbrook (2019) sees cross curricular behaviour as a highly frequent method of communication between teacher and child. Having said this, Parker, Heywood and Jolley (2012) saw that the perceptions of teachers towards cross curriculum was minimum. More recently, Makiharjiu and Hilli (2024) supported that cross curriculum’s impact lacks exploration from practitioners and researchers. Yet, Howard Jones </w:t>
      </w:r>
      <w:r w:rsidRPr="00C9170F">
        <w:rPr>
          <w:rStyle w:val="eop"/>
          <w:rFonts w:ascii="Calibri" w:hAnsi="Calibri" w:cs="Calibri"/>
          <w:i/>
          <w:iCs/>
          <w:sz w:val="22"/>
          <w:szCs w:val="22"/>
        </w:rPr>
        <w:t>et a</w:t>
      </w:r>
      <w:r>
        <w:rPr>
          <w:rStyle w:val="eop"/>
          <w:rFonts w:ascii="Calibri" w:hAnsi="Calibri" w:cs="Calibri"/>
          <w:sz w:val="22"/>
          <w:szCs w:val="22"/>
        </w:rPr>
        <w:t>l. (2021) gathered a consensus seeing that teachers were open with students about cross curricular links within their teaching- seeing it as advantageous. In agreeance, Parker, Heywood and Jolley (2012) conducted a study whereby 92% of teachers commended cross curricular teaching, However, Niamela (2020) talks on subject boundaries when looking at cross curricular combination following the notion that coherent features of the subjects are needed for the learning to be effective. Additionally,</w:t>
      </w:r>
      <w:r w:rsidRPr="00F6217B">
        <w:rPr>
          <w:rStyle w:val="eop"/>
          <w:rFonts w:ascii="Calibri" w:hAnsi="Calibri" w:cs="Calibri"/>
          <w:sz w:val="22"/>
          <w:szCs w:val="22"/>
        </w:rPr>
        <w:t xml:space="preserve"> </w:t>
      </w:r>
      <w:r>
        <w:rPr>
          <w:rStyle w:val="eop"/>
          <w:rFonts w:ascii="Calibri" w:hAnsi="Calibri" w:cs="Calibri"/>
          <w:sz w:val="22"/>
          <w:szCs w:val="22"/>
        </w:rPr>
        <w:t xml:space="preserve">The OECD (2024) argue that the use of cross curriculum approaches can </w:t>
      </w:r>
      <w:r>
        <w:rPr>
          <w:rStyle w:val="eop"/>
          <w:rFonts w:ascii="Calibri" w:hAnsi="Calibri" w:cs="Calibri"/>
          <w:sz w:val="22"/>
          <w:szCs w:val="22"/>
        </w:rPr>
        <w:lastRenderedPageBreak/>
        <w:t>cause a widening in attainment in context of advantaged and disadvantaged schools. They indicate that resources should be matching for all areas when implementing cross curricular teaching.</w:t>
      </w:r>
    </w:p>
    <w:p w14:paraId="305D69A1"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p>
    <w:p w14:paraId="0AAA1C1C"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r>
        <w:rPr>
          <w:rStyle w:val="eop"/>
          <w:rFonts w:ascii="Calibri" w:hAnsi="Calibri" w:cs="Calibri"/>
          <w:sz w:val="22"/>
          <w:szCs w:val="22"/>
        </w:rPr>
        <w:t xml:space="preserve">Polman, Hornstra and Volman (2019) perceived that the use of cross curriculum practise was beneficial for application skills alongside making learning purposeful. This linking to the Welsh Government (2022) four purposes attempt for preparation for the modern world. Munoz </w:t>
      </w:r>
      <w:r w:rsidRPr="00FC31BA">
        <w:rPr>
          <w:rStyle w:val="eop"/>
          <w:rFonts w:ascii="Calibri" w:hAnsi="Calibri" w:cs="Calibri"/>
          <w:i/>
          <w:iCs/>
          <w:sz w:val="22"/>
          <w:szCs w:val="22"/>
        </w:rPr>
        <w:t>et al.</w:t>
      </w:r>
      <w:r>
        <w:rPr>
          <w:rStyle w:val="eop"/>
          <w:rFonts w:ascii="Calibri" w:hAnsi="Calibri" w:cs="Calibri"/>
          <w:sz w:val="22"/>
          <w:szCs w:val="22"/>
        </w:rPr>
        <w:t xml:space="preserve"> (2021) observed a link between digital competence development through cross curricular projects. Aslan (2016) illudes that through literacy tasks, such as comprehensions with exciting cross curricular themes create active readers due to engagement increase.  The EiE (2023) propose that due to the short in class interactions, the use of cross curricular activities not only engages but enhances the amount of learning that occurs in schools. ESTYN (2024) observed a school that used play and enhanced provision activities to encourage rich cross curricular skills to grow.</w:t>
      </w:r>
    </w:p>
    <w:p w14:paraId="3B0510C0"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p>
    <w:p w14:paraId="4C606087"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p>
    <w:p w14:paraId="2863FF86" w14:textId="77777777" w:rsidR="00E00F87" w:rsidRPr="00840BCE" w:rsidRDefault="00E00F87" w:rsidP="00E00F87">
      <w:pPr>
        <w:pStyle w:val="paragraph"/>
        <w:spacing w:before="0" w:beforeAutospacing="0" w:after="0" w:afterAutospacing="0" w:line="480" w:lineRule="auto"/>
        <w:textAlignment w:val="baseline"/>
        <w:rPr>
          <w:rStyle w:val="eop"/>
          <w:rFonts w:ascii="Calibri" w:hAnsi="Calibri" w:cs="Calibri"/>
          <w:sz w:val="40"/>
          <w:szCs w:val="40"/>
        </w:rPr>
      </w:pPr>
    </w:p>
    <w:p w14:paraId="1F4E8169" w14:textId="77777777" w:rsidR="00E00F87" w:rsidRPr="00F16CCD" w:rsidRDefault="00E00F87" w:rsidP="00E00F87">
      <w:pPr>
        <w:pStyle w:val="paragraph"/>
        <w:spacing w:before="0" w:beforeAutospacing="0" w:after="0" w:afterAutospacing="0" w:line="480" w:lineRule="auto"/>
        <w:textAlignment w:val="baseline"/>
        <w:rPr>
          <w:rStyle w:val="eop"/>
          <w:rFonts w:ascii="Calibri" w:hAnsi="Calibri" w:cs="Calibri"/>
          <w:sz w:val="40"/>
          <w:szCs w:val="40"/>
        </w:rPr>
      </w:pPr>
      <w:r w:rsidRPr="00840BCE">
        <w:rPr>
          <w:rStyle w:val="eop"/>
          <w:rFonts w:ascii="Calibri" w:hAnsi="Calibri" w:cs="Calibri"/>
          <w:sz w:val="40"/>
          <w:szCs w:val="40"/>
        </w:rPr>
        <w:t xml:space="preserve">Main body </w:t>
      </w:r>
    </w:p>
    <w:p w14:paraId="21C768CC"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r>
        <w:rPr>
          <w:rStyle w:val="eop"/>
          <w:rFonts w:ascii="Calibri" w:hAnsi="Calibri" w:cs="Calibri"/>
          <w:sz w:val="22"/>
          <w:szCs w:val="22"/>
        </w:rPr>
        <w:t xml:space="preserve"> In agreement with the WG (2022) belief that literacy numeracy and digital competency should be mandatory, Crick (2022) agrees stating that is a great importance for the skills within these topics for children in their future lives. Kerry (2015) suggests that cross curricular teaching benefits workload of practitioners as well as the children due to the combination of different subjects. Counter to this, Sekin and Gozutok (2010) gathered teacher’s view on cross curriculum teaching, concluding that 73.8% had to find additional time to deliver the cross curricular approach. However,</w:t>
      </w:r>
      <w:r w:rsidRPr="00B24EB5">
        <w:rPr>
          <w:rStyle w:val="eop"/>
          <w:rFonts w:ascii="Calibri" w:hAnsi="Calibri" w:cs="Calibri"/>
          <w:sz w:val="22"/>
          <w:szCs w:val="22"/>
        </w:rPr>
        <w:t xml:space="preserve"> </w:t>
      </w:r>
      <w:r>
        <w:rPr>
          <w:rStyle w:val="eop"/>
          <w:rFonts w:ascii="Calibri" w:hAnsi="Calibri" w:cs="Calibri"/>
          <w:sz w:val="22"/>
          <w:szCs w:val="22"/>
        </w:rPr>
        <w:t xml:space="preserve">Penchalk’s (2015) research revealed that unplanned cross curricular teaching was prevalent throughout. Dewey (1902) favours cross curricular style, arguing that placing teaching into subjects is limiting and </w:t>
      </w:r>
      <w:r>
        <w:rPr>
          <w:rStyle w:val="eop"/>
          <w:rFonts w:ascii="Calibri" w:hAnsi="Calibri" w:cs="Calibri"/>
          <w:sz w:val="22"/>
          <w:szCs w:val="22"/>
        </w:rPr>
        <w:lastRenderedPageBreak/>
        <w:t xml:space="preserve">unnatural for children. Rowley and Cooper (2009) developed Dewey’s perspective, agreeing that cross curricular technique is effective. Yet, dispute that teacher’s individual understanding of each subject can interfere. Kerry (2011) supports this stating that practioners fear that the lack of consensus on subject knowledge is a drawback of the cross-curriculum strategy. However, Barnes and Shirley (2007) advocate that cross curricular teaching supports developing children that are open-minded and adaptable as it blends the subjects. Earley (2019) believes that despite cross curricular provision allows pupils to make links in their learning, subject teaching is more concise. </w:t>
      </w:r>
    </w:p>
    <w:p w14:paraId="7A0C10CE"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p>
    <w:p w14:paraId="3BED9F9B"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r>
        <w:rPr>
          <w:rStyle w:val="eop"/>
          <w:rFonts w:ascii="Calibri" w:hAnsi="Calibri" w:cs="Calibri"/>
          <w:sz w:val="22"/>
          <w:szCs w:val="22"/>
        </w:rPr>
        <w:t xml:space="preserve">Page </w:t>
      </w:r>
      <w:r w:rsidRPr="00143255">
        <w:rPr>
          <w:rStyle w:val="eop"/>
          <w:rFonts w:ascii="Calibri" w:hAnsi="Calibri" w:cs="Calibri"/>
          <w:i/>
          <w:iCs/>
          <w:sz w:val="22"/>
          <w:szCs w:val="22"/>
        </w:rPr>
        <w:t>et al.</w:t>
      </w:r>
      <w:r>
        <w:rPr>
          <w:rStyle w:val="eop"/>
          <w:rFonts w:ascii="Calibri" w:hAnsi="Calibri" w:cs="Calibri"/>
          <w:sz w:val="22"/>
          <w:szCs w:val="22"/>
        </w:rPr>
        <w:t xml:space="preserve"> (2005) sees subject teaching as a negative, arguing that it fails to fully prepare for the skill requirement of the modern world.</w:t>
      </w:r>
      <w:r w:rsidRPr="00214472">
        <w:rPr>
          <w:rStyle w:val="eop"/>
          <w:rFonts w:ascii="Calibri" w:hAnsi="Calibri" w:cs="Calibri"/>
          <w:sz w:val="22"/>
          <w:szCs w:val="22"/>
        </w:rPr>
        <w:t xml:space="preserve"> </w:t>
      </w:r>
      <w:r>
        <w:rPr>
          <w:rStyle w:val="eop"/>
          <w:rFonts w:ascii="Calibri" w:hAnsi="Calibri" w:cs="Calibri"/>
          <w:sz w:val="22"/>
          <w:szCs w:val="22"/>
        </w:rPr>
        <w:t>Additionally, Aasen and Waters (2006) introduce confusion for teachers surrounding cross curricular can stem from contradicting information. Harris (2005) questioned cross curricular teaching. They raise that both practitioner and child are blind to aids and hinderances of the approach. Whitty, Rowe and Aggleton (1994) contend believing that cross curricular teaching can aid with the overload of curriculum needs. Yi Low and Liang (2024) support this believing that cross curricular teaching linked heavily to development of a teacher’s understanding of language and bilingual knowledge.</w:t>
      </w:r>
    </w:p>
    <w:p w14:paraId="2610BF06"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p>
    <w:p w14:paraId="6B7D081E"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r>
        <w:rPr>
          <w:rStyle w:val="eop"/>
          <w:rFonts w:ascii="Calibri" w:hAnsi="Calibri" w:cs="Calibri"/>
          <w:sz w:val="22"/>
          <w:szCs w:val="22"/>
        </w:rPr>
        <w:t>The Welsh Government (2022) uphold the four purposes within the curriculum for Wales. Mac Bride (2021) portrayed that cross curricular teaching can inspire creative planning for teachers. However, Mac Bride (2021) recommended that resources for learners should be made in accordance to the four purposes with the characteristics in mind.  Hayes (2010) believes that cross curricular approach encourages children to make challenge and reason with knowledge learnt. This linking to themes such as decision and problem solving in the Welsh Governments (2022) four purposes. Coinciding with the imagination and competency skills within the four purposes, Barnes (2015</w:t>
      </w:r>
      <w:r w:rsidRPr="00AE28B9">
        <w:rPr>
          <w:rStyle w:val="eop"/>
          <w:rFonts w:asciiTheme="majorHAnsi" w:hAnsiTheme="majorHAnsi" w:cstheme="majorHAnsi"/>
          <w:sz w:val="22"/>
          <w:szCs w:val="22"/>
        </w:rPr>
        <w:t xml:space="preserve">) </w:t>
      </w:r>
      <w:r w:rsidRPr="00AE28B9">
        <w:rPr>
          <w:rFonts w:asciiTheme="majorHAnsi" w:hAnsiTheme="majorHAnsi" w:cstheme="majorHAnsi"/>
          <w:color w:val="000000"/>
          <w:sz w:val="22"/>
          <w:szCs w:val="22"/>
        </w:rPr>
        <w:t>argues that a child's outside of school life is cross curricular through experiences lik</w:t>
      </w:r>
      <w:r>
        <w:rPr>
          <w:rFonts w:asciiTheme="majorHAnsi" w:hAnsiTheme="majorHAnsi" w:cstheme="majorHAnsi"/>
          <w:color w:val="000000"/>
          <w:sz w:val="22"/>
          <w:szCs w:val="22"/>
        </w:rPr>
        <w:t>e outdoor learning.</w:t>
      </w:r>
      <w:r>
        <w:rPr>
          <w:rStyle w:val="eop"/>
          <w:rFonts w:ascii="Calibri" w:hAnsi="Calibri" w:cs="Calibri"/>
          <w:sz w:val="22"/>
          <w:szCs w:val="22"/>
        </w:rPr>
        <w:t xml:space="preserve"> They state that this builds on a child’s intelligence without immediate use of the curriculum. Having said this, </w:t>
      </w:r>
      <w:r>
        <w:rPr>
          <w:rStyle w:val="eop"/>
          <w:rFonts w:ascii="Calibri" w:hAnsi="Calibri" w:cs="Calibri"/>
          <w:sz w:val="22"/>
          <w:szCs w:val="22"/>
        </w:rPr>
        <w:lastRenderedPageBreak/>
        <w:t>Barnes (2018) compelled that practitioners must use awareness of diversity in assistance of collective efforts when learning.</w:t>
      </w:r>
    </w:p>
    <w:p w14:paraId="36AD56EB" w14:textId="77777777" w:rsidR="00E00F87" w:rsidRPr="00840BCE" w:rsidRDefault="00E00F87" w:rsidP="00E00F87">
      <w:pPr>
        <w:pStyle w:val="paragraph"/>
        <w:spacing w:before="0" w:beforeAutospacing="0" w:after="0" w:afterAutospacing="0" w:line="480" w:lineRule="auto"/>
        <w:textAlignment w:val="baseline"/>
        <w:rPr>
          <w:rStyle w:val="eop"/>
          <w:rFonts w:ascii="Calibri" w:hAnsi="Calibri" w:cs="Calibri"/>
          <w:sz w:val="40"/>
          <w:szCs w:val="40"/>
        </w:rPr>
      </w:pPr>
    </w:p>
    <w:p w14:paraId="32EC3E21" w14:textId="77777777" w:rsidR="00E00F87" w:rsidRPr="00840BCE" w:rsidRDefault="00E00F87" w:rsidP="00E00F87">
      <w:pPr>
        <w:pStyle w:val="paragraph"/>
        <w:spacing w:before="0" w:beforeAutospacing="0" w:after="0" w:afterAutospacing="0" w:line="480" w:lineRule="auto"/>
        <w:textAlignment w:val="baseline"/>
        <w:rPr>
          <w:rStyle w:val="eop"/>
          <w:rFonts w:ascii="Calibri" w:hAnsi="Calibri" w:cs="Calibri"/>
          <w:sz w:val="40"/>
          <w:szCs w:val="40"/>
        </w:rPr>
      </w:pPr>
      <w:r w:rsidRPr="00840BCE">
        <w:rPr>
          <w:rStyle w:val="eop"/>
          <w:rFonts w:ascii="Calibri" w:hAnsi="Calibri" w:cs="Calibri"/>
          <w:sz w:val="40"/>
          <w:szCs w:val="40"/>
        </w:rPr>
        <w:t xml:space="preserve">Links to curriculum </w:t>
      </w:r>
    </w:p>
    <w:p w14:paraId="2C1839C7"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r>
        <w:rPr>
          <w:rStyle w:val="eop"/>
          <w:rFonts w:ascii="Calibri" w:hAnsi="Calibri" w:cs="Calibri"/>
          <w:sz w:val="22"/>
          <w:szCs w:val="22"/>
        </w:rPr>
        <w:t>Appendix B shows the ‘hook’ that would be taught and explored prior to the enhanced provision task (appendix C.) Quinn 2017 (quoted in Smith and Loughran, 2017, p.69.) sees the hook as a crucial attribute for a child’s engagement as it acts as a catalyst for their learning. UNICEF highlighted the importance of engagement through the strategic plan, explaining it is the right of the child for their learning to be captivating.</w:t>
      </w:r>
    </w:p>
    <w:p w14:paraId="386D4D34"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highlight w:val="cyan"/>
        </w:rPr>
      </w:pPr>
    </w:p>
    <w:p w14:paraId="5437896C"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r w:rsidRPr="00E228D1">
        <w:rPr>
          <w:rStyle w:val="eop"/>
          <w:rFonts w:ascii="Calibri" w:hAnsi="Calibri" w:cs="Calibri"/>
          <w:sz w:val="22"/>
          <w:szCs w:val="22"/>
        </w:rPr>
        <w:t>The appendix C is a follow-on enhanced provision activity that would be placed in the classroom after receiving the appendix B as a hook.</w:t>
      </w:r>
      <w:r>
        <w:rPr>
          <w:rStyle w:val="eop"/>
          <w:rFonts w:ascii="Calibri" w:hAnsi="Calibri" w:cs="Calibri"/>
          <w:sz w:val="22"/>
          <w:szCs w:val="22"/>
        </w:rPr>
        <w:t xml:space="preserve"> ESTYN (2017) sees enhanced provision as activities that have direct links to skills and tasks taught. This benefiting with deeper learning and awareness of the learning. The Welsh government (2022) list six areas of learning for children, within each area there are multiple what matter statements and progression steps, thus aiding teachers to educate in an evolving outcome for the children.  Appendix C is mainly focused on the teaching of science linking to the curriculum for Wales’s (2022) Science and Technology area of learning. The task focuses on properties and materials alongside their uses, sorting rubbish into the correct bins after watching a video as modelling. Ache, Arca and Sanmarti (2007) informs that modelling for science is crucial for children to link their own thinking to the context of the activity. It also is fitting with the humanity area of learning due to its informative manner, educating children on the importance of environmental issues (see appendix A.) In terms of cross curricular links, the task incorporates all three of the subjects that the Welsh government (2022) state must be evident in cross curricular teaching. Looking at the literacy and numeracy framework (2022) the task has links to literacy </w:t>
      </w:r>
      <w:r>
        <w:rPr>
          <w:rStyle w:val="eop"/>
          <w:rFonts w:ascii="Calibri" w:hAnsi="Calibri" w:cs="Calibri"/>
          <w:sz w:val="22"/>
          <w:szCs w:val="22"/>
        </w:rPr>
        <w:lastRenderedPageBreak/>
        <w:t>speaking due to children sharing ideas and approaches. It then links to the progression steps withing the literacy language and communication area of learning, needing to understand language using pictures.</w:t>
      </w:r>
      <w:r w:rsidRPr="00CB014A">
        <w:rPr>
          <w:rStyle w:val="eop"/>
          <w:rFonts w:ascii="Calibri" w:hAnsi="Calibri" w:cs="Calibri"/>
          <w:sz w:val="22"/>
          <w:szCs w:val="22"/>
        </w:rPr>
        <w:t xml:space="preserve"> </w:t>
      </w:r>
      <w:r>
        <w:rPr>
          <w:rStyle w:val="eop"/>
          <w:rFonts w:ascii="Calibri" w:hAnsi="Calibri" w:cs="Calibri"/>
          <w:sz w:val="22"/>
          <w:szCs w:val="22"/>
        </w:rPr>
        <w:t xml:space="preserve">Hosack Janes (2014) suggests that using visual arts, literacy cross interdisciplinary occurs. She conveys that a child’s first interaction with reading happens through pictures. Appendix C uses a QR code to display an example video of how to complete the task. A possible criticism of this area is that the children may not understand the true meaning, just copying actions from the video because of the lack of narration. Anderson </w:t>
      </w:r>
      <w:r w:rsidRPr="002F33D2">
        <w:rPr>
          <w:rStyle w:val="eop"/>
          <w:rFonts w:ascii="Calibri" w:hAnsi="Calibri" w:cs="Calibri"/>
          <w:i/>
          <w:iCs/>
          <w:sz w:val="22"/>
          <w:szCs w:val="22"/>
        </w:rPr>
        <w:t>et al.</w:t>
      </w:r>
      <w:r>
        <w:rPr>
          <w:rStyle w:val="eop"/>
          <w:rFonts w:ascii="Calibri" w:hAnsi="Calibri" w:cs="Calibri"/>
          <w:sz w:val="22"/>
          <w:szCs w:val="22"/>
        </w:rPr>
        <w:t xml:space="preserve"> (2018) states that research has shown that narrated videos allow children to have clear instructions. </w:t>
      </w:r>
    </w:p>
    <w:p w14:paraId="719FE3A6"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p>
    <w:p w14:paraId="1DED5B55"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r>
        <w:rPr>
          <w:rStyle w:val="eop"/>
          <w:rFonts w:ascii="Calibri" w:hAnsi="Calibri" w:cs="Calibri"/>
          <w:sz w:val="22"/>
          <w:szCs w:val="22"/>
        </w:rPr>
        <w:t>Linking with cross curricular teaching, appendix C also encounters numeracy skills. It encourages children to show concrete evidence of their learning through an active experience. Bonwell and Eison 1991 (quoted in Auster and Wylie, 2006, p.334) defines active learning as any activity that involves the child physically interacting with it. The digital side of the activity links to numeracy progression step two with the use of representation in a digital format. This links with the Welsh government (2019) digital competency framework. Appendix C uses a QR code to display an example video of how to complete the task. Numondjonovna (2022) believes that technology can assist to make learning intriguing for participants. Contrary to this, Makosa (2013) argues that the technologicalisation of education is more of a fashion as opposed to a real benefit for the participators learning . In progression one of the producing sections, it encompasses exploring software and following instructions. It also looks at computational thinking in step 1 by following instructions. The Welsh Government (2021) shared instructions should be concise and have reasoning to have been successful. One issue that could arise is the use of internet connection with the task. If internet is not present and working, then the children will not be able to access the modelling. Education Wales (2017) shared a blog from a teacher who exposed that internet failure was one of the most frequent issues to arise when teaching with digital applications and devices.</w:t>
      </w:r>
    </w:p>
    <w:p w14:paraId="35D58174" w14:textId="77777777" w:rsidR="00E00F87" w:rsidRPr="00FD379F" w:rsidRDefault="00E00F87" w:rsidP="00E00F87">
      <w:pPr>
        <w:pStyle w:val="NormalWeb"/>
        <w:spacing w:line="480" w:lineRule="auto"/>
        <w:rPr>
          <w:rFonts w:ascii="Calibri" w:hAnsi="Calibri" w:cs="Calibri"/>
        </w:rPr>
      </w:pPr>
      <w:r w:rsidRPr="00FD379F">
        <w:rPr>
          <w:rFonts w:ascii="Calibri" w:hAnsi="Calibri" w:cs="Calibri"/>
          <w:color w:val="000000"/>
          <w:sz w:val="22"/>
          <w:szCs w:val="22"/>
        </w:rPr>
        <w:lastRenderedPageBreak/>
        <w:t>During observations as a student teacher, countless implementation of cross-curricular teaching was evident, an example being science with literacy as a cross- curricular theme. A lesson on space integrated reading to a</w:t>
      </w:r>
      <w:r>
        <w:rPr>
          <w:rFonts w:ascii="Calibri" w:hAnsi="Calibri" w:cs="Calibri"/>
          <w:color w:val="000000"/>
          <w:sz w:val="22"/>
          <w:szCs w:val="22"/>
        </w:rPr>
        <w:t>i</w:t>
      </w:r>
      <w:r w:rsidRPr="00FD379F">
        <w:rPr>
          <w:rFonts w:ascii="Calibri" w:hAnsi="Calibri" w:cs="Calibri"/>
          <w:color w:val="000000"/>
          <w:sz w:val="22"/>
          <w:szCs w:val="22"/>
        </w:rPr>
        <w:t xml:space="preserve">d information retrieval, where students read pages of books to create a top trump on a specific planet. While this approach enhanced engagement and reinforced connections between subjects, challenges emerged. Some children struggled to transfer knowledge across disciplines, requiring additional scaffolding such as templates for the desired information. </w:t>
      </w:r>
      <w:r w:rsidRPr="00FD379F">
        <w:rPr>
          <w:rFonts w:ascii="Calibri" w:hAnsi="Calibri" w:cs="Calibri"/>
          <w:sz w:val="20"/>
          <w:szCs w:val="20"/>
        </w:rPr>
        <w:t xml:space="preserve">Puntambekar states that scaffolding is an effective tool for teachers with an array of abilities within the classroom, assisting them with through resources- in this case templates. </w:t>
      </w:r>
      <w:r w:rsidRPr="00FD379F">
        <w:rPr>
          <w:rFonts w:ascii="Calibri" w:hAnsi="Calibri" w:cs="Calibri"/>
          <w:color w:val="000000"/>
          <w:sz w:val="22"/>
          <w:szCs w:val="22"/>
        </w:rPr>
        <w:t xml:space="preserve">Moreover, time constraints limited deeper exploration. Effective planning and support were essential to maximize the benefits of the cross-curricular learning. </w:t>
      </w:r>
    </w:p>
    <w:p w14:paraId="5AD4141C" w14:textId="77777777" w:rsidR="00E00F87" w:rsidRDefault="00E00F87" w:rsidP="00E00F87">
      <w:pPr>
        <w:pStyle w:val="paragraph"/>
        <w:spacing w:before="0" w:beforeAutospacing="0" w:after="0" w:afterAutospacing="0"/>
        <w:textAlignment w:val="baseline"/>
        <w:rPr>
          <w:rStyle w:val="eop"/>
          <w:rFonts w:ascii="Calibri" w:hAnsi="Calibri" w:cs="Calibri"/>
          <w:sz w:val="22"/>
          <w:szCs w:val="22"/>
        </w:rPr>
      </w:pPr>
    </w:p>
    <w:p w14:paraId="15144F44" w14:textId="77777777" w:rsidR="00E00F87" w:rsidRDefault="00E00F87" w:rsidP="00E00F87">
      <w:pPr>
        <w:pStyle w:val="paragraph"/>
        <w:spacing w:before="0" w:beforeAutospacing="0" w:after="0" w:afterAutospacing="0"/>
        <w:textAlignment w:val="baseline"/>
        <w:rPr>
          <w:rStyle w:val="eop"/>
          <w:rFonts w:ascii="Calibri" w:hAnsi="Calibri" w:cs="Calibri"/>
          <w:sz w:val="22"/>
          <w:szCs w:val="22"/>
        </w:rPr>
      </w:pPr>
    </w:p>
    <w:p w14:paraId="4731960E" w14:textId="77777777" w:rsidR="00E00F87" w:rsidRDefault="00E00F87" w:rsidP="00E00F87">
      <w:pPr>
        <w:pStyle w:val="paragraph"/>
        <w:spacing w:before="0" w:beforeAutospacing="0" w:after="0" w:afterAutospacing="0"/>
        <w:textAlignment w:val="baseline"/>
        <w:rPr>
          <w:rStyle w:val="eop"/>
          <w:rFonts w:ascii="Calibri" w:hAnsi="Calibri" w:cs="Calibri"/>
          <w:sz w:val="22"/>
          <w:szCs w:val="22"/>
        </w:rPr>
      </w:pPr>
    </w:p>
    <w:p w14:paraId="54567352" w14:textId="77777777" w:rsidR="00E00F87" w:rsidRDefault="00E00F87" w:rsidP="00E00F87">
      <w:pPr>
        <w:pStyle w:val="paragraph"/>
        <w:spacing w:before="0" w:beforeAutospacing="0" w:after="0" w:afterAutospacing="0" w:line="480" w:lineRule="auto"/>
        <w:textAlignment w:val="baseline"/>
        <w:rPr>
          <w:rStyle w:val="eop"/>
          <w:rFonts w:ascii="Calibri" w:hAnsi="Calibri" w:cs="Calibri"/>
          <w:sz w:val="22"/>
          <w:szCs w:val="22"/>
        </w:rPr>
      </w:pPr>
      <w:r>
        <w:rPr>
          <w:rStyle w:val="eop"/>
          <w:rFonts w:ascii="Calibri" w:hAnsi="Calibri" w:cs="Calibri"/>
          <w:sz w:val="22"/>
          <w:szCs w:val="22"/>
        </w:rPr>
        <w:t xml:space="preserve">In conclusion, Roa (2021) describes cross curriculum teaching as applying and intertwining content from subject areas to aid skill development. As discussed, appendix A, B, and C illustrate how enhanced provision can be utilised to equip cross curricular approach. In hindsight, additional cross curricular mathematics could be embedded, children could represent the data in graphs. This linking to the progression step two of the fourth statement of what matters whereby children represent their data in simple charts. To further develop this, use of digital competence could digitalise the data. This linked in the conceptual thinking of the framework looking at analysis and sorting of results. The Welsh Government (2019) statutory requirements for teachers emphasises that literacy numeracy and digital competency should be central, but also that children’s rights as a learner should be considered. To support, ESTYN (2021) reported that the cross curricular framework Wales has assisted learning and nurturing of skills. ESTYN (2024) found that implementing the rich learning opportunities in a school supported independence for children. ESTYN (2024) reemphasised that the use of cross curriculum in another school also strengthened independence and self-esteem. The Welsh Government (2022) state that children should be informed and knowledgeable learners in </w:t>
      </w:r>
      <w:r>
        <w:rPr>
          <w:rStyle w:val="eop"/>
          <w:rFonts w:ascii="Calibri" w:hAnsi="Calibri" w:cs="Calibri"/>
          <w:sz w:val="22"/>
          <w:szCs w:val="22"/>
        </w:rPr>
        <w:lastRenderedPageBreak/>
        <w:t>preparation for wider society. Education and Training foundation (2022) implemented the professional standards for teachers, illudes that comprehension and subject grasp are essential for teachers. Penchalk (2015) reassured that from their research unpremeditated cross interdisciplinary was frequent and that educator did not have awareness of it- suggesting it was habitual. Overall, the Welsh Government (2022) approach cross curriculum as a fundamental theme within the Curriculum for Wales, thus serving children with interdependent approaches for all aspects of learning.</w:t>
      </w:r>
    </w:p>
    <w:p w14:paraId="139301A2" w14:textId="77777777" w:rsidR="00E00F87" w:rsidRDefault="00E00F87" w:rsidP="00E00F87">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 </w:t>
      </w:r>
    </w:p>
    <w:p w14:paraId="590F7610" w14:textId="77777777" w:rsidR="007721E7" w:rsidRDefault="007721E7"/>
    <w:sectPr w:rsidR="007721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F87"/>
    <w:rsid w:val="007721E7"/>
    <w:rsid w:val="00E00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E10621"/>
  <w15:chartTrackingRefBased/>
  <w15:docId w15:val="{12DA0759-32E7-B841-A125-02A4DC938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F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00F8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00F87"/>
  </w:style>
  <w:style w:type="character" w:customStyle="1" w:styleId="eop">
    <w:name w:val="eop"/>
    <w:basedOn w:val="DefaultParagraphFont"/>
    <w:rsid w:val="00E00F87"/>
  </w:style>
  <w:style w:type="character" w:styleId="Hyperlink">
    <w:name w:val="Hyperlink"/>
    <w:basedOn w:val="DefaultParagraphFont"/>
    <w:uiPriority w:val="99"/>
    <w:unhideWhenUsed/>
    <w:rsid w:val="00E00F87"/>
    <w:rPr>
      <w:color w:val="0563C1" w:themeColor="hyperlink"/>
      <w:u w:val="single"/>
    </w:rPr>
  </w:style>
  <w:style w:type="character" w:styleId="UnresolvedMention">
    <w:name w:val="Unresolved Mention"/>
    <w:basedOn w:val="DefaultParagraphFont"/>
    <w:uiPriority w:val="99"/>
    <w:semiHidden/>
    <w:unhideWhenUsed/>
    <w:rsid w:val="00E00F87"/>
    <w:rPr>
      <w:color w:val="605E5C"/>
      <w:shd w:val="clear" w:color="auto" w:fill="E1DFDD"/>
    </w:rPr>
  </w:style>
  <w:style w:type="character" w:styleId="FollowedHyperlink">
    <w:name w:val="FollowedHyperlink"/>
    <w:basedOn w:val="DefaultParagraphFont"/>
    <w:uiPriority w:val="99"/>
    <w:semiHidden/>
    <w:unhideWhenUsed/>
    <w:rsid w:val="00E00F87"/>
    <w:rPr>
      <w:color w:val="954F72" w:themeColor="followedHyperlink"/>
      <w:u w:val="single"/>
    </w:rPr>
  </w:style>
  <w:style w:type="paragraph" w:styleId="Header">
    <w:name w:val="header"/>
    <w:basedOn w:val="Normal"/>
    <w:link w:val="HeaderChar"/>
    <w:uiPriority w:val="99"/>
    <w:unhideWhenUsed/>
    <w:rsid w:val="00E00F87"/>
    <w:pPr>
      <w:tabs>
        <w:tab w:val="center" w:pos="4513"/>
        <w:tab w:val="right" w:pos="9026"/>
      </w:tabs>
    </w:pPr>
  </w:style>
  <w:style w:type="character" w:customStyle="1" w:styleId="HeaderChar">
    <w:name w:val="Header Char"/>
    <w:basedOn w:val="DefaultParagraphFont"/>
    <w:link w:val="Header"/>
    <w:uiPriority w:val="99"/>
    <w:rsid w:val="00E00F87"/>
  </w:style>
  <w:style w:type="paragraph" w:styleId="Footer">
    <w:name w:val="footer"/>
    <w:basedOn w:val="Normal"/>
    <w:link w:val="FooterChar"/>
    <w:uiPriority w:val="99"/>
    <w:unhideWhenUsed/>
    <w:rsid w:val="00E00F87"/>
    <w:pPr>
      <w:tabs>
        <w:tab w:val="center" w:pos="4513"/>
        <w:tab w:val="right" w:pos="9026"/>
      </w:tabs>
    </w:pPr>
  </w:style>
  <w:style w:type="character" w:customStyle="1" w:styleId="FooterChar">
    <w:name w:val="Footer Char"/>
    <w:basedOn w:val="DefaultParagraphFont"/>
    <w:link w:val="Footer"/>
    <w:uiPriority w:val="99"/>
    <w:rsid w:val="00E00F87"/>
  </w:style>
  <w:style w:type="paragraph" w:styleId="NormalWeb">
    <w:name w:val="Normal (Web)"/>
    <w:basedOn w:val="Normal"/>
    <w:uiPriority w:val="99"/>
    <w:unhideWhenUsed/>
    <w:rsid w:val="00E00F8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00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2023</Words>
  <Characters>11536</Characters>
  <Application>Microsoft Office Word</Application>
  <DocSecurity>0</DocSecurity>
  <Lines>96</Lines>
  <Paragraphs>27</Paragraphs>
  <ScaleCrop>false</ScaleCrop>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peterson</dc:creator>
  <cp:keywords/>
  <dc:description/>
  <cp:lastModifiedBy>megan peterson</cp:lastModifiedBy>
  <cp:revision>1</cp:revision>
  <dcterms:created xsi:type="dcterms:W3CDTF">2025-03-02T16:53:00Z</dcterms:created>
  <dcterms:modified xsi:type="dcterms:W3CDTF">2025-03-02T16:54:00Z</dcterms:modified>
</cp:coreProperties>
</file>