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3AF244" w14:textId="455D9183" w:rsidR="00074926" w:rsidRPr="00557165" w:rsidRDefault="00F95CFE" w:rsidP="00074926">
      <w:pPr>
        <w:pStyle w:val="IntenseQuote"/>
        <w:rPr>
          <w:sz w:val="32"/>
          <w:szCs w:val="32"/>
        </w:rPr>
      </w:pPr>
      <w:r>
        <w:rPr>
          <w:noProof/>
          <w:sz w:val="32"/>
          <w:szCs w:val="32"/>
        </w:rPr>
        <mc:AlternateContent>
          <mc:Choice Requires="wps">
            <w:drawing>
              <wp:anchor distT="0" distB="0" distL="114300" distR="114300" simplePos="0" relativeHeight="251658242" behindDoc="0" locked="0" layoutInCell="1" allowOverlap="1" wp14:anchorId="31A42D13" wp14:editId="16A43270">
                <wp:simplePos x="0" y="0"/>
                <wp:positionH relativeFrom="column">
                  <wp:posOffset>-269631</wp:posOffset>
                </wp:positionH>
                <wp:positionV relativeFrom="paragraph">
                  <wp:posOffset>234461</wp:posOffset>
                </wp:positionV>
                <wp:extent cx="6500446" cy="5017379"/>
                <wp:effectExtent l="0" t="0" r="15240" b="12065"/>
                <wp:wrapNone/>
                <wp:docPr id="2006429417" name="Rectangle: Rounded Corners 5"/>
                <wp:cNvGraphicFramePr/>
                <a:graphic xmlns:a="http://schemas.openxmlformats.org/drawingml/2006/main">
                  <a:graphicData uri="http://schemas.microsoft.com/office/word/2010/wordprocessingShape">
                    <wps:wsp>
                      <wps:cNvSpPr/>
                      <wps:spPr>
                        <a:xfrm>
                          <a:off x="0" y="0"/>
                          <a:ext cx="6500446" cy="5017379"/>
                        </a:xfrm>
                        <a:prstGeom prst="roundRect">
                          <a:avLst/>
                        </a:prstGeom>
                        <a:noFill/>
                        <a:ln>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BACDD26" id="Rectangle: Rounded Corners 5" o:spid="_x0000_s1026" style="position:absolute;margin-left:-21.25pt;margin-top:18.45pt;width:511.85pt;height:395.05pt;z-index:25165824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" filled="f" strokecolor="#e97132 [3205]" strokeweight="1.5pt">
                <v:stroke joinstyle="miter"/>
              </v:roundrect>
            </w:pict>
          </mc:Fallback>
        </mc:AlternateContent>
      </w:r>
      <w:r w:rsidR="00FF30D9" w:rsidRPr="00557165">
        <w:rPr>
          <w:sz w:val="32"/>
          <w:szCs w:val="32"/>
        </w:rPr>
        <w:t>Student name:</w:t>
      </w:r>
      <w:r w:rsidR="00074926" w:rsidRPr="00557165">
        <w:rPr>
          <w:sz w:val="32"/>
          <w:szCs w:val="32"/>
        </w:rPr>
        <w:t xml:space="preserve"> </w:t>
      </w:r>
      <w:r w:rsidR="008428BB" w:rsidRPr="00557165">
        <w:rPr>
          <w:sz w:val="32"/>
          <w:szCs w:val="32"/>
        </w:rPr>
        <w:t>Rosena Lucy</w:t>
      </w:r>
      <w:r w:rsidR="00074926" w:rsidRPr="00557165">
        <w:rPr>
          <w:sz w:val="32"/>
          <w:szCs w:val="32"/>
        </w:rPr>
        <w:t xml:space="preserve"> </w:t>
      </w:r>
    </w:p>
    <w:p w14:paraId="4F060474" w14:textId="410FA508" w:rsidR="00D53B66" w:rsidRPr="00557165" w:rsidRDefault="00074926" w:rsidP="00074926">
      <w:pPr>
        <w:pStyle w:val="IntenseQuote"/>
        <w:rPr>
          <w:sz w:val="32"/>
          <w:szCs w:val="32"/>
        </w:rPr>
      </w:pPr>
      <w:r w:rsidRPr="00557165">
        <w:rPr>
          <w:sz w:val="32"/>
          <w:szCs w:val="32"/>
        </w:rPr>
        <w:t>Student ID: 2210256</w:t>
      </w:r>
    </w:p>
    <w:p w14:paraId="1C166837" w14:textId="3352E2F3" w:rsidR="00C7385C" w:rsidRPr="00557165" w:rsidRDefault="003C39C0" w:rsidP="00074926">
      <w:pPr>
        <w:pStyle w:val="IntenseQuote"/>
        <w:rPr>
          <w:sz w:val="32"/>
          <w:szCs w:val="32"/>
        </w:rPr>
      </w:pPr>
      <w:r w:rsidRPr="00557165">
        <w:rPr>
          <w:sz w:val="32"/>
          <w:szCs w:val="32"/>
        </w:rPr>
        <w:t>Programme:</w:t>
      </w:r>
      <w:r w:rsidR="007844CD" w:rsidRPr="00557165">
        <w:rPr>
          <w:sz w:val="32"/>
          <w:szCs w:val="32"/>
        </w:rPr>
        <w:t xml:space="preserve"> MSc Public Health and Social Care in Practice</w:t>
      </w:r>
    </w:p>
    <w:p w14:paraId="1FCA9763" w14:textId="732152D0" w:rsidR="00171350" w:rsidRPr="00557165" w:rsidRDefault="00C7385C" w:rsidP="00074926">
      <w:pPr>
        <w:pStyle w:val="IntenseQuote"/>
        <w:rPr>
          <w:sz w:val="32"/>
          <w:szCs w:val="32"/>
        </w:rPr>
      </w:pPr>
      <w:r w:rsidRPr="00557165">
        <w:rPr>
          <w:sz w:val="32"/>
          <w:szCs w:val="32"/>
        </w:rPr>
        <w:t>Module:</w:t>
      </w:r>
      <w:r w:rsidR="00171350" w:rsidRPr="00557165">
        <w:rPr>
          <w:sz w:val="32"/>
          <w:szCs w:val="32"/>
        </w:rPr>
        <w:t xml:space="preserve"> </w:t>
      </w:r>
      <w:r w:rsidR="00BA33CC" w:rsidRPr="00557165">
        <w:rPr>
          <w:sz w:val="32"/>
          <w:szCs w:val="32"/>
        </w:rPr>
        <w:t xml:space="preserve">Community Care and Management of Longer-term Conditions  </w:t>
      </w:r>
    </w:p>
    <w:p w14:paraId="7AAD6636" w14:textId="0E7FA225" w:rsidR="00171350" w:rsidRPr="00557165" w:rsidRDefault="000728FB" w:rsidP="00074926">
      <w:pPr>
        <w:pStyle w:val="IntenseQuote"/>
        <w:rPr>
          <w:sz w:val="32"/>
          <w:szCs w:val="32"/>
        </w:rPr>
      </w:pPr>
      <w:r w:rsidRPr="00557165">
        <w:rPr>
          <w:sz w:val="32"/>
          <w:szCs w:val="32"/>
        </w:rPr>
        <w:t>Module code:</w:t>
      </w:r>
      <w:r w:rsidR="0066044E" w:rsidRPr="00557165">
        <w:rPr>
          <w:sz w:val="32"/>
          <w:szCs w:val="32"/>
        </w:rPr>
        <w:t xml:space="preserve"> </w:t>
      </w:r>
      <w:r w:rsidR="00D05B55" w:rsidRPr="00557165">
        <w:rPr>
          <w:sz w:val="32"/>
          <w:szCs w:val="32"/>
        </w:rPr>
        <w:t>LCHS7003</w:t>
      </w:r>
    </w:p>
    <w:p w14:paraId="2FB8C5AA" w14:textId="233E4AE0" w:rsidR="00A32C3C" w:rsidRPr="00557165" w:rsidRDefault="00A32C3C" w:rsidP="00074926">
      <w:pPr>
        <w:pStyle w:val="IntenseQuote"/>
        <w:rPr>
          <w:sz w:val="32"/>
          <w:szCs w:val="32"/>
        </w:rPr>
      </w:pPr>
      <w:r w:rsidRPr="00557165">
        <w:rPr>
          <w:sz w:val="32"/>
          <w:szCs w:val="32"/>
        </w:rPr>
        <w:t>Lecturer:</w:t>
      </w:r>
      <w:r w:rsidR="0096639E" w:rsidRPr="00557165">
        <w:rPr>
          <w:sz w:val="32"/>
          <w:szCs w:val="32"/>
        </w:rPr>
        <w:t xml:space="preserve"> Dr Aishat Bakre</w:t>
      </w:r>
    </w:p>
    <w:p w14:paraId="667B13EF" w14:textId="3B3F38CD" w:rsidR="008428BB" w:rsidRPr="00557165" w:rsidRDefault="000C7E53" w:rsidP="00074926">
      <w:pPr>
        <w:pStyle w:val="IntenseQuote"/>
        <w:rPr>
          <w:sz w:val="32"/>
          <w:szCs w:val="32"/>
        </w:rPr>
      </w:pPr>
      <w:r w:rsidRPr="00557165">
        <w:rPr>
          <w:sz w:val="32"/>
          <w:szCs w:val="32"/>
        </w:rPr>
        <w:t>Assignment Title:</w:t>
      </w:r>
      <w:r w:rsidR="008428BB" w:rsidRPr="00557165">
        <w:rPr>
          <w:sz w:val="32"/>
          <w:szCs w:val="32"/>
        </w:rPr>
        <w:t xml:space="preserve"> Component 1  </w:t>
      </w:r>
    </w:p>
    <w:p w14:paraId="78174D7E" w14:textId="1AB8B688" w:rsidR="000C7E53" w:rsidRPr="00557165" w:rsidRDefault="008428BB" w:rsidP="00074926">
      <w:pPr>
        <w:pStyle w:val="IntenseQuote"/>
        <w:rPr>
          <w:sz w:val="32"/>
          <w:szCs w:val="32"/>
        </w:rPr>
      </w:pPr>
      <w:r w:rsidRPr="00557165">
        <w:rPr>
          <w:sz w:val="32"/>
          <w:szCs w:val="32"/>
        </w:rPr>
        <w:t xml:space="preserve">Information Booklet of Long- term Condition Management  </w:t>
      </w:r>
    </w:p>
    <w:p w14:paraId="12D582B2" w14:textId="3A1E869C" w:rsidR="00D53B66" w:rsidRDefault="00D53B66" w:rsidP="003E549A">
      <w:pPr>
        <w:jc w:val="center"/>
        <w:rPr>
          <w:sz w:val="36"/>
          <w:szCs w:val="36"/>
        </w:rPr>
      </w:pPr>
    </w:p>
    <w:p w14:paraId="393D28C0" w14:textId="77777777" w:rsidR="00D53B66" w:rsidRDefault="00D53B66" w:rsidP="003E549A">
      <w:pPr>
        <w:jc w:val="center"/>
        <w:rPr>
          <w:sz w:val="36"/>
          <w:szCs w:val="36"/>
        </w:rPr>
      </w:pPr>
    </w:p>
    <w:p w14:paraId="16575E4E" w14:textId="77777777" w:rsidR="00D53B66" w:rsidRDefault="00D53B66" w:rsidP="003E549A">
      <w:pPr>
        <w:jc w:val="center"/>
        <w:rPr>
          <w:sz w:val="36"/>
          <w:szCs w:val="36"/>
        </w:rPr>
      </w:pPr>
    </w:p>
    <w:p w14:paraId="425C1855" w14:textId="77777777" w:rsidR="00D53B66" w:rsidRDefault="00D53B66" w:rsidP="003E549A">
      <w:pPr>
        <w:jc w:val="center"/>
        <w:rPr>
          <w:sz w:val="36"/>
          <w:szCs w:val="36"/>
        </w:rPr>
      </w:pPr>
    </w:p>
    <w:p w14:paraId="55481DFD" w14:textId="35DFA6BB" w:rsidR="00D53B66" w:rsidRDefault="00D53B66" w:rsidP="003E549A">
      <w:pPr>
        <w:jc w:val="center"/>
        <w:rPr>
          <w:sz w:val="36"/>
          <w:szCs w:val="36"/>
        </w:rPr>
      </w:pPr>
    </w:p>
    <w:p w14:paraId="435E0613" w14:textId="77E28F52" w:rsidR="00E83028" w:rsidRDefault="00734814" w:rsidP="003E549A">
      <w:pPr>
        <w:jc w:val="center"/>
        <w:rPr>
          <w:sz w:val="36"/>
          <w:szCs w:val="36"/>
        </w:rPr>
      </w:pPr>
      <w:r>
        <w:rPr>
          <w:noProof/>
        </w:rPr>
        <mc:AlternateContent>
          <mc:Choice Requires="wps">
            <w:drawing>
              <wp:anchor distT="0" distB="0" distL="114300" distR="114300" simplePos="0" relativeHeight="251648000" behindDoc="0" locked="0" layoutInCell="1" allowOverlap="1" wp14:anchorId="35B8C1B7" wp14:editId="49A1429C">
                <wp:simplePos x="0" y="0"/>
                <wp:positionH relativeFrom="column">
                  <wp:posOffset>0</wp:posOffset>
                </wp:positionH>
                <wp:positionV relativeFrom="paragraph">
                  <wp:posOffset>0</wp:posOffset>
                </wp:positionV>
                <wp:extent cx="1828800" cy="1828800"/>
                <wp:effectExtent l="0" t="0" r="0" b="0"/>
                <wp:wrapNone/>
                <wp:docPr id="1949452433"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F23678A" w14:textId="2BA82C0E" w:rsidR="00734814" w:rsidRPr="00734814" w:rsidRDefault="00734814" w:rsidP="00734814">
                            <w:pPr>
                              <w:rPr>
                                <w:b/>
                                <w:color w:val="196B24"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type w14:anchorId="35B8C1B7" id="_x0000_t202" coordsize="21600,21600" o:spt="202" path="m,l,21600r21600,l21600,xe">
                <v:stroke joinstyle="miter"/>
                <v:path gradientshapeok="t" o:connecttype="rect"/>
              </v:shapetype>
              <v:shape id="Text Box 1" o:spid="_x0000_s1026" type="#_x0000_t202" style="position:absolute;left:0;text-align:left;margin-left:0;margin-top:0;width:2in;height:2in;z-index:2516480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" filled="f" stroked="f">
                <v:textbox style="mso-fit-shape-to-text:t">
                  <w:txbxContent>
                    <w:p w14:paraId="6F23678A" w14:textId="2BA82C0E" w:rsidR="00734814" w:rsidRPr="00734814" w:rsidRDefault="00734814" w:rsidP="00734814">
                      <w:pPr>
                        <w:rPr>
                          <w:b/>
                          <w:color w:val="196B24"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xbxContent>
                </v:textbox>
              </v:shape>
            </w:pict>
          </mc:Fallback>
        </mc:AlternateContent>
      </w:r>
    </w:p>
    <w:p w14:paraId="0E6CC07B" w14:textId="77777777" w:rsidR="00E83028" w:rsidRDefault="00E83028" w:rsidP="003E549A">
      <w:pPr>
        <w:jc w:val="center"/>
        <w:rPr>
          <w:sz w:val="36"/>
          <w:szCs w:val="36"/>
        </w:rPr>
      </w:pPr>
    </w:p>
    <w:p w14:paraId="09D49899" w14:textId="5192E672" w:rsidR="005E2291" w:rsidRPr="007811C9" w:rsidRDefault="001C1D32" w:rsidP="007811C9">
      <w:pPr>
        <w:pStyle w:val="Title"/>
        <w:jc w:val="center"/>
        <w:rPr>
          <w:color w:val="BF4E14" w:themeColor="accent2" w:themeShade="BF"/>
        </w:rPr>
      </w:pPr>
      <w:r w:rsidRPr="007811C9">
        <w:rPr>
          <w:b/>
          <w:bCs/>
          <w:noProof/>
          <w:color w:val="BF4E14" w:themeColor="accent2" w:themeShade="BF"/>
        </w:rPr>
        <w:lastRenderedPageBreak/>
        <w:drawing>
          <wp:anchor distT="0" distB="0" distL="114300" distR="114300" simplePos="0" relativeHeight="251659264" behindDoc="1" locked="0" layoutInCell="1" allowOverlap="1" wp14:anchorId="080AD0A4" wp14:editId="2A63C00F">
            <wp:simplePos x="0" y="0"/>
            <wp:positionH relativeFrom="page">
              <wp:posOffset>134620</wp:posOffset>
            </wp:positionH>
            <wp:positionV relativeFrom="paragraph">
              <wp:posOffset>715010</wp:posOffset>
            </wp:positionV>
            <wp:extent cx="7295515" cy="5912485"/>
            <wp:effectExtent l="76200" t="76200" r="76835" b="69215"/>
            <wp:wrapTight wrapText="bothSides">
              <wp:wrapPolygon edited="0">
                <wp:start x="-226" y="-278"/>
                <wp:lineTo x="-226" y="21783"/>
                <wp:lineTo x="21771" y="21783"/>
                <wp:lineTo x="21771" y="-278"/>
                <wp:lineTo x="-226" y="-278"/>
              </wp:wrapPolygon>
            </wp:wrapTight>
            <wp:docPr id="1202195797" name="Picture 3" descr="A person holding her kn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195797" name="Picture 3" descr="A person holding her knee&#10;&#10;AI-generated content may be incorrect."/>
                    <pic:cNvPicPr>
                      <a:picLocks noChangeAspect="1" noChangeArrowheads="1"/>
                    </pic:cNvPicPr>
                  </pic:nvPicPr>
                  <pic:blipFill>
                    <a:blip r:embed="rId11">
                      <a:extLst>
                        <a:ext uri="{28A0092B-C50C-407E-A947-70E740481C1C}">
                          <a14:useLocalDpi xmlns:a14="http://schemas.microsoft.com/office/drawing/2010/main"/>
                        </a:ext>
                      </a:extLst>
                    </a:blip>
                    <a:srcRect/>
                    <a:stretch>
                      <a:fillRect/>
                    </a:stretch>
                  </pic:blipFill>
                  <pic:spPr bwMode="auto">
                    <a:xfrm>
                      <a:off x="0" y="0"/>
                      <a:ext cx="7295515" cy="5912485"/>
                    </a:xfrm>
                    <a:prstGeom prst="rect">
                      <a:avLst/>
                    </a:prstGeom>
                    <a:noFill/>
                    <a:ln w="76200">
                      <a:solidFill>
                        <a:srgbClr val="00B050"/>
                      </a:solidFill>
                    </a:ln>
                  </pic:spPr>
                </pic:pic>
              </a:graphicData>
            </a:graphic>
            <wp14:sizeRelH relativeFrom="margin">
              <wp14:pctWidth>0</wp14:pctWidth>
            </wp14:sizeRelH>
            <wp14:sizeRelV relativeFrom="margin">
              <wp14:pctHeight>0</wp14:pctHeight>
            </wp14:sizeRelV>
          </wp:anchor>
        </w:drawing>
      </w:r>
      <w:r w:rsidR="00EA6B47" w:rsidRPr="007811C9">
        <w:rPr>
          <w:color w:val="BF4E14" w:themeColor="accent2" w:themeShade="BF"/>
        </w:rPr>
        <w:t>O</w:t>
      </w:r>
      <w:r w:rsidR="00682B4E" w:rsidRPr="007811C9">
        <w:rPr>
          <w:color w:val="BF4E14" w:themeColor="accent2" w:themeShade="BF"/>
        </w:rPr>
        <w:t>s</w:t>
      </w:r>
      <w:r w:rsidR="00EA6B47" w:rsidRPr="007811C9">
        <w:rPr>
          <w:color w:val="BF4E14" w:themeColor="accent2" w:themeShade="BF"/>
        </w:rPr>
        <w:t>teoarthritis</w:t>
      </w:r>
    </w:p>
    <w:p w14:paraId="7BD9D26C" w14:textId="77777777" w:rsidR="00682B4E" w:rsidRPr="00AF039A" w:rsidRDefault="00682B4E" w:rsidP="00031C40">
      <w:pPr>
        <w:rPr>
          <w:sz w:val="36"/>
          <w:szCs w:val="36"/>
        </w:rPr>
      </w:pPr>
    </w:p>
    <w:p w14:paraId="1D840812" w14:textId="33822777" w:rsidR="00AF039A" w:rsidRPr="001C1D32" w:rsidRDefault="001C1D32" w:rsidP="00031C40">
      <w:pPr>
        <w:rPr>
          <w:sz w:val="36"/>
          <w:szCs w:val="36"/>
        </w:rPr>
      </w:pPr>
      <w:r>
        <w:rPr>
          <w:sz w:val="36"/>
          <w:szCs w:val="36"/>
        </w:rPr>
        <w:t>(</w:t>
      </w:r>
      <w:r w:rsidRPr="001C1D32">
        <w:rPr>
          <w:sz w:val="36"/>
          <w:szCs w:val="36"/>
        </w:rPr>
        <w:t>Bing, 2025)</w:t>
      </w:r>
    </w:p>
    <w:p w14:paraId="5C2A09C6" w14:textId="56914181" w:rsidR="00AF039A" w:rsidRDefault="00AF039A" w:rsidP="00031C40">
      <w:pPr>
        <w:rPr>
          <w:b/>
          <w:bCs/>
          <w:sz w:val="36"/>
          <w:szCs w:val="36"/>
        </w:rPr>
      </w:pPr>
    </w:p>
    <w:p w14:paraId="76359B11" w14:textId="77777777" w:rsidR="00AF039A" w:rsidRDefault="00AF039A" w:rsidP="00031C40">
      <w:pPr>
        <w:rPr>
          <w:b/>
          <w:bCs/>
          <w:sz w:val="36"/>
          <w:szCs w:val="36"/>
        </w:rPr>
      </w:pPr>
    </w:p>
    <w:sdt>
      <w:sdtPr>
        <w:rPr>
          <w:rFonts w:asciiTheme="minorHAnsi" w:eastAsiaTheme="minorEastAsia" w:hAnsiTheme="minorHAnsi" w:cstheme="minorBidi"/>
          <w:color w:val="auto"/>
          <w:kern w:val="2"/>
          <w:sz w:val="22"/>
          <w:szCs w:val="22"/>
          <w:lang w:val="en-GB"/>
          <w14:ligatures w14:val="standardContextual"/>
        </w:rPr>
        <w:id w:val="-1892112893"/>
        <w:docPartObj>
          <w:docPartGallery w:val="Table of Contents"/>
          <w:docPartUnique/>
        </w:docPartObj>
      </w:sdtPr>
      <w:sdtEndPr>
        <w:rPr>
          <w:b/>
        </w:rPr>
      </w:sdtEndPr>
      <w:sdtContent>
        <w:p w14:paraId="3BFEF85F" w14:textId="2FF0E560" w:rsidR="00E62D51" w:rsidRPr="00E74B8A" w:rsidRDefault="00E62D51">
          <w:pPr>
            <w:pStyle w:val="TOCHeading"/>
            <w:rPr>
              <w:rFonts w:asciiTheme="minorHAnsi" w:hAnsiTheme="minorHAnsi"/>
              <w:sz w:val="22"/>
              <w:szCs w:val="22"/>
            </w:rPr>
          </w:pPr>
          <w:r w:rsidRPr="00E74B8A">
            <w:rPr>
              <w:rFonts w:asciiTheme="minorHAnsi" w:hAnsiTheme="minorHAnsi"/>
              <w:sz w:val="22"/>
              <w:szCs w:val="22"/>
            </w:rPr>
            <w:t>Contents</w:t>
          </w:r>
        </w:p>
        <w:p w14:paraId="4D2C960D" w14:textId="106353A5" w:rsidR="00FA42A6" w:rsidRDefault="00E62D51">
          <w:pPr>
            <w:pStyle w:val="TOC1"/>
            <w:tabs>
              <w:tab w:val="right" w:leader="dot" w:pos="9016"/>
            </w:tabs>
            <w:rPr>
              <w:rFonts w:eastAsiaTheme="minorEastAsia"/>
              <w:noProof/>
              <w:lang w:eastAsia="en-GB"/>
            </w:rPr>
          </w:pPr>
          <w:r w:rsidRPr="00E74B8A">
            <w:rPr>
              <w:sz w:val="22"/>
              <w:szCs w:val="22"/>
            </w:rPr>
            <w:fldChar w:fldCharType="begin"/>
          </w:r>
          <w:r w:rsidRPr="00E74B8A">
            <w:rPr>
              <w:sz w:val="22"/>
              <w:szCs w:val="22"/>
            </w:rPr>
            <w:instrText xml:space="preserve"> TOC \o "1-3" \h \z \u </w:instrText>
          </w:r>
          <w:r w:rsidRPr="00E74B8A">
            <w:rPr>
              <w:sz w:val="22"/>
              <w:szCs w:val="22"/>
            </w:rPr>
            <w:fldChar w:fldCharType="separate"/>
          </w:r>
          <w:hyperlink w:anchor="_Toc211058990" w:history="1">
            <w:r w:rsidR="00FA42A6" w:rsidRPr="006B3B82">
              <w:rPr>
                <w:rStyle w:val="Hyperlink"/>
                <w:noProof/>
              </w:rPr>
              <w:t>Introduction</w:t>
            </w:r>
            <w:r w:rsidR="00FA42A6">
              <w:rPr>
                <w:noProof/>
                <w:webHidden/>
              </w:rPr>
              <w:tab/>
            </w:r>
            <w:r w:rsidR="00FA42A6">
              <w:rPr>
                <w:noProof/>
                <w:webHidden/>
              </w:rPr>
              <w:fldChar w:fldCharType="begin"/>
            </w:r>
            <w:r w:rsidR="00FA42A6">
              <w:rPr>
                <w:noProof/>
                <w:webHidden/>
              </w:rPr>
              <w:instrText xml:space="preserve"> PAGEREF _Toc211058990 \h </w:instrText>
            </w:r>
            <w:r w:rsidR="00FA42A6">
              <w:rPr>
                <w:noProof/>
                <w:webHidden/>
              </w:rPr>
            </w:r>
            <w:r w:rsidR="00FA42A6">
              <w:rPr>
                <w:noProof/>
                <w:webHidden/>
              </w:rPr>
              <w:fldChar w:fldCharType="separate"/>
            </w:r>
            <w:r w:rsidR="00FA42A6">
              <w:rPr>
                <w:noProof/>
                <w:webHidden/>
              </w:rPr>
              <w:t>4</w:t>
            </w:r>
            <w:r w:rsidR="00FA42A6">
              <w:rPr>
                <w:noProof/>
                <w:webHidden/>
              </w:rPr>
              <w:fldChar w:fldCharType="end"/>
            </w:r>
          </w:hyperlink>
        </w:p>
        <w:p w14:paraId="428555CD" w14:textId="276B446C" w:rsidR="00FA42A6" w:rsidRDefault="00FA42A6">
          <w:pPr>
            <w:pStyle w:val="TOC1"/>
            <w:tabs>
              <w:tab w:val="right" w:leader="dot" w:pos="9016"/>
            </w:tabs>
            <w:rPr>
              <w:rFonts w:eastAsiaTheme="minorEastAsia"/>
              <w:noProof/>
              <w:lang w:eastAsia="en-GB"/>
            </w:rPr>
          </w:pPr>
          <w:hyperlink w:anchor="_Toc211058991" w:history="1">
            <w:r w:rsidRPr="006B3B82">
              <w:rPr>
                <w:rStyle w:val="Hyperlink"/>
                <w:b/>
                <w:noProo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An Information Booklet for Adults Over 45 Living Well with Osteoarthritis:</w:t>
            </w:r>
            <w:r>
              <w:rPr>
                <w:noProof/>
                <w:webHidden/>
              </w:rPr>
              <w:tab/>
            </w:r>
            <w:r>
              <w:rPr>
                <w:noProof/>
                <w:webHidden/>
              </w:rPr>
              <w:fldChar w:fldCharType="begin"/>
            </w:r>
            <w:r>
              <w:rPr>
                <w:noProof/>
                <w:webHidden/>
              </w:rPr>
              <w:instrText xml:space="preserve"> PAGEREF _Toc211058991 \h </w:instrText>
            </w:r>
            <w:r>
              <w:rPr>
                <w:noProof/>
                <w:webHidden/>
              </w:rPr>
            </w:r>
            <w:r>
              <w:rPr>
                <w:noProof/>
                <w:webHidden/>
              </w:rPr>
              <w:fldChar w:fldCharType="separate"/>
            </w:r>
            <w:r>
              <w:rPr>
                <w:noProof/>
                <w:webHidden/>
              </w:rPr>
              <w:t>4</w:t>
            </w:r>
            <w:r>
              <w:rPr>
                <w:noProof/>
                <w:webHidden/>
              </w:rPr>
              <w:fldChar w:fldCharType="end"/>
            </w:r>
          </w:hyperlink>
        </w:p>
        <w:p w14:paraId="10397497" w14:textId="204802A7" w:rsidR="00FA42A6" w:rsidRDefault="00FA42A6">
          <w:pPr>
            <w:pStyle w:val="TOC1"/>
            <w:tabs>
              <w:tab w:val="right" w:leader="dot" w:pos="9016"/>
            </w:tabs>
            <w:rPr>
              <w:rFonts w:eastAsiaTheme="minorEastAsia"/>
              <w:noProof/>
              <w:lang w:eastAsia="en-GB"/>
            </w:rPr>
          </w:pPr>
          <w:hyperlink w:anchor="_Toc211058992" w:history="1">
            <w:r w:rsidRPr="006B3B82">
              <w:rPr>
                <w:rStyle w:val="Hyperlink"/>
                <w:noProof/>
              </w:rPr>
              <w:t>Understanding Osteoarthritis</w:t>
            </w:r>
            <w:r>
              <w:rPr>
                <w:noProof/>
                <w:webHidden/>
              </w:rPr>
              <w:tab/>
            </w:r>
            <w:r>
              <w:rPr>
                <w:noProof/>
                <w:webHidden/>
              </w:rPr>
              <w:fldChar w:fldCharType="begin"/>
            </w:r>
            <w:r>
              <w:rPr>
                <w:noProof/>
                <w:webHidden/>
              </w:rPr>
              <w:instrText xml:space="preserve"> PAGEREF _Toc211058992 \h </w:instrText>
            </w:r>
            <w:r>
              <w:rPr>
                <w:noProof/>
                <w:webHidden/>
              </w:rPr>
            </w:r>
            <w:r>
              <w:rPr>
                <w:noProof/>
                <w:webHidden/>
              </w:rPr>
              <w:fldChar w:fldCharType="separate"/>
            </w:r>
            <w:r>
              <w:rPr>
                <w:noProof/>
                <w:webHidden/>
              </w:rPr>
              <w:t>5</w:t>
            </w:r>
            <w:r>
              <w:rPr>
                <w:noProof/>
                <w:webHidden/>
              </w:rPr>
              <w:fldChar w:fldCharType="end"/>
            </w:r>
          </w:hyperlink>
        </w:p>
        <w:p w14:paraId="073A738A" w14:textId="11EABB2B" w:rsidR="00FA42A6" w:rsidRDefault="00FA42A6">
          <w:pPr>
            <w:pStyle w:val="TOC1"/>
            <w:tabs>
              <w:tab w:val="right" w:leader="dot" w:pos="9016"/>
            </w:tabs>
            <w:rPr>
              <w:rFonts w:eastAsiaTheme="minorEastAsia"/>
              <w:noProof/>
              <w:lang w:eastAsia="en-GB"/>
            </w:rPr>
          </w:pPr>
          <w:hyperlink w:anchor="_Toc211058993" w:history="1">
            <w:r w:rsidRPr="006B3B82">
              <w:rPr>
                <w:rStyle w:val="Hyperlink"/>
                <w:noProof/>
              </w:rPr>
              <w:t>Global Burden and Prevalence</w:t>
            </w:r>
            <w:r>
              <w:rPr>
                <w:noProof/>
                <w:webHidden/>
              </w:rPr>
              <w:tab/>
            </w:r>
            <w:r>
              <w:rPr>
                <w:noProof/>
                <w:webHidden/>
              </w:rPr>
              <w:fldChar w:fldCharType="begin"/>
            </w:r>
            <w:r>
              <w:rPr>
                <w:noProof/>
                <w:webHidden/>
              </w:rPr>
              <w:instrText xml:space="preserve"> PAGEREF _Toc211058993 \h </w:instrText>
            </w:r>
            <w:r>
              <w:rPr>
                <w:noProof/>
                <w:webHidden/>
              </w:rPr>
            </w:r>
            <w:r>
              <w:rPr>
                <w:noProof/>
                <w:webHidden/>
              </w:rPr>
              <w:fldChar w:fldCharType="separate"/>
            </w:r>
            <w:r>
              <w:rPr>
                <w:noProof/>
                <w:webHidden/>
              </w:rPr>
              <w:t>5</w:t>
            </w:r>
            <w:r>
              <w:rPr>
                <w:noProof/>
                <w:webHidden/>
              </w:rPr>
              <w:fldChar w:fldCharType="end"/>
            </w:r>
          </w:hyperlink>
        </w:p>
        <w:p w14:paraId="686F2ED3" w14:textId="2B23D1A7" w:rsidR="00FA42A6" w:rsidRDefault="00FA42A6">
          <w:pPr>
            <w:pStyle w:val="TOC1"/>
            <w:tabs>
              <w:tab w:val="right" w:leader="dot" w:pos="9016"/>
            </w:tabs>
            <w:rPr>
              <w:rFonts w:eastAsiaTheme="minorEastAsia"/>
              <w:noProof/>
              <w:lang w:eastAsia="en-GB"/>
            </w:rPr>
          </w:pPr>
          <w:hyperlink w:anchor="_Toc211058994" w:history="1">
            <w:r w:rsidRPr="006B3B82">
              <w:rPr>
                <w:rStyle w:val="Hyperlink"/>
                <w:noProof/>
              </w:rPr>
              <w:t>Risk Factors and Aetiology</w:t>
            </w:r>
            <w:r>
              <w:rPr>
                <w:noProof/>
                <w:webHidden/>
              </w:rPr>
              <w:tab/>
            </w:r>
            <w:r>
              <w:rPr>
                <w:noProof/>
                <w:webHidden/>
              </w:rPr>
              <w:fldChar w:fldCharType="begin"/>
            </w:r>
            <w:r>
              <w:rPr>
                <w:noProof/>
                <w:webHidden/>
              </w:rPr>
              <w:instrText xml:space="preserve"> PAGEREF _Toc211058994 \h </w:instrText>
            </w:r>
            <w:r>
              <w:rPr>
                <w:noProof/>
                <w:webHidden/>
              </w:rPr>
            </w:r>
            <w:r>
              <w:rPr>
                <w:noProof/>
                <w:webHidden/>
              </w:rPr>
              <w:fldChar w:fldCharType="separate"/>
            </w:r>
            <w:r>
              <w:rPr>
                <w:noProof/>
                <w:webHidden/>
              </w:rPr>
              <w:t>6</w:t>
            </w:r>
            <w:r>
              <w:rPr>
                <w:noProof/>
                <w:webHidden/>
              </w:rPr>
              <w:fldChar w:fldCharType="end"/>
            </w:r>
          </w:hyperlink>
        </w:p>
        <w:p w14:paraId="0C644F9D" w14:textId="53306CB2" w:rsidR="00FA42A6" w:rsidRDefault="00FA42A6">
          <w:pPr>
            <w:pStyle w:val="TOC1"/>
            <w:tabs>
              <w:tab w:val="right" w:leader="dot" w:pos="9016"/>
            </w:tabs>
            <w:rPr>
              <w:rFonts w:eastAsiaTheme="minorEastAsia"/>
              <w:noProof/>
              <w:lang w:eastAsia="en-GB"/>
            </w:rPr>
          </w:pPr>
          <w:hyperlink w:anchor="_Toc211058995" w:history="1">
            <w:r w:rsidRPr="006B3B82">
              <w:rPr>
                <w:rStyle w:val="Hyperlink"/>
                <w:noProof/>
              </w:rPr>
              <w:t>Physical Implications</w:t>
            </w:r>
            <w:r>
              <w:rPr>
                <w:noProof/>
                <w:webHidden/>
              </w:rPr>
              <w:tab/>
            </w:r>
            <w:r>
              <w:rPr>
                <w:noProof/>
                <w:webHidden/>
              </w:rPr>
              <w:fldChar w:fldCharType="begin"/>
            </w:r>
            <w:r>
              <w:rPr>
                <w:noProof/>
                <w:webHidden/>
              </w:rPr>
              <w:instrText xml:space="preserve"> PAGEREF _Toc211058995 \h </w:instrText>
            </w:r>
            <w:r>
              <w:rPr>
                <w:noProof/>
                <w:webHidden/>
              </w:rPr>
            </w:r>
            <w:r>
              <w:rPr>
                <w:noProof/>
                <w:webHidden/>
              </w:rPr>
              <w:fldChar w:fldCharType="separate"/>
            </w:r>
            <w:r>
              <w:rPr>
                <w:noProof/>
                <w:webHidden/>
              </w:rPr>
              <w:t>6</w:t>
            </w:r>
            <w:r>
              <w:rPr>
                <w:noProof/>
                <w:webHidden/>
              </w:rPr>
              <w:fldChar w:fldCharType="end"/>
            </w:r>
          </w:hyperlink>
        </w:p>
        <w:p w14:paraId="7F4EF048" w14:textId="7C5CD24E" w:rsidR="00FA42A6" w:rsidRDefault="00FA42A6">
          <w:pPr>
            <w:pStyle w:val="TOC3"/>
            <w:tabs>
              <w:tab w:val="right" w:leader="dot" w:pos="9016"/>
            </w:tabs>
            <w:rPr>
              <w:rFonts w:eastAsiaTheme="minorEastAsia"/>
              <w:noProof/>
              <w:lang w:eastAsia="en-GB"/>
            </w:rPr>
          </w:pPr>
          <w:hyperlink w:anchor="_Toc211058996" w:history="1">
            <w:r w:rsidRPr="006B3B82">
              <w:rPr>
                <w:rStyle w:val="Hyperlink"/>
                <w:rFonts w:ascii="Aptos" w:eastAsia="Aptos" w:hAnsi="Aptos" w:cs="Aptos"/>
                <w:b/>
                <w:bCs/>
                <w:noProof/>
              </w:rPr>
              <w:t>Psychological Implications</w:t>
            </w:r>
            <w:r>
              <w:rPr>
                <w:noProof/>
                <w:webHidden/>
              </w:rPr>
              <w:tab/>
            </w:r>
            <w:r>
              <w:rPr>
                <w:noProof/>
                <w:webHidden/>
              </w:rPr>
              <w:fldChar w:fldCharType="begin"/>
            </w:r>
            <w:r>
              <w:rPr>
                <w:noProof/>
                <w:webHidden/>
              </w:rPr>
              <w:instrText xml:space="preserve"> PAGEREF _Toc211058996 \h </w:instrText>
            </w:r>
            <w:r>
              <w:rPr>
                <w:noProof/>
                <w:webHidden/>
              </w:rPr>
            </w:r>
            <w:r>
              <w:rPr>
                <w:noProof/>
                <w:webHidden/>
              </w:rPr>
              <w:fldChar w:fldCharType="separate"/>
            </w:r>
            <w:r>
              <w:rPr>
                <w:noProof/>
                <w:webHidden/>
              </w:rPr>
              <w:t>7</w:t>
            </w:r>
            <w:r>
              <w:rPr>
                <w:noProof/>
                <w:webHidden/>
              </w:rPr>
              <w:fldChar w:fldCharType="end"/>
            </w:r>
          </w:hyperlink>
        </w:p>
        <w:p w14:paraId="1264E77B" w14:textId="7821467F" w:rsidR="00FA42A6" w:rsidRDefault="00FA42A6">
          <w:pPr>
            <w:pStyle w:val="TOC3"/>
            <w:tabs>
              <w:tab w:val="right" w:leader="dot" w:pos="9016"/>
            </w:tabs>
            <w:rPr>
              <w:rFonts w:eastAsiaTheme="minorEastAsia"/>
              <w:noProof/>
              <w:lang w:eastAsia="en-GB"/>
            </w:rPr>
          </w:pPr>
          <w:hyperlink w:anchor="_Toc211058997" w:history="1">
            <w:r w:rsidRPr="006B3B82">
              <w:rPr>
                <w:rStyle w:val="Hyperlink"/>
                <w:rFonts w:ascii="Aptos" w:eastAsia="Aptos" w:hAnsi="Aptos" w:cs="Aptos"/>
                <w:b/>
                <w:bCs/>
                <w:noProof/>
              </w:rPr>
              <w:t>Social Implications</w:t>
            </w:r>
            <w:r>
              <w:rPr>
                <w:noProof/>
                <w:webHidden/>
              </w:rPr>
              <w:tab/>
            </w:r>
            <w:r>
              <w:rPr>
                <w:noProof/>
                <w:webHidden/>
              </w:rPr>
              <w:fldChar w:fldCharType="begin"/>
            </w:r>
            <w:r>
              <w:rPr>
                <w:noProof/>
                <w:webHidden/>
              </w:rPr>
              <w:instrText xml:space="preserve"> PAGEREF _Toc211058997 \h </w:instrText>
            </w:r>
            <w:r>
              <w:rPr>
                <w:noProof/>
                <w:webHidden/>
              </w:rPr>
            </w:r>
            <w:r>
              <w:rPr>
                <w:noProof/>
                <w:webHidden/>
              </w:rPr>
              <w:fldChar w:fldCharType="separate"/>
            </w:r>
            <w:r>
              <w:rPr>
                <w:noProof/>
                <w:webHidden/>
              </w:rPr>
              <w:t>7</w:t>
            </w:r>
            <w:r>
              <w:rPr>
                <w:noProof/>
                <w:webHidden/>
              </w:rPr>
              <w:fldChar w:fldCharType="end"/>
            </w:r>
          </w:hyperlink>
        </w:p>
        <w:p w14:paraId="44110DC2" w14:textId="5219EC2E" w:rsidR="00FA42A6" w:rsidRDefault="00FA42A6">
          <w:pPr>
            <w:pStyle w:val="TOC3"/>
            <w:tabs>
              <w:tab w:val="right" w:leader="dot" w:pos="9016"/>
            </w:tabs>
            <w:rPr>
              <w:rFonts w:eastAsiaTheme="minorEastAsia"/>
              <w:noProof/>
              <w:lang w:eastAsia="en-GB"/>
            </w:rPr>
          </w:pPr>
          <w:hyperlink w:anchor="_Toc211058998" w:history="1">
            <w:r w:rsidRPr="006B3B82">
              <w:rPr>
                <w:rStyle w:val="Hyperlink"/>
                <w:rFonts w:ascii="Aptos" w:eastAsia="Aptos" w:hAnsi="Aptos" w:cs="Aptos"/>
                <w:b/>
                <w:bCs/>
                <w:noProof/>
              </w:rPr>
              <w:t>Wider Implications for Families and Carers</w:t>
            </w:r>
            <w:r>
              <w:rPr>
                <w:noProof/>
                <w:webHidden/>
              </w:rPr>
              <w:tab/>
            </w:r>
            <w:r>
              <w:rPr>
                <w:noProof/>
                <w:webHidden/>
              </w:rPr>
              <w:fldChar w:fldCharType="begin"/>
            </w:r>
            <w:r>
              <w:rPr>
                <w:noProof/>
                <w:webHidden/>
              </w:rPr>
              <w:instrText xml:space="preserve"> PAGEREF _Toc211058998 \h </w:instrText>
            </w:r>
            <w:r>
              <w:rPr>
                <w:noProof/>
                <w:webHidden/>
              </w:rPr>
            </w:r>
            <w:r>
              <w:rPr>
                <w:noProof/>
                <w:webHidden/>
              </w:rPr>
              <w:fldChar w:fldCharType="separate"/>
            </w:r>
            <w:r>
              <w:rPr>
                <w:noProof/>
                <w:webHidden/>
              </w:rPr>
              <w:t>7</w:t>
            </w:r>
            <w:r>
              <w:rPr>
                <w:noProof/>
                <w:webHidden/>
              </w:rPr>
              <w:fldChar w:fldCharType="end"/>
            </w:r>
          </w:hyperlink>
        </w:p>
        <w:p w14:paraId="5D49AE88" w14:textId="0CADE9AF" w:rsidR="00FA42A6" w:rsidRDefault="00FA42A6">
          <w:pPr>
            <w:pStyle w:val="TOC3"/>
            <w:tabs>
              <w:tab w:val="right" w:leader="dot" w:pos="9016"/>
            </w:tabs>
            <w:rPr>
              <w:rFonts w:eastAsiaTheme="minorEastAsia"/>
              <w:noProof/>
              <w:lang w:eastAsia="en-GB"/>
            </w:rPr>
          </w:pPr>
          <w:hyperlink w:anchor="_Toc211058999" w:history="1">
            <w:r w:rsidRPr="006B3B82">
              <w:rPr>
                <w:rStyle w:val="Hyperlink"/>
                <w:rFonts w:ascii="Aptos" w:eastAsia="Aptos" w:hAnsi="Aptos" w:cs="Aptos"/>
                <w:noProof/>
              </w:rPr>
              <w:t>Non-Pharmacological Treatments</w:t>
            </w:r>
            <w:r>
              <w:rPr>
                <w:noProof/>
                <w:webHidden/>
              </w:rPr>
              <w:tab/>
            </w:r>
            <w:r>
              <w:rPr>
                <w:noProof/>
                <w:webHidden/>
              </w:rPr>
              <w:fldChar w:fldCharType="begin"/>
            </w:r>
            <w:r>
              <w:rPr>
                <w:noProof/>
                <w:webHidden/>
              </w:rPr>
              <w:instrText xml:space="preserve"> PAGEREF _Toc211058999 \h </w:instrText>
            </w:r>
            <w:r>
              <w:rPr>
                <w:noProof/>
                <w:webHidden/>
              </w:rPr>
            </w:r>
            <w:r>
              <w:rPr>
                <w:noProof/>
                <w:webHidden/>
              </w:rPr>
              <w:fldChar w:fldCharType="separate"/>
            </w:r>
            <w:r>
              <w:rPr>
                <w:noProof/>
                <w:webHidden/>
              </w:rPr>
              <w:t>8</w:t>
            </w:r>
            <w:r>
              <w:rPr>
                <w:noProof/>
                <w:webHidden/>
              </w:rPr>
              <w:fldChar w:fldCharType="end"/>
            </w:r>
          </w:hyperlink>
        </w:p>
        <w:p w14:paraId="6EB97630" w14:textId="6FBB30D9" w:rsidR="00FA42A6" w:rsidRDefault="00FA42A6">
          <w:pPr>
            <w:pStyle w:val="TOC3"/>
            <w:tabs>
              <w:tab w:val="right" w:leader="dot" w:pos="9016"/>
            </w:tabs>
            <w:rPr>
              <w:rFonts w:eastAsiaTheme="minorEastAsia"/>
              <w:noProof/>
              <w:lang w:eastAsia="en-GB"/>
            </w:rPr>
          </w:pPr>
          <w:hyperlink w:anchor="_Toc211059000" w:history="1">
            <w:r w:rsidRPr="006B3B82">
              <w:rPr>
                <w:rStyle w:val="Hyperlink"/>
                <w:rFonts w:ascii="Aptos" w:eastAsia="Aptos" w:hAnsi="Aptos" w:cs="Aptos"/>
                <w:b/>
                <w:bCs/>
                <w:noProof/>
              </w:rPr>
              <w:t>Pharmacological Treatments</w:t>
            </w:r>
            <w:r>
              <w:rPr>
                <w:noProof/>
                <w:webHidden/>
              </w:rPr>
              <w:tab/>
            </w:r>
            <w:r>
              <w:rPr>
                <w:noProof/>
                <w:webHidden/>
              </w:rPr>
              <w:fldChar w:fldCharType="begin"/>
            </w:r>
            <w:r>
              <w:rPr>
                <w:noProof/>
                <w:webHidden/>
              </w:rPr>
              <w:instrText xml:space="preserve"> PAGEREF _Toc211059000 \h </w:instrText>
            </w:r>
            <w:r>
              <w:rPr>
                <w:noProof/>
                <w:webHidden/>
              </w:rPr>
            </w:r>
            <w:r>
              <w:rPr>
                <w:noProof/>
                <w:webHidden/>
              </w:rPr>
              <w:fldChar w:fldCharType="separate"/>
            </w:r>
            <w:r>
              <w:rPr>
                <w:noProof/>
                <w:webHidden/>
              </w:rPr>
              <w:t>9</w:t>
            </w:r>
            <w:r>
              <w:rPr>
                <w:noProof/>
                <w:webHidden/>
              </w:rPr>
              <w:fldChar w:fldCharType="end"/>
            </w:r>
          </w:hyperlink>
        </w:p>
        <w:p w14:paraId="5BF80706" w14:textId="78E94A26" w:rsidR="00FA42A6" w:rsidRDefault="00FA42A6">
          <w:pPr>
            <w:pStyle w:val="TOC3"/>
            <w:tabs>
              <w:tab w:val="right" w:leader="dot" w:pos="9016"/>
            </w:tabs>
            <w:rPr>
              <w:rFonts w:eastAsiaTheme="minorEastAsia"/>
              <w:noProof/>
              <w:lang w:eastAsia="en-GB"/>
            </w:rPr>
          </w:pPr>
          <w:hyperlink w:anchor="_Toc211059001" w:history="1">
            <w:r w:rsidRPr="006B3B82">
              <w:rPr>
                <w:rStyle w:val="Hyperlink"/>
                <w:rFonts w:ascii="Aptos" w:eastAsia="Aptos" w:hAnsi="Aptos" w:cs="Aptos"/>
                <w:b/>
                <w:bCs/>
                <w:noProof/>
              </w:rPr>
              <w:t>Surgical Interventions</w:t>
            </w:r>
            <w:r>
              <w:rPr>
                <w:noProof/>
                <w:webHidden/>
              </w:rPr>
              <w:tab/>
            </w:r>
            <w:r>
              <w:rPr>
                <w:noProof/>
                <w:webHidden/>
              </w:rPr>
              <w:fldChar w:fldCharType="begin"/>
            </w:r>
            <w:r>
              <w:rPr>
                <w:noProof/>
                <w:webHidden/>
              </w:rPr>
              <w:instrText xml:space="preserve"> PAGEREF _Toc211059001 \h </w:instrText>
            </w:r>
            <w:r>
              <w:rPr>
                <w:noProof/>
                <w:webHidden/>
              </w:rPr>
            </w:r>
            <w:r>
              <w:rPr>
                <w:noProof/>
                <w:webHidden/>
              </w:rPr>
              <w:fldChar w:fldCharType="separate"/>
            </w:r>
            <w:r>
              <w:rPr>
                <w:noProof/>
                <w:webHidden/>
              </w:rPr>
              <w:t>9</w:t>
            </w:r>
            <w:r>
              <w:rPr>
                <w:noProof/>
                <w:webHidden/>
              </w:rPr>
              <w:fldChar w:fldCharType="end"/>
            </w:r>
          </w:hyperlink>
        </w:p>
        <w:p w14:paraId="5532471F" w14:textId="1695738C" w:rsidR="00FA42A6" w:rsidRDefault="00FA42A6">
          <w:pPr>
            <w:pStyle w:val="TOC3"/>
            <w:tabs>
              <w:tab w:val="right" w:leader="dot" w:pos="9016"/>
            </w:tabs>
            <w:rPr>
              <w:rFonts w:eastAsiaTheme="minorEastAsia"/>
              <w:noProof/>
              <w:lang w:eastAsia="en-GB"/>
            </w:rPr>
          </w:pPr>
          <w:hyperlink w:anchor="_Toc211059002" w:history="1">
            <w:r w:rsidRPr="006B3B82">
              <w:rPr>
                <w:rStyle w:val="Hyperlink"/>
                <w:rFonts w:ascii="Aptos" w:eastAsia="Aptos" w:hAnsi="Aptos" w:cs="Aptos"/>
                <w:b/>
                <w:bCs/>
                <w:noProof/>
              </w:rPr>
              <w:t>Multidisciplinary and Community-Based Approaches</w:t>
            </w:r>
            <w:r>
              <w:rPr>
                <w:noProof/>
                <w:webHidden/>
              </w:rPr>
              <w:tab/>
            </w:r>
            <w:r>
              <w:rPr>
                <w:noProof/>
                <w:webHidden/>
              </w:rPr>
              <w:fldChar w:fldCharType="begin"/>
            </w:r>
            <w:r>
              <w:rPr>
                <w:noProof/>
                <w:webHidden/>
              </w:rPr>
              <w:instrText xml:space="preserve"> PAGEREF _Toc211059002 \h </w:instrText>
            </w:r>
            <w:r>
              <w:rPr>
                <w:noProof/>
                <w:webHidden/>
              </w:rPr>
            </w:r>
            <w:r>
              <w:rPr>
                <w:noProof/>
                <w:webHidden/>
              </w:rPr>
              <w:fldChar w:fldCharType="separate"/>
            </w:r>
            <w:r>
              <w:rPr>
                <w:noProof/>
                <w:webHidden/>
              </w:rPr>
              <w:t>10</w:t>
            </w:r>
            <w:r>
              <w:rPr>
                <w:noProof/>
                <w:webHidden/>
              </w:rPr>
              <w:fldChar w:fldCharType="end"/>
            </w:r>
          </w:hyperlink>
        </w:p>
        <w:p w14:paraId="04DF5738" w14:textId="566ABEC3" w:rsidR="00FA42A6" w:rsidRDefault="00FA42A6">
          <w:pPr>
            <w:pStyle w:val="TOC3"/>
            <w:tabs>
              <w:tab w:val="right" w:leader="dot" w:pos="9016"/>
            </w:tabs>
            <w:rPr>
              <w:rFonts w:eastAsiaTheme="minorEastAsia"/>
              <w:noProof/>
              <w:lang w:eastAsia="en-GB"/>
            </w:rPr>
          </w:pPr>
          <w:hyperlink w:anchor="_Toc211059003" w:history="1">
            <w:r w:rsidRPr="006B3B82">
              <w:rPr>
                <w:rStyle w:val="Hyperlink"/>
                <w:rFonts w:ascii="Aptos" w:eastAsia="Aptos" w:hAnsi="Aptos" w:cs="Aptos"/>
                <w:b/>
                <w:bCs/>
                <w:noProof/>
              </w:rPr>
              <w:t>Evaluation of Effectiveness</w:t>
            </w:r>
            <w:r>
              <w:rPr>
                <w:noProof/>
                <w:webHidden/>
              </w:rPr>
              <w:tab/>
            </w:r>
            <w:r>
              <w:rPr>
                <w:noProof/>
                <w:webHidden/>
              </w:rPr>
              <w:fldChar w:fldCharType="begin"/>
            </w:r>
            <w:r>
              <w:rPr>
                <w:noProof/>
                <w:webHidden/>
              </w:rPr>
              <w:instrText xml:space="preserve"> PAGEREF _Toc211059003 \h </w:instrText>
            </w:r>
            <w:r>
              <w:rPr>
                <w:noProof/>
                <w:webHidden/>
              </w:rPr>
            </w:r>
            <w:r>
              <w:rPr>
                <w:noProof/>
                <w:webHidden/>
              </w:rPr>
              <w:fldChar w:fldCharType="separate"/>
            </w:r>
            <w:r>
              <w:rPr>
                <w:noProof/>
                <w:webHidden/>
              </w:rPr>
              <w:t>10</w:t>
            </w:r>
            <w:r>
              <w:rPr>
                <w:noProof/>
                <w:webHidden/>
              </w:rPr>
              <w:fldChar w:fldCharType="end"/>
            </w:r>
          </w:hyperlink>
        </w:p>
        <w:p w14:paraId="0721A27D" w14:textId="2691AA73" w:rsidR="00FA42A6" w:rsidRDefault="00FA42A6">
          <w:pPr>
            <w:pStyle w:val="TOC1"/>
            <w:tabs>
              <w:tab w:val="right" w:leader="dot" w:pos="9016"/>
            </w:tabs>
            <w:rPr>
              <w:rFonts w:eastAsiaTheme="minorEastAsia"/>
              <w:noProof/>
              <w:lang w:eastAsia="en-GB"/>
            </w:rPr>
          </w:pPr>
          <w:hyperlink w:anchor="_Toc211059004" w:history="1">
            <w:r w:rsidRPr="006B3B82">
              <w:rPr>
                <w:rStyle w:val="Hyperlink"/>
                <w:noProof/>
              </w:rPr>
              <w:t>UK Model: The House of Care</w:t>
            </w:r>
            <w:r>
              <w:rPr>
                <w:noProof/>
                <w:webHidden/>
              </w:rPr>
              <w:tab/>
            </w:r>
            <w:r>
              <w:rPr>
                <w:noProof/>
                <w:webHidden/>
              </w:rPr>
              <w:fldChar w:fldCharType="begin"/>
            </w:r>
            <w:r>
              <w:rPr>
                <w:noProof/>
                <w:webHidden/>
              </w:rPr>
              <w:instrText xml:space="preserve"> PAGEREF _Toc211059004 \h </w:instrText>
            </w:r>
            <w:r>
              <w:rPr>
                <w:noProof/>
                <w:webHidden/>
              </w:rPr>
            </w:r>
            <w:r>
              <w:rPr>
                <w:noProof/>
                <w:webHidden/>
              </w:rPr>
              <w:fldChar w:fldCharType="separate"/>
            </w:r>
            <w:r>
              <w:rPr>
                <w:noProof/>
                <w:webHidden/>
              </w:rPr>
              <w:t>11</w:t>
            </w:r>
            <w:r>
              <w:rPr>
                <w:noProof/>
                <w:webHidden/>
              </w:rPr>
              <w:fldChar w:fldCharType="end"/>
            </w:r>
          </w:hyperlink>
        </w:p>
        <w:p w14:paraId="30635028" w14:textId="0FDAD615" w:rsidR="00FA42A6" w:rsidRDefault="00FA42A6">
          <w:pPr>
            <w:pStyle w:val="TOC3"/>
            <w:tabs>
              <w:tab w:val="right" w:leader="dot" w:pos="9016"/>
            </w:tabs>
            <w:rPr>
              <w:rFonts w:eastAsiaTheme="minorEastAsia"/>
              <w:noProof/>
              <w:lang w:eastAsia="en-GB"/>
            </w:rPr>
          </w:pPr>
          <w:hyperlink w:anchor="_Toc211059005" w:history="1">
            <w:r w:rsidRPr="006B3B82">
              <w:rPr>
                <w:rStyle w:val="Hyperlink"/>
                <w:rFonts w:ascii="Aptos" w:eastAsia="Aptos" w:hAnsi="Aptos" w:cs="Aptos"/>
                <w:b/>
                <w:bCs/>
                <w:noProof/>
              </w:rPr>
              <w:t>International Model: WHO Innovative Care for Chronic Conditions (ICCC) Framework</w:t>
            </w:r>
            <w:r>
              <w:rPr>
                <w:noProof/>
                <w:webHidden/>
              </w:rPr>
              <w:tab/>
            </w:r>
            <w:r>
              <w:rPr>
                <w:noProof/>
                <w:webHidden/>
              </w:rPr>
              <w:fldChar w:fldCharType="begin"/>
            </w:r>
            <w:r>
              <w:rPr>
                <w:noProof/>
                <w:webHidden/>
              </w:rPr>
              <w:instrText xml:space="preserve"> PAGEREF _Toc211059005 \h </w:instrText>
            </w:r>
            <w:r>
              <w:rPr>
                <w:noProof/>
                <w:webHidden/>
              </w:rPr>
            </w:r>
            <w:r>
              <w:rPr>
                <w:noProof/>
                <w:webHidden/>
              </w:rPr>
              <w:fldChar w:fldCharType="separate"/>
            </w:r>
            <w:r>
              <w:rPr>
                <w:noProof/>
                <w:webHidden/>
              </w:rPr>
              <w:t>12</w:t>
            </w:r>
            <w:r>
              <w:rPr>
                <w:noProof/>
                <w:webHidden/>
              </w:rPr>
              <w:fldChar w:fldCharType="end"/>
            </w:r>
          </w:hyperlink>
        </w:p>
        <w:p w14:paraId="6D06D197" w14:textId="75E18399" w:rsidR="00FA42A6" w:rsidRDefault="00FA42A6">
          <w:pPr>
            <w:pStyle w:val="TOC3"/>
            <w:tabs>
              <w:tab w:val="right" w:leader="dot" w:pos="9016"/>
            </w:tabs>
            <w:rPr>
              <w:rFonts w:eastAsiaTheme="minorEastAsia"/>
              <w:noProof/>
              <w:lang w:eastAsia="en-GB"/>
            </w:rPr>
          </w:pPr>
          <w:hyperlink w:anchor="_Toc211059006" w:history="1">
            <w:r w:rsidRPr="006B3B82">
              <w:rPr>
                <w:rStyle w:val="Hyperlink"/>
                <w:rFonts w:ascii="Aptos" w:eastAsia="Aptos" w:hAnsi="Aptos" w:cs="Aptos"/>
                <w:b/>
                <w:bCs/>
                <w:noProof/>
              </w:rPr>
              <w:t>Comparison of Models</w:t>
            </w:r>
            <w:r>
              <w:rPr>
                <w:noProof/>
                <w:webHidden/>
              </w:rPr>
              <w:tab/>
            </w:r>
            <w:r>
              <w:rPr>
                <w:noProof/>
                <w:webHidden/>
              </w:rPr>
              <w:fldChar w:fldCharType="begin"/>
            </w:r>
            <w:r>
              <w:rPr>
                <w:noProof/>
                <w:webHidden/>
              </w:rPr>
              <w:instrText xml:space="preserve"> PAGEREF _Toc211059006 \h </w:instrText>
            </w:r>
            <w:r>
              <w:rPr>
                <w:noProof/>
                <w:webHidden/>
              </w:rPr>
            </w:r>
            <w:r>
              <w:rPr>
                <w:noProof/>
                <w:webHidden/>
              </w:rPr>
              <w:fldChar w:fldCharType="separate"/>
            </w:r>
            <w:r>
              <w:rPr>
                <w:noProof/>
                <w:webHidden/>
              </w:rPr>
              <w:t>13</w:t>
            </w:r>
            <w:r>
              <w:rPr>
                <w:noProof/>
                <w:webHidden/>
              </w:rPr>
              <w:fldChar w:fldCharType="end"/>
            </w:r>
          </w:hyperlink>
        </w:p>
        <w:p w14:paraId="39A37D80" w14:textId="167A55C4" w:rsidR="00FA42A6" w:rsidRDefault="00FA42A6">
          <w:pPr>
            <w:pStyle w:val="TOC2"/>
            <w:tabs>
              <w:tab w:val="right" w:leader="dot" w:pos="9016"/>
            </w:tabs>
            <w:rPr>
              <w:rFonts w:eastAsiaTheme="minorEastAsia"/>
              <w:noProof/>
              <w:lang w:eastAsia="en-GB"/>
            </w:rPr>
          </w:pPr>
          <w:hyperlink w:anchor="_Toc211059007" w:history="1">
            <w:r w:rsidRPr="006B3B82">
              <w:rPr>
                <w:rStyle w:val="Hyperlink"/>
                <w:rFonts w:ascii="Aptos" w:eastAsia="Aptos" w:hAnsi="Aptos" w:cs="Aptos"/>
                <w:b/>
                <w:bCs/>
                <w:noProof/>
              </w:rPr>
              <w:t>Policy and Political Influences on Osteoarthritis Care in the UK</w:t>
            </w:r>
            <w:r>
              <w:rPr>
                <w:noProof/>
                <w:webHidden/>
              </w:rPr>
              <w:tab/>
            </w:r>
            <w:r>
              <w:rPr>
                <w:noProof/>
                <w:webHidden/>
              </w:rPr>
              <w:fldChar w:fldCharType="begin"/>
            </w:r>
            <w:r>
              <w:rPr>
                <w:noProof/>
                <w:webHidden/>
              </w:rPr>
              <w:instrText xml:space="preserve"> PAGEREF _Toc211059007 \h </w:instrText>
            </w:r>
            <w:r>
              <w:rPr>
                <w:noProof/>
                <w:webHidden/>
              </w:rPr>
            </w:r>
            <w:r>
              <w:rPr>
                <w:noProof/>
                <w:webHidden/>
              </w:rPr>
              <w:fldChar w:fldCharType="separate"/>
            </w:r>
            <w:r>
              <w:rPr>
                <w:noProof/>
                <w:webHidden/>
              </w:rPr>
              <w:t>14</w:t>
            </w:r>
            <w:r>
              <w:rPr>
                <w:noProof/>
                <w:webHidden/>
              </w:rPr>
              <w:fldChar w:fldCharType="end"/>
            </w:r>
          </w:hyperlink>
        </w:p>
        <w:p w14:paraId="501263DA" w14:textId="1DFC9CF1" w:rsidR="00FA42A6" w:rsidRDefault="00FA42A6">
          <w:pPr>
            <w:pStyle w:val="TOC3"/>
            <w:tabs>
              <w:tab w:val="right" w:leader="dot" w:pos="9016"/>
            </w:tabs>
            <w:rPr>
              <w:rFonts w:eastAsiaTheme="minorEastAsia"/>
              <w:noProof/>
              <w:lang w:eastAsia="en-GB"/>
            </w:rPr>
          </w:pPr>
          <w:hyperlink w:anchor="_Toc211059008" w:history="1">
            <w:r w:rsidRPr="006B3B82">
              <w:rPr>
                <w:rStyle w:val="Hyperlink"/>
                <w:rFonts w:ascii="Aptos" w:eastAsia="Aptos" w:hAnsi="Aptos" w:cs="Aptos"/>
                <w:b/>
                <w:bCs/>
                <w:noProof/>
              </w:rPr>
              <w:t>National Policy</w:t>
            </w:r>
            <w:r>
              <w:rPr>
                <w:noProof/>
                <w:webHidden/>
              </w:rPr>
              <w:tab/>
            </w:r>
            <w:r>
              <w:rPr>
                <w:noProof/>
                <w:webHidden/>
              </w:rPr>
              <w:fldChar w:fldCharType="begin"/>
            </w:r>
            <w:r>
              <w:rPr>
                <w:noProof/>
                <w:webHidden/>
              </w:rPr>
              <w:instrText xml:space="preserve"> PAGEREF _Toc211059008 \h </w:instrText>
            </w:r>
            <w:r>
              <w:rPr>
                <w:noProof/>
                <w:webHidden/>
              </w:rPr>
            </w:r>
            <w:r>
              <w:rPr>
                <w:noProof/>
                <w:webHidden/>
              </w:rPr>
              <w:fldChar w:fldCharType="separate"/>
            </w:r>
            <w:r>
              <w:rPr>
                <w:noProof/>
                <w:webHidden/>
              </w:rPr>
              <w:t>14</w:t>
            </w:r>
            <w:r>
              <w:rPr>
                <w:noProof/>
                <w:webHidden/>
              </w:rPr>
              <w:fldChar w:fldCharType="end"/>
            </w:r>
          </w:hyperlink>
        </w:p>
        <w:p w14:paraId="6C8D7F8E" w14:textId="294C877A" w:rsidR="00FA42A6" w:rsidRDefault="00FA42A6">
          <w:pPr>
            <w:pStyle w:val="TOC3"/>
            <w:tabs>
              <w:tab w:val="right" w:leader="dot" w:pos="9016"/>
            </w:tabs>
            <w:rPr>
              <w:rFonts w:eastAsiaTheme="minorEastAsia"/>
              <w:noProof/>
              <w:lang w:eastAsia="en-GB"/>
            </w:rPr>
          </w:pPr>
          <w:hyperlink w:anchor="_Toc211059009" w:history="1">
            <w:r w:rsidRPr="006B3B82">
              <w:rPr>
                <w:rStyle w:val="Hyperlink"/>
                <w:rFonts w:ascii="Aptos" w:eastAsia="Aptos" w:hAnsi="Aptos" w:cs="Aptos"/>
                <w:b/>
                <w:bCs/>
                <w:noProof/>
              </w:rPr>
              <w:t>Local Policy and Implementation</w:t>
            </w:r>
            <w:r>
              <w:rPr>
                <w:noProof/>
                <w:webHidden/>
              </w:rPr>
              <w:tab/>
            </w:r>
            <w:r>
              <w:rPr>
                <w:noProof/>
                <w:webHidden/>
              </w:rPr>
              <w:fldChar w:fldCharType="begin"/>
            </w:r>
            <w:r>
              <w:rPr>
                <w:noProof/>
                <w:webHidden/>
              </w:rPr>
              <w:instrText xml:space="preserve"> PAGEREF _Toc211059009 \h </w:instrText>
            </w:r>
            <w:r>
              <w:rPr>
                <w:noProof/>
                <w:webHidden/>
              </w:rPr>
            </w:r>
            <w:r>
              <w:rPr>
                <w:noProof/>
                <w:webHidden/>
              </w:rPr>
              <w:fldChar w:fldCharType="separate"/>
            </w:r>
            <w:r>
              <w:rPr>
                <w:noProof/>
                <w:webHidden/>
              </w:rPr>
              <w:t>14</w:t>
            </w:r>
            <w:r>
              <w:rPr>
                <w:noProof/>
                <w:webHidden/>
              </w:rPr>
              <w:fldChar w:fldCharType="end"/>
            </w:r>
          </w:hyperlink>
        </w:p>
        <w:p w14:paraId="0B6350DE" w14:textId="359A8455" w:rsidR="00FA42A6" w:rsidRDefault="00FA42A6">
          <w:pPr>
            <w:pStyle w:val="TOC3"/>
            <w:tabs>
              <w:tab w:val="right" w:leader="dot" w:pos="9016"/>
            </w:tabs>
            <w:rPr>
              <w:rFonts w:eastAsiaTheme="minorEastAsia"/>
              <w:noProof/>
              <w:lang w:eastAsia="en-GB"/>
            </w:rPr>
          </w:pPr>
          <w:hyperlink w:anchor="_Toc211059010" w:history="1">
            <w:r w:rsidRPr="006B3B82">
              <w:rPr>
                <w:rStyle w:val="Hyperlink"/>
                <w:rFonts w:ascii="Aptos" w:eastAsia="Aptos" w:hAnsi="Aptos" w:cs="Aptos"/>
                <w:b/>
                <w:bCs/>
                <w:noProof/>
              </w:rPr>
              <w:t>Critical Examination</w:t>
            </w:r>
            <w:r>
              <w:rPr>
                <w:noProof/>
                <w:webHidden/>
              </w:rPr>
              <w:tab/>
            </w:r>
            <w:r>
              <w:rPr>
                <w:noProof/>
                <w:webHidden/>
              </w:rPr>
              <w:fldChar w:fldCharType="begin"/>
            </w:r>
            <w:r>
              <w:rPr>
                <w:noProof/>
                <w:webHidden/>
              </w:rPr>
              <w:instrText xml:space="preserve"> PAGEREF _Toc211059010 \h </w:instrText>
            </w:r>
            <w:r>
              <w:rPr>
                <w:noProof/>
                <w:webHidden/>
              </w:rPr>
            </w:r>
            <w:r>
              <w:rPr>
                <w:noProof/>
                <w:webHidden/>
              </w:rPr>
              <w:fldChar w:fldCharType="separate"/>
            </w:r>
            <w:r>
              <w:rPr>
                <w:noProof/>
                <w:webHidden/>
              </w:rPr>
              <w:t>15</w:t>
            </w:r>
            <w:r>
              <w:rPr>
                <w:noProof/>
                <w:webHidden/>
              </w:rPr>
              <w:fldChar w:fldCharType="end"/>
            </w:r>
          </w:hyperlink>
        </w:p>
        <w:p w14:paraId="7C2205DF" w14:textId="64751269" w:rsidR="00FA42A6" w:rsidRDefault="00FA42A6">
          <w:pPr>
            <w:pStyle w:val="TOC1"/>
            <w:tabs>
              <w:tab w:val="right" w:leader="dot" w:pos="9016"/>
            </w:tabs>
            <w:rPr>
              <w:rFonts w:eastAsiaTheme="minorEastAsia"/>
              <w:noProof/>
              <w:lang w:eastAsia="en-GB"/>
            </w:rPr>
          </w:pPr>
          <w:hyperlink w:anchor="_Toc211059011" w:history="1">
            <w:r w:rsidRPr="006B3B82">
              <w:rPr>
                <w:rStyle w:val="Hyperlink"/>
                <w:noProof/>
              </w:rPr>
              <w:t>Person-Centred Care and Self-Management in Osteoarthritis</w:t>
            </w:r>
            <w:r>
              <w:rPr>
                <w:noProof/>
                <w:webHidden/>
              </w:rPr>
              <w:tab/>
            </w:r>
            <w:r>
              <w:rPr>
                <w:noProof/>
                <w:webHidden/>
              </w:rPr>
              <w:fldChar w:fldCharType="begin"/>
            </w:r>
            <w:r>
              <w:rPr>
                <w:noProof/>
                <w:webHidden/>
              </w:rPr>
              <w:instrText xml:space="preserve"> PAGEREF _Toc211059011 \h </w:instrText>
            </w:r>
            <w:r>
              <w:rPr>
                <w:noProof/>
                <w:webHidden/>
              </w:rPr>
            </w:r>
            <w:r>
              <w:rPr>
                <w:noProof/>
                <w:webHidden/>
              </w:rPr>
              <w:fldChar w:fldCharType="separate"/>
            </w:r>
            <w:r>
              <w:rPr>
                <w:noProof/>
                <w:webHidden/>
              </w:rPr>
              <w:t>15</w:t>
            </w:r>
            <w:r>
              <w:rPr>
                <w:noProof/>
                <w:webHidden/>
              </w:rPr>
              <w:fldChar w:fldCharType="end"/>
            </w:r>
          </w:hyperlink>
        </w:p>
        <w:p w14:paraId="4048492D" w14:textId="73E9DE89" w:rsidR="00FA42A6" w:rsidRDefault="00FA42A6">
          <w:pPr>
            <w:pStyle w:val="TOC3"/>
            <w:tabs>
              <w:tab w:val="right" w:leader="dot" w:pos="9016"/>
            </w:tabs>
            <w:rPr>
              <w:rFonts w:eastAsiaTheme="minorEastAsia"/>
              <w:noProof/>
              <w:lang w:eastAsia="en-GB"/>
            </w:rPr>
          </w:pPr>
          <w:hyperlink w:anchor="_Toc211059012" w:history="1">
            <w:r w:rsidRPr="006B3B82">
              <w:rPr>
                <w:rStyle w:val="Hyperlink"/>
                <w:rFonts w:ascii="Aptos" w:eastAsia="Aptos" w:hAnsi="Aptos" w:cs="Aptos"/>
                <w:b/>
                <w:bCs/>
                <w:noProof/>
              </w:rPr>
              <w:t>Self-Management Approaches</w:t>
            </w:r>
            <w:r>
              <w:rPr>
                <w:noProof/>
                <w:webHidden/>
              </w:rPr>
              <w:tab/>
            </w:r>
            <w:r>
              <w:rPr>
                <w:noProof/>
                <w:webHidden/>
              </w:rPr>
              <w:fldChar w:fldCharType="begin"/>
            </w:r>
            <w:r>
              <w:rPr>
                <w:noProof/>
                <w:webHidden/>
              </w:rPr>
              <w:instrText xml:space="preserve"> PAGEREF _Toc211059012 \h </w:instrText>
            </w:r>
            <w:r>
              <w:rPr>
                <w:noProof/>
                <w:webHidden/>
              </w:rPr>
            </w:r>
            <w:r>
              <w:rPr>
                <w:noProof/>
                <w:webHidden/>
              </w:rPr>
              <w:fldChar w:fldCharType="separate"/>
            </w:r>
            <w:r>
              <w:rPr>
                <w:noProof/>
                <w:webHidden/>
              </w:rPr>
              <w:t>16</w:t>
            </w:r>
            <w:r>
              <w:rPr>
                <w:noProof/>
                <w:webHidden/>
              </w:rPr>
              <w:fldChar w:fldCharType="end"/>
            </w:r>
          </w:hyperlink>
        </w:p>
        <w:p w14:paraId="302C2548" w14:textId="3E627608" w:rsidR="00FA42A6" w:rsidRDefault="00FA42A6">
          <w:pPr>
            <w:pStyle w:val="TOC3"/>
            <w:tabs>
              <w:tab w:val="right" w:leader="dot" w:pos="9016"/>
            </w:tabs>
            <w:rPr>
              <w:rFonts w:eastAsiaTheme="minorEastAsia"/>
              <w:noProof/>
              <w:lang w:eastAsia="en-GB"/>
            </w:rPr>
          </w:pPr>
          <w:hyperlink w:anchor="_Toc211059013" w:history="1">
            <w:r w:rsidRPr="006B3B82">
              <w:rPr>
                <w:rStyle w:val="Hyperlink"/>
                <w:rFonts w:ascii="Aptos" w:eastAsia="Aptos" w:hAnsi="Aptos" w:cs="Aptos"/>
                <w:b/>
                <w:bCs/>
                <w:noProof/>
              </w:rPr>
              <w:t>End-of-Life Care Considerations</w:t>
            </w:r>
            <w:r>
              <w:rPr>
                <w:noProof/>
                <w:webHidden/>
              </w:rPr>
              <w:tab/>
            </w:r>
            <w:r>
              <w:rPr>
                <w:noProof/>
                <w:webHidden/>
              </w:rPr>
              <w:fldChar w:fldCharType="begin"/>
            </w:r>
            <w:r>
              <w:rPr>
                <w:noProof/>
                <w:webHidden/>
              </w:rPr>
              <w:instrText xml:space="preserve"> PAGEREF _Toc211059013 \h </w:instrText>
            </w:r>
            <w:r>
              <w:rPr>
                <w:noProof/>
                <w:webHidden/>
              </w:rPr>
            </w:r>
            <w:r>
              <w:rPr>
                <w:noProof/>
                <w:webHidden/>
              </w:rPr>
              <w:fldChar w:fldCharType="separate"/>
            </w:r>
            <w:r>
              <w:rPr>
                <w:noProof/>
                <w:webHidden/>
              </w:rPr>
              <w:t>17</w:t>
            </w:r>
            <w:r>
              <w:rPr>
                <w:noProof/>
                <w:webHidden/>
              </w:rPr>
              <w:fldChar w:fldCharType="end"/>
            </w:r>
          </w:hyperlink>
        </w:p>
        <w:p w14:paraId="289EFE25" w14:textId="3AC07B56" w:rsidR="00FA42A6" w:rsidRDefault="00FA42A6">
          <w:pPr>
            <w:pStyle w:val="TOC3"/>
            <w:tabs>
              <w:tab w:val="right" w:leader="dot" w:pos="9016"/>
            </w:tabs>
            <w:rPr>
              <w:rFonts w:eastAsiaTheme="minorEastAsia"/>
              <w:noProof/>
              <w:lang w:eastAsia="en-GB"/>
            </w:rPr>
          </w:pPr>
          <w:hyperlink w:anchor="_Toc211059014" w:history="1">
            <w:r w:rsidRPr="006B3B82">
              <w:rPr>
                <w:rStyle w:val="Hyperlink"/>
                <w:rFonts w:ascii="Aptos" w:eastAsia="Aptos" w:hAnsi="Aptos" w:cs="Aptos"/>
                <w:b/>
                <w:bCs/>
                <w:noProof/>
              </w:rPr>
              <w:t>Critical Evaluation</w:t>
            </w:r>
            <w:r>
              <w:rPr>
                <w:noProof/>
                <w:webHidden/>
              </w:rPr>
              <w:tab/>
            </w:r>
            <w:r>
              <w:rPr>
                <w:noProof/>
                <w:webHidden/>
              </w:rPr>
              <w:fldChar w:fldCharType="begin"/>
            </w:r>
            <w:r>
              <w:rPr>
                <w:noProof/>
                <w:webHidden/>
              </w:rPr>
              <w:instrText xml:space="preserve"> PAGEREF _Toc211059014 \h </w:instrText>
            </w:r>
            <w:r>
              <w:rPr>
                <w:noProof/>
                <w:webHidden/>
              </w:rPr>
            </w:r>
            <w:r>
              <w:rPr>
                <w:noProof/>
                <w:webHidden/>
              </w:rPr>
              <w:fldChar w:fldCharType="separate"/>
            </w:r>
            <w:r>
              <w:rPr>
                <w:noProof/>
                <w:webHidden/>
              </w:rPr>
              <w:t>17</w:t>
            </w:r>
            <w:r>
              <w:rPr>
                <w:noProof/>
                <w:webHidden/>
              </w:rPr>
              <w:fldChar w:fldCharType="end"/>
            </w:r>
          </w:hyperlink>
        </w:p>
        <w:p w14:paraId="768893C0" w14:textId="459DFC5B" w:rsidR="00FA42A6" w:rsidRDefault="00FA42A6">
          <w:pPr>
            <w:pStyle w:val="TOC1"/>
            <w:tabs>
              <w:tab w:val="right" w:leader="dot" w:pos="9016"/>
            </w:tabs>
            <w:rPr>
              <w:rFonts w:eastAsiaTheme="minorEastAsia"/>
              <w:noProof/>
              <w:lang w:eastAsia="en-GB"/>
            </w:rPr>
          </w:pPr>
          <w:hyperlink w:anchor="_Toc211059015" w:history="1">
            <w:r w:rsidRPr="006B3B82">
              <w:rPr>
                <w:rStyle w:val="Hyperlink"/>
                <w:noProof/>
              </w:rPr>
              <w:t>Recommendations and Conclusion</w:t>
            </w:r>
            <w:r>
              <w:rPr>
                <w:noProof/>
                <w:webHidden/>
              </w:rPr>
              <w:tab/>
            </w:r>
            <w:r>
              <w:rPr>
                <w:noProof/>
                <w:webHidden/>
              </w:rPr>
              <w:fldChar w:fldCharType="begin"/>
            </w:r>
            <w:r>
              <w:rPr>
                <w:noProof/>
                <w:webHidden/>
              </w:rPr>
              <w:instrText xml:space="preserve"> PAGEREF _Toc211059015 \h </w:instrText>
            </w:r>
            <w:r>
              <w:rPr>
                <w:noProof/>
                <w:webHidden/>
              </w:rPr>
            </w:r>
            <w:r>
              <w:rPr>
                <w:noProof/>
                <w:webHidden/>
              </w:rPr>
              <w:fldChar w:fldCharType="separate"/>
            </w:r>
            <w:r>
              <w:rPr>
                <w:noProof/>
                <w:webHidden/>
              </w:rPr>
              <w:t>18</w:t>
            </w:r>
            <w:r>
              <w:rPr>
                <w:noProof/>
                <w:webHidden/>
              </w:rPr>
              <w:fldChar w:fldCharType="end"/>
            </w:r>
          </w:hyperlink>
        </w:p>
        <w:p w14:paraId="7099236F" w14:textId="2F78D1D1" w:rsidR="00FA42A6" w:rsidRDefault="00FA42A6">
          <w:pPr>
            <w:pStyle w:val="TOC1"/>
            <w:tabs>
              <w:tab w:val="right" w:leader="dot" w:pos="9016"/>
            </w:tabs>
            <w:rPr>
              <w:rFonts w:eastAsiaTheme="minorEastAsia"/>
              <w:noProof/>
              <w:lang w:eastAsia="en-GB"/>
            </w:rPr>
          </w:pPr>
          <w:hyperlink w:anchor="_Toc211059016" w:history="1">
            <w:r w:rsidRPr="006B3B82">
              <w:rPr>
                <w:rStyle w:val="Hyperlink"/>
                <w:noProof/>
              </w:rPr>
              <w:t>Conclusion</w:t>
            </w:r>
            <w:r>
              <w:rPr>
                <w:noProof/>
                <w:webHidden/>
              </w:rPr>
              <w:tab/>
            </w:r>
            <w:r>
              <w:rPr>
                <w:noProof/>
                <w:webHidden/>
              </w:rPr>
              <w:fldChar w:fldCharType="begin"/>
            </w:r>
            <w:r>
              <w:rPr>
                <w:noProof/>
                <w:webHidden/>
              </w:rPr>
              <w:instrText xml:space="preserve"> PAGEREF _Toc211059016 \h </w:instrText>
            </w:r>
            <w:r>
              <w:rPr>
                <w:noProof/>
                <w:webHidden/>
              </w:rPr>
            </w:r>
            <w:r>
              <w:rPr>
                <w:noProof/>
                <w:webHidden/>
              </w:rPr>
              <w:fldChar w:fldCharType="separate"/>
            </w:r>
            <w:r>
              <w:rPr>
                <w:noProof/>
                <w:webHidden/>
              </w:rPr>
              <w:t>19</w:t>
            </w:r>
            <w:r>
              <w:rPr>
                <w:noProof/>
                <w:webHidden/>
              </w:rPr>
              <w:fldChar w:fldCharType="end"/>
            </w:r>
          </w:hyperlink>
        </w:p>
        <w:p w14:paraId="3F8B38EA" w14:textId="3DF14EBD" w:rsidR="00E62D51" w:rsidRPr="00E74B8A" w:rsidRDefault="00E62D51">
          <w:pPr>
            <w:rPr>
              <w:sz w:val="22"/>
              <w:szCs w:val="22"/>
            </w:rPr>
          </w:pPr>
          <w:r w:rsidRPr="00E74B8A">
            <w:rPr>
              <w:b/>
              <w:bCs/>
              <w:noProof/>
              <w:sz w:val="22"/>
              <w:szCs w:val="22"/>
            </w:rPr>
            <w:fldChar w:fldCharType="end"/>
          </w:r>
        </w:p>
      </w:sdtContent>
    </w:sdt>
    <w:p w14:paraId="3427290E" w14:textId="7A81A42A" w:rsidR="00443D0D" w:rsidRPr="00534FA3" w:rsidRDefault="00630C44" w:rsidP="00C1682F">
      <w:pPr>
        <w:pStyle w:val="Heading1"/>
        <w:rPr>
          <w:color w:val="auto"/>
        </w:rPr>
      </w:pPr>
      <w:bookmarkStart w:id="0" w:name="_Toc211058990"/>
      <w:r w:rsidRPr="00534FA3">
        <w:rPr>
          <w:color w:val="auto"/>
        </w:rPr>
        <w:lastRenderedPageBreak/>
        <mc:AlternateContent>
          <mc:Choice Requires="wps">
            <w:drawing>
              <wp:anchor distT="0" distB="0" distL="114300" distR="114300" simplePos="0" relativeHeight="251674624" behindDoc="0" locked="0" layoutInCell="1" allowOverlap="1" wp14:anchorId="5A83C948" wp14:editId="48FB8EC2">
                <wp:simplePos x="0" y="0"/>
                <wp:positionH relativeFrom="column">
                  <wp:posOffset>0</wp:posOffset>
                </wp:positionH>
                <wp:positionV relativeFrom="paragraph">
                  <wp:posOffset>0</wp:posOffset>
                </wp:positionV>
                <wp:extent cx="1828800" cy="1828800"/>
                <wp:effectExtent l="0" t="0" r="0" b="0"/>
                <wp:wrapSquare wrapText="bothSides"/>
                <wp:docPr id="57918764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DA127D4" w14:textId="77777777" w:rsidR="00630C44" w:rsidRPr="00630C44" w:rsidRDefault="00630C44" w:rsidP="00630C44">
                            <w:pPr>
                              <w:pStyle w:val="Heading1"/>
                              <w:jc w:val="center"/>
                              <w:rPr>
                                <w:b/>
                                <w:color w:val="A02B93"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bookmarkStart w:id="1" w:name="_Toc210889773"/>
                            <w:bookmarkStart w:id="2" w:name="_Toc211058991"/>
                            <w:r w:rsidRPr="00630C44">
                              <w:rPr>
                                <w:b/>
                                <w:color w:val="A02B93"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An Information Booklet for Adults Over 45 Living Well with Osteoarthritis:</w:t>
                            </w:r>
                            <w:bookmarkEnd w:id="1"/>
                            <w:bookmarkEnd w:id="2"/>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A83C948" id="_x0000_s1027" type="#_x0000_t202" style="position:absolute;margin-left:0;margin-top:0;width:2in;height:2in;z-index:2516746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" filled="f" stroked="f">
                <v:fill o:detectmouseclick="t"/>
                <v:textbox style="mso-fit-shape-to-text:t">
                  <w:txbxContent>
                    <w:p w14:paraId="0DA127D4" w14:textId="77777777" w:rsidR="00630C44" w:rsidRPr="00630C44" w:rsidRDefault="00630C44" w:rsidP="00630C44">
                      <w:pPr>
                        <w:pStyle w:val="Heading1"/>
                        <w:jc w:val="center"/>
                        <w:rPr>
                          <w:b/>
                          <w:color w:val="A02B93"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bookmarkStart w:id="3" w:name="_Toc210889773"/>
                      <w:bookmarkStart w:id="4" w:name="_Toc211058991"/>
                      <w:r w:rsidRPr="00630C44">
                        <w:rPr>
                          <w:b/>
                          <w:color w:val="A02B93"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An Information Booklet for Adults Over 45 Living Well with Osteoarthritis:</w:t>
                      </w:r>
                      <w:bookmarkEnd w:id="3"/>
                      <w:bookmarkEnd w:id="4"/>
                    </w:p>
                  </w:txbxContent>
                </v:textbox>
                <w10:wrap type="square"/>
              </v:shape>
            </w:pict>
          </mc:Fallback>
        </mc:AlternateContent>
      </w:r>
      <w:bookmarkStart w:id="5" w:name="_Toc480742443"/>
      <w:r w:rsidR="00443D0D" w:rsidRPr="00534FA3">
        <w:rPr>
          <w:color w:val="auto"/>
        </w:rPr>
        <w:t>Introduction</w:t>
      </w:r>
      <w:bookmarkEnd w:id="0"/>
      <w:bookmarkEnd w:id="5"/>
    </w:p>
    <w:p w14:paraId="19380C2E" w14:textId="1CAF25BD" w:rsidR="00443D0D" w:rsidRDefault="00443D0D" w:rsidP="006A7AB0">
      <w:pPr>
        <w:jc w:val="both"/>
      </w:pPr>
      <w:r>
        <w:t>Osteoarthritis (OA) is a leading chronic condition affecting individuals over 45 across the UK and globally (</w:t>
      </w:r>
      <w:r w:rsidR="00367979" w:rsidRPr="00367979">
        <w:t>(Versus Arthritis, 2020</w:t>
      </w:r>
      <w:r>
        <w:t>). Commonly mischaracterised as a simple term as “wear and tear” issue, OA is now recognised as a multifaceted joint disease involving cartilage,</w:t>
      </w:r>
    </w:p>
    <w:p w14:paraId="2CBFA001" w14:textId="545A0C8B" w:rsidR="004E7440" w:rsidRPr="00225D19" w:rsidRDefault="448AEDF1" w:rsidP="006A7AB0">
      <w:pPr>
        <w:jc w:val="both"/>
      </w:pPr>
      <w:r w:rsidRPr="00225D19">
        <w:t xml:space="preserve">bone, ligaments, and surrounding musculature </w:t>
      </w:r>
      <w:r w:rsidR="00EE44F2">
        <w:t>(</w:t>
      </w:r>
      <w:r w:rsidR="00EE44F2" w:rsidRPr="00EE44F2">
        <w:t>National Institute for Health and Care Excellence (NICE), 2022</w:t>
      </w:r>
      <w:r w:rsidR="00EE44F2">
        <w:t>)</w:t>
      </w:r>
      <w:r w:rsidR="00EE44F2" w:rsidRPr="00EE44F2">
        <w:t>.</w:t>
      </w:r>
      <w:r w:rsidRPr="00225D19">
        <w:t>For many older adults, its progression results in persistent pain, stiffness, and restricted mobility</w:t>
      </w:r>
      <w:r w:rsidR="2DF4B190" w:rsidRPr="00225D19">
        <w:t xml:space="preserve"> </w:t>
      </w:r>
      <w:r w:rsidR="1212B839" w:rsidRPr="00225D19">
        <w:t xml:space="preserve">for their </w:t>
      </w:r>
      <w:r w:rsidRPr="00225D19">
        <w:t>everyday tasks such as walking, climbing stairs, and gardening</w:t>
      </w:r>
      <w:r w:rsidR="00DD0268">
        <w:t xml:space="preserve"> </w:t>
      </w:r>
      <w:r w:rsidR="00187FBC" w:rsidRPr="00187FBC">
        <w:t>(National Health Service</w:t>
      </w:r>
      <w:r w:rsidR="00187FBC">
        <w:t xml:space="preserve"> (</w:t>
      </w:r>
      <w:r w:rsidR="00DD0268">
        <w:t>NHS</w:t>
      </w:r>
      <w:r w:rsidR="00D52B06">
        <w:t>)</w:t>
      </w:r>
      <w:r w:rsidR="00187FBC">
        <w:t>, 2023</w:t>
      </w:r>
      <w:r w:rsidR="00187FBC" w:rsidRPr="00187FBC">
        <w:t>)</w:t>
      </w:r>
    </w:p>
    <w:p w14:paraId="41D41888" w14:textId="7470C1D4" w:rsidR="0342EF39" w:rsidRPr="0036640A" w:rsidRDefault="001A7F61" w:rsidP="006A7AB0">
      <w:pPr>
        <w:jc w:val="both"/>
        <w:rPr>
          <w:rFonts w:ascii="Aptos" w:eastAsia="Aptos" w:hAnsi="Aptos" w:cs="Arial"/>
        </w:rPr>
      </w:pPr>
      <w:r w:rsidRPr="00225D19">
        <w:t>This booklet is designed to empower individuals aged 45 and over with a clearer understanding of osteoarthritis (OA) and its management. It outlines the nature, prevalence, and underlying causes of OA, while also addressing its broader implications</w:t>
      </w:r>
      <w:r w:rsidR="5B7C556D" w:rsidRPr="00225D19">
        <w:t xml:space="preserve">, </w:t>
      </w:r>
      <w:r w:rsidRPr="00225D19">
        <w:t xml:space="preserve">not only for physical health, but for emotional wellbeing, social engagement, and family dynamics </w:t>
      </w:r>
      <w:r w:rsidR="381045A7" w:rsidRPr="00225D19">
        <w:t>(</w:t>
      </w:r>
      <w:r w:rsidR="381045A7" w:rsidRPr="00225D19">
        <w:rPr>
          <w:rFonts w:ascii="Aptos" w:eastAsia="Aptos" w:hAnsi="Aptos" w:cs="Arial"/>
        </w:rPr>
        <w:t>Mayo Clinic, 2025)</w:t>
      </w:r>
      <w:bookmarkStart w:id="6" w:name="_Int_9ffpq5uZ"/>
      <w:r w:rsidR="381045A7" w:rsidRPr="00225D19">
        <w:rPr>
          <w:rFonts w:ascii="Aptos" w:eastAsia="Aptos" w:hAnsi="Aptos" w:cs="Arial"/>
        </w:rPr>
        <w:t xml:space="preserve">. </w:t>
      </w:r>
      <w:bookmarkEnd w:id="6"/>
    </w:p>
    <w:p w14:paraId="1D85CEA5" w14:textId="77777777" w:rsidR="0036640A" w:rsidRDefault="08248161" w:rsidP="006A7AB0">
      <w:pPr>
        <w:jc w:val="both"/>
        <w:rPr>
          <w:rFonts w:ascii="Aptos" w:eastAsia="Aptos" w:hAnsi="Aptos" w:cs="Arial"/>
        </w:rPr>
      </w:pPr>
      <w:r w:rsidRPr="00225D19">
        <w:rPr>
          <w:rFonts w:ascii="Aptos" w:eastAsia="Aptos" w:hAnsi="Aptos" w:cs="Arial"/>
        </w:rPr>
        <w:t xml:space="preserve">This booklet examines the range of treatments currently available through the NHS for osteoarthritis (OA), including both medical and non-medical interventions, and critically evaluates their effectiveness in managing symptoms and improving quality of life. Given OA’s chronic nature, it also highlights practical self-management techniques, person-centred care models, and the vital role of informal carers. </w:t>
      </w:r>
    </w:p>
    <w:p w14:paraId="34E04779" w14:textId="7E97B849" w:rsidR="00031C40" w:rsidRPr="0036640A" w:rsidRDefault="08248161" w:rsidP="006A7AB0">
      <w:pPr>
        <w:jc w:val="both"/>
        <w:rPr>
          <w:rFonts w:ascii="Aptos" w:eastAsia="Aptos" w:hAnsi="Aptos" w:cs="Arial"/>
        </w:rPr>
      </w:pPr>
      <w:r w:rsidRPr="00225D19">
        <w:rPr>
          <w:rFonts w:ascii="Aptos" w:eastAsia="Aptos" w:hAnsi="Aptos" w:cs="Arial"/>
        </w:rPr>
        <w:t>Furthermore, it explores national and international approaches to long-term condition management, alongside the health policies and political frameworks that influence service provision and care delivery in the UK (NHS, 2025).</w:t>
      </w:r>
    </w:p>
    <w:p w14:paraId="7488D6E6" w14:textId="0C5D71AC" w:rsidR="2530051B" w:rsidRPr="004E7440" w:rsidRDefault="58CE2683" w:rsidP="004E7440">
      <w:pPr>
        <w:spacing w:before="240" w:after="240"/>
        <w:jc w:val="both"/>
        <w:rPr>
          <w:rFonts w:ascii="Aptos" w:eastAsia="Aptos" w:hAnsi="Aptos" w:cs="Aptos"/>
        </w:rPr>
      </w:pPr>
      <w:r w:rsidRPr="00225D19">
        <w:rPr>
          <w:rFonts w:ascii="Aptos" w:eastAsia="Aptos" w:hAnsi="Aptos" w:cs="Aptos"/>
        </w:rPr>
        <w:t xml:space="preserve">By engaging with this booklet, service users and their families will gain evidence-based insights into osteoarthritis (OA), fostering a sense of empowerment to actively </w:t>
      </w:r>
      <w:bookmarkStart w:id="7" w:name="_Int_b4ZgFSBj"/>
      <w:r w:rsidR="2704EF61" w:rsidRPr="00225D19">
        <w:rPr>
          <w:rFonts w:ascii="Aptos" w:eastAsia="Aptos" w:hAnsi="Aptos" w:cs="Aptos"/>
        </w:rPr>
        <w:t>take part</w:t>
      </w:r>
      <w:bookmarkEnd w:id="7"/>
      <w:r w:rsidRPr="00225D19">
        <w:rPr>
          <w:rFonts w:ascii="Aptos" w:eastAsia="Aptos" w:hAnsi="Aptos" w:cs="Aptos"/>
        </w:rPr>
        <w:t xml:space="preserve"> in their care. Its purpose extends beyond information-sharing to offering reassurance: </w:t>
      </w:r>
      <w:r w:rsidRPr="00225D19">
        <w:rPr>
          <w:rFonts w:ascii="Aptos" w:eastAsia="Aptos" w:hAnsi="Aptos" w:cs="Aptos"/>
        </w:rPr>
        <w:lastRenderedPageBreak/>
        <w:t xml:space="preserve">with </w:t>
      </w:r>
      <w:r w:rsidR="643D3B58" w:rsidRPr="00225D19">
        <w:rPr>
          <w:rFonts w:ascii="Aptos" w:eastAsia="Aptos" w:hAnsi="Aptos" w:cs="Aptos"/>
        </w:rPr>
        <w:t>proper</w:t>
      </w:r>
      <w:r w:rsidRPr="00225D19">
        <w:rPr>
          <w:rFonts w:ascii="Aptos" w:eastAsia="Aptos" w:hAnsi="Aptos" w:cs="Aptos"/>
        </w:rPr>
        <w:t xml:space="preserve"> support, individuals living with OA can continue to lead active and fulfilling lives (Versus Arthritis, 2021).</w:t>
      </w:r>
    </w:p>
    <w:p w14:paraId="1373AC74" w14:textId="7C37BB13" w:rsidR="00031C40" w:rsidRPr="00534FA3" w:rsidRDefault="00031C40" w:rsidP="009C1DC8">
      <w:pPr>
        <w:pStyle w:val="Heading1"/>
        <w:rPr>
          <w:color w:val="auto"/>
        </w:rPr>
      </w:pPr>
      <w:bookmarkStart w:id="8" w:name="_Toc855205163"/>
      <w:bookmarkStart w:id="9" w:name="_Toc211058992"/>
      <w:r w:rsidRPr="00534FA3">
        <w:rPr>
          <w:color w:val="auto"/>
        </w:rPr>
        <w:t>Understanding Osteoarthritis</w:t>
      </w:r>
      <w:bookmarkEnd w:id="8"/>
      <w:bookmarkEnd w:id="9"/>
    </w:p>
    <w:p w14:paraId="4D644C83" w14:textId="77777777" w:rsidR="007A457E" w:rsidRDefault="21933F6A" w:rsidP="00D37C23">
      <w:pPr>
        <w:jc w:val="both"/>
      </w:pPr>
      <w:r w:rsidRPr="00225D19">
        <w:t>Osteoarthritis (OA) is a long-term musculoskeletal disorder characterised by the deterioration of joint cartilage and the underlying bone, commonly affecting the knees, hips, hands, and spine</w:t>
      </w:r>
      <w:r w:rsidR="00136574" w:rsidRPr="00136574">
        <w:t xml:space="preserve"> </w:t>
      </w:r>
      <w:r w:rsidR="000A2B24">
        <w:t>(</w:t>
      </w:r>
      <w:r w:rsidR="00136574" w:rsidRPr="00136574">
        <w:t>W</w:t>
      </w:r>
      <w:r w:rsidR="00136574">
        <w:t xml:space="preserve">orld </w:t>
      </w:r>
      <w:r w:rsidR="00136574" w:rsidRPr="00136574">
        <w:t>H</w:t>
      </w:r>
      <w:r w:rsidR="00136574">
        <w:t>ealth</w:t>
      </w:r>
      <w:r w:rsidR="000A2B24">
        <w:t xml:space="preserve"> </w:t>
      </w:r>
      <w:r w:rsidR="00136574" w:rsidRPr="00136574">
        <w:t>O</w:t>
      </w:r>
      <w:r w:rsidR="000A2B24">
        <w:t>rganisation</w:t>
      </w:r>
      <w:r w:rsidR="00136574" w:rsidRPr="00136574">
        <w:t>, 2023).</w:t>
      </w:r>
      <w:r w:rsidRPr="00225D19">
        <w:t xml:space="preserve"> Unlike inflammatory conditions such as rheumatoid arthritis, </w:t>
      </w:r>
    </w:p>
    <w:p w14:paraId="6B2C5582" w14:textId="7528E979" w:rsidR="00031C40" w:rsidRPr="00225D19" w:rsidRDefault="21933F6A" w:rsidP="00D37C23">
      <w:pPr>
        <w:jc w:val="both"/>
      </w:pPr>
      <w:r w:rsidRPr="00225D19">
        <w:t>OA develops through mechanical and biological mechanisms that progressively impair joint integrity (Hunter, 2019). Key symptoms include joint pain, stiffness, limited range of motion, and occasionally swelling</w:t>
      </w:r>
      <w:r w:rsidR="003A2B0F" w:rsidRPr="003A2B0F">
        <w:t xml:space="preserve"> </w:t>
      </w:r>
      <w:r w:rsidR="003A2B0F">
        <w:t>(</w:t>
      </w:r>
      <w:r w:rsidR="003A2B0F" w:rsidRPr="003A2B0F">
        <w:t>NICE, 2022)</w:t>
      </w:r>
      <w:r w:rsidRPr="00225D19">
        <w:t>. These symptoms typically intensify over time, although their severity varies between individuals.</w:t>
      </w:r>
    </w:p>
    <w:p w14:paraId="1ED955EA" w14:textId="6D951B61" w:rsidR="00031C40" w:rsidRDefault="00FA1738" w:rsidP="009C1DC8">
      <w:pPr>
        <w:pStyle w:val="Heading1"/>
        <w:rPr>
          <w:color w:val="auto"/>
        </w:rPr>
      </w:pPr>
      <w:bookmarkStart w:id="10" w:name="_Toc2142519156"/>
      <w:bookmarkStart w:id="11" w:name="_Toc211058993"/>
      <w:r w:rsidRPr="00534FA3">
        <w:rPr>
          <w:color w:val="auto"/>
        </w:rPr>
        <w:t xml:space="preserve">Global </w:t>
      </w:r>
      <w:r w:rsidR="00031C40" w:rsidRPr="00534FA3">
        <w:rPr>
          <w:color w:val="auto"/>
        </w:rPr>
        <w:t>Burden and Prevalence</w:t>
      </w:r>
      <w:bookmarkEnd w:id="10"/>
      <w:bookmarkEnd w:id="11"/>
    </w:p>
    <w:p w14:paraId="6906EC4D" w14:textId="346B807F" w:rsidR="00D57243" w:rsidRDefault="00D57243" w:rsidP="00D57243">
      <w:pPr>
        <w:jc w:val="both"/>
      </w:pPr>
      <w:r>
        <w:t>Osteoarthritis is the most widespread form of arthritis globally and a leading cause of disability in older populations. According to WHO (2023), musculoskeletal disorders, including OA, affect over 528 million people worldwide, with elevated risk among women and the elderly. The Global Burden of Disease study identifies OA as one of the top ten contributors to disability, placing considerable strain on health systems, societies, and economies (Vos et al., 2020).</w:t>
      </w:r>
    </w:p>
    <w:p w14:paraId="49A44128" w14:textId="376AC19D" w:rsidR="00D57243" w:rsidRDefault="00D57243" w:rsidP="00D57243">
      <w:pPr>
        <w:jc w:val="both"/>
      </w:pPr>
      <w:r>
        <w:t xml:space="preserve">In the UK, OA represents a major public health challenge. Versus Arthritis (2019) estimates that 8.75 million people have sought treatment, with knees, hips, and hands most commonly impacted. Age-related prevalence is </w:t>
      </w:r>
      <w:r w:rsidR="00BF6732">
        <w:t>striking</w:t>
      </w:r>
      <w:r>
        <w:t xml:space="preserve"> nearly one-third of adults aged 45+ have received treatment for knee OA, and over half of those aged 80+ live with the condition (NHS Digital, 2021). These statistics underscore the growing demands on health and social care services amid an ageing demographic.</w:t>
      </w:r>
    </w:p>
    <w:p w14:paraId="1934326A" w14:textId="3D6466AF" w:rsidR="00D57243" w:rsidRPr="00D57243" w:rsidRDefault="00D57243" w:rsidP="00D57243">
      <w:pPr>
        <w:jc w:val="both"/>
      </w:pPr>
      <w:r>
        <w:t>Financially, OA exerts significant pressure on the UK healthcare system. Direct costs include GP consultations, medication, physiotherapy, and joint replacement surgeries—among the most frequent elective procedures in the NHS (National Joint Registry, 2022). Indirect costs arise from reduced workforce productivity, increased reliance on informal carers, and diminished independence in daily life.</w:t>
      </w:r>
    </w:p>
    <w:p w14:paraId="66A94906" w14:textId="3830C6F3" w:rsidR="00031C40" w:rsidRPr="00534FA3" w:rsidRDefault="00031C40" w:rsidP="000D52CA">
      <w:pPr>
        <w:pStyle w:val="Heading1"/>
        <w:rPr>
          <w:color w:val="auto"/>
        </w:rPr>
      </w:pPr>
      <w:bookmarkStart w:id="12" w:name="_Toc1836290013"/>
      <w:bookmarkStart w:id="13" w:name="_Toc211058994"/>
      <w:r w:rsidRPr="00534FA3">
        <w:rPr>
          <w:color w:val="auto"/>
        </w:rPr>
        <w:t>Risk Factors and Aetiology</w:t>
      </w:r>
      <w:bookmarkEnd w:id="12"/>
      <w:bookmarkEnd w:id="13"/>
    </w:p>
    <w:p w14:paraId="52E16FBA" w14:textId="77777777" w:rsidR="00C0434B" w:rsidRDefault="0E728C9C" w:rsidP="003156C5">
      <w:pPr>
        <w:jc w:val="both"/>
      </w:pPr>
      <w:r w:rsidRPr="00225D19">
        <w:t xml:space="preserve">Osteoarthritis (OA) is a complex condition shaped by both modifiable and non-modifiable risk factors. Age is still the most significant predictor, with susceptibility rising notably after 45 due to the natural decline in cartilage resilience (Litwic et al., 2013). </w:t>
      </w:r>
    </w:p>
    <w:p w14:paraId="1F0F5F1D" w14:textId="694338A8" w:rsidR="13BEE468" w:rsidRPr="00225D19" w:rsidRDefault="0E728C9C" w:rsidP="003156C5">
      <w:pPr>
        <w:jc w:val="both"/>
      </w:pPr>
      <w:r w:rsidRPr="00225D19">
        <w:lastRenderedPageBreak/>
        <w:t xml:space="preserve">Women are disproportionately affected, especially post-menopause, </w:t>
      </w:r>
      <w:r w:rsidR="33389708" w:rsidRPr="00225D19">
        <w:t>exhibit that</w:t>
      </w:r>
      <w:r w:rsidRPr="00225D19">
        <w:t xml:space="preserve"> hormonal changes may contribute to disease onset (Srikanth et al., 2005).</w:t>
      </w:r>
    </w:p>
    <w:p w14:paraId="2AAB85AE" w14:textId="77777777" w:rsidR="00F878BA" w:rsidRDefault="4FBC98F1" w:rsidP="003156C5">
      <w:pPr>
        <w:jc w:val="both"/>
      </w:pPr>
      <w:r w:rsidRPr="00225D19">
        <w:t xml:space="preserve">Genetic predisposition is a key factor in osteoarthritis (OA), with research </w:t>
      </w:r>
      <w:r w:rsidR="700C15B1" w:rsidRPr="00225D19">
        <w:t>exhibit that</w:t>
      </w:r>
      <w:r w:rsidRPr="00225D19">
        <w:t xml:space="preserve"> individuals with a family history</w:t>
      </w:r>
      <w:r w:rsidR="00BA5AFB">
        <w:t xml:space="preserve">, </w:t>
      </w:r>
      <w:r w:rsidRPr="00225D19">
        <w:t>particularly of hand and hip OA</w:t>
      </w:r>
      <w:r w:rsidR="00CF6125">
        <w:t xml:space="preserve"> </w:t>
      </w:r>
      <w:r w:rsidRPr="00225D19">
        <w:t xml:space="preserve">face an elevated risk of developing the condition (Zengini, Finan and Wilkinson, 2016). Obesity is another significant contributor, as excess body </w:t>
      </w:r>
      <w:r w:rsidR="5D5E5ABB" w:rsidRPr="00225D19">
        <w:t>softens</w:t>
      </w:r>
      <w:r w:rsidRPr="00225D19">
        <w:t xml:space="preserve"> more strain on load-bearing joints such as the hips and knees. </w:t>
      </w:r>
    </w:p>
    <w:p w14:paraId="0636B171" w14:textId="1AE739C9" w:rsidR="00031C40" w:rsidRPr="00225D19" w:rsidRDefault="4FBC98F1" w:rsidP="003156C5">
      <w:pPr>
        <w:jc w:val="both"/>
      </w:pPr>
      <w:r w:rsidRPr="00225D19">
        <w:t>In addition to mechanical stress, obesity promotes systemic inflammation, which can accelerate joint deterioration (Vincent et al., 2012).</w:t>
      </w:r>
    </w:p>
    <w:p w14:paraId="403D1F94" w14:textId="131D556B" w:rsidR="3CB396FC" w:rsidRPr="00225D19" w:rsidRDefault="0D7B6370" w:rsidP="003156C5">
      <w:pPr>
        <w:jc w:val="both"/>
      </w:pPr>
      <w:r w:rsidRPr="00225D19">
        <w:t>Other risk factors for osteoarthritis (OA) include prior joint injuries, which can compromise cartilage integrity or disrupt joint alignment, potentially accelerating disease onset</w:t>
      </w:r>
      <w:r w:rsidR="006A7AB0">
        <w:t xml:space="preserve"> (</w:t>
      </w:r>
      <w:r w:rsidR="006A7AB0" w:rsidRPr="006A7AB0">
        <w:t>NICE, 2022</w:t>
      </w:r>
      <w:r w:rsidR="006A7AB0">
        <w:t>)</w:t>
      </w:r>
      <w:r w:rsidRPr="00225D19">
        <w:t>. Occupational roles that involve heavy lifting, frequent kneeling, or extended periods of standing are also associated with increased risk, underscoring the interplay between lifestyle, working conditions, and joint health (Palmer, 2012).</w:t>
      </w:r>
    </w:p>
    <w:p w14:paraId="4097E169" w14:textId="5D012492" w:rsidR="47875F7E" w:rsidRPr="00534FA3" w:rsidRDefault="009F6EC5" w:rsidP="00534FA3">
      <w:pPr>
        <w:jc w:val="both"/>
      </w:pPr>
      <w:r w:rsidRPr="00225D19">
        <w:t>A</w:t>
      </w:r>
      <w:r w:rsidR="00A65E06" w:rsidRPr="00225D19">
        <w:t>l</w:t>
      </w:r>
      <w:r w:rsidR="00B61B5A" w:rsidRPr="00225D19">
        <w:t>th</w:t>
      </w:r>
      <w:r w:rsidR="003D533C" w:rsidRPr="00225D19">
        <w:t>ough</w:t>
      </w:r>
      <w:r w:rsidR="001E4D16" w:rsidRPr="00225D19">
        <w:t xml:space="preserve"> osteoarthritis (OA) is </w:t>
      </w:r>
      <w:bookmarkStart w:id="14" w:name="_Int_l8W5BIpI"/>
      <w:r w:rsidR="5ADD877F" w:rsidRPr="00225D19">
        <w:t>regularly</w:t>
      </w:r>
      <w:r w:rsidR="001E4D16" w:rsidRPr="00225D19">
        <w:t xml:space="preserve"> </w:t>
      </w:r>
      <w:bookmarkEnd w:id="14"/>
      <w:r w:rsidR="001E4D16" w:rsidRPr="00225D19">
        <w:t>labelled a degenerative condition, growing research highlights that it is not solely the result of “wear and tear.” Instead, OA arises from a multifaceted interaction of mechanical stress, metabolic influences, inflammatory responses, and genetic susceptibility (Hunter</w:t>
      </w:r>
      <w:r w:rsidR="00AD27FC" w:rsidRPr="00225D19">
        <w:t xml:space="preserve">, </w:t>
      </w:r>
      <w:r w:rsidR="001E4D16" w:rsidRPr="00225D19">
        <w:t>2019). This evolving understanding has shifted clinical priorities towards prevention and early intervention, rather than focusing exclusively on symptom management.</w:t>
      </w:r>
    </w:p>
    <w:p w14:paraId="2FD41D66" w14:textId="08631684" w:rsidR="47875F7E" w:rsidRPr="00534FA3" w:rsidRDefault="71BDF725" w:rsidP="00021EA3">
      <w:pPr>
        <w:pStyle w:val="Heading1"/>
        <w:rPr>
          <w:color w:val="auto"/>
        </w:rPr>
      </w:pPr>
      <w:bookmarkStart w:id="15" w:name="_Toc1609254351"/>
      <w:bookmarkStart w:id="16" w:name="_Toc211058995"/>
      <w:r w:rsidRPr="00534FA3">
        <w:rPr>
          <w:color w:val="auto"/>
        </w:rPr>
        <w:t>Physical Implications</w:t>
      </w:r>
      <w:bookmarkEnd w:id="15"/>
      <w:bookmarkEnd w:id="16"/>
    </w:p>
    <w:p w14:paraId="7FBF483B" w14:textId="22BA1ED4" w:rsidR="4F1E22D6" w:rsidRDefault="171A04D1" w:rsidP="002B1F3D">
      <w:pPr>
        <w:spacing w:before="240" w:after="240"/>
        <w:jc w:val="both"/>
        <w:rPr>
          <w:rFonts w:ascii="Aptos" w:eastAsia="Aptos" w:hAnsi="Aptos" w:cs="Aptos"/>
        </w:rPr>
      </w:pPr>
      <w:r w:rsidRPr="00225D19">
        <w:rPr>
          <w:rFonts w:ascii="Aptos" w:eastAsia="Aptos" w:hAnsi="Aptos" w:cs="Aptos"/>
        </w:rPr>
        <w:t>Osteoarthritis (OA) significantly affects physical health and daily functioning. Core symptoms such as pain, stiffness, and limited joint mobility can reduce independence and restrict movement</w:t>
      </w:r>
      <w:r w:rsidR="000E41AE">
        <w:rPr>
          <w:rFonts w:ascii="Aptos" w:eastAsia="Aptos" w:hAnsi="Aptos" w:cs="Aptos"/>
        </w:rPr>
        <w:t xml:space="preserve"> </w:t>
      </w:r>
      <w:r w:rsidR="00384890">
        <w:t>(</w:t>
      </w:r>
      <w:r w:rsidR="00384890" w:rsidRPr="00384890">
        <w:rPr>
          <w:rFonts w:ascii="Aptos" w:eastAsia="Aptos" w:hAnsi="Aptos" w:cs="Aptos"/>
        </w:rPr>
        <w:t>Versus Arthritis, 2020</w:t>
      </w:r>
      <w:r w:rsidR="00384890">
        <w:rPr>
          <w:rFonts w:ascii="Aptos" w:eastAsia="Aptos" w:hAnsi="Aptos" w:cs="Aptos"/>
        </w:rPr>
        <w:t>)</w:t>
      </w:r>
      <w:r w:rsidR="002B1F3D">
        <w:rPr>
          <w:rFonts w:ascii="Aptos" w:eastAsia="Aptos" w:hAnsi="Aptos" w:cs="Aptos"/>
        </w:rPr>
        <w:t>.</w:t>
      </w:r>
      <w:r w:rsidRPr="00225D19">
        <w:rPr>
          <w:rFonts w:ascii="Aptos" w:eastAsia="Aptos" w:hAnsi="Aptos" w:cs="Aptos"/>
        </w:rPr>
        <w:t xml:space="preserve"> These challenges typically progress over time, making once-routine tasks like </w:t>
      </w:r>
      <w:r w:rsidR="6E40918C" w:rsidRPr="00225D19">
        <w:rPr>
          <w:rFonts w:ascii="Aptos" w:eastAsia="Aptos" w:hAnsi="Aptos" w:cs="Aptos"/>
        </w:rPr>
        <w:t xml:space="preserve">getting out </w:t>
      </w:r>
      <w:r w:rsidRPr="00225D19">
        <w:rPr>
          <w:rFonts w:ascii="Aptos" w:eastAsia="Aptos" w:hAnsi="Aptos" w:cs="Aptos"/>
        </w:rPr>
        <w:t xml:space="preserve">from a chair, climbing stairs, or walking </w:t>
      </w:r>
      <w:r w:rsidR="623706B0" w:rsidRPr="00225D19">
        <w:rPr>
          <w:rFonts w:ascii="Aptos" w:eastAsia="Aptos" w:hAnsi="Aptos" w:cs="Aptos"/>
        </w:rPr>
        <w:t>short</w:t>
      </w:r>
      <w:r w:rsidRPr="00225D19">
        <w:rPr>
          <w:rFonts w:ascii="Aptos" w:eastAsia="Aptos" w:hAnsi="Aptos" w:cs="Aptos"/>
        </w:rPr>
        <w:t xml:space="preserve"> distances increasingly difficult (NICE, 2022). The impact of OA extends beyond the affected joint; reduced mobility may contribute to muscle atrophy, weight gain, cardiovascular decline, and a broader deterioration in physical wellbeing (Hunter</w:t>
      </w:r>
      <w:r w:rsidR="44A2A9C7" w:rsidRPr="00225D19">
        <w:rPr>
          <w:rFonts w:ascii="Aptos" w:eastAsia="Aptos" w:hAnsi="Aptos" w:cs="Aptos"/>
        </w:rPr>
        <w:t xml:space="preserve">, </w:t>
      </w:r>
      <w:r w:rsidRPr="00225D19">
        <w:rPr>
          <w:rFonts w:ascii="Aptos" w:eastAsia="Aptos" w:hAnsi="Aptos" w:cs="Aptos"/>
        </w:rPr>
        <w:t>2019).</w:t>
      </w:r>
    </w:p>
    <w:p w14:paraId="263E8CD4" w14:textId="77777777" w:rsidR="002B1F3D" w:rsidRPr="00225D19" w:rsidRDefault="002B1F3D" w:rsidP="4F1E22D6">
      <w:pPr>
        <w:spacing w:before="240" w:after="240"/>
        <w:rPr>
          <w:rFonts w:ascii="Aptos" w:eastAsia="Aptos" w:hAnsi="Aptos" w:cs="Aptos"/>
        </w:rPr>
      </w:pPr>
    </w:p>
    <w:p w14:paraId="1FFD2AF3" w14:textId="731003A4" w:rsidR="47875F7E" w:rsidRPr="00225D19" w:rsidRDefault="71BDF725" w:rsidP="564FCD8F">
      <w:pPr>
        <w:pStyle w:val="Heading3"/>
        <w:spacing w:before="281" w:after="281"/>
        <w:rPr>
          <w:rFonts w:ascii="Aptos" w:eastAsia="Aptos" w:hAnsi="Aptos" w:cs="Aptos"/>
          <w:b/>
          <w:bCs/>
          <w:color w:val="auto"/>
        </w:rPr>
      </w:pPr>
      <w:bookmarkStart w:id="17" w:name="_Toc967053454"/>
      <w:bookmarkStart w:id="18" w:name="_Toc211058996"/>
      <w:r w:rsidRPr="00225D19">
        <w:rPr>
          <w:rFonts w:ascii="Aptos" w:eastAsia="Aptos" w:hAnsi="Aptos" w:cs="Aptos"/>
          <w:b/>
          <w:bCs/>
          <w:color w:val="auto"/>
        </w:rPr>
        <w:t>Psychological Implications</w:t>
      </w:r>
      <w:bookmarkEnd w:id="17"/>
      <w:bookmarkEnd w:id="18"/>
    </w:p>
    <w:p w14:paraId="270AD198" w14:textId="3AB3C0DF" w:rsidR="47875F7E" w:rsidRPr="00225D19" w:rsidRDefault="6BF58048" w:rsidP="002B1F3D">
      <w:pPr>
        <w:spacing w:before="240" w:after="240"/>
        <w:jc w:val="both"/>
        <w:rPr>
          <w:rFonts w:ascii="Aptos" w:eastAsia="Aptos" w:hAnsi="Aptos" w:cs="Aptos"/>
        </w:rPr>
      </w:pPr>
      <w:r w:rsidRPr="00225D19">
        <w:rPr>
          <w:rFonts w:ascii="Aptos" w:eastAsia="Aptos" w:hAnsi="Aptos" w:cs="Aptos"/>
        </w:rPr>
        <w:t xml:space="preserve">Falls risk is a significant concern in osteoarthritis (OA), particularly among older adults. OA-related joint instability and altered gait patterns increases the likelihood of falls, </w:t>
      </w:r>
      <w:r w:rsidRPr="00225D19">
        <w:rPr>
          <w:rFonts w:ascii="Aptos" w:eastAsia="Aptos" w:hAnsi="Aptos" w:cs="Aptos"/>
        </w:rPr>
        <w:lastRenderedPageBreak/>
        <w:t>which can lead to fractures, extended hospital stays, and further reductions in independence (Stubbs et al., 2015).</w:t>
      </w:r>
    </w:p>
    <w:p w14:paraId="64FD677B" w14:textId="36A69FC4" w:rsidR="00F749AF" w:rsidRPr="00225D19" w:rsidRDefault="00750122" w:rsidP="002B1F3D">
      <w:pPr>
        <w:jc w:val="both"/>
        <w:rPr>
          <w:rFonts w:ascii="Aptos" w:eastAsia="Aptos" w:hAnsi="Aptos" w:cs="Aptos"/>
        </w:rPr>
      </w:pPr>
      <w:r w:rsidRPr="00225D19">
        <w:rPr>
          <w:rFonts w:ascii="Aptos" w:eastAsia="Aptos" w:hAnsi="Aptos" w:cs="Aptos"/>
        </w:rPr>
        <w:t>Uncertainty about the future can contribute to psychological distress in individuals with osteoarthritis</w:t>
      </w:r>
      <w:r w:rsidR="00A45BF9" w:rsidRPr="00A45BF9">
        <w:t xml:space="preserve"> </w:t>
      </w:r>
      <w:r w:rsidR="00A45BF9">
        <w:t>(</w:t>
      </w:r>
      <w:r w:rsidR="00A45BF9" w:rsidRPr="00A45BF9">
        <w:rPr>
          <w:rFonts w:ascii="Aptos" w:eastAsia="Aptos" w:hAnsi="Aptos" w:cs="Aptos"/>
        </w:rPr>
        <w:t>Stubbs et al., 2016)</w:t>
      </w:r>
      <w:r w:rsidRPr="00225D19">
        <w:rPr>
          <w:rFonts w:ascii="Aptos" w:eastAsia="Aptos" w:hAnsi="Aptos" w:cs="Aptos"/>
        </w:rPr>
        <w:t>. As a progressive condition with no current cure, OA often prompts concerns about increasing disability or the potential need for surgical intervention</w:t>
      </w:r>
      <w:r w:rsidR="00444042" w:rsidRPr="00225D19">
        <w:rPr>
          <w:rFonts w:ascii="Aptos" w:eastAsia="Aptos" w:hAnsi="Aptos" w:cs="Aptos"/>
        </w:rPr>
        <w:t xml:space="preserve"> </w:t>
      </w:r>
      <w:r w:rsidRPr="00225D19">
        <w:rPr>
          <w:rFonts w:ascii="Aptos" w:eastAsia="Aptos" w:hAnsi="Aptos" w:cs="Aptos"/>
        </w:rPr>
        <w:t>factors that may lead to feelings of hopelessness and emotional strain (Bair et al., 2013).</w:t>
      </w:r>
    </w:p>
    <w:p w14:paraId="49DF233E" w14:textId="3ABC9C12" w:rsidR="006576FF" w:rsidRPr="00225D19" w:rsidRDefault="71BDF725" w:rsidP="004B1E8E">
      <w:pPr>
        <w:pStyle w:val="Heading3"/>
        <w:spacing w:before="281" w:after="281"/>
        <w:rPr>
          <w:color w:val="auto"/>
        </w:rPr>
      </w:pPr>
      <w:bookmarkStart w:id="19" w:name="_Toc1211412887"/>
      <w:bookmarkStart w:id="20" w:name="_Toc211058997"/>
      <w:r w:rsidRPr="00225D19">
        <w:rPr>
          <w:rFonts w:ascii="Aptos" w:eastAsia="Aptos" w:hAnsi="Aptos" w:cs="Aptos"/>
          <w:b/>
          <w:bCs/>
          <w:color w:val="auto"/>
        </w:rPr>
        <w:t>Social Implications</w:t>
      </w:r>
      <w:bookmarkEnd w:id="19"/>
      <w:bookmarkEnd w:id="20"/>
    </w:p>
    <w:p w14:paraId="173C3CCD" w14:textId="62C6E8E8" w:rsidR="006576FF" w:rsidRPr="00225D19" w:rsidRDefault="00A453DE" w:rsidP="00723588">
      <w:pPr>
        <w:spacing w:before="240" w:after="240"/>
        <w:jc w:val="both"/>
        <w:rPr>
          <w:rFonts w:ascii="Aptos" w:eastAsia="Aptos" w:hAnsi="Aptos" w:cs="Aptos"/>
        </w:rPr>
      </w:pPr>
      <w:r w:rsidRPr="00225D19">
        <w:rPr>
          <w:rFonts w:ascii="Aptos" w:eastAsia="Aptos" w:hAnsi="Aptos" w:cs="Aptos"/>
        </w:rPr>
        <w:t>Osteoarthritis (OA) can have a considerable impact on social engagement and interpersonal relationships. Mobility limitations may restrict an individual’s ability to maintain friendships, participate in community life, or remain in employment</w:t>
      </w:r>
      <w:r w:rsidR="00723588">
        <w:rPr>
          <w:rFonts w:ascii="Aptos" w:eastAsia="Aptos" w:hAnsi="Aptos" w:cs="Aptos"/>
        </w:rPr>
        <w:t xml:space="preserve"> </w:t>
      </w:r>
      <w:r w:rsidR="00723588" w:rsidRPr="00723588">
        <w:rPr>
          <w:rFonts w:ascii="Aptos" w:eastAsia="Aptos" w:hAnsi="Aptos" w:cs="Aptos"/>
        </w:rPr>
        <w:t>(Versus Arthritis, 2020</w:t>
      </w:r>
      <w:r w:rsidR="00723588">
        <w:rPr>
          <w:rFonts w:ascii="Aptos" w:eastAsia="Aptos" w:hAnsi="Aptos" w:cs="Aptos"/>
        </w:rPr>
        <w:t>)</w:t>
      </w:r>
      <w:r w:rsidRPr="00225D19">
        <w:rPr>
          <w:rFonts w:ascii="Aptos" w:eastAsia="Aptos" w:hAnsi="Aptos" w:cs="Aptos"/>
        </w:rPr>
        <w:t xml:space="preserve">. These constraints often lead to social isolation, which can further deteriorate psychological wellbeing (Griffith et al., 2018). Among working-age adults, OA is a prominent contributor to work-related disability, </w:t>
      </w:r>
      <w:r w:rsidR="302A552E" w:rsidRPr="00225D19">
        <w:rPr>
          <w:rFonts w:ascii="Aptos" w:eastAsia="Aptos" w:hAnsi="Aptos" w:cs="Aptos"/>
        </w:rPr>
        <w:t>often</w:t>
      </w:r>
      <w:r w:rsidRPr="00225D19">
        <w:rPr>
          <w:rFonts w:ascii="Aptos" w:eastAsia="Aptos" w:hAnsi="Aptos" w:cs="Aptos"/>
        </w:rPr>
        <w:t xml:space="preserve"> resulting in reduced earnings and premature retirement (Rice et al., 2018).</w:t>
      </w:r>
    </w:p>
    <w:p w14:paraId="5BECF28F" w14:textId="06D8536A" w:rsidR="00A5267B" w:rsidRPr="00225D19" w:rsidRDefault="00112A9C" w:rsidP="00723588">
      <w:pPr>
        <w:spacing w:before="240" w:after="240"/>
        <w:jc w:val="both"/>
        <w:rPr>
          <w:rFonts w:ascii="Aptos" w:eastAsia="Aptos" w:hAnsi="Aptos" w:cs="Aptos"/>
        </w:rPr>
      </w:pPr>
      <w:r w:rsidRPr="00225D19">
        <w:rPr>
          <w:rFonts w:ascii="Aptos" w:eastAsia="Aptos" w:hAnsi="Aptos" w:cs="Aptos"/>
        </w:rPr>
        <w:t>Osteoarthritis (OA) can also reshape family roles, particularly among older adults. Individuals who previously served as caregivers may themselves require support, leading to shifts in family dynamics. In many cases, relatives take on informal caregiving responsibilities, which can introduce considerable emotional, physical, and financial strain (NHS England, 2019).</w:t>
      </w:r>
    </w:p>
    <w:p w14:paraId="30DA769A" w14:textId="77777777" w:rsidR="008663AA" w:rsidRDefault="71BDF725" w:rsidP="008663AA">
      <w:pPr>
        <w:pStyle w:val="Heading3"/>
        <w:spacing w:before="281" w:after="281"/>
        <w:rPr>
          <w:rFonts w:ascii="Aptos" w:eastAsia="Aptos" w:hAnsi="Aptos" w:cs="Aptos"/>
          <w:b/>
          <w:bCs/>
          <w:color w:val="auto"/>
        </w:rPr>
      </w:pPr>
      <w:bookmarkStart w:id="21" w:name="_Toc686420083"/>
      <w:bookmarkStart w:id="22" w:name="_Toc211058998"/>
      <w:r w:rsidRPr="00225D19">
        <w:rPr>
          <w:rFonts w:ascii="Aptos" w:eastAsia="Aptos" w:hAnsi="Aptos" w:cs="Aptos"/>
          <w:b/>
          <w:bCs/>
          <w:color w:val="auto"/>
        </w:rPr>
        <w:t>Wider Implications for Families and Carers</w:t>
      </w:r>
      <w:bookmarkEnd w:id="21"/>
      <w:bookmarkEnd w:id="22"/>
    </w:p>
    <w:p w14:paraId="4B918991" w14:textId="77777777" w:rsidR="00204794" w:rsidRDefault="00C32D2F" w:rsidP="003156C5">
      <w:pPr>
        <w:jc w:val="both"/>
      </w:pPr>
      <w:bookmarkStart w:id="23" w:name="_Toc841656821"/>
      <w:r w:rsidRPr="00723588">
        <w:t xml:space="preserve">Families supporting individuals with osteoarthritis (OA) often face a dual burden: </w:t>
      </w:r>
      <w:r w:rsidR="00241978" w:rsidRPr="00723588">
        <w:t>t</w:t>
      </w:r>
      <w:r w:rsidR="00EA1E89" w:rsidRPr="00723588">
        <w:t>his</w:t>
      </w:r>
      <w:r w:rsidR="00A42495" w:rsidRPr="00723588">
        <w:t xml:space="preserve"> </w:t>
      </w:r>
      <w:r w:rsidR="005020EB" w:rsidRPr="00723588">
        <w:t xml:space="preserve">is </w:t>
      </w:r>
      <w:r w:rsidR="00E26B34" w:rsidRPr="00723588">
        <w:t>b</w:t>
      </w:r>
      <w:r w:rsidR="006808A3" w:rsidRPr="00723588">
        <w:t>y</w:t>
      </w:r>
      <w:r w:rsidR="003F6D77" w:rsidRPr="00723588">
        <w:t xml:space="preserve"> </w:t>
      </w:r>
      <w:r w:rsidRPr="00723588">
        <w:t xml:space="preserve">providing care while managing their own personal and professional responsibilities. Spouses and adult children </w:t>
      </w:r>
      <w:r w:rsidR="1702EFCD" w:rsidRPr="00723588">
        <w:t>often</w:t>
      </w:r>
      <w:r w:rsidRPr="00723588">
        <w:t xml:space="preserve"> </w:t>
      </w:r>
      <w:r w:rsidR="083F202F" w:rsidRPr="00723588">
        <w:t>aid</w:t>
      </w:r>
      <w:r w:rsidRPr="00723588">
        <w:t xml:space="preserve"> with tasks such as shopping, domestic chores, and personal care, which can lead to emotional strain, physical exhaustion, and, in some cases, resentment when adequate support is lacking (Greenwood et al., 2019).</w:t>
      </w:r>
      <w:bookmarkEnd w:id="23"/>
      <w:r w:rsidRPr="00723588">
        <w:t xml:space="preserve"> </w:t>
      </w:r>
    </w:p>
    <w:p w14:paraId="237E5EDD" w14:textId="36A3F8EE" w:rsidR="0030538A" w:rsidRPr="00723588" w:rsidRDefault="00C32D2F" w:rsidP="003156C5">
      <w:pPr>
        <w:jc w:val="both"/>
      </w:pPr>
      <w:bookmarkStart w:id="24" w:name="_Toc1648379360"/>
      <w:r w:rsidRPr="00723588">
        <w:t xml:space="preserve">Carers themselves are vulnerable to poorer physical and mental health due to the sustained demands of caregiving, and may require access to tailored support services, respite care, and financial </w:t>
      </w:r>
      <w:r w:rsidR="6B4FE21E" w:rsidRPr="00723588">
        <w:t>aid</w:t>
      </w:r>
      <w:r w:rsidRPr="00723588">
        <w:t xml:space="preserve"> (Carers UK, 2021).</w:t>
      </w:r>
      <w:bookmarkEnd w:id="24"/>
    </w:p>
    <w:p w14:paraId="1FD40218" w14:textId="77777777" w:rsidR="009227A7" w:rsidRDefault="00F06FA1" w:rsidP="003156C5">
      <w:pPr>
        <w:spacing w:line="360" w:lineRule="auto"/>
        <w:jc w:val="both"/>
      </w:pPr>
      <w:r w:rsidRPr="00225D19">
        <w:t>T</w:t>
      </w:r>
      <w:r w:rsidR="00882912" w:rsidRPr="00225D19">
        <w:t>o</w:t>
      </w:r>
      <w:r w:rsidRPr="00225D19">
        <w:t xml:space="preserve"> </w:t>
      </w:r>
      <w:r w:rsidR="00124933" w:rsidRPr="00225D19">
        <w:t>su</w:t>
      </w:r>
      <w:r w:rsidR="00834813" w:rsidRPr="00225D19">
        <w:t xml:space="preserve">m </w:t>
      </w:r>
      <w:r w:rsidR="00C87C3C" w:rsidRPr="00225D19">
        <w:t>i</w:t>
      </w:r>
      <w:r w:rsidR="009F3796" w:rsidRPr="00225D19">
        <w:t xml:space="preserve">t </w:t>
      </w:r>
      <w:r w:rsidR="00DE3288" w:rsidRPr="00225D19">
        <w:t>u</w:t>
      </w:r>
      <w:r w:rsidR="00B12AD0" w:rsidRPr="00225D19">
        <w:t>p</w:t>
      </w:r>
      <w:r w:rsidR="00EF2055" w:rsidRPr="00225D19">
        <w:t>, osteoarthritis (OA) extends beyond joint pathology, exerting substantial influence across physical, psychological, and social domains. Acknowledging this multidimensional impact is essential to ensure that care strategies respond not only to clinical symptoms but also to the broader, holistic needs of individuals and their families.</w:t>
      </w:r>
    </w:p>
    <w:p w14:paraId="7B2F6C45" w14:textId="0C6F2B12" w:rsidR="47875F7E" w:rsidRPr="00225D19" w:rsidRDefault="71BDF725" w:rsidP="009227A7">
      <w:pPr>
        <w:spacing w:line="360" w:lineRule="auto"/>
        <w:jc w:val="both"/>
      </w:pPr>
      <w:r w:rsidRPr="00225D19">
        <w:rPr>
          <w:rFonts w:ascii="Aptos" w:eastAsia="Aptos" w:hAnsi="Aptos" w:cs="Aptos"/>
          <w:b/>
          <w:bCs/>
          <w:sz w:val="36"/>
          <w:szCs w:val="36"/>
        </w:rPr>
        <w:lastRenderedPageBreak/>
        <w:t>Evidence-Based Treatments Available in the UK (NHS)</w:t>
      </w:r>
    </w:p>
    <w:p w14:paraId="2CAE173C" w14:textId="7F8209EC" w:rsidR="47875F7E" w:rsidRPr="00225D19" w:rsidRDefault="71BDF725" w:rsidP="564FCD8F">
      <w:pPr>
        <w:pStyle w:val="Heading3"/>
        <w:spacing w:before="281" w:after="281"/>
        <w:rPr>
          <w:color w:val="auto"/>
        </w:rPr>
      </w:pPr>
      <w:bookmarkStart w:id="25" w:name="_Toc1339980996"/>
      <w:bookmarkStart w:id="26" w:name="_Toc211058999"/>
      <w:r w:rsidRPr="00225D19">
        <w:rPr>
          <w:rFonts w:ascii="Aptos" w:eastAsia="Aptos" w:hAnsi="Aptos" w:cs="Aptos"/>
          <w:color w:val="auto"/>
        </w:rPr>
        <w:t>Non-Pharmacological Treatments</w:t>
      </w:r>
      <w:bookmarkEnd w:id="25"/>
      <w:bookmarkEnd w:id="26"/>
    </w:p>
    <w:p w14:paraId="7368C8DF" w14:textId="085C4D17" w:rsidR="47875F7E" w:rsidRPr="00603993" w:rsidRDefault="00ED5751" w:rsidP="00603993">
      <w:pPr>
        <w:spacing w:before="240" w:after="240"/>
        <w:jc w:val="both"/>
        <w:rPr>
          <w:rFonts w:ascii="Aptos" w:eastAsia="Aptos" w:hAnsi="Aptos" w:cs="Aptos"/>
        </w:rPr>
      </w:pPr>
      <w:r w:rsidRPr="00225D19">
        <w:rPr>
          <w:rFonts w:ascii="Aptos" w:eastAsia="Aptos" w:hAnsi="Aptos" w:cs="Aptos"/>
        </w:rPr>
        <w:t>According to NICE guidelines (2022), non-pharmacological interventions should be prioritised as the first-line treatment for osteoarthritis (OA). These strategies are designed to enhance joint function, alleviate pain, and support overall quality of life.</w:t>
      </w:r>
    </w:p>
    <w:p w14:paraId="31DD7BBB" w14:textId="3277913B" w:rsidR="00EA0AB6" w:rsidRPr="00FA5E96" w:rsidRDefault="007D457C" w:rsidP="00603993">
      <w:pPr>
        <w:ind w:left="360"/>
        <w:jc w:val="both"/>
      </w:pPr>
      <w:r w:rsidRPr="00225D19">
        <w:rPr>
          <w:b/>
          <w:bCs/>
        </w:rPr>
        <w:t>Exercise</w:t>
      </w:r>
      <w:r w:rsidRPr="00225D19">
        <w:t xml:space="preserve">: Consistent, personalised physical activity </w:t>
      </w:r>
      <w:r w:rsidR="5009E61F" w:rsidRPr="00225D19">
        <w:t>still</w:t>
      </w:r>
      <w:r w:rsidRPr="00225D19">
        <w:t xml:space="preserve"> the most effective non-pharmacological intervention for osteoarthritis (OA) (Fransen et al.,</w:t>
      </w:r>
      <w:r w:rsidR="00A11AAF">
        <w:t xml:space="preserve"> </w:t>
      </w:r>
      <w:r w:rsidRPr="00225D19">
        <w:t>2015). Strengthening exercises enhance muscular support around affected joints, while aerobic activities contribute to weight control and cardiovascular health. Low-impact options</w:t>
      </w:r>
      <w:r w:rsidR="001E24CB" w:rsidRPr="00225D19">
        <w:t xml:space="preserve"> </w:t>
      </w:r>
      <w:r w:rsidRPr="00225D19">
        <w:t>such as swimming, cycling, and walking</w:t>
      </w:r>
      <w:r w:rsidR="00221BFC" w:rsidRPr="00225D19">
        <w:t xml:space="preserve"> </w:t>
      </w:r>
      <w:r w:rsidRPr="00225D19">
        <w:t xml:space="preserve">are especially recommended for </w:t>
      </w:r>
      <w:r w:rsidR="3129D7A3" w:rsidRPr="00225D19">
        <w:t>keeping</w:t>
      </w:r>
      <w:r w:rsidRPr="00225D19">
        <w:t xml:space="preserve"> joint function</w:t>
      </w:r>
      <w:r w:rsidR="006778C5" w:rsidRPr="00225D19">
        <w:t>.</w:t>
      </w:r>
    </w:p>
    <w:p w14:paraId="125FEDA6" w14:textId="77777777" w:rsidR="00E077D1" w:rsidRPr="00225D19" w:rsidRDefault="00E077D1" w:rsidP="00603993">
      <w:pPr>
        <w:ind w:left="360"/>
        <w:jc w:val="both"/>
      </w:pPr>
      <w:r w:rsidRPr="00225D19">
        <w:rPr>
          <w:b/>
          <w:bCs/>
        </w:rPr>
        <w:t>Weight management</w:t>
      </w:r>
      <w:r w:rsidRPr="00225D19">
        <w:t>: For individuals who are overweight or obese, even modest reductions in body weight can substantially decrease joint loading and alleviate pain in the knees and hips (Messier et al., 2013). The NHS offers weight management support through services such as dietitian referrals and structured weight-loss programmes.</w:t>
      </w:r>
    </w:p>
    <w:p w14:paraId="0A67D9F1" w14:textId="79B8AEBB" w:rsidR="00BA28AA" w:rsidRPr="00225D19" w:rsidRDefault="00BA28AA" w:rsidP="00126B40">
      <w:pPr>
        <w:ind w:left="360"/>
        <w:jc w:val="both"/>
      </w:pPr>
      <w:r w:rsidRPr="00225D19">
        <w:rPr>
          <w:b/>
          <w:bCs/>
        </w:rPr>
        <w:t>Physiotherapy and occupational therapy</w:t>
      </w:r>
      <w:r w:rsidRPr="00225D19">
        <w:t>: Physiotherapists deliver tailored exercise programmes and guidance on activity pacing to support joint function and symptom management. Occupational therapists may advise on joint protection techniques and recommend assistive devices</w:t>
      </w:r>
      <w:r w:rsidR="002A142B" w:rsidRPr="00225D19">
        <w:t xml:space="preserve"> </w:t>
      </w:r>
      <w:r w:rsidRPr="00225D19">
        <w:t>such as braces, splints, or adapted tools</w:t>
      </w:r>
      <w:r w:rsidR="00620A12" w:rsidRPr="00225D19">
        <w:t xml:space="preserve"> </w:t>
      </w:r>
      <w:r w:rsidRPr="00225D19">
        <w:t>to facilitate everyday tasks and maintain independence (NHS, 2022).</w:t>
      </w:r>
    </w:p>
    <w:p w14:paraId="0019FED1" w14:textId="2CAC22C0" w:rsidR="004915A1" w:rsidRPr="00225D19" w:rsidRDefault="004915A1" w:rsidP="00126B40">
      <w:pPr>
        <w:ind w:left="360"/>
        <w:jc w:val="both"/>
      </w:pPr>
      <w:r w:rsidRPr="00225D19">
        <w:rPr>
          <w:b/>
          <w:bCs/>
        </w:rPr>
        <w:t>Education and self-management</w:t>
      </w:r>
      <w:r w:rsidRPr="00225D19">
        <w:t>: Patient education initiatives</w:t>
      </w:r>
      <w:r w:rsidR="00AE1FB3" w:rsidRPr="00225D19">
        <w:t xml:space="preserve"> </w:t>
      </w:r>
      <w:r w:rsidRPr="00225D19">
        <w:t>such as those facilitated by Versus Arthritis</w:t>
      </w:r>
      <w:r w:rsidR="00F4013D" w:rsidRPr="00225D19">
        <w:t xml:space="preserve"> </w:t>
      </w:r>
      <w:r w:rsidRPr="00225D19">
        <w:t xml:space="preserve">equip individuals with the knowledge to better understand osteoarthritis </w:t>
      </w:r>
      <w:r w:rsidR="00FB2C3C">
        <w:t>(</w:t>
      </w:r>
      <w:r w:rsidR="00FB2C3C" w:rsidRPr="00FB2C3C">
        <w:t>NICE, 2022)</w:t>
      </w:r>
      <w:r w:rsidRPr="00225D19">
        <w:t>, establish achievable goals, and adopt effective pain management techniques. Within the NHS, self-management is recognised as a cornerstone of long-term condition care, promoting autonomy and sustained wellbeing</w:t>
      </w:r>
      <w:r w:rsidR="005D6B1D">
        <w:t xml:space="preserve"> (</w:t>
      </w:r>
      <w:r w:rsidR="005D6B1D" w:rsidRPr="005D6B1D">
        <w:t>NHS, 2023</w:t>
      </w:r>
      <w:r w:rsidR="005D6B1D">
        <w:t>)</w:t>
      </w:r>
      <w:r w:rsidRPr="00225D19">
        <w:t>.</w:t>
      </w:r>
    </w:p>
    <w:p w14:paraId="00875920" w14:textId="77777777" w:rsidR="00C85490" w:rsidRPr="00E35843" w:rsidRDefault="00C85490" w:rsidP="002E5FA5">
      <w:pPr>
        <w:spacing w:before="240" w:after="240"/>
        <w:ind w:left="360"/>
        <w:rPr>
          <w:rFonts w:ascii="Aptos" w:eastAsia="Aptos" w:hAnsi="Aptos" w:cs="Aptos"/>
          <w:sz w:val="18"/>
          <w:szCs w:val="18"/>
        </w:rPr>
      </w:pPr>
    </w:p>
    <w:p w14:paraId="539F8BF2" w14:textId="07D88870" w:rsidR="47875F7E" w:rsidRPr="00225D19" w:rsidRDefault="71BDF725" w:rsidP="564FCD8F">
      <w:pPr>
        <w:pStyle w:val="Heading3"/>
        <w:spacing w:before="281" w:after="281"/>
        <w:rPr>
          <w:color w:val="auto"/>
        </w:rPr>
      </w:pPr>
      <w:bookmarkStart w:id="27" w:name="_Toc2079427459"/>
      <w:bookmarkStart w:id="28" w:name="_Toc211059000"/>
      <w:r w:rsidRPr="00225D19">
        <w:rPr>
          <w:rFonts w:ascii="Aptos" w:eastAsia="Aptos" w:hAnsi="Aptos" w:cs="Aptos"/>
          <w:b/>
          <w:bCs/>
          <w:color w:val="auto"/>
        </w:rPr>
        <w:t>Pharmacological Treatments</w:t>
      </w:r>
      <w:bookmarkEnd w:id="27"/>
      <w:bookmarkEnd w:id="28"/>
    </w:p>
    <w:p w14:paraId="6E38804E" w14:textId="29A55355" w:rsidR="47875F7E" w:rsidRPr="00225D19" w:rsidRDefault="71BDF725" w:rsidP="0014545A">
      <w:pPr>
        <w:spacing w:before="240" w:after="240"/>
        <w:jc w:val="both"/>
        <w:rPr>
          <w:rFonts w:ascii="Aptos" w:eastAsia="Aptos" w:hAnsi="Aptos" w:cs="Aptos"/>
        </w:rPr>
      </w:pPr>
      <w:r w:rsidRPr="00225D19">
        <w:rPr>
          <w:rFonts w:ascii="Aptos" w:eastAsia="Aptos" w:hAnsi="Aptos" w:cs="Aptos"/>
        </w:rPr>
        <w:t>When lifestyle measures are insufficient, pharmacological interventions may be introduced:</w:t>
      </w:r>
    </w:p>
    <w:p w14:paraId="789FE9D8" w14:textId="77777777" w:rsidR="004E7440" w:rsidRDefault="00E84E43" w:rsidP="0014545A">
      <w:pPr>
        <w:spacing w:before="240" w:after="240"/>
        <w:jc w:val="both"/>
      </w:pPr>
      <w:r w:rsidRPr="00225D19">
        <w:rPr>
          <w:b/>
          <w:bCs/>
        </w:rPr>
        <w:lastRenderedPageBreak/>
        <w:t>Analgesics</w:t>
      </w:r>
      <w:r w:rsidRPr="00225D19">
        <w:t xml:space="preserve">: Paracetamol has historically been used to manage osteoarthritis (OA) pain; however, recent NICE guidelines </w:t>
      </w:r>
      <w:r w:rsidR="2E62769B" w:rsidRPr="00225D19">
        <w:t>recommend</w:t>
      </w:r>
      <w:r w:rsidRPr="00225D19">
        <w:t xml:space="preserve"> against its routine use due to limited clinical efficacy (NICE, 2022).</w:t>
      </w:r>
    </w:p>
    <w:p w14:paraId="532D1E95" w14:textId="0EEEC247" w:rsidR="0014545A" w:rsidRDefault="00E84E43" w:rsidP="0014545A">
      <w:pPr>
        <w:spacing w:before="240" w:after="240"/>
        <w:jc w:val="both"/>
      </w:pPr>
      <w:r w:rsidRPr="00225D19">
        <w:br/>
      </w:r>
      <w:r w:rsidRPr="00225D19">
        <w:rPr>
          <w:b/>
          <w:bCs/>
        </w:rPr>
        <w:t>Non-steroidal anti-inflammatory drugs (NSAIDs)</w:t>
      </w:r>
      <w:r w:rsidRPr="00225D19">
        <w:t>: Topical and oral NSAIDs</w:t>
      </w:r>
      <w:r w:rsidR="000300DA">
        <w:t xml:space="preserve"> </w:t>
      </w:r>
      <w:r w:rsidRPr="00225D19">
        <w:t>such as ibuprofen and naproxen</w:t>
      </w:r>
      <w:r w:rsidR="000300DA">
        <w:t xml:space="preserve"> </w:t>
      </w:r>
      <w:r w:rsidRPr="00225D19">
        <w:t xml:space="preserve">are </w:t>
      </w:r>
      <w:r w:rsidR="5ADD877F" w:rsidRPr="00225D19">
        <w:t>regularly</w:t>
      </w:r>
      <w:r w:rsidRPr="00225D19">
        <w:t xml:space="preserve"> prescribed for symptom relief. While effective in reducing pain and inflammation, they carry risks of gastrointestinal, renal, and cardiovascular adverse effects, particularly in older populations (Zeng et al., 2018).</w:t>
      </w:r>
    </w:p>
    <w:p w14:paraId="30D21067" w14:textId="77777777" w:rsidR="0014545A" w:rsidRDefault="00E84E43" w:rsidP="0014545A">
      <w:pPr>
        <w:spacing w:before="240" w:after="240"/>
        <w:jc w:val="both"/>
      </w:pPr>
      <w:r w:rsidRPr="00225D19">
        <w:br/>
      </w:r>
      <w:r w:rsidRPr="00225D19">
        <w:rPr>
          <w:b/>
          <w:bCs/>
        </w:rPr>
        <w:t>Opioids</w:t>
      </w:r>
      <w:r w:rsidRPr="00225D19">
        <w:t>: For cases of severe pain, opioids may be considered, though their use is restricted due to potential for dependency and a range of adverse effects. Careful monitoring is essential (Chou et al., 2015).</w:t>
      </w:r>
    </w:p>
    <w:p w14:paraId="07A5EEDC" w14:textId="3028870E" w:rsidR="0014545A" w:rsidRPr="00225D19" w:rsidRDefault="00E84E43" w:rsidP="005E5D09">
      <w:pPr>
        <w:spacing w:before="240" w:after="240"/>
        <w:jc w:val="both"/>
      </w:pPr>
      <w:r w:rsidRPr="00225D19">
        <w:br/>
      </w:r>
      <w:r w:rsidRPr="00225D19">
        <w:rPr>
          <w:b/>
          <w:bCs/>
        </w:rPr>
        <w:t>Corticosteroid injections</w:t>
      </w:r>
      <w:r w:rsidRPr="00225D19">
        <w:t xml:space="preserve">: These may </w:t>
      </w:r>
      <w:r>
        <w:t>offer</w:t>
      </w:r>
      <w:r w:rsidR="2CD8F164">
        <w:t xml:space="preserve"> </w:t>
      </w:r>
      <w:r>
        <w:t>short</w:t>
      </w:r>
      <w:r w:rsidRPr="00225D19">
        <w:t>-term relief for moderate-to-severe joint pain, although their therapeutic effect typically lasts only a few weeks to months (Bannuru et al., 2019).</w:t>
      </w:r>
    </w:p>
    <w:p w14:paraId="6CF258E9" w14:textId="43DC702F" w:rsidR="47875F7E" w:rsidRPr="00225D19" w:rsidRDefault="71BDF725" w:rsidP="564FCD8F">
      <w:pPr>
        <w:pStyle w:val="Heading3"/>
        <w:spacing w:before="281" w:after="281"/>
        <w:rPr>
          <w:color w:val="auto"/>
        </w:rPr>
      </w:pPr>
      <w:bookmarkStart w:id="29" w:name="_Toc1021032507"/>
      <w:bookmarkStart w:id="30" w:name="_Toc211059001"/>
      <w:r w:rsidRPr="00225D19">
        <w:rPr>
          <w:rFonts w:ascii="Aptos" w:eastAsia="Aptos" w:hAnsi="Aptos" w:cs="Aptos"/>
          <w:b/>
          <w:bCs/>
          <w:color w:val="auto"/>
        </w:rPr>
        <w:t>Surgical Interventions</w:t>
      </w:r>
      <w:bookmarkEnd w:id="29"/>
      <w:bookmarkEnd w:id="30"/>
    </w:p>
    <w:p w14:paraId="48562E6F" w14:textId="3F11EA9D" w:rsidR="00F6148B" w:rsidRPr="00225D19" w:rsidRDefault="71BDF725" w:rsidP="00810B06">
      <w:pPr>
        <w:spacing w:before="240" w:after="240"/>
        <w:jc w:val="both"/>
        <w:rPr>
          <w:rFonts w:ascii="Aptos" w:eastAsia="Aptos" w:hAnsi="Aptos" w:cs="Aptos"/>
        </w:rPr>
      </w:pPr>
      <w:r w:rsidRPr="00225D19">
        <w:rPr>
          <w:rFonts w:ascii="Aptos" w:eastAsia="Aptos" w:hAnsi="Aptos" w:cs="Aptos"/>
        </w:rPr>
        <w:t>For patients with advanced OA who do not respond to conservative management, surgery may be considered:</w:t>
      </w:r>
      <w:r w:rsidR="00F6148B" w:rsidRPr="00F6148B">
        <w:t xml:space="preserve"> </w:t>
      </w:r>
      <w:r w:rsidR="00F6148B">
        <w:t>(</w:t>
      </w:r>
      <w:r w:rsidR="00F6148B" w:rsidRPr="00F6148B">
        <w:rPr>
          <w:rFonts w:ascii="Aptos" w:eastAsia="Aptos" w:hAnsi="Aptos" w:cs="Aptos"/>
        </w:rPr>
        <w:t>NHS, 2023</w:t>
      </w:r>
      <w:r w:rsidR="00F6148B">
        <w:rPr>
          <w:rFonts w:ascii="Aptos" w:eastAsia="Aptos" w:hAnsi="Aptos" w:cs="Aptos"/>
        </w:rPr>
        <w:t>)</w:t>
      </w:r>
      <w:r w:rsidR="0014545A">
        <w:rPr>
          <w:rFonts w:ascii="Aptos" w:eastAsia="Aptos" w:hAnsi="Aptos" w:cs="Aptos"/>
        </w:rPr>
        <w:t>.</w:t>
      </w:r>
    </w:p>
    <w:p w14:paraId="4EF38389" w14:textId="77777777" w:rsidR="00F6148B" w:rsidRDefault="00D504A0" w:rsidP="00810B06">
      <w:pPr>
        <w:spacing w:before="240" w:after="240"/>
        <w:jc w:val="both"/>
      </w:pPr>
      <w:r w:rsidRPr="00225D19">
        <w:rPr>
          <w:b/>
          <w:bCs/>
        </w:rPr>
        <w:t>Joint replacement (arthroplasty)</w:t>
      </w:r>
      <w:r w:rsidRPr="00225D19">
        <w:t>: Hip and knee arthroplasties are among the most effective surgical interventions in contemporary medicine, providing sustained pain relief and improved mobility for individuals with advanced osteoarthritis (OA). In the UK, over 100,000 knee replacements and 80,000 hip replacements are performed annually (National Joint Registry, 2022). While clinical outcomes are generally favourable, extended NHS waiting times remain a persistent challenge.</w:t>
      </w:r>
    </w:p>
    <w:p w14:paraId="0660BB4D" w14:textId="1B996CA3" w:rsidR="00D504A0" w:rsidRPr="00225D19" w:rsidRDefault="00D504A0" w:rsidP="000F6F45">
      <w:pPr>
        <w:spacing w:before="240" w:after="240"/>
        <w:jc w:val="both"/>
      </w:pPr>
      <w:r w:rsidRPr="00225D19">
        <w:br/>
      </w:r>
      <w:r w:rsidRPr="00225D19">
        <w:rPr>
          <w:b/>
          <w:bCs/>
        </w:rPr>
        <w:t>Arthroscopy</w:t>
      </w:r>
      <w:r w:rsidRPr="00225D19">
        <w:t>: Previously a common procedure for knee OA, arthroscopy is now seldom recommended</w:t>
      </w:r>
      <w:r w:rsidR="003351F7">
        <w:t xml:space="preserve"> (</w:t>
      </w:r>
      <w:r w:rsidR="003351F7" w:rsidRPr="003351F7">
        <w:t>NHS, 2023)</w:t>
      </w:r>
      <w:r w:rsidRPr="00225D19">
        <w:t>. Current evidence indicates minimal long-term benefit when compared to conservative management approaches (Khan et al., 2014).</w:t>
      </w:r>
    </w:p>
    <w:p w14:paraId="01089BFA" w14:textId="7831E97B" w:rsidR="47875F7E" w:rsidRPr="00225D19" w:rsidRDefault="71BDF725" w:rsidP="564FCD8F">
      <w:pPr>
        <w:pStyle w:val="Heading3"/>
        <w:spacing w:before="281" w:after="281"/>
        <w:rPr>
          <w:rFonts w:ascii="Aptos" w:eastAsia="Aptos" w:hAnsi="Aptos" w:cs="Aptos"/>
          <w:b/>
          <w:bCs/>
          <w:color w:val="auto"/>
        </w:rPr>
      </w:pPr>
      <w:bookmarkStart w:id="31" w:name="_Toc1324677905"/>
      <w:bookmarkStart w:id="32" w:name="_Toc211059002"/>
      <w:r w:rsidRPr="00225D19">
        <w:rPr>
          <w:rFonts w:ascii="Aptos" w:eastAsia="Aptos" w:hAnsi="Aptos" w:cs="Aptos"/>
          <w:b/>
          <w:bCs/>
          <w:color w:val="auto"/>
        </w:rPr>
        <w:t>Multidisciplinary and Community-Based Approaches</w:t>
      </w:r>
      <w:bookmarkEnd w:id="31"/>
      <w:bookmarkEnd w:id="32"/>
    </w:p>
    <w:p w14:paraId="49DB99B8" w14:textId="4DD50041" w:rsidR="00527225" w:rsidRPr="00225D19" w:rsidRDefault="00A76C5A" w:rsidP="00D13A0D">
      <w:pPr>
        <w:jc w:val="both"/>
      </w:pPr>
      <w:r w:rsidRPr="00225D19">
        <w:t>Effective management of osteoarthritis (OA) is best achieved through a multidisciplinary team approach, involving general practitioners, physiotherapists, rheumatologists, orthopaedic surgeons, dietitians, and pain specialists (NHS England, 2019). Community</w:t>
      </w:r>
      <w:r w:rsidR="00145A36" w:rsidRPr="00225D19">
        <w:t xml:space="preserve"> </w:t>
      </w:r>
      <w:r w:rsidRPr="00225D19">
        <w:lastRenderedPageBreak/>
        <w:t>based programmes</w:t>
      </w:r>
      <w:r w:rsidR="00145A36" w:rsidRPr="00225D19">
        <w:t xml:space="preserve"> </w:t>
      </w:r>
      <w:r w:rsidRPr="00225D19">
        <w:t>such as exercise-on-referral schemes</w:t>
      </w:r>
      <w:r w:rsidR="00145A36" w:rsidRPr="00225D19">
        <w:t xml:space="preserve"> </w:t>
      </w:r>
      <w:r w:rsidRPr="00225D19">
        <w:t>play a vital role in enhancing accessibility and promoting sustained engagement with treatment</w:t>
      </w:r>
      <w:r w:rsidR="00085D54" w:rsidRPr="00085D54">
        <w:t xml:space="preserve"> </w:t>
      </w:r>
      <w:r w:rsidR="003A1D9F" w:rsidRPr="00225D19">
        <w:t>NICE, 2022).</w:t>
      </w:r>
    </w:p>
    <w:p w14:paraId="6697250D" w14:textId="10F9DBAC" w:rsidR="47875F7E" w:rsidRPr="00225D19" w:rsidRDefault="71BDF725" w:rsidP="564FCD8F">
      <w:pPr>
        <w:pStyle w:val="Heading3"/>
        <w:spacing w:before="281" w:after="281"/>
        <w:rPr>
          <w:color w:val="auto"/>
        </w:rPr>
      </w:pPr>
      <w:bookmarkStart w:id="33" w:name="_Toc600407119"/>
      <w:bookmarkStart w:id="34" w:name="_Toc211059003"/>
      <w:r w:rsidRPr="00225D19">
        <w:rPr>
          <w:rFonts w:ascii="Aptos" w:eastAsia="Aptos" w:hAnsi="Aptos" w:cs="Aptos"/>
          <w:b/>
          <w:bCs/>
          <w:color w:val="auto"/>
        </w:rPr>
        <w:t>Evaluation of Effectiveness</w:t>
      </w:r>
      <w:bookmarkEnd w:id="33"/>
      <w:bookmarkEnd w:id="34"/>
    </w:p>
    <w:p w14:paraId="571F549A" w14:textId="29874599" w:rsidR="00DE0AF0" w:rsidRDefault="00DE0AF0" w:rsidP="00210BA9">
      <w:pPr>
        <w:jc w:val="both"/>
      </w:pPr>
      <w:r w:rsidRPr="00225D19">
        <w:t xml:space="preserve">Robust evidence </w:t>
      </w:r>
      <w:r w:rsidR="0A2920B1" w:rsidRPr="00225D19">
        <w:t>pinpoints exercise</w:t>
      </w:r>
      <w:r w:rsidRPr="00225D19">
        <w:t xml:space="preserve"> and weight reduction as the most effective and low-risk interventions for managing osteoarthritis </w:t>
      </w:r>
      <w:r w:rsidR="009647F6">
        <w:t>(</w:t>
      </w:r>
      <w:r w:rsidR="003A1D9F" w:rsidRPr="00225D19">
        <w:t>NICE, 2022).</w:t>
      </w:r>
      <w:r w:rsidRPr="00225D19">
        <w:t xml:space="preserve"> While pharmacological treatments can offer symptom relief, they require careful evaluation due to potential adverse effects. Joint replacement surgery </w:t>
      </w:r>
      <w:r w:rsidR="617E44EE" w:rsidRPr="00225D19">
        <w:t>stays</w:t>
      </w:r>
      <w:r w:rsidRPr="00225D19">
        <w:t xml:space="preserve"> a </w:t>
      </w:r>
      <w:r w:rsidR="2AD51735" w:rsidRPr="00225D19">
        <w:t>phenomenally</w:t>
      </w:r>
      <w:r w:rsidRPr="00225D19">
        <w:t xml:space="preserve"> successful </w:t>
      </w:r>
      <w:r w:rsidR="1E08066A" w:rsidRPr="00225D19">
        <w:t>possibility</w:t>
      </w:r>
      <w:r w:rsidRPr="00225D19">
        <w:t xml:space="preserve"> for advanced cases, though it is resource-intensive and access </w:t>
      </w:r>
      <w:proofErr w:type="gramStart"/>
      <w:r w:rsidRPr="00225D19">
        <w:t>varies</w:t>
      </w:r>
      <w:proofErr w:type="gramEnd"/>
      <w:r w:rsidRPr="00225D19">
        <w:t xml:space="preserve"> across UK regions (Versus Arthritis, 2019). </w:t>
      </w:r>
      <w:bookmarkStart w:id="35" w:name="_Int_2A8ODFkT"/>
      <w:r w:rsidRPr="00225D19">
        <w:t>Ultimately, OA</w:t>
      </w:r>
      <w:bookmarkEnd w:id="35"/>
      <w:r w:rsidRPr="00225D19">
        <w:t xml:space="preserve"> care should be personalised, integrating lifestyle modifications, medical therapies, and where </w:t>
      </w:r>
      <w:r w:rsidR="066548CB" w:rsidRPr="00225D19">
        <w:t>right</w:t>
      </w:r>
      <w:r w:rsidRPr="00225D19">
        <w:t xml:space="preserve"> surgical interventions to optimise patient outcomes.</w:t>
      </w:r>
    </w:p>
    <w:p w14:paraId="3762A039" w14:textId="77777777" w:rsidR="009C5CBE" w:rsidRDefault="009C5CBE" w:rsidP="00210BA9">
      <w:pPr>
        <w:jc w:val="both"/>
      </w:pPr>
    </w:p>
    <w:p w14:paraId="49439811" w14:textId="77777777" w:rsidR="009C5CBE" w:rsidRDefault="009C5CBE" w:rsidP="00210BA9">
      <w:pPr>
        <w:jc w:val="both"/>
      </w:pPr>
    </w:p>
    <w:p w14:paraId="595D8E40" w14:textId="77777777" w:rsidR="009C5CBE" w:rsidRDefault="009C5CBE" w:rsidP="00210BA9">
      <w:pPr>
        <w:jc w:val="both"/>
      </w:pPr>
    </w:p>
    <w:p w14:paraId="0B07765D" w14:textId="77777777" w:rsidR="009C5CBE" w:rsidRDefault="009C5CBE" w:rsidP="00210BA9">
      <w:pPr>
        <w:jc w:val="both"/>
      </w:pPr>
    </w:p>
    <w:p w14:paraId="70525449" w14:textId="77777777" w:rsidR="009C5CBE" w:rsidRDefault="009C5CBE" w:rsidP="00210BA9">
      <w:pPr>
        <w:jc w:val="both"/>
      </w:pPr>
    </w:p>
    <w:p w14:paraId="4227B2D0" w14:textId="77777777" w:rsidR="009C5CBE" w:rsidRDefault="009C5CBE" w:rsidP="00210BA9">
      <w:pPr>
        <w:jc w:val="both"/>
      </w:pPr>
    </w:p>
    <w:p w14:paraId="6C5BF3B4" w14:textId="77777777" w:rsidR="009C5CBE" w:rsidRDefault="009C5CBE" w:rsidP="00210BA9">
      <w:pPr>
        <w:jc w:val="both"/>
      </w:pPr>
    </w:p>
    <w:p w14:paraId="0CCF4AA3" w14:textId="77777777" w:rsidR="009C5CBE" w:rsidRDefault="009C5CBE" w:rsidP="00210BA9">
      <w:pPr>
        <w:jc w:val="both"/>
      </w:pPr>
    </w:p>
    <w:p w14:paraId="57219CEE" w14:textId="77777777" w:rsidR="009C5CBE" w:rsidRPr="00225D19" w:rsidRDefault="009C5CBE" w:rsidP="00210BA9">
      <w:pPr>
        <w:jc w:val="both"/>
      </w:pPr>
    </w:p>
    <w:p w14:paraId="5CCFBFF9" w14:textId="77777777" w:rsidR="00462F9A" w:rsidRDefault="00462F9A" w:rsidP="00462F9A">
      <w:bookmarkStart w:id="36" w:name="_Toc493495767"/>
    </w:p>
    <w:p w14:paraId="2FE9A00F" w14:textId="77777777" w:rsidR="00462F9A" w:rsidRDefault="00462F9A" w:rsidP="00462F9A"/>
    <w:p w14:paraId="2215D464" w14:textId="77777777" w:rsidR="00462F9A" w:rsidRDefault="00462F9A" w:rsidP="005905D7">
      <w:pPr>
        <w:pStyle w:val="Heading1"/>
      </w:pPr>
    </w:p>
    <w:p w14:paraId="1B2941C8" w14:textId="77777777" w:rsidR="00FA42A6" w:rsidRPr="00FA42A6" w:rsidRDefault="00FA42A6" w:rsidP="00FA42A6"/>
    <w:p w14:paraId="2FB463AF" w14:textId="35B63A6D" w:rsidR="00462F9A" w:rsidRDefault="7F8EADFC" w:rsidP="005905D7">
      <w:pPr>
        <w:pStyle w:val="Heading1"/>
      </w:pPr>
      <w:bookmarkStart w:id="37" w:name="_Toc211059004"/>
      <w:r w:rsidRPr="00225D19">
        <w:t xml:space="preserve">UK Model: </w:t>
      </w:r>
      <w:r w:rsidR="00FA42A6" w:rsidRPr="00FA42A6">
        <w:t>The House of Care</w:t>
      </w:r>
      <w:bookmarkEnd w:id="37"/>
    </w:p>
    <w:p w14:paraId="39194398" w14:textId="73BCDE98" w:rsidR="00DE0AF0" w:rsidRDefault="7F8EADFC" w:rsidP="00462F9A">
      <w:r w:rsidRPr="00225D19">
        <w:t>The NHS Long Term Plan and NICE Guidelines</w:t>
      </w:r>
      <w:bookmarkEnd w:id="36"/>
    </w:p>
    <w:p w14:paraId="7157FC5F" w14:textId="7C8ECB7C" w:rsidR="00A24185" w:rsidRDefault="00DD5F99" w:rsidP="00787A05">
      <w:r w:rsidRPr="00DD5F99">
        <w:lastRenderedPageBreak/>
        <w:drawing>
          <wp:inline distT="0" distB="0" distL="0" distR="0" wp14:anchorId="0E5AFE9D" wp14:editId="3272AA96">
            <wp:extent cx="5731510" cy="4572000"/>
            <wp:effectExtent l="0" t="0" r="2540" b="0"/>
            <wp:docPr id="287984145" name="Picture 1" descr="A diagram of a health care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984145" name="Picture 1" descr="A diagram of a health care company&#10;&#10;AI-generated content may be incorrect."/>
                    <pic:cNvPicPr/>
                  </pic:nvPicPr>
                  <pic:blipFill>
                    <a:blip r:embed="rId12"/>
                    <a:stretch>
                      <a:fillRect/>
                    </a:stretch>
                  </pic:blipFill>
                  <pic:spPr>
                    <a:xfrm>
                      <a:off x="0" y="0"/>
                      <a:ext cx="5731510" cy="4572000"/>
                    </a:xfrm>
                    <a:prstGeom prst="rect">
                      <a:avLst/>
                    </a:prstGeom>
                  </pic:spPr>
                </pic:pic>
              </a:graphicData>
            </a:graphic>
          </wp:inline>
        </w:drawing>
      </w:r>
      <w:r w:rsidR="001D501A">
        <w:t xml:space="preserve">                                       (</w:t>
      </w:r>
      <w:r w:rsidR="00A24185" w:rsidRPr="00A24185">
        <w:t>NHS England</w:t>
      </w:r>
      <w:r w:rsidR="001D501A">
        <w:t xml:space="preserve">, </w:t>
      </w:r>
      <w:r w:rsidR="00A24185" w:rsidRPr="00A24185">
        <w:t>2016)</w:t>
      </w:r>
    </w:p>
    <w:p w14:paraId="32A3D288" w14:textId="40D95E90" w:rsidR="00E6663E" w:rsidRPr="00787A05" w:rsidRDefault="000E3371" w:rsidP="000E3371">
      <w:pPr>
        <w:jc w:val="both"/>
      </w:pPr>
      <w:bookmarkStart w:id="38" w:name="_Hlk211058959"/>
      <w:r w:rsidRPr="000E3371">
        <w:t xml:space="preserve">The House of Care </w:t>
      </w:r>
      <w:bookmarkEnd w:id="38"/>
      <w:r w:rsidRPr="000E3371">
        <w:t>framework (Year of Care Partnerships, 2019) embeds personalised care planning for long-term conditions like osteoarthritis. Using a house metaphor, it highlights four pillars</w:t>
      </w:r>
      <w:r w:rsidR="006E2E45">
        <w:t xml:space="preserve"> </w:t>
      </w:r>
      <w:r w:rsidRPr="000E3371">
        <w:t xml:space="preserve">engaged individuals, committed professionals, supportive systems, and responsive commissioning (NHS England, </w:t>
      </w:r>
      <w:r>
        <w:t xml:space="preserve">2016) </w:t>
      </w:r>
      <w:r w:rsidRPr="000E3371">
        <w:t>Health and Social Care Alliance Scotland, 2020)</w:t>
      </w:r>
      <w:r w:rsidR="006E2E45">
        <w:t xml:space="preserve"> </w:t>
      </w:r>
      <w:r w:rsidRPr="000E3371">
        <w:t>centred around collaborative conversations that prioritise what matters most to the person.</w:t>
      </w:r>
    </w:p>
    <w:p w14:paraId="5632AA17" w14:textId="4268DAF4" w:rsidR="0D8BB463" w:rsidRPr="00225D19" w:rsidRDefault="3A8D9BA5" w:rsidP="000E3371">
      <w:pPr>
        <w:jc w:val="both"/>
        <w:rPr>
          <w:rFonts w:ascii="Aptos" w:eastAsia="Aptos" w:hAnsi="Aptos" w:cs="Aptos"/>
        </w:rPr>
      </w:pPr>
      <w:r w:rsidRPr="00225D19">
        <w:rPr>
          <w:rFonts w:ascii="Aptos" w:eastAsia="Aptos" w:hAnsi="Aptos" w:cs="Aptos"/>
        </w:rPr>
        <w:t>In the UK, osteoarthritis (OA) care is shaped by key strategic frameworks, notably the NHS Long Term Plan (NHS England, 2019) and NICE guidelines (NICE, 2022). Both emphasise prevention, early intervention, and person-centred care as foundational principles. The NHS Long Term Plan specifically advocates for Integrated Care Systems (ICS) to coordinate services across primary care, acute hospitals, social care, and community settings, ensuring that individuals with long-term conditions like OA receive seamless, holistic support.</w:t>
      </w:r>
    </w:p>
    <w:p w14:paraId="5B85F9ED" w14:textId="77777777" w:rsidR="00A34397" w:rsidRDefault="24BB5CAF" w:rsidP="00295EEF">
      <w:pPr>
        <w:spacing w:before="240" w:after="240"/>
        <w:jc w:val="both"/>
        <w:rPr>
          <w:rFonts w:ascii="Aptos" w:eastAsia="Aptos" w:hAnsi="Aptos" w:cs="Aptos"/>
        </w:rPr>
      </w:pPr>
      <w:r w:rsidRPr="00225D19">
        <w:rPr>
          <w:rFonts w:ascii="Aptos" w:eastAsia="Aptos" w:hAnsi="Aptos" w:cs="Aptos"/>
        </w:rPr>
        <w:t xml:space="preserve">NICE guidelines (2022) advocate for self-management, physical activity, and weight reduction as primary interventions for osteoarthritis, signalling a move away from excessive reliance on pharmacological treatments. Crucially, they emphasise the need for personalised care, acknowledging the diverse ways OA manifests across individuals. </w:t>
      </w:r>
    </w:p>
    <w:p w14:paraId="6ED370E8" w14:textId="466CEB26" w:rsidR="133AD870" w:rsidRPr="00225D19" w:rsidRDefault="24BB5CAF" w:rsidP="00295EEF">
      <w:pPr>
        <w:spacing w:before="240" w:after="240"/>
        <w:jc w:val="both"/>
        <w:rPr>
          <w:rFonts w:ascii="Aptos" w:eastAsia="Aptos" w:hAnsi="Aptos" w:cs="Aptos"/>
        </w:rPr>
      </w:pPr>
      <w:r w:rsidRPr="00225D19">
        <w:rPr>
          <w:rFonts w:ascii="Aptos" w:eastAsia="Aptos" w:hAnsi="Aptos" w:cs="Aptos"/>
        </w:rPr>
        <w:lastRenderedPageBreak/>
        <w:t>This approach aligns with the biopsychosocial model introduced by Engel (1977), which integrates biological symptoms (e.g. pain, stiffness), psychological dimensions (e.g. depression, coping mechanisms), and social factors (e.g. isolation, family dynamics) into a comprehensive framework for understanding and managing chronic conditions.</w:t>
      </w:r>
    </w:p>
    <w:p w14:paraId="70458C04" w14:textId="19CA70EC" w:rsidR="42A29E70" w:rsidRPr="00225D19" w:rsidRDefault="71ED0460" w:rsidP="00A531E7">
      <w:pPr>
        <w:spacing w:before="240" w:after="240"/>
        <w:jc w:val="both"/>
        <w:rPr>
          <w:rFonts w:ascii="Aptos" w:eastAsia="Aptos" w:hAnsi="Aptos" w:cs="Aptos"/>
        </w:rPr>
      </w:pPr>
      <w:r w:rsidRPr="00225D19">
        <w:rPr>
          <w:rFonts w:ascii="Aptos" w:eastAsia="Aptos" w:hAnsi="Aptos" w:cs="Aptos"/>
        </w:rPr>
        <w:t>A notable strength of the UK’s osteoarthritis (OA) care model lies in its commitment to patient empowerment encouraging individuals to actively manage their condition through education, physical activity, and lifestyle modification. However, implementation across regions stays inconsistent. While some areas offer well-resourced community exercise referral programmes, others face limitations in service provision, resulting in unequal access to recommended care (Versus Arthritis, 2019).</w:t>
      </w:r>
    </w:p>
    <w:p w14:paraId="241AABF3" w14:textId="44AF242E" w:rsidR="2A295548" w:rsidRPr="00A531E7" w:rsidRDefault="7F8EADFC" w:rsidP="00A531E7">
      <w:pPr>
        <w:pStyle w:val="Heading3"/>
        <w:spacing w:before="281" w:after="281"/>
        <w:rPr>
          <w:rFonts w:ascii="Aptos" w:eastAsia="Aptos" w:hAnsi="Aptos" w:cs="Aptos"/>
          <w:b/>
          <w:bCs/>
          <w:color w:val="auto"/>
        </w:rPr>
      </w:pPr>
      <w:bookmarkStart w:id="39" w:name="_Toc1152388299"/>
      <w:bookmarkStart w:id="40" w:name="_Toc211059005"/>
      <w:r w:rsidRPr="00225D19">
        <w:rPr>
          <w:rFonts w:ascii="Aptos" w:eastAsia="Aptos" w:hAnsi="Aptos" w:cs="Aptos"/>
          <w:b/>
          <w:bCs/>
          <w:color w:val="auto"/>
        </w:rPr>
        <w:t>International Model: WHO Innovative Care for Chronic Conditions (ICCC) Framework</w:t>
      </w:r>
      <w:bookmarkEnd w:id="39"/>
      <w:bookmarkEnd w:id="40"/>
    </w:p>
    <w:p w14:paraId="42B29875" w14:textId="77777777" w:rsidR="000B7878" w:rsidRDefault="103EFDDC" w:rsidP="42A29E70">
      <w:pPr>
        <w:spacing w:after="0"/>
      </w:pPr>
      <w:r w:rsidRPr="00225D19">
        <w:rPr>
          <w:rFonts w:ascii="Aptos" w:eastAsia="Aptos" w:hAnsi="Aptos" w:cs="Aptos"/>
          <w:sz w:val="36"/>
          <w:szCs w:val="36"/>
        </w:rPr>
        <w:t xml:space="preserve">             </w:t>
      </w:r>
      <w:r w:rsidR="00360B85">
        <w:rPr>
          <w:noProof/>
        </w:rPr>
        <w:drawing>
          <wp:inline distT="0" distB="0" distL="0" distR="0" wp14:anchorId="56F694B1" wp14:editId="733B7E1E">
            <wp:extent cx="4804769" cy="4249615"/>
            <wp:effectExtent l="0" t="0" r="0" b="0"/>
            <wp:docPr id="1582369620" name="Picture 1" descr="A diagram of a pati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369620" name="Picture 1" descr="A diagram of a patient&#10;&#10;AI-generated content may be incorrect."/>
                    <pic:cNvPicPr/>
                  </pic:nvPicPr>
                  <pic:blipFill>
                    <a:blip r:embed="rId13"/>
                    <a:stretch>
                      <a:fillRect/>
                    </a:stretch>
                  </pic:blipFill>
                  <pic:spPr>
                    <a:xfrm>
                      <a:off x="0" y="0"/>
                      <a:ext cx="4822861" cy="4265617"/>
                    </a:xfrm>
                    <a:prstGeom prst="rect">
                      <a:avLst/>
                    </a:prstGeom>
                  </pic:spPr>
                </pic:pic>
              </a:graphicData>
            </a:graphic>
          </wp:inline>
        </w:drawing>
      </w:r>
      <w:r w:rsidRPr="00225D19">
        <w:rPr>
          <w:rFonts w:ascii="Aptos" w:eastAsia="Aptos" w:hAnsi="Aptos" w:cs="Aptos"/>
          <w:sz w:val="36"/>
          <w:szCs w:val="36"/>
        </w:rPr>
        <w:t xml:space="preserve">                                                                        </w:t>
      </w:r>
      <w:r w:rsidR="24BB8870" w:rsidRPr="00225D19">
        <w:rPr>
          <w:rFonts w:ascii="Aptos" w:eastAsia="Aptos" w:hAnsi="Aptos" w:cs="Aptos"/>
          <w:sz w:val="36"/>
          <w:szCs w:val="36"/>
        </w:rPr>
        <w:t xml:space="preserve">                                 </w:t>
      </w:r>
      <w:r w:rsidRPr="00225D19">
        <w:tab/>
      </w:r>
      <w:r w:rsidRPr="00225D19">
        <w:tab/>
      </w:r>
      <w:r w:rsidRPr="00225D19">
        <w:tab/>
      </w:r>
      <w:r w:rsidRPr="00225D19">
        <w:tab/>
      </w:r>
      <w:r w:rsidRPr="00225D19">
        <w:tab/>
      </w:r>
      <w:r w:rsidRPr="00225D19">
        <w:tab/>
      </w:r>
      <w:r w:rsidRPr="00225D19">
        <w:tab/>
      </w:r>
      <w:r w:rsidRPr="00225D19">
        <w:tab/>
      </w:r>
      <w:r w:rsidRPr="00225D19">
        <w:tab/>
      </w:r>
    </w:p>
    <w:p w14:paraId="266A5664" w14:textId="7E597C20" w:rsidR="103EFDDC" w:rsidRPr="00225D19" w:rsidRDefault="00384F58" w:rsidP="42A29E70">
      <w:pPr>
        <w:spacing w:after="0"/>
      </w:pPr>
      <w:r>
        <w:rPr>
          <w:rFonts w:ascii="Aptos" w:eastAsia="Aptos" w:hAnsi="Aptos" w:cs="Aptos"/>
        </w:rPr>
        <w:t xml:space="preserve">                                                                                                                                              </w:t>
      </w:r>
      <w:r w:rsidR="103EFDDC" w:rsidRPr="000B7878">
        <w:rPr>
          <w:rFonts w:ascii="Aptos" w:eastAsia="Aptos" w:hAnsi="Aptos" w:cs="Aptos"/>
        </w:rPr>
        <w:t>(Wagner, 1998)</w:t>
      </w:r>
    </w:p>
    <w:p w14:paraId="3C1BB579" w14:textId="2601560F" w:rsidR="73699CFB" w:rsidRPr="00225D19" w:rsidRDefault="73699CFB" w:rsidP="73699CFB"/>
    <w:p w14:paraId="2D517234" w14:textId="5156BC44" w:rsidR="3B72E972" w:rsidRPr="00225D19" w:rsidRDefault="3B72E972" w:rsidP="3B72E972"/>
    <w:p w14:paraId="6A118FD1" w14:textId="77777777" w:rsidR="009A7343" w:rsidRDefault="009A7343" w:rsidP="00E73BEE">
      <w:pPr>
        <w:spacing w:before="240" w:after="240"/>
        <w:jc w:val="both"/>
      </w:pPr>
    </w:p>
    <w:p w14:paraId="1F5EB32F" w14:textId="705FAF49" w:rsidR="009A7343" w:rsidRDefault="00FF196E" w:rsidP="00E73BEE">
      <w:pPr>
        <w:spacing w:before="240" w:after="240"/>
        <w:jc w:val="both"/>
      </w:pPr>
      <w:r w:rsidRPr="00FF196E">
        <w:lastRenderedPageBreak/>
        <w:t>Wagner et al. (1998) propose the Chronic Care Model as a structured approach to osteoarthritis management, integrating six key elements: self-management, decision support, delivery design, clinical systems, organisational alignment, and community engagement—centred on informed patients and proactive teams. Globally, the WHO’s ICCC framework provides a holistic strategy for managing chronic conditions like osteoarthritis, emphasising coordinated care across health systems and communities (WHO, 2002).</w:t>
      </w:r>
    </w:p>
    <w:p w14:paraId="6D3902B2" w14:textId="3EC74162" w:rsidR="00205E96" w:rsidRDefault="00205E96" w:rsidP="00E73BEE">
      <w:pPr>
        <w:spacing w:before="240" w:after="240"/>
        <w:jc w:val="both"/>
        <w:rPr>
          <w:rFonts w:ascii="Aptos" w:eastAsia="Aptos" w:hAnsi="Aptos" w:cs="Aptos"/>
        </w:rPr>
      </w:pPr>
      <w:r w:rsidRPr="00205E96">
        <w:rPr>
          <w:rFonts w:ascii="Aptos" w:eastAsia="Aptos" w:hAnsi="Aptos" w:cs="Aptos"/>
        </w:rPr>
        <w:t>According to Wagner et al. (1998), the Chronic Care Model advocates for health systems that are proactive, community-oriented, and designed to support patient self-management. Central to the framework is the promotion of collaborative partnerships among patients, families, healthcare professionals, and policymakers, recognising that chronic conditions cannot be adequately addressed within the confines of brief clinical encounters</w:t>
      </w:r>
    </w:p>
    <w:p w14:paraId="61446658" w14:textId="351EFE7F" w:rsidR="00B06AB9" w:rsidRDefault="00B06AB9" w:rsidP="00E73BEE">
      <w:pPr>
        <w:spacing w:before="240" w:after="240"/>
        <w:jc w:val="both"/>
        <w:rPr>
          <w:rFonts w:ascii="Aptos" w:eastAsia="Aptos" w:hAnsi="Aptos" w:cs="Aptos"/>
        </w:rPr>
      </w:pPr>
      <w:r w:rsidRPr="00B06AB9">
        <w:rPr>
          <w:rFonts w:ascii="Aptos" w:eastAsia="Aptos" w:hAnsi="Aptos" w:cs="Aptos"/>
        </w:rPr>
        <w:t>The ICCC framework highlights how wider social factors</w:t>
      </w:r>
      <w:r>
        <w:rPr>
          <w:rFonts w:ascii="Aptos" w:eastAsia="Aptos" w:hAnsi="Aptos" w:cs="Aptos"/>
        </w:rPr>
        <w:t xml:space="preserve"> </w:t>
      </w:r>
      <w:r w:rsidRPr="00B06AB9">
        <w:rPr>
          <w:rFonts w:ascii="Aptos" w:eastAsia="Aptos" w:hAnsi="Aptos" w:cs="Aptos"/>
        </w:rPr>
        <w:t>such as financial hardship, educational access, and housing conditions</w:t>
      </w:r>
      <w:r>
        <w:rPr>
          <w:rFonts w:ascii="Aptos" w:eastAsia="Aptos" w:hAnsi="Aptos" w:cs="Aptos"/>
        </w:rPr>
        <w:t xml:space="preserve"> </w:t>
      </w:r>
      <w:r w:rsidRPr="00B06AB9">
        <w:rPr>
          <w:rFonts w:ascii="Aptos" w:eastAsia="Aptos" w:hAnsi="Aptos" w:cs="Aptos"/>
        </w:rPr>
        <w:t>shape health outcomes. In osteoarthritis, this means recognising that safe environments for physical activity, affordable nutritious food, and strong social support networks directly influence an individual’s ability to manage their condition effectively (W</w:t>
      </w:r>
      <w:r w:rsidR="008C585B">
        <w:rPr>
          <w:rFonts w:ascii="Aptos" w:eastAsia="Aptos" w:hAnsi="Aptos" w:cs="Aptos"/>
        </w:rPr>
        <w:t>HO,2023</w:t>
      </w:r>
      <w:r>
        <w:rPr>
          <w:rFonts w:ascii="Aptos" w:eastAsia="Aptos" w:hAnsi="Aptos" w:cs="Aptos"/>
        </w:rPr>
        <w:t>)</w:t>
      </w:r>
      <w:r w:rsidRPr="00B06AB9">
        <w:rPr>
          <w:rFonts w:ascii="Aptos" w:eastAsia="Aptos" w:hAnsi="Aptos" w:cs="Aptos"/>
        </w:rPr>
        <w:t>,</w:t>
      </w:r>
    </w:p>
    <w:p w14:paraId="0A7C9C93" w14:textId="2FA10352" w:rsidR="7668D1FE" w:rsidRPr="00225D19" w:rsidRDefault="7F8EADFC" w:rsidP="283B2267">
      <w:pPr>
        <w:pStyle w:val="Heading3"/>
        <w:spacing w:before="281" w:after="281"/>
        <w:rPr>
          <w:rFonts w:ascii="Aptos" w:eastAsia="Aptos" w:hAnsi="Aptos" w:cs="Aptos"/>
          <w:b/>
          <w:bCs/>
          <w:color w:val="auto"/>
        </w:rPr>
      </w:pPr>
      <w:bookmarkStart w:id="41" w:name="_Toc1113488588"/>
      <w:bookmarkStart w:id="42" w:name="_Toc211059006"/>
      <w:r w:rsidRPr="00225D19">
        <w:rPr>
          <w:rFonts w:ascii="Aptos" w:eastAsia="Aptos" w:hAnsi="Aptos" w:cs="Aptos"/>
          <w:b/>
          <w:bCs/>
          <w:color w:val="auto"/>
        </w:rPr>
        <w:t>Comparison of Models</w:t>
      </w:r>
      <w:bookmarkEnd w:id="41"/>
      <w:bookmarkEnd w:id="42"/>
    </w:p>
    <w:p w14:paraId="12A51539" w14:textId="75FD06B1" w:rsidR="70F17678" w:rsidRPr="00225D19" w:rsidRDefault="4DEA9CFA" w:rsidP="007F185E">
      <w:pPr>
        <w:jc w:val="both"/>
        <w:rPr>
          <w:rFonts w:ascii="Aptos" w:eastAsia="Aptos" w:hAnsi="Aptos" w:cs="Aptos"/>
        </w:rPr>
      </w:pPr>
      <w:r w:rsidRPr="00225D19">
        <w:rPr>
          <w:rFonts w:ascii="Aptos" w:eastAsia="Aptos" w:hAnsi="Aptos" w:cs="Aptos"/>
        </w:rPr>
        <w:t>While the UK’s NHS model prioritises evidence-based guidelines and integrated service delivery, the World Health Organization’s ICCC framework offers a broader perspective by incorporating global and social determinants of health. Both models endorse self-management and person-centred care as central principles; however, the ICCC framework goes further by emphasising the importance of policy-level reform and societal change to effectively address chronic conditions (World Health Organization, 2002).</w:t>
      </w:r>
    </w:p>
    <w:p w14:paraId="735D22D4" w14:textId="20093D9F" w:rsidR="00DE0AF0" w:rsidRPr="001B30B6" w:rsidRDefault="3C3B4CB1" w:rsidP="001B30B6">
      <w:pPr>
        <w:jc w:val="both"/>
        <w:rPr>
          <w:rFonts w:ascii="Aptos" w:eastAsia="Aptos" w:hAnsi="Aptos" w:cs="Aptos"/>
        </w:rPr>
      </w:pPr>
      <w:r w:rsidRPr="00225D19">
        <w:rPr>
          <w:rFonts w:ascii="Aptos" w:eastAsia="Aptos" w:hAnsi="Aptos" w:cs="Aptos"/>
        </w:rPr>
        <w:t xml:space="preserve">In practice, the UK has integrated components from both models. Community-based exercise referral schemes reflect the ICCC framework’s emphasis on leveraging local resources, while NICE guidelines offer the evidence-based foundation necessary for consistent clinical practice. However, both approaches face implementation challenges; without sufficient funding, workforce capacity, and patient education, their ambitions risk </w:t>
      </w:r>
      <w:r w:rsidR="11731548" w:rsidRPr="00225D19">
        <w:rPr>
          <w:rFonts w:ascii="Aptos" w:eastAsia="Aptos" w:hAnsi="Aptos" w:cs="Aptos"/>
        </w:rPr>
        <w:t>staying</w:t>
      </w:r>
      <w:r w:rsidRPr="00225D19">
        <w:rPr>
          <w:rFonts w:ascii="Aptos" w:eastAsia="Aptos" w:hAnsi="Aptos" w:cs="Aptos"/>
        </w:rPr>
        <w:t xml:space="preserve"> aspirational (Charles et al., 2018).</w:t>
      </w:r>
    </w:p>
    <w:p w14:paraId="63C2869F" w14:textId="0BFCF687" w:rsidR="00DE0AF0" w:rsidRDefault="7F8EADFC" w:rsidP="367E9451">
      <w:pPr>
        <w:pStyle w:val="Heading2"/>
        <w:spacing w:before="299" w:after="299"/>
        <w:rPr>
          <w:rFonts w:ascii="Aptos" w:eastAsia="Aptos" w:hAnsi="Aptos" w:cs="Aptos"/>
          <w:b/>
          <w:bCs/>
          <w:color w:val="auto"/>
          <w:sz w:val="36"/>
          <w:szCs w:val="36"/>
        </w:rPr>
      </w:pPr>
      <w:bookmarkStart w:id="43" w:name="_Toc487294938"/>
      <w:bookmarkStart w:id="44" w:name="_Toc211059007"/>
      <w:r w:rsidRPr="20FFB0B7">
        <w:rPr>
          <w:rFonts w:ascii="Aptos" w:eastAsia="Aptos" w:hAnsi="Aptos" w:cs="Aptos"/>
          <w:b/>
          <w:bCs/>
          <w:color w:val="auto"/>
          <w:sz w:val="36"/>
          <w:szCs w:val="36"/>
        </w:rPr>
        <w:lastRenderedPageBreak/>
        <w:t>Policy and Political Influences on Osteoarthritis Care in the UK</w:t>
      </w:r>
      <w:bookmarkEnd w:id="43"/>
      <w:bookmarkEnd w:id="44"/>
    </w:p>
    <w:p w14:paraId="7302EE0C" w14:textId="4B53FC99" w:rsidR="00DE0AF0" w:rsidRPr="00225D19" w:rsidRDefault="7F8EADFC" w:rsidP="367E9451">
      <w:pPr>
        <w:pStyle w:val="Heading3"/>
        <w:spacing w:before="281" w:after="281"/>
        <w:rPr>
          <w:color w:val="auto"/>
        </w:rPr>
      </w:pPr>
      <w:bookmarkStart w:id="45" w:name="_Toc1200208723"/>
      <w:bookmarkStart w:id="46" w:name="_Toc211059008"/>
      <w:r w:rsidRPr="00225D19">
        <w:rPr>
          <w:rFonts w:ascii="Aptos" w:eastAsia="Aptos" w:hAnsi="Aptos" w:cs="Aptos"/>
          <w:b/>
          <w:bCs/>
          <w:color w:val="auto"/>
        </w:rPr>
        <w:t>National Policy</w:t>
      </w:r>
      <w:bookmarkEnd w:id="45"/>
      <w:bookmarkEnd w:id="46"/>
    </w:p>
    <w:p w14:paraId="4CB4CBEC" w14:textId="0BDDD5C4" w:rsidR="3CA8700F" w:rsidRPr="00225D19" w:rsidRDefault="5AF66A85" w:rsidP="003156C5">
      <w:pPr>
        <w:spacing w:before="240" w:after="240"/>
        <w:jc w:val="both"/>
        <w:rPr>
          <w:rFonts w:ascii="Aptos" w:eastAsia="Aptos" w:hAnsi="Aptos" w:cs="Aptos"/>
        </w:rPr>
      </w:pPr>
      <w:r w:rsidRPr="00225D19">
        <w:rPr>
          <w:rFonts w:ascii="Aptos" w:eastAsia="Aptos" w:hAnsi="Aptos" w:cs="Aptos"/>
        </w:rPr>
        <w:t>Osteoarthritis management in the UK is guided by key national policies that emphasise prevention, early intervention, and system-wide consistency. The NHS Long Term Plan (2019) prioritises musculoskeletal health, advocating for earlier diagnosis and the use of digital tools to enhance self-management and reduce avoidable hospital admissions. Complementing this, NICE guidelines (2022) offer structured clinical pathways to standardise OA care across NHS services.</w:t>
      </w:r>
    </w:p>
    <w:p w14:paraId="68D6DF81" w14:textId="77777777" w:rsidR="001D3700" w:rsidRDefault="03FDA2E1" w:rsidP="003156C5">
      <w:pPr>
        <w:spacing w:before="240" w:after="240"/>
        <w:jc w:val="both"/>
        <w:rPr>
          <w:rFonts w:ascii="Aptos" w:eastAsia="Aptos" w:hAnsi="Aptos" w:cs="Aptos"/>
        </w:rPr>
      </w:pPr>
      <w:r w:rsidRPr="00225D19">
        <w:rPr>
          <w:rFonts w:ascii="Aptos" w:eastAsia="Aptos" w:hAnsi="Aptos" w:cs="Aptos"/>
        </w:rPr>
        <w:t xml:space="preserve">The UK Government’s Healthy Ageing agenda seeks to extend healthy life expectancy by addressing age-related conditions such as osteoarthritis (Public Health England, 2020). </w:t>
      </w:r>
    </w:p>
    <w:p w14:paraId="6EA1C3A8" w14:textId="2AAB8052" w:rsidR="5C96839C" w:rsidRPr="00225D19" w:rsidRDefault="03FDA2E1" w:rsidP="003156C5">
      <w:pPr>
        <w:spacing w:before="240" w:after="240"/>
        <w:jc w:val="both"/>
        <w:rPr>
          <w:rFonts w:ascii="Aptos" w:eastAsia="Aptos" w:hAnsi="Aptos" w:cs="Aptos"/>
        </w:rPr>
      </w:pPr>
      <w:r w:rsidRPr="00225D19">
        <w:rPr>
          <w:rFonts w:ascii="Aptos" w:eastAsia="Aptos" w:hAnsi="Aptos" w:cs="Aptos"/>
        </w:rPr>
        <w:t>Key priorities include promoting physical activity, preventing falls, and enhancing access to community-based support. In parallel, the Health and Care Act 2022 formally established Integrated Care Systems (ICS), mandating collaboration across health and social care sectors. This structural reform offers potential for more coordinated OA management through integrated service pathways</w:t>
      </w:r>
      <w:r w:rsidR="00237EC6" w:rsidRPr="00237EC6">
        <w:t xml:space="preserve"> </w:t>
      </w:r>
      <w:r w:rsidR="00237EC6">
        <w:t>(</w:t>
      </w:r>
      <w:r w:rsidR="00237EC6" w:rsidRPr="00237EC6">
        <w:rPr>
          <w:rFonts w:ascii="Aptos" w:eastAsia="Aptos" w:hAnsi="Aptos" w:cs="Aptos"/>
        </w:rPr>
        <w:t>The King’s Fund. 2022)</w:t>
      </w:r>
      <w:r w:rsidRPr="00225D19">
        <w:rPr>
          <w:rFonts w:ascii="Aptos" w:eastAsia="Aptos" w:hAnsi="Aptos" w:cs="Aptos"/>
        </w:rPr>
        <w:t>.</w:t>
      </w:r>
    </w:p>
    <w:p w14:paraId="057EB65B" w14:textId="09E27769" w:rsidR="3CA8700F" w:rsidRPr="00225D19" w:rsidRDefault="3CA8700F" w:rsidP="003156C5">
      <w:pPr>
        <w:jc w:val="both"/>
        <w:rPr>
          <w:sz w:val="16"/>
          <w:szCs w:val="16"/>
        </w:rPr>
      </w:pPr>
    </w:p>
    <w:p w14:paraId="3D7BBDFB" w14:textId="25CBD5A7" w:rsidR="00DE0AF0" w:rsidRPr="00225D19" w:rsidRDefault="7F8EADFC" w:rsidP="367E9451">
      <w:pPr>
        <w:pStyle w:val="Heading3"/>
        <w:spacing w:before="281" w:after="281"/>
        <w:rPr>
          <w:rFonts w:ascii="Aptos" w:eastAsia="Aptos" w:hAnsi="Aptos" w:cs="Aptos"/>
          <w:b/>
          <w:bCs/>
          <w:color w:val="auto"/>
        </w:rPr>
      </w:pPr>
      <w:bookmarkStart w:id="47" w:name="_Toc778613199"/>
      <w:bookmarkStart w:id="48" w:name="_Toc211059009"/>
      <w:r w:rsidRPr="00225D19">
        <w:rPr>
          <w:rFonts w:ascii="Aptos" w:eastAsia="Aptos" w:hAnsi="Aptos" w:cs="Aptos"/>
          <w:b/>
          <w:bCs/>
          <w:color w:val="auto"/>
        </w:rPr>
        <w:t>Local Policy and Implementation</w:t>
      </w:r>
      <w:bookmarkEnd w:id="47"/>
      <w:bookmarkEnd w:id="48"/>
    </w:p>
    <w:p w14:paraId="0627FB08" w14:textId="77777777" w:rsidR="00C87D1A" w:rsidRDefault="55080D5E" w:rsidP="0077187D">
      <w:pPr>
        <w:jc w:val="both"/>
        <w:rPr>
          <w:rFonts w:ascii="Aptos" w:eastAsia="Aptos" w:hAnsi="Aptos" w:cs="Aptos"/>
        </w:rPr>
      </w:pPr>
      <w:r w:rsidRPr="00225D19">
        <w:rPr>
          <w:rFonts w:ascii="Aptos" w:eastAsia="Aptos" w:hAnsi="Aptos" w:cs="Aptos"/>
        </w:rPr>
        <w:t xml:space="preserve">At the local level, osteoarthritis  care is delivered through Integrated Care Systems (ICS) and, prior to 2022, Clinical Commissioning Groups (CCGs), which tailor national guidelines to meet regional needs. While some areas offer timely access to physiotherapy, community-based exercise programmes, and joint replacement surgery, others face significant delays and service limitations. </w:t>
      </w:r>
    </w:p>
    <w:p w14:paraId="4FFFAB76" w14:textId="1C3A5DAA" w:rsidR="40809778" w:rsidRDefault="55080D5E" w:rsidP="0077187D">
      <w:pPr>
        <w:jc w:val="both"/>
        <w:rPr>
          <w:rFonts w:ascii="Aptos" w:eastAsia="Aptos" w:hAnsi="Aptos" w:cs="Aptos"/>
        </w:rPr>
      </w:pPr>
      <w:r w:rsidRPr="00225D19">
        <w:rPr>
          <w:rFonts w:ascii="Aptos" w:eastAsia="Aptos" w:hAnsi="Aptos" w:cs="Aptos"/>
        </w:rPr>
        <w:t>This variation has led to what is often described as a “postcode lottery,” where patients’ experiences of OA care differ markedly depending on geographic location (The King’s Fund, 2022).</w:t>
      </w:r>
    </w:p>
    <w:p w14:paraId="0DE0531F" w14:textId="72E41ED1" w:rsidR="002F1D0E" w:rsidRPr="00225D19" w:rsidRDefault="000D7D62" w:rsidP="0077187D">
      <w:pPr>
        <w:jc w:val="both"/>
        <w:rPr>
          <w:rFonts w:ascii="Aptos" w:eastAsia="Aptos" w:hAnsi="Aptos" w:cs="Aptos"/>
        </w:rPr>
      </w:pPr>
      <w:r w:rsidRPr="000D7D62">
        <w:rPr>
          <w:rFonts w:ascii="Aptos" w:eastAsia="Aptos" w:hAnsi="Aptos" w:cs="Aptos"/>
        </w:rPr>
        <w:t>Local councils are central to osteoarthritis management via public health strategies, including encouraging active travel</w:t>
      </w:r>
      <w:r>
        <w:rPr>
          <w:rFonts w:ascii="Aptos" w:eastAsia="Aptos" w:hAnsi="Aptos" w:cs="Aptos"/>
        </w:rPr>
        <w:t xml:space="preserve"> </w:t>
      </w:r>
      <w:r w:rsidRPr="000D7D62">
        <w:rPr>
          <w:rFonts w:ascii="Aptos" w:eastAsia="Aptos" w:hAnsi="Aptos" w:cs="Aptos"/>
        </w:rPr>
        <w:t>like pedestrian mobility and bike use</w:t>
      </w:r>
      <w:r>
        <w:rPr>
          <w:rFonts w:ascii="Aptos" w:eastAsia="Aptos" w:hAnsi="Aptos" w:cs="Aptos"/>
        </w:rPr>
        <w:t xml:space="preserve"> </w:t>
      </w:r>
      <w:r w:rsidRPr="000D7D62">
        <w:rPr>
          <w:rFonts w:ascii="Aptos" w:eastAsia="Aptos" w:hAnsi="Aptos" w:cs="Aptos"/>
        </w:rPr>
        <w:t>and investing in locally delivered physical activity schemes. Yet, austerity measures over the past decade have sharply cut public health funding, limiting the reach and availability of these interventions (Marmot et al., 2020).</w:t>
      </w:r>
    </w:p>
    <w:p w14:paraId="39828446" w14:textId="6BE49D46" w:rsidR="00DE0AF0" w:rsidRPr="00225D19" w:rsidRDefault="7F8EADFC" w:rsidP="367E9451">
      <w:pPr>
        <w:pStyle w:val="Heading3"/>
        <w:spacing w:before="281" w:after="281"/>
        <w:rPr>
          <w:rFonts w:ascii="Aptos" w:eastAsia="Aptos" w:hAnsi="Aptos" w:cs="Aptos"/>
          <w:b/>
          <w:bCs/>
          <w:color w:val="auto"/>
        </w:rPr>
      </w:pPr>
      <w:bookmarkStart w:id="49" w:name="_Toc2099405578"/>
      <w:bookmarkStart w:id="50" w:name="_Toc211059010"/>
      <w:r w:rsidRPr="00225D19">
        <w:rPr>
          <w:rFonts w:ascii="Aptos" w:eastAsia="Aptos" w:hAnsi="Aptos" w:cs="Aptos"/>
          <w:b/>
          <w:bCs/>
          <w:color w:val="auto"/>
        </w:rPr>
        <w:lastRenderedPageBreak/>
        <w:t>Critical Examination</w:t>
      </w:r>
      <w:bookmarkEnd w:id="49"/>
      <w:bookmarkEnd w:id="50"/>
    </w:p>
    <w:p w14:paraId="602F7E93" w14:textId="23460821" w:rsidR="00522BA9" w:rsidRDefault="55B95A77" w:rsidP="003B687B">
      <w:pPr>
        <w:spacing w:before="240" w:after="240"/>
        <w:jc w:val="both"/>
        <w:rPr>
          <w:rFonts w:ascii="Aptos" w:eastAsia="Aptos" w:hAnsi="Aptos" w:cs="Aptos"/>
        </w:rPr>
      </w:pPr>
      <w:r w:rsidRPr="00225D19">
        <w:rPr>
          <w:rFonts w:ascii="Aptos" w:eastAsia="Aptos" w:hAnsi="Aptos" w:cs="Aptos"/>
        </w:rPr>
        <w:t>Despite robust national strategies, significant challenges persist in the delivery of osteoarthritis care. Waiting times for joint replacement surgery have risen sharply, a trend worsened by the COVID-19 pandemic, leaving many individuals in prolonged pain and functional decline (NHS England, 2022</w:t>
      </w:r>
      <w:r w:rsidR="00522BA9">
        <w:rPr>
          <w:rFonts w:ascii="Aptos" w:eastAsia="Aptos" w:hAnsi="Aptos" w:cs="Aptos"/>
        </w:rPr>
        <w:t>)</w:t>
      </w:r>
    </w:p>
    <w:p w14:paraId="642E27D7" w14:textId="34E5481B" w:rsidR="59916909" w:rsidRPr="00225D19" w:rsidRDefault="55B95A77" w:rsidP="003B687B">
      <w:pPr>
        <w:spacing w:before="240" w:after="240"/>
        <w:jc w:val="both"/>
        <w:rPr>
          <w:rFonts w:ascii="Aptos" w:eastAsia="Aptos" w:hAnsi="Aptos" w:cs="Aptos"/>
        </w:rPr>
      </w:pPr>
      <w:r w:rsidRPr="00225D19">
        <w:rPr>
          <w:rFonts w:ascii="Aptos" w:eastAsia="Aptos" w:hAnsi="Aptos" w:cs="Aptos"/>
        </w:rPr>
        <w:t>Access to physiotherapy and pain management services remains uneven across regions, and preventative initiatives such as community-based exercise programmes continue to face chronic underfunding</w:t>
      </w:r>
      <w:r w:rsidR="00522BA9" w:rsidRPr="00522BA9">
        <w:t xml:space="preserve"> </w:t>
      </w:r>
      <w:r w:rsidR="00C74873">
        <w:t>(</w:t>
      </w:r>
      <w:r w:rsidR="00522BA9" w:rsidRPr="00522BA9">
        <w:rPr>
          <w:rFonts w:ascii="Aptos" w:eastAsia="Aptos" w:hAnsi="Aptos" w:cs="Aptos"/>
        </w:rPr>
        <w:t>Versus Arthritis, 2023</w:t>
      </w:r>
      <w:r w:rsidR="00522BA9">
        <w:rPr>
          <w:rFonts w:ascii="Aptos" w:eastAsia="Aptos" w:hAnsi="Aptos" w:cs="Aptos"/>
        </w:rPr>
        <w:t>)</w:t>
      </w:r>
      <w:r w:rsidRPr="00225D19">
        <w:rPr>
          <w:rFonts w:ascii="Aptos" w:eastAsia="Aptos" w:hAnsi="Aptos" w:cs="Aptos"/>
        </w:rPr>
        <w:t>.</w:t>
      </w:r>
    </w:p>
    <w:p w14:paraId="7FE4ED3E" w14:textId="567128AC" w:rsidR="00DE0AF0" w:rsidRPr="00225D19" w:rsidRDefault="265EFBB2" w:rsidP="003B687B">
      <w:pPr>
        <w:spacing w:before="240" w:after="240"/>
        <w:jc w:val="both"/>
        <w:rPr>
          <w:rFonts w:ascii="Aptos" w:eastAsia="Aptos" w:hAnsi="Aptos" w:cs="Aptos"/>
        </w:rPr>
      </w:pPr>
      <w:r w:rsidRPr="00225D19">
        <w:rPr>
          <w:rFonts w:ascii="Aptos" w:eastAsia="Aptos" w:hAnsi="Aptos" w:cs="Aptos"/>
        </w:rPr>
        <w:t xml:space="preserve">Significant health inequalities persist in osteoarthritis care, with individuals in deprived areas more likely to develop OA at an earlier age and face barriers to </w:t>
      </w:r>
      <w:r w:rsidR="467F0716" w:rsidRPr="00225D19">
        <w:rPr>
          <w:rFonts w:ascii="Aptos" w:eastAsia="Aptos" w:hAnsi="Aptos" w:cs="Aptos"/>
        </w:rPr>
        <w:t>prompt</w:t>
      </w:r>
      <w:r w:rsidRPr="00225D19">
        <w:rPr>
          <w:rFonts w:ascii="Aptos" w:eastAsia="Aptos" w:hAnsi="Aptos" w:cs="Aptos"/>
        </w:rPr>
        <w:t xml:space="preserve"> diagnosis and treatment (Versus Arthritis, 2019). These disparities reflect broader political and social determinants of health, underscoring that clinical guidelines alone are insufficient to close the care gap</w:t>
      </w:r>
      <w:r w:rsidR="003B687B" w:rsidRPr="003B687B">
        <w:t xml:space="preserve"> </w:t>
      </w:r>
      <w:r w:rsidR="003B687B">
        <w:t>(</w:t>
      </w:r>
      <w:r w:rsidR="003B687B" w:rsidRPr="003B687B">
        <w:rPr>
          <w:rFonts w:ascii="Aptos" w:eastAsia="Aptos" w:hAnsi="Aptos" w:cs="Aptos"/>
        </w:rPr>
        <w:t>The Health Foundation</w:t>
      </w:r>
      <w:r w:rsidR="003B687B">
        <w:rPr>
          <w:rFonts w:ascii="Aptos" w:eastAsia="Aptos" w:hAnsi="Aptos" w:cs="Aptos"/>
        </w:rPr>
        <w:t xml:space="preserve">, </w:t>
      </w:r>
      <w:r w:rsidR="003B687B" w:rsidRPr="003B687B">
        <w:rPr>
          <w:rFonts w:ascii="Aptos" w:eastAsia="Aptos" w:hAnsi="Aptos" w:cs="Aptos"/>
        </w:rPr>
        <w:t>2022)</w:t>
      </w:r>
      <w:r w:rsidRPr="00225D19">
        <w:rPr>
          <w:rFonts w:ascii="Aptos" w:eastAsia="Aptos" w:hAnsi="Aptos" w:cs="Aptos"/>
        </w:rPr>
        <w:t>.</w:t>
      </w:r>
    </w:p>
    <w:p w14:paraId="36E2C8D6" w14:textId="179D7843" w:rsidR="1F90C7C9" w:rsidRPr="00374502" w:rsidRDefault="265EFBB2" w:rsidP="003B687B">
      <w:pPr>
        <w:spacing w:before="240" w:after="240"/>
        <w:jc w:val="both"/>
        <w:rPr>
          <w:rFonts w:ascii="Aptos" w:eastAsia="Aptos" w:hAnsi="Aptos" w:cs="Aptos"/>
        </w:rPr>
      </w:pPr>
      <w:r w:rsidRPr="00225D19">
        <w:rPr>
          <w:rFonts w:ascii="Aptos" w:eastAsia="Aptos" w:hAnsi="Aptos" w:cs="Aptos"/>
        </w:rPr>
        <w:t>Although national frameworks such as the NHS Long Term Plan articulate a clear strategic vision for OA management, their effectiveness hinges on local implementation, sustained investment, and attention to wider societal factors. Without these, there is a risk that OA care will remain overly focused on surgical interventions, rather than embracing a holistic, preventative model (NHS England, 2019).</w:t>
      </w:r>
    </w:p>
    <w:p w14:paraId="741E7C92" w14:textId="605BDE80" w:rsidR="1F90C7C9" w:rsidRPr="002522B6" w:rsidRDefault="5E050AB8" w:rsidP="002522B6">
      <w:pPr>
        <w:pStyle w:val="Heading1"/>
        <w:rPr>
          <w:color w:val="auto"/>
        </w:rPr>
      </w:pPr>
      <w:bookmarkStart w:id="51" w:name="_Toc972229320"/>
      <w:bookmarkStart w:id="52" w:name="_Toc211059011"/>
      <w:r w:rsidRPr="002522B6">
        <w:rPr>
          <w:color w:val="auto"/>
        </w:rPr>
        <w:t>Person-Centred Care and Self-Management in Osteoarthritis</w:t>
      </w:r>
      <w:bookmarkEnd w:id="51"/>
      <w:bookmarkEnd w:id="52"/>
    </w:p>
    <w:p w14:paraId="11B6D175" w14:textId="2AECD147" w:rsidR="7DEEAE93" w:rsidRDefault="7DEEAE93" w:rsidP="00662EBA">
      <w:pPr>
        <w:jc w:val="both"/>
        <w:rPr>
          <w:rFonts w:ascii="Aptos" w:eastAsia="Aptos" w:hAnsi="Aptos" w:cs="Aptos"/>
        </w:rPr>
      </w:pPr>
      <w:r w:rsidRPr="00225D19">
        <w:rPr>
          <w:rFonts w:ascii="Aptos" w:eastAsia="Aptos" w:hAnsi="Aptos" w:cs="Aptos"/>
        </w:rPr>
        <w:t>Person-centred care (PCC) places the individual at the core of healthcare decision-making, ensuring that their values, preferences, and lived experiences inform the care they receive (Health Foundation, 2016). In the context of osteoarthritis, this means recognising that symptoms such as pain and stiffness vary widely between individuals, needing tailored treatment approaches. PCC also acknowledges the prevalence of multimorbidity among older adults, particularly those over 50, reinforcing the need for OA management to be integrated within broader care pathways rather than treated in isolation (NHS England, 2019).</w:t>
      </w:r>
    </w:p>
    <w:p w14:paraId="4C276E97" w14:textId="77777777" w:rsidR="00237EC6" w:rsidRDefault="00237EC6" w:rsidP="00662EBA">
      <w:pPr>
        <w:jc w:val="both"/>
        <w:rPr>
          <w:rFonts w:ascii="Aptos" w:eastAsia="Aptos" w:hAnsi="Aptos" w:cs="Aptos"/>
        </w:rPr>
      </w:pPr>
    </w:p>
    <w:p w14:paraId="37320D3B" w14:textId="77777777" w:rsidR="00237EC6" w:rsidRPr="00225D19" w:rsidRDefault="00237EC6" w:rsidP="00662EBA">
      <w:pPr>
        <w:jc w:val="both"/>
        <w:rPr>
          <w:rFonts w:ascii="Aptos" w:eastAsia="Aptos" w:hAnsi="Aptos" w:cs="Aptos"/>
        </w:rPr>
      </w:pPr>
    </w:p>
    <w:p w14:paraId="25848752" w14:textId="77777777" w:rsidR="002522B6" w:rsidRDefault="002522B6" w:rsidP="0314D2FB">
      <w:pPr>
        <w:spacing w:before="240" w:after="240"/>
        <w:rPr>
          <w:rFonts w:ascii="Aptos" w:eastAsia="Aptos" w:hAnsi="Aptos" w:cs="Aptos"/>
          <w:b/>
          <w:bCs/>
        </w:rPr>
      </w:pPr>
    </w:p>
    <w:p w14:paraId="31B664BE" w14:textId="77777777" w:rsidR="002522B6" w:rsidRDefault="002522B6" w:rsidP="0314D2FB">
      <w:pPr>
        <w:spacing w:before="240" w:after="240"/>
        <w:rPr>
          <w:rFonts w:ascii="Aptos" w:eastAsia="Aptos" w:hAnsi="Aptos" w:cs="Aptos"/>
          <w:b/>
          <w:bCs/>
        </w:rPr>
      </w:pPr>
    </w:p>
    <w:p w14:paraId="34183E7E" w14:textId="68481E11" w:rsidR="1F90C7C9" w:rsidRPr="00225D19" w:rsidRDefault="5E050AB8" w:rsidP="0314D2FB">
      <w:pPr>
        <w:spacing w:before="240" w:after="240"/>
        <w:rPr>
          <w:rFonts w:ascii="Aptos" w:eastAsia="Aptos" w:hAnsi="Aptos" w:cs="Aptos"/>
          <w:b/>
          <w:bCs/>
        </w:rPr>
      </w:pPr>
      <w:r w:rsidRPr="00225D19">
        <w:rPr>
          <w:rFonts w:ascii="Aptos" w:eastAsia="Aptos" w:hAnsi="Aptos" w:cs="Aptos"/>
          <w:b/>
          <w:bCs/>
        </w:rPr>
        <w:lastRenderedPageBreak/>
        <w:t>Key features of PCC in OA include:</w:t>
      </w:r>
    </w:p>
    <w:p w14:paraId="0C72AF5B" w14:textId="074D16E3" w:rsidR="1F90C7C9" w:rsidRPr="00662EBA" w:rsidRDefault="5E050AB8" w:rsidP="00350ECF">
      <w:pPr>
        <w:spacing w:before="240" w:after="240"/>
        <w:ind w:left="360"/>
        <w:jc w:val="both"/>
        <w:rPr>
          <w:rFonts w:ascii="Aptos" w:eastAsia="Aptos" w:hAnsi="Aptos" w:cs="Aptos"/>
        </w:rPr>
      </w:pPr>
      <w:r w:rsidRPr="00662EBA">
        <w:rPr>
          <w:rFonts w:ascii="Aptos" w:eastAsia="Aptos" w:hAnsi="Aptos" w:cs="Aptos"/>
        </w:rPr>
        <w:t>Shared decision-making between patients and healthcare professionals.</w:t>
      </w:r>
    </w:p>
    <w:p w14:paraId="152C16B5" w14:textId="6EE4A387" w:rsidR="1F90C7C9" w:rsidRPr="00662EBA" w:rsidRDefault="5E050AB8" w:rsidP="00350ECF">
      <w:pPr>
        <w:spacing w:before="240" w:after="240"/>
        <w:ind w:left="360"/>
        <w:jc w:val="both"/>
        <w:rPr>
          <w:rFonts w:ascii="Aptos" w:eastAsia="Aptos" w:hAnsi="Aptos" w:cs="Aptos"/>
        </w:rPr>
      </w:pPr>
      <w:r w:rsidRPr="00662EBA">
        <w:rPr>
          <w:rFonts w:ascii="Aptos" w:eastAsia="Aptos" w:hAnsi="Aptos" w:cs="Aptos"/>
        </w:rPr>
        <w:t>Individualised care plans, including lifestyle goals.</w:t>
      </w:r>
    </w:p>
    <w:p w14:paraId="1AA8434B" w14:textId="716B44A1" w:rsidR="1F90C7C9" w:rsidRPr="00662EBA" w:rsidRDefault="5E050AB8" w:rsidP="00350ECF">
      <w:pPr>
        <w:spacing w:before="240" w:after="240"/>
        <w:ind w:left="360"/>
        <w:jc w:val="both"/>
        <w:rPr>
          <w:rFonts w:ascii="Aptos" w:eastAsia="Aptos" w:hAnsi="Aptos" w:cs="Aptos"/>
        </w:rPr>
      </w:pPr>
      <w:r w:rsidRPr="00662EBA">
        <w:rPr>
          <w:rFonts w:ascii="Aptos" w:eastAsia="Aptos" w:hAnsi="Aptos" w:cs="Aptos"/>
        </w:rPr>
        <w:t xml:space="preserve">Involving family or carers where </w:t>
      </w:r>
      <w:r w:rsidR="7B914F42" w:rsidRPr="00662EBA">
        <w:rPr>
          <w:rFonts w:ascii="Aptos" w:eastAsia="Aptos" w:hAnsi="Aptos" w:cs="Aptos"/>
        </w:rPr>
        <w:t>necessary</w:t>
      </w:r>
      <w:r w:rsidRPr="00662EBA">
        <w:rPr>
          <w:rFonts w:ascii="Aptos" w:eastAsia="Aptos" w:hAnsi="Aptos" w:cs="Aptos"/>
        </w:rPr>
        <w:t>.</w:t>
      </w:r>
      <w:r w:rsidR="7D5A86F2" w:rsidRPr="00662EBA">
        <w:rPr>
          <w:rFonts w:ascii="Aptos" w:eastAsia="Aptos" w:hAnsi="Aptos" w:cs="Aptos"/>
        </w:rPr>
        <w:t xml:space="preserve"> </w:t>
      </w:r>
    </w:p>
    <w:p w14:paraId="48B2BC33" w14:textId="08A2F95B" w:rsidR="1F90C7C9" w:rsidRPr="00662EBA" w:rsidRDefault="5E050AB8" w:rsidP="00350ECF">
      <w:pPr>
        <w:spacing w:before="240" w:after="240"/>
        <w:ind w:left="360"/>
        <w:jc w:val="both"/>
        <w:rPr>
          <w:rFonts w:ascii="Aptos" w:eastAsia="Aptos" w:hAnsi="Aptos" w:cs="Aptos"/>
        </w:rPr>
      </w:pPr>
      <w:r w:rsidRPr="00662EBA">
        <w:rPr>
          <w:rFonts w:ascii="Aptos" w:eastAsia="Aptos" w:hAnsi="Aptos" w:cs="Aptos"/>
        </w:rPr>
        <w:t>Ongoing communication and support.</w:t>
      </w:r>
    </w:p>
    <w:p w14:paraId="1F68CB24" w14:textId="5D3D8C32" w:rsidR="1F90C7C9" w:rsidRPr="00225D19" w:rsidRDefault="5E050AB8" w:rsidP="00350ECF">
      <w:pPr>
        <w:spacing w:before="240" w:after="240"/>
        <w:jc w:val="both"/>
        <w:rPr>
          <w:rFonts w:ascii="Aptos" w:eastAsia="Aptos" w:hAnsi="Aptos" w:cs="Aptos"/>
        </w:rPr>
      </w:pPr>
      <w:r w:rsidRPr="00225D19">
        <w:rPr>
          <w:rFonts w:ascii="Aptos" w:eastAsia="Aptos" w:hAnsi="Aptos" w:cs="Aptos"/>
        </w:rPr>
        <w:t>The NHS advocates PCC as part of the Long</w:t>
      </w:r>
      <w:r w:rsidR="5DCE7F2C" w:rsidRPr="00225D19">
        <w:rPr>
          <w:rFonts w:ascii="Aptos" w:eastAsia="Aptos" w:hAnsi="Aptos" w:cs="Aptos"/>
        </w:rPr>
        <w:t>-</w:t>
      </w:r>
      <w:r w:rsidRPr="00225D19">
        <w:rPr>
          <w:rFonts w:ascii="Aptos" w:eastAsia="Aptos" w:hAnsi="Aptos" w:cs="Aptos"/>
        </w:rPr>
        <w:t>Term Plan, recognising that empowering patients improves health outcomes and reduces unnecessary hospital visits (NHS England, 2019).</w:t>
      </w:r>
    </w:p>
    <w:p w14:paraId="483DCB46" w14:textId="1F5952FB" w:rsidR="1F90C7C9" w:rsidRPr="00225D19" w:rsidRDefault="5E050AB8" w:rsidP="0314D2FB">
      <w:pPr>
        <w:pStyle w:val="Heading3"/>
        <w:spacing w:before="281" w:after="281"/>
        <w:rPr>
          <w:rFonts w:ascii="Aptos" w:eastAsia="Aptos" w:hAnsi="Aptos" w:cs="Aptos"/>
          <w:b/>
          <w:bCs/>
          <w:color w:val="auto"/>
        </w:rPr>
      </w:pPr>
      <w:bookmarkStart w:id="53" w:name="_Toc1643149127"/>
      <w:bookmarkStart w:id="54" w:name="_Toc211059012"/>
      <w:r w:rsidRPr="00225D19">
        <w:rPr>
          <w:rFonts w:ascii="Aptos" w:eastAsia="Aptos" w:hAnsi="Aptos" w:cs="Aptos"/>
          <w:b/>
          <w:bCs/>
          <w:color w:val="auto"/>
        </w:rPr>
        <w:t>Self-Management Approaches</w:t>
      </w:r>
      <w:bookmarkEnd w:id="53"/>
      <w:bookmarkEnd w:id="54"/>
    </w:p>
    <w:p w14:paraId="583F8A73" w14:textId="13876C4B" w:rsidR="00734AEF" w:rsidRPr="00225D19" w:rsidRDefault="7976C4D5" w:rsidP="0072004F">
      <w:pPr>
        <w:jc w:val="both"/>
        <w:rPr>
          <w:rFonts w:ascii="Aptos" w:eastAsia="Aptos" w:hAnsi="Aptos" w:cs="Aptos"/>
        </w:rPr>
      </w:pPr>
      <w:r w:rsidRPr="00225D19">
        <w:rPr>
          <w:rFonts w:ascii="Aptos" w:eastAsia="Aptos" w:hAnsi="Aptos" w:cs="Aptos"/>
        </w:rPr>
        <w:t>Self-management is a cornerstone of contemporary osteoarthritis (OA) care. Evidence shows that individuals who engage in symptom management through structured education, targeted exercise, and behavioural modification report improved physical function and reduced pain levels (Hurley et al., 2018).</w:t>
      </w:r>
    </w:p>
    <w:p w14:paraId="74616CA6" w14:textId="77777777" w:rsidR="00734AEF" w:rsidRDefault="5E050AB8" w:rsidP="00734AEF">
      <w:pPr>
        <w:spacing w:before="240" w:after="240"/>
        <w:ind w:left="360"/>
        <w:rPr>
          <w:rFonts w:ascii="Aptos" w:eastAsia="Aptos" w:hAnsi="Aptos" w:cs="Aptos"/>
          <w:b/>
          <w:bCs/>
        </w:rPr>
      </w:pPr>
      <w:r w:rsidRPr="0072004F">
        <w:rPr>
          <w:rFonts w:ascii="Aptos" w:eastAsia="Aptos" w:hAnsi="Aptos" w:cs="Aptos"/>
          <w:b/>
          <w:bCs/>
        </w:rPr>
        <w:t>Exercise and Physical Activity</w:t>
      </w:r>
    </w:p>
    <w:p w14:paraId="3FBC3D44" w14:textId="58921B62" w:rsidR="00E81371" w:rsidRPr="00734AEF" w:rsidRDefault="26222410" w:rsidP="00734AEF">
      <w:pPr>
        <w:spacing w:before="240" w:after="240"/>
        <w:ind w:left="360"/>
        <w:jc w:val="both"/>
        <w:rPr>
          <w:rFonts w:ascii="Aptos" w:eastAsia="Aptos" w:hAnsi="Aptos" w:cs="Aptos"/>
          <w:b/>
          <w:bCs/>
        </w:rPr>
      </w:pPr>
      <w:r w:rsidRPr="00225D19">
        <w:t>Regular physical activity plays a vital role in osteoarthritis</w:t>
      </w:r>
      <w:r w:rsidR="004209FD">
        <w:t xml:space="preserve"> </w:t>
      </w:r>
      <w:r w:rsidRPr="00225D19">
        <w:t xml:space="preserve">management by strengthening periarticular muscles, enhancing joint flexibility, and alleviating stiffness. NICE guidelines (2022) recommend exercise as a first-line intervention for OA, reflecting its efficacy and </w:t>
      </w:r>
      <w:r w:rsidR="3B09BF84" w:rsidRPr="00225D19">
        <w:t>minimal</w:t>
      </w:r>
      <w:r w:rsidRPr="00225D19">
        <w:t xml:space="preserve"> risk profile. </w:t>
      </w:r>
    </w:p>
    <w:p w14:paraId="00780D30" w14:textId="4E8577AD" w:rsidR="1F90C7C9" w:rsidRPr="00863D9C" w:rsidRDefault="00863D9C" w:rsidP="00863D9C">
      <w:pPr>
        <w:spacing w:before="240" w:after="240"/>
        <w:ind w:left="360"/>
        <w:jc w:val="both"/>
        <w:rPr>
          <w:rFonts w:ascii="Aptos" w:eastAsia="Aptos" w:hAnsi="Aptos" w:cs="Aptos"/>
          <w:sz w:val="16"/>
          <w:szCs w:val="16"/>
        </w:rPr>
      </w:pPr>
      <w:r w:rsidRPr="00863D9C">
        <w:rPr>
          <w:rFonts w:ascii="Aptos" w:eastAsia="Aptos" w:hAnsi="Aptos" w:cs="Aptos"/>
        </w:rPr>
        <w:t>Structured programmes such as ESCAPE-pain (Enabling Self-management and Coping with Arthritic Pain using Exercise) combine education, behavioural change techniques, and tailored physical activity to empower individuals in managing chronic joint pain. Widely implemented across UK health and community settings, ESCAPE-pain has demonstrated statistically significant improvements in pain, physical function, and quality of life for people with osteoarthritis and other musculoskeletal conditions (Hurley et al., 2018; Versus Arthritis, 2023).</w:t>
      </w:r>
      <w:r w:rsidR="5E050AB8" w:rsidRPr="00863D9C">
        <w:rPr>
          <w:rFonts w:ascii="Aptos" w:eastAsia="Aptos" w:hAnsi="Aptos" w:cs="Aptos"/>
        </w:rPr>
        <w:t>Weight Management</w:t>
      </w:r>
    </w:p>
    <w:p w14:paraId="25E5EB8A" w14:textId="4C513A0E" w:rsidR="1F90C7C9" w:rsidRPr="00225D19" w:rsidRDefault="290FCDD0" w:rsidP="00F336AA">
      <w:pPr>
        <w:pStyle w:val="ListParagraph"/>
        <w:spacing w:before="240" w:after="240"/>
        <w:jc w:val="both"/>
      </w:pPr>
      <w:r w:rsidRPr="00225D19">
        <w:t xml:space="preserve">Excess body weight places </w:t>
      </w:r>
      <w:r w:rsidR="5D56F018" w:rsidRPr="00225D19">
        <w:t>more</w:t>
      </w:r>
      <w:r w:rsidRPr="00225D19">
        <w:t xml:space="preserve"> mechanical stress on weight-bearing joints such as the knees and hips, worsening osteoarthritis  symptoms recommend weight reduction as a core </w:t>
      </w:r>
      <w:r w:rsidR="4E39872D" w:rsidRPr="00225D19">
        <w:t>part</w:t>
      </w:r>
      <w:r w:rsidRPr="00225D19">
        <w:t xml:space="preserve"> of OA management for individuals living with overweight or obesity. Support for weight loss should be delivered through multidisciplinary channels, including dietetic services, general practice, and community-based health programmes</w:t>
      </w:r>
      <w:r w:rsidR="07716619" w:rsidRPr="00225D19">
        <w:t xml:space="preserve"> (NICE guidelines (2022).</w:t>
      </w:r>
    </w:p>
    <w:p w14:paraId="57769C03" w14:textId="5A2FDB41" w:rsidR="7E1CF658" w:rsidRPr="0072004F" w:rsidRDefault="5E050AB8" w:rsidP="0072004F">
      <w:pPr>
        <w:spacing w:before="240" w:after="240"/>
        <w:ind w:left="360"/>
        <w:rPr>
          <w:rFonts w:ascii="Aptos" w:eastAsia="Aptos" w:hAnsi="Aptos" w:cs="Aptos"/>
        </w:rPr>
      </w:pPr>
      <w:r w:rsidRPr="0072004F">
        <w:rPr>
          <w:rFonts w:ascii="Aptos" w:eastAsia="Aptos" w:hAnsi="Aptos" w:cs="Aptos"/>
          <w:b/>
          <w:bCs/>
        </w:rPr>
        <w:lastRenderedPageBreak/>
        <w:t>Pain Management and Coping Strategies</w:t>
      </w:r>
    </w:p>
    <w:p w14:paraId="2CC42684" w14:textId="66D0BB66" w:rsidR="1F90C7C9" w:rsidRPr="00225D19" w:rsidRDefault="5C75318F" w:rsidP="00D35A19">
      <w:pPr>
        <w:spacing w:before="240" w:after="240"/>
        <w:ind w:left="720"/>
        <w:jc w:val="both"/>
      </w:pPr>
      <w:r w:rsidRPr="00225D19">
        <w:t>Individuals living with osteoarthritis (OA) are encouraged to adopt a combination of physical activity, pacing strategies, and relaxation techniques to manage symptom flare-ups. Educational workshops and peer-led group sessions such as those eased by Versus Arthritis offer valuable psychosocial support, helping to reduce isolation and anxiety while promoting self-efficacy in condition management (Versus Arthritis, 2019).</w:t>
      </w:r>
    </w:p>
    <w:p w14:paraId="6834A310" w14:textId="77777777" w:rsidR="00B53262" w:rsidRDefault="5E050AB8" w:rsidP="001014E1">
      <w:pPr>
        <w:spacing w:before="240" w:after="240"/>
        <w:ind w:left="360"/>
        <w:rPr>
          <w:rFonts w:ascii="Aptos" w:eastAsia="Aptos" w:hAnsi="Aptos" w:cs="Aptos"/>
          <w:b/>
          <w:bCs/>
        </w:rPr>
      </w:pPr>
      <w:r w:rsidRPr="0072004F">
        <w:rPr>
          <w:rFonts w:ascii="Aptos" w:eastAsia="Aptos" w:hAnsi="Aptos" w:cs="Aptos"/>
          <w:b/>
          <w:bCs/>
        </w:rPr>
        <w:t>Digital and Remote Support</w:t>
      </w:r>
    </w:p>
    <w:p w14:paraId="1E17F4FD" w14:textId="46607899" w:rsidR="005B06F8" w:rsidRPr="001014E1" w:rsidRDefault="439AFC83" w:rsidP="00B53262">
      <w:pPr>
        <w:spacing w:before="240" w:after="240"/>
        <w:ind w:left="360"/>
        <w:jc w:val="both"/>
      </w:pPr>
      <w:r w:rsidRPr="00225D19">
        <w:t>The growth of telehealth and mobile health applications has expanded access to exercise guidance, symptom tracking, and educational resources for individuals managing osteoarthritis  from home</w:t>
      </w:r>
      <w:r w:rsidR="005B06F8">
        <w:t xml:space="preserve"> (NICE, 2025)</w:t>
      </w:r>
      <w:r w:rsidRPr="00225D19">
        <w:t>. However, for older adults, the effectiveness of these digital tools depends on their usability and the provision of right training and support to prevent digital exclusion (Greenhalgh et al., 2020).</w:t>
      </w:r>
    </w:p>
    <w:p w14:paraId="68F62819" w14:textId="15D690C5" w:rsidR="1F90C7C9" w:rsidRPr="00225D19" w:rsidRDefault="5E050AB8" w:rsidP="12808FF5">
      <w:pPr>
        <w:pStyle w:val="Heading3"/>
        <w:spacing w:before="281" w:after="281"/>
        <w:rPr>
          <w:rFonts w:ascii="Aptos" w:eastAsia="Aptos" w:hAnsi="Aptos" w:cs="Aptos"/>
          <w:b/>
          <w:bCs/>
          <w:color w:val="auto"/>
        </w:rPr>
      </w:pPr>
      <w:bookmarkStart w:id="55" w:name="_Toc907805236"/>
      <w:bookmarkStart w:id="56" w:name="_Toc211059013"/>
      <w:r w:rsidRPr="00225D19">
        <w:rPr>
          <w:rFonts w:ascii="Aptos" w:eastAsia="Aptos" w:hAnsi="Aptos" w:cs="Aptos"/>
          <w:b/>
          <w:bCs/>
          <w:color w:val="auto"/>
        </w:rPr>
        <w:t>End-of-Life Care Considerations</w:t>
      </w:r>
      <w:bookmarkEnd w:id="55"/>
      <w:bookmarkEnd w:id="56"/>
    </w:p>
    <w:p w14:paraId="010F1F33" w14:textId="0D7F3B78" w:rsidR="1F90C7C9" w:rsidRPr="00225D19" w:rsidRDefault="4B973953" w:rsidP="00047C0F">
      <w:pPr>
        <w:spacing w:before="240" w:after="240"/>
        <w:jc w:val="both"/>
        <w:rPr>
          <w:rFonts w:ascii="Aptos" w:eastAsia="Aptos" w:hAnsi="Aptos" w:cs="Aptos"/>
          <w:b/>
          <w:bCs/>
        </w:rPr>
      </w:pPr>
      <w:r w:rsidRPr="00225D19">
        <w:t>Although osteoarthritis is not a terminal condition, advanced cases particularly when compounded by other chronic illnesses can lead to significant disability and diminished quality of life in later years</w:t>
      </w:r>
      <w:r w:rsidR="000730FA">
        <w:t xml:space="preserve"> </w:t>
      </w:r>
      <w:r w:rsidR="000730FA" w:rsidRPr="000730FA">
        <w:t>(NICE, 2022)</w:t>
      </w:r>
      <w:r w:rsidRPr="00225D19">
        <w:t>. In such contexts, palliative approaches may be proper to support pain relief, preserve dignity, and promote independence (World Health Organization, 2020). Advance care planning, carer support, and access to social care services become increasingly vital, especially for individuals who are not candidates for surgical or intensive medical interventions.</w:t>
      </w:r>
      <w:r w:rsidRPr="00225D19">
        <w:rPr>
          <w:rFonts w:ascii="Aptos" w:eastAsia="Aptos" w:hAnsi="Aptos" w:cs="Aptos"/>
          <w:b/>
          <w:bCs/>
        </w:rPr>
        <w:t xml:space="preserve"> </w:t>
      </w:r>
    </w:p>
    <w:p w14:paraId="398087FB" w14:textId="0D6CEC0E" w:rsidR="1F90C7C9" w:rsidRPr="00225D19" w:rsidRDefault="5E050AB8" w:rsidP="0314D2FB">
      <w:pPr>
        <w:pStyle w:val="Heading3"/>
        <w:spacing w:before="281" w:after="281"/>
        <w:rPr>
          <w:rFonts w:ascii="Aptos" w:eastAsia="Aptos" w:hAnsi="Aptos" w:cs="Aptos"/>
          <w:b/>
          <w:bCs/>
          <w:color w:val="auto"/>
        </w:rPr>
      </w:pPr>
      <w:bookmarkStart w:id="57" w:name="_Toc1228361988"/>
      <w:bookmarkStart w:id="58" w:name="_Toc211059014"/>
      <w:r w:rsidRPr="00225D19">
        <w:rPr>
          <w:rFonts w:ascii="Aptos" w:eastAsia="Aptos" w:hAnsi="Aptos" w:cs="Aptos"/>
          <w:b/>
          <w:bCs/>
          <w:color w:val="auto"/>
        </w:rPr>
        <w:t>Critical Evaluation</w:t>
      </w:r>
      <w:bookmarkEnd w:id="57"/>
      <w:bookmarkEnd w:id="58"/>
    </w:p>
    <w:p w14:paraId="42D85072" w14:textId="77777777" w:rsidR="00357648" w:rsidRDefault="17EE6FF1" w:rsidP="00047C0F">
      <w:pPr>
        <w:jc w:val="both"/>
        <w:rPr>
          <w:rFonts w:ascii="Aptos" w:eastAsia="Aptos" w:hAnsi="Aptos" w:cs="Aptos"/>
        </w:rPr>
      </w:pPr>
      <w:r w:rsidRPr="00225D19">
        <w:rPr>
          <w:rFonts w:ascii="Aptos" w:eastAsia="Aptos" w:hAnsi="Aptos" w:cs="Aptos"/>
        </w:rPr>
        <w:t xml:space="preserve">While person-centred care (PCC) and self-management are widely endorsed in osteoarthritis  policy and practice, implementation challenges persist. Regional disparities in service provision mean that some individuals lack access to physiotherapy or structured support programmes (Versus Arthritis, 2019). </w:t>
      </w:r>
    </w:p>
    <w:p w14:paraId="6707E2F3" w14:textId="77777777" w:rsidR="000D74F7" w:rsidRDefault="17EE6FF1" w:rsidP="000D74F7">
      <w:pPr>
        <w:jc w:val="both"/>
        <w:rPr>
          <w:rFonts w:ascii="Aptos" w:eastAsia="Aptos" w:hAnsi="Aptos" w:cs="Aptos"/>
        </w:rPr>
      </w:pPr>
      <w:r w:rsidRPr="00225D19">
        <w:rPr>
          <w:rFonts w:ascii="Aptos" w:eastAsia="Aptos" w:hAnsi="Aptos" w:cs="Aptos"/>
        </w:rPr>
        <w:t>Added barriers</w:t>
      </w:r>
      <w:r w:rsidR="528AA698" w:rsidRPr="00225D19">
        <w:rPr>
          <w:rFonts w:ascii="Aptos" w:eastAsia="Aptos" w:hAnsi="Aptos" w:cs="Aptos"/>
        </w:rPr>
        <w:t xml:space="preserve"> </w:t>
      </w:r>
      <w:r w:rsidRPr="00225D19">
        <w:rPr>
          <w:rFonts w:ascii="Aptos" w:eastAsia="Aptos" w:hAnsi="Aptos" w:cs="Aptos"/>
        </w:rPr>
        <w:t>including low health literacy, mobility limitations, and financial constraints</w:t>
      </w:r>
      <w:r w:rsidR="500C2009" w:rsidRPr="00225D19">
        <w:rPr>
          <w:rFonts w:ascii="Aptos" w:eastAsia="Aptos" w:hAnsi="Aptos" w:cs="Aptos"/>
        </w:rPr>
        <w:t xml:space="preserve"> </w:t>
      </w:r>
      <w:r w:rsidRPr="00225D19">
        <w:rPr>
          <w:rFonts w:ascii="Aptos" w:eastAsia="Aptos" w:hAnsi="Aptos" w:cs="Aptos"/>
        </w:rPr>
        <w:t>further hinder engagement with recommended interventions. Although digital tools offer promising avenues for remote support, older adults may struggle to adopt these technologies without right training and aid (Greenhalgh et al., 2020). To be effective, PCC and self-management must be underpinned by fair funding, robust community infrastructure, and sustained family and carer support.</w:t>
      </w:r>
    </w:p>
    <w:p w14:paraId="72A4FBEE" w14:textId="77777777" w:rsidR="001014E1" w:rsidRDefault="001014E1" w:rsidP="000D74F7">
      <w:pPr>
        <w:jc w:val="both"/>
        <w:rPr>
          <w:rFonts w:ascii="Aptos" w:eastAsia="Aptos" w:hAnsi="Aptos" w:cs="Aptos"/>
        </w:rPr>
      </w:pPr>
    </w:p>
    <w:p w14:paraId="505FE177" w14:textId="3D364BD4" w:rsidR="1F90C7C9" w:rsidRPr="001014E1" w:rsidRDefault="5E050AB8" w:rsidP="001014E1">
      <w:pPr>
        <w:pStyle w:val="Heading1"/>
        <w:rPr>
          <w:color w:val="auto"/>
        </w:rPr>
      </w:pPr>
      <w:bookmarkStart w:id="59" w:name="_Toc211059015"/>
      <w:r w:rsidRPr="001014E1">
        <w:rPr>
          <w:color w:val="auto"/>
        </w:rPr>
        <w:lastRenderedPageBreak/>
        <w:t>Recommendations and Conclusion</w:t>
      </w:r>
      <w:bookmarkEnd w:id="59"/>
    </w:p>
    <w:p w14:paraId="01055142" w14:textId="77777777" w:rsidR="00751F9B" w:rsidRDefault="5E050AB8" w:rsidP="00751F9B">
      <w:pPr>
        <w:spacing w:before="240" w:after="240"/>
        <w:ind w:left="360"/>
        <w:rPr>
          <w:rFonts w:ascii="Aptos" w:eastAsia="Aptos" w:hAnsi="Aptos" w:cs="Aptos"/>
          <w:b/>
          <w:bCs/>
        </w:rPr>
      </w:pPr>
      <w:r w:rsidRPr="00751F9B">
        <w:rPr>
          <w:rFonts w:ascii="Aptos" w:eastAsia="Aptos" w:hAnsi="Aptos" w:cs="Aptos"/>
          <w:b/>
          <w:bCs/>
        </w:rPr>
        <w:t>Expand Access to Community-Based Programmes</w:t>
      </w:r>
    </w:p>
    <w:p w14:paraId="66A451A1" w14:textId="253C7681" w:rsidR="1F90C7C9" w:rsidRPr="00751F9B" w:rsidRDefault="5E050AB8" w:rsidP="006255BF">
      <w:pPr>
        <w:spacing w:before="240" w:after="240"/>
        <w:ind w:left="360"/>
        <w:jc w:val="both"/>
        <w:rPr>
          <w:rFonts w:ascii="Aptos" w:eastAsia="Aptos" w:hAnsi="Aptos" w:cs="Aptos"/>
          <w:b/>
          <w:bCs/>
        </w:rPr>
      </w:pPr>
      <w:r w:rsidRPr="00751F9B">
        <w:rPr>
          <w:rFonts w:ascii="Aptos" w:eastAsia="Aptos" w:hAnsi="Aptos" w:cs="Aptos"/>
        </w:rPr>
        <w:t xml:space="preserve">National rollout of evidence-based initiatives such as </w:t>
      </w:r>
      <w:r w:rsidRPr="00643A09">
        <w:rPr>
          <w:rFonts w:ascii="Aptos" w:eastAsia="Aptos" w:hAnsi="Aptos" w:cs="Aptos"/>
        </w:rPr>
        <w:t>ESCAPE-pain</w:t>
      </w:r>
      <w:r w:rsidRPr="00751F9B">
        <w:rPr>
          <w:rFonts w:ascii="Aptos" w:eastAsia="Aptos" w:hAnsi="Aptos" w:cs="Aptos"/>
        </w:rPr>
        <w:t xml:space="preserve"> should be prioritised, ensuring </w:t>
      </w:r>
      <w:r w:rsidR="6D229BF9" w:rsidRPr="00751F9B">
        <w:rPr>
          <w:rFonts w:ascii="Aptos" w:eastAsia="Aptos" w:hAnsi="Aptos" w:cs="Aptos"/>
        </w:rPr>
        <w:t>fair</w:t>
      </w:r>
      <w:r w:rsidRPr="00751F9B">
        <w:rPr>
          <w:rFonts w:ascii="Aptos" w:eastAsia="Aptos" w:hAnsi="Aptos" w:cs="Aptos"/>
        </w:rPr>
        <w:t xml:space="preserve"> access regardless of location. Funding must be protected to avoid postcode lotteries in physiotherapy and exercise provision.</w:t>
      </w:r>
    </w:p>
    <w:p w14:paraId="324C8389" w14:textId="77777777" w:rsidR="006255BF" w:rsidRDefault="5E050AB8" w:rsidP="006255BF">
      <w:pPr>
        <w:spacing w:before="240" w:after="240"/>
        <w:ind w:left="360"/>
        <w:rPr>
          <w:rFonts w:ascii="Aptos" w:eastAsia="Aptos" w:hAnsi="Aptos" w:cs="Aptos"/>
          <w:b/>
          <w:bCs/>
        </w:rPr>
      </w:pPr>
      <w:r w:rsidRPr="00751F9B">
        <w:rPr>
          <w:rFonts w:ascii="Aptos" w:eastAsia="Aptos" w:hAnsi="Aptos" w:cs="Aptos"/>
          <w:b/>
          <w:bCs/>
        </w:rPr>
        <w:t>Address Health Inequalities</w:t>
      </w:r>
    </w:p>
    <w:p w14:paraId="060119E9" w14:textId="32835C27" w:rsidR="002E1BB6" w:rsidRPr="001014E1" w:rsidRDefault="5E050AB8" w:rsidP="001014E1">
      <w:pPr>
        <w:spacing w:before="240" w:after="240"/>
        <w:ind w:left="360"/>
        <w:jc w:val="both"/>
        <w:rPr>
          <w:rFonts w:ascii="Aptos" w:eastAsia="Aptos" w:hAnsi="Aptos" w:cs="Aptos"/>
        </w:rPr>
      </w:pPr>
      <w:r w:rsidRPr="00751F9B">
        <w:rPr>
          <w:rFonts w:ascii="Aptos" w:eastAsia="Aptos" w:hAnsi="Aptos" w:cs="Aptos"/>
        </w:rPr>
        <w:t>Targeted support should be offered to those in deprived areas, who are more likely to develop OA earlier and experience worse outcomes (Versus Arthritis, 2019). Initiatives could include free community exercise classes, transport support</w:t>
      </w:r>
      <w:r w:rsidR="7D12B4F5" w:rsidRPr="00751F9B">
        <w:rPr>
          <w:rFonts w:ascii="Aptos" w:eastAsia="Aptos" w:hAnsi="Aptos" w:cs="Aptos"/>
        </w:rPr>
        <w:t>,</w:t>
      </w:r>
      <w:r w:rsidRPr="00751F9B">
        <w:rPr>
          <w:rFonts w:ascii="Aptos" w:eastAsia="Aptos" w:hAnsi="Aptos" w:cs="Aptos"/>
        </w:rPr>
        <w:t xml:space="preserve"> and culturally tailored education materials.</w:t>
      </w:r>
    </w:p>
    <w:p w14:paraId="05F286FF" w14:textId="77777777" w:rsidR="002E1BB6" w:rsidRDefault="5E050AB8" w:rsidP="002E1BB6">
      <w:pPr>
        <w:spacing w:before="240" w:after="240"/>
        <w:ind w:left="360"/>
        <w:rPr>
          <w:rFonts w:ascii="Aptos" w:eastAsia="Aptos" w:hAnsi="Aptos" w:cs="Aptos"/>
          <w:b/>
          <w:bCs/>
        </w:rPr>
      </w:pPr>
      <w:r w:rsidRPr="00751F9B">
        <w:rPr>
          <w:rFonts w:ascii="Aptos" w:eastAsia="Aptos" w:hAnsi="Aptos" w:cs="Aptos"/>
          <w:b/>
          <w:bCs/>
        </w:rPr>
        <w:t>Enhance Integration of Services</w:t>
      </w:r>
    </w:p>
    <w:p w14:paraId="390DCE79" w14:textId="3F2FE4D4" w:rsidR="1F90C7C9" w:rsidRPr="002E1BB6" w:rsidRDefault="5E050AB8" w:rsidP="005F42F9">
      <w:pPr>
        <w:spacing w:before="240" w:after="240"/>
        <w:ind w:left="360"/>
        <w:rPr>
          <w:rFonts w:ascii="Aptos" w:eastAsia="Aptos" w:hAnsi="Aptos" w:cs="Aptos"/>
          <w:b/>
          <w:bCs/>
        </w:rPr>
      </w:pPr>
      <w:r w:rsidRPr="00751F9B">
        <w:rPr>
          <w:rFonts w:ascii="Aptos" w:eastAsia="Aptos" w:hAnsi="Aptos" w:cs="Aptos"/>
        </w:rPr>
        <w:t>Integrated Care Systems (ICS) should ensure seamless collaboration between GPs, physiotherapists, dieticians</w:t>
      </w:r>
      <w:r w:rsidR="697CABE2" w:rsidRPr="00751F9B">
        <w:rPr>
          <w:rFonts w:ascii="Aptos" w:eastAsia="Aptos" w:hAnsi="Aptos" w:cs="Aptos"/>
        </w:rPr>
        <w:t>,</w:t>
      </w:r>
      <w:r w:rsidRPr="00751F9B">
        <w:rPr>
          <w:rFonts w:ascii="Aptos" w:eastAsia="Aptos" w:hAnsi="Aptos" w:cs="Aptos"/>
        </w:rPr>
        <w:t xml:space="preserve"> and social care providers, reducing fragmented care pathways</w:t>
      </w:r>
      <w:r w:rsidR="005F42F9" w:rsidRPr="005F42F9">
        <w:t xml:space="preserve"> </w:t>
      </w:r>
      <w:r w:rsidR="005F42F9" w:rsidRPr="005F42F9">
        <w:rPr>
          <w:rFonts w:ascii="Aptos" w:eastAsia="Aptos" w:hAnsi="Aptos" w:cs="Aptos"/>
        </w:rPr>
        <w:t>(NHS England, 2022</w:t>
      </w:r>
      <w:r w:rsidR="005F42F9">
        <w:rPr>
          <w:rFonts w:ascii="Aptos" w:eastAsia="Aptos" w:hAnsi="Aptos" w:cs="Aptos"/>
        </w:rPr>
        <w:t>)</w:t>
      </w:r>
    </w:p>
    <w:p w14:paraId="60F825A9" w14:textId="77777777" w:rsidR="005E2A8A" w:rsidRDefault="5E050AB8" w:rsidP="005E2A8A">
      <w:pPr>
        <w:spacing w:before="240" w:after="240"/>
        <w:ind w:left="360"/>
        <w:rPr>
          <w:rFonts w:ascii="Aptos" w:eastAsia="Aptos" w:hAnsi="Aptos" w:cs="Aptos"/>
          <w:b/>
          <w:bCs/>
        </w:rPr>
      </w:pPr>
      <w:r w:rsidRPr="00751F9B">
        <w:rPr>
          <w:rFonts w:ascii="Aptos" w:eastAsia="Aptos" w:hAnsi="Aptos" w:cs="Aptos"/>
          <w:b/>
          <w:bCs/>
        </w:rPr>
        <w:t>Invest in Digital Inclusion</w:t>
      </w:r>
    </w:p>
    <w:p w14:paraId="1078AAE2" w14:textId="5AEB73D2" w:rsidR="1F90C7C9" w:rsidRPr="00751F9B" w:rsidRDefault="5E050AB8" w:rsidP="005E2A8A">
      <w:pPr>
        <w:spacing w:before="240" w:after="240"/>
        <w:ind w:left="360"/>
        <w:jc w:val="both"/>
        <w:rPr>
          <w:rFonts w:ascii="Aptos" w:eastAsia="Aptos" w:hAnsi="Aptos" w:cs="Aptos"/>
        </w:rPr>
      </w:pPr>
      <w:r w:rsidRPr="00751F9B">
        <w:rPr>
          <w:rFonts w:ascii="Aptos" w:eastAsia="Aptos" w:hAnsi="Aptos" w:cs="Aptos"/>
        </w:rPr>
        <w:t>Digital health tools should be developed with older adults in mind, ensuring accessibility. Local services should offer training for patients and carers to confidently use telehealth platforms</w:t>
      </w:r>
      <w:r w:rsidR="00CA321B" w:rsidRPr="00CA321B">
        <w:t xml:space="preserve"> </w:t>
      </w:r>
      <w:r w:rsidR="00CA321B">
        <w:t>(</w:t>
      </w:r>
      <w:r w:rsidR="00CA321B" w:rsidRPr="00CA321B">
        <w:rPr>
          <w:rFonts w:ascii="Aptos" w:eastAsia="Aptos" w:hAnsi="Aptos" w:cs="Aptos"/>
        </w:rPr>
        <w:t>Age UK, 2023)</w:t>
      </w:r>
      <w:r w:rsidRPr="00751F9B">
        <w:rPr>
          <w:rFonts w:ascii="Aptos" w:eastAsia="Aptos" w:hAnsi="Aptos" w:cs="Aptos"/>
        </w:rPr>
        <w:t>.</w:t>
      </w:r>
    </w:p>
    <w:p w14:paraId="5592AFD1" w14:textId="79FECCDB" w:rsidR="00701651" w:rsidRDefault="5E050AB8" w:rsidP="00701651">
      <w:pPr>
        <w:spacing w:before="240" w:after="240"/>
        <w:ind w:left="360"/>
        <w:rPr>
          <w:rFonts w:ascii="Aptos" w:eastAsia="Aptos" w:hAnsi="Aptos" w:cs="Aptos"/>
        </w:rPr>
      </w:pPr>
      <w:r w:rsidRPr="00751F9B">
        <w:rPr>
          <w:rFonts w:ascii="Aptos" w:eastAsia="Aptos" w:hAnsi="Aptos" w:cs="Aptos"/>
          <w:b/>
          <w:bCs/>
        </w:rPr>
        <w:t>Promote Research and Innovation</w:t>
      </w:r>
    </w:p>
    <w:p w14:paraId="2F85B7CA" w14:textId="2F7E22FA" w:rsidR="00701651" w:rsidRPr="00751F9B" w:rsidRDefault="5E050AB8" w:rsidP="00051B66">
      <w:pPr>
        <w:spacing w:before="240" w:after="240"/>
        <w:ind w:left="360"/>
        <w:jc w:val="both"/>
        <w:rPr>
          <w:rFonts w:ascii="Aptos" w:eastAsia="Aptos" w:hAnsi="Aptos" w:cs="Aptos"/>
        </w:rPr>
      </w:pPr>
      <w:r w:rsidRPr="00751F9B">
        <w:rPr>
          <w:rFonts w:ascii="Aptos" w:eastAsia="Aptos" w:hAnsi="Aptos" w:cs="Aptos"/>
        </w:rPr>
        <w:t>More investment in regenerative therapies, joint preservation techniques and non-surgical interventions is needed to expand treatment options and reduce reliance on joint replacement surgery</w:t>
      </w:r>
      <w:r w:rsidR="00D4547C" w:rsidRPr="00D4547C">
        <w:t xml:space="preserve"> </w:t>
      </w:r>
      <w:r w:rsidR="00D4547C">
        <w:t>(</w:t>
      </w:r>
      <w:r w:rsidR="00D4547C" w:rsidRPr="00D4547C">
        <w:rPr>
          <w:rFonts w:ascii="Aptos" w:eastAsia="Aptos" w:hAnsi="Aptos" w:cs="Aptos"/>
        </w:rPr>
        <w:t>Versus Arthritis, 2023</w:t>
      </w:r>
      <w:r w:rsidR="00D4547C">
        <w:rPr>
          <w:rFonts w:ascii="Aptos" w:eastAsia="Aptos" w:hAnsi="Aptos" w:cs="Aptos"/>
        </w:rPr>
        <w:t>)</w:t>
      </w:r>
      <w:r w:rsidRPr="00751F9B">
        <w:rPr>
          <w:rFonts w:ascii="Aptos" w:eastAsia="Aptos" w:hAnsi="Aptos" w:cs="Aptos"/>
        </w:rPr>
        <w:t>.</w:t>
      </w:r>
    </w:p>
    <w:p w14:paraId="72CF67DF" w14:textId="77777777" w:rsidR="00051B66" w:rsidRDefault="5E050AB8" w:rsidP="00051B66">
      <w:pPr>
        <w:spacing w:before="240" w:after="240"/>
        <w:ind w:left="360"/>
        <w:rPr>
          <w:rFonts w:ascii="Aptos" w:eastAsia="Aptos" w:hAnsi="Aptos" w:cs="Aptos"/>
          <w:b/>
          <w:bCs/>
        </w:rPr>
      </w:pPr>
      <w:r w:rsidRPr="00751F9B">
        <w:rPr>
          <w:rFonts w:ascii="Aptos" w:eastAsia="Aptos" w:hAnsi="Aptos" w:cs="Aptos"/>
          <w:b/>
          <w:bCs/>
        </w:rPr>
        <w:t>Strengthen Carer Support</w:t>
      </w:r>
    </w:p>
    <w:p w14:paraId="4D817C29" w14:textId="66C41B22" w:rsidR="1F90C7C9" w:rsidRPr="00051B66" w:rsidRDefault="5E050AB8" w:rsidP="00051B66">
      <w:pPr>
        <w:spacing w:before="240" w:after="240"/>
        <w:ind w:left="360"/>
        <w:jc w:val="both"/>
        <w:rPr>
          <w:rFonts w:ascii="Aptos" w:eastAsia="Aptos" w:hAnsi="Aptos" w:cs="Aptos"/>
          <w:b/>
          <w:bCs/>
        </w:rPr>
      </w:pPr>
      <w:r w:rsidRPr="00751F9B">
        <w:rPr>
          <w:rFonts w:ascii="Aptos" w:eastAsia="Aptos" w:hAnsi="Aptos" w:cs="Aptos"/>
        </w:rPr>
        <w:t>Families providing care need structured support, such as respite services, financial allowances</w:t>
      </w:r>
      <w:r w:rsidR="3DBAB9F3" w:rsidRPr="00751F9B">
        <w:rPr>
          <w:rFonts w:ascii="Aptos" w:eastAsia="Aptos" w:hAnsi="Aptos" w:cs="Aptos"/>
        </w:rPr>
        <w:t>,</w:t>
      </w:r>
      <w:r w:rsidRPr="00751F9B">
        <w:rPr>
          <w:rFonts w:ascii="Aptos" w:eastAsia="Aptos" w:hAnsi="Aptos" w:cs="Aptos"/>
        </w:rPr>
        <w:t xml:space="preserve"> and educational programmes. Recognising carers within care planning will improve outcomes for both patients and families</w:t>
      </w:r>
      <w:r w:rsidR="00BB7FA1" w:rsidRPr="00BB7FA1">
        <w:t xml:space="preserve"> </w:t>
      </w:r>
      <w:r w:rsidR="00BB7FA1">
        <w:t>(</w:t>
      </w:r>
      <w:r w:rsidR="00BB7FA1" w:rsidRPr="00BB7FA1">
        <w:rPr>
          <w:rFonts w:ascii="Aptos" w:eastAsia="Aptos" w:hAnsi="Aptos" w:cs="Aptos"/>
        </w:rPr>
        <w:t>NHS England, 2022)</w:t>
      </w:r>
      <w:r w:rsidRPr="00751F9B">
        <w:rPr>
          <w:rFonts w:ascii="Aptos" w:eastAsia="Aptos" w:hAnsi="Aptos" w:cs="Aptos"/>
        </w:rPr>
        <w:t>.</w:t>
      </w:r>
    </w:p>
    <w:p w14:paraId="7D185272" w14:textId="77777777" w:rsidR="00BB7FA1" w:rsidRDefault="5E050AB8" w:rsidP="00751F9B">
      <w:pPr>
        <w:spacing w:before="240" w:after="240"/>
        <w:ind w:left="360"/>
      </w:pPr>
      <w:r w:rsidRPr="00751F9B">
        <w:rPr>
          <w:rFonts w:ascii="Aptos" w:eastAsia="Aptos" w:hAnsi="Aptos" w:cs="Aptos"/>
          <w:b/>
          <w:bCs/>
        </w:rPr>
        <w:t>End-of-Life Planning for Complex Cases</w:t>
      </w:r>
    </w:p>
    <w:p w14:paraId="617FAFF1" w14:textId="7285AE20" w:rsidR="006D5AE5" w:rsidRDefault="5E050AB8" w:rsidP="001014E1">
      <w:pPr>
        <w:spacing w:before="240" w:after="240"/>
        <w:ind w:left="360"/>
        <w:jc w:val="both"/>
        <w:rPr>
          <w:rFonts w:ascii="Aptos" w:eastAsia="Aptos" w:hAnsi="Aptos" w:cs="Aptos"/>
        </w:rPr>
      </w:pPr>
      <w:r w:rsidRPr="00751F9B">
        <w:rPr>
          <w:rFonts w:ascii="Aptos" w:eastAsia="Aptos" w:hAnsi="Aptos" w:cs="Aptos"/>
        </w:rPr>
        <w:t>While OA is not fatal, for patients with multiple long-term conditions, healthcare teams should provide guidance on palliative options, pain relief</w:t>
      </w:r>
      <w:r w:rsidR="6AA78E42" w:rsidRPr="00751F9B">
        <w:rPr>
          <w:rFonts w:ascii="Aptos" w:eastAsia="Aptos" w:hAnsi="Aptos" w:cs="Aptos"/>
        </w:rPr>
        <w:t>,</w:t>
      </w:r>
      <w:r w:rsidRPr="00751F9B">
        <w:rPr>
          <w:rFonts w:ascii="Aptos" w:eastAsia="Aptos" w:hAnsi="Aptos" w:cs="Aptos"/>
        </w:rPr>
        <w:t xml:space="preserve"> and dignity-preserving care</w:t>
      </w:r>
      <w:r w:rsidR="00533E62" w:rsidRPr="00533E62">
        <w:t xml:space="preserve"> </w:t>
      </w:r>
      <w:r w:rsidR="00533E62" w:rsidRPr="00533E62">
        <w:rPr>
          <w:rFonts w:ascii="Aptos" w:eastAsia="Aptos" w:hAnsi="Aptos" w:cs="Aptos"/>
        </w:rPr>
        <w:t>(NICE, 2023</w:t>
      </w:r>
      <w:r w:rsidR="00533E62">
        <w:rPr>
          <w:rFonts w:ascii="Aptos" w:eastAsia="Aptos" w:hAnsi="Aptos" w:cs="Aptos"/>
        </w:rPr>
        <w:t>)</w:t>
      </w:r>
      <w:r w:rsidRPr="00751F9B">
        <w:rPr>
          <w:rFonts w:ascii="Aptos" w:eastAsia="Aptos" w:hAnsi="Aptos" w:cs="Aptos"/>
        </w:rPr>
        <w:t>.</w:t>
      </w:r>
    </w:p>
    <w:p w14:paraId="28585292" w14:textId="09CE2FE9" w:rsidR="006D5AE5" w:rsidRPr="00226288" w:rsidRDefault="006D5AE5" w:rsidP="006D5AE5">
      <w:pPr>
        <w:pStyle w:val="Heading1"/>
        <w:rPr>
          <w:color w:val="auto"/>
        </w:rPr>
      </w:pPr>
      <w:bookmarkStart w:id="60" w:name="_Toc1062443047"/>
      <w:bookmarkStart w:id="61" w:name="_Toc211059016"/>
      <w:r w:rsidRPr="00226288">
        <w:rPr>
          <w:color w:val="auto"/>
        </w:rPr>
        <w:lastRenderedPageBreak/>
        <w:t>Conclusion</w:t>
      </w:r>
      <w:bookmarkEnd w:id="60"/>
      <w:bookmarkEnd w:id="61"/>
    </w:p>
    <w:p w14:paraId="4016C111" w14:textId="7A8DADFA" w:rsidR="55FD0A8F" w:rsidRPr="00225D19" w:rsidRDefault="1AFA2217" w:rsidP="006D5AE5">
      <w:pPr>
        <w:spacing w:before="240" w:after="240"/>
        <w:jc w:val="both"/>
        <w:rPr>
          <w:rFonts w:ascii="Aptos" w:eastAsia="Aptos" w:hAnsi="Aptos" w:cs="Aptos"/>
        </w:rPr>
      </w:pPr>
      <w:r w:rsidRPr="00225D19">
        <w:rPr>
          <w:rFonts w:ascii="Aptos" w:eastAsia="Aptos" w:hAnsi="Aptos" w:cs="Aptos"/>
        </w:rPr>
        <w:t>Osteoarthritis  is a common long-term condition affecting over 8.5 million people in the UK, particularly those aged 45 and above. Its impact extends beyond physical symptoms, affecting mental wellbeing, social participation, and placing strain on families, communities, and the wider health and social care system</w:t>
      </w:r>
      <w:r w:rsidR="00CB66C4" w:rsidRPr="00CB66C4">
        <w:t xml:space="preserve"> </w:t>
      </w:r>
      <w:r w:rsidR="00CB66C4" w:rsidRPr="00CB66C4">
        <w:rPr>
          <w:rFonts w:ascii="Aptos" w:eastAsia="Aptos" w:hAnsi="Aptos" w:cs="Aptos"/>
        </w:rPr>
        <w:t>(NICE, 2022)</w:t>
      </w:r>
      <w:r w:rsidRPr="00225D19">
        <w:rPr>
          <w:rFonts w:ascii="Aptos" w:eastAsia="Aptos" w:hAnsi="Aptos" w:cs="Aptos"/>
        </w:rPr>
        <w:t xml:space="preserve">. Effective management </w:t>
      </w:r>
      <w:r w:rsidR="254CFC7B" w:rsidRPr="00225D19">
        <w:rPr>
          <w:rFonts w:ascii="Aptos" w:eastAsia="Aptos" w:hAnsi="Aptos" w:cs="Aptos"/>
        </w:rPr>
        <w:t>needs</w:t>
      </w:r>
      <w:r w:rsidRPr="00225D19">
        <w:rPr>
          <w:rFonts w:ascii="Aptos" w:eastAsia="Aptos" w:hAnsi="Aptos" w:cs="Aptos"/>
        </w:rPr>
        <w:t xml:space="preserve"> more than medication it demands a holistic, person-centred approach that integrates physical, psychological, and social support.</w:t>
      </w:r>
    </w:p>
    <w:p w14:paraId="59E7EF02" w14:textId="53869B9E" w:rsidR="55FD0A8F" w:rsidRPr="00225D19" w:rsidRDefault="1AFA2217" w:rsidP="00754030">
      <w:pPr>
        <w:spacing w:before="240" w:after="240"/>
        <w:jc w:val="both"/>
        <w:rPr>
          <w:rFonts w:ascii="Aptos" w:eastAsia="Aptos" w:hAnsi="Aptos" w:cs="Aptos"/>
        </w:rPr>
      </w:pPr>
      <w:r w:rsidRPr="00225D19">
        <w:rPr>
          <w:rFonts w:ascii="Aptos" w:eastAsia="Aptos" w:hAnsi="Aptos" w:cs="Aptos"/>
        </w:rPr>
        <w:t xml:space="preserve">National frameworks such as the </w:t>
      </w:r>
      <w:r w:rsidRPr="00225D19">
        <w:rPr>
          <w:rFonts w:ascii="Aptos" w:eastAsia="Aptos" w:hAnsi="Aptos" w:cs="Aptos"/>
          <w:i/>
          <w:iCs/>
        </w:rPr>
        <w:t>NHS Long Term Plan</w:t>
      </w:r>
      <w:r w:rsidRPr="00225D19">
        <w:rPr>
          <w:rFonts w:ascii="Aptos" w:eastAsia="Aptos" w:hAnsi="Aptos" w:cs="Aptos"/>
        </w:rPr>
        <w:t xml:space="preserve"> (NHS England, 2019) and </w:t>
      </w:r>
      <w:r w:rsidRPr="00225D19">
        <w:rPr>
          <w:rFonts w:ascii="Aptos" w:eastAsia="Aptos" w:hAnsi="Aptos" w:cs="Aptos"/>
          <w:i/>
          <w:iCs/>
        </w:rPr>
        <w:t>NICE guidelines</w:t>
      </w:r>
      <w:r w:rsidRPr="00225D19">
        <w:rPr>
          <w:rFonts w:ascii="Aptos" w:eastAsia="Aptos" w:hAnsi="Aptos" w:cs="Aptos"/>
        </w:rPr>
        <w:t xml:space="preserve"> (NICE, 2022) offer strong foundations for OA care through early intervention, digital tools, and integrated services. The </w:t>
      </w:r>
      <w:r w:rsidRPr="00225D19">
        <w:rPr>
          <w:rFonts w:ascii="Aptos" w:eastAsia="Aptos" w:hAnsi="Aptos" w:cs="Aptos"/>
          <w:i/>
          <w:iCs/>
        </w:rPr>
        <w:t>WHO ICCC framework</w:t>
      </w:r>
      <w:r w:rsidRPr="00225D19">
        <w:rPr>
          <w:rFonts w:ascii="Aptos" w:eastAsia="Aptos" w:hAnsi="Aptos" w:cs="Aptos"/>
        </w:rPr>
        <w:t xml:space="preserve"> (WHO, 2002) adds a global perspective, highlighting the importance of social determinants, community engagement, and policy reform. Collectively, these models promote self-management, patient empowerment, and coordinated care pathways.</w:t>
      </w:r>
    </w:p>
    <w:p w14:paraId="1F053CFF" w14:textId="1C818D7B" w:rsidR="55FD0A8F" w:rsidRPr="00225D19" w:rsidRDefault="1AFA2217" w:rsidP="00754030">
      <w:pPr>
        <w:spacing w:before="240" w:after="240"/>
        <w:jc w:val="both"/>
        <w:rPr>
          <w:rFonts w:ascii="Aptos" w:eastAsia="Aptos" w:hAnsi="Aptos" w:cs="Aptos"/>
        </w:rPr>
      </w:pPr>
      <w:r w:rsidRPr="00225D19">
        <w:rPr>
          <w:rFonts w:ascii="Aptos" w:eastAsia="Aptos" w:hAnsi="Aptos" w:cs="Aptos"/>
        </w:rPr>
        <w:t xml:space="preserve">However, implementation </w:t>
      </w:r>
      <w:r w:rsidR="060BBD64" w:rsidRPr="00225D19">
        <w:rPr>
          <w:rFonts w:ascii="Aptos" w:eastAsia="Aptos" w:hAnsi="Aptos" w:cs="Aptos"/>
        </w:rPr>
        <w:t>stays</w:t>
      </w:r>
      <w:r w:rsidRPr="00225D19">
        <w:rPr>
          <w:rFonts w:ascii="Aptos" w:eastAsia="Aptos" w:hAnsi="Aptos" w:cs="Aptos"/>
        </w:rPr>
        <w:t xml:space="preserve"> uneven. Regional disparities</w:t>
      </w:r>
      <w:r w:rsidR="3B7602B7" w:rsidRPr="00225D19">
        <w:rPr>
          <w:rFonts w:ascii="Aptos" w:eastAsia="Aptos" w:hAnsi="Aptos" w:cs="Aptos"/>
        </w:rPr>
        <w:t xml:space="preserve"> </w:t>
      </w:r>
      <w:r w:rsidRPr="00225D19">
        <w:rPr>
          <w:rFonts w:ascii="Aptos" w:eastAsia="Aptos" w:hAnsi="Aptos" w:cs="Aptos"/>
        </w:rPr>
        <w:t>often termed a “postcode lottery”</w:t>
      </w:r>
      <w:r w:rsidR="4D2C2D6C" w:rsidRPr="00225D19">
        <w:rPr>
          <w:rFonts w:ascii="Aptos" w:eastAsia="Aptos" w:hAnsi="Aptos" w:cs="Aptos"/>
        </w:rPr>
        <w:t xml:space="preserve"> </w:t>
      </w:r>
      <w:r w:rsidRPr="00225D19">
        <w:rPr>
          <w:rFonts w:ascii="Aptos" w:eastAsia="Aptos" w:hAnsi="Aptos" w:cs="Aptos"/>
        </w:rPr>
        <w:t>affect access to physiotherapy, surgery, and community programmes (Versus Arthritis, 2019). Barriers such as low health literacy, financial constraints, and digital exclusion further compound inequalities, especially among older adults and those in deprived areas (Greenhalgh</w:t>
      </w:r>
      <w:r w:rsidR="4DCE4669" w:rsidRPr="00225D19">
        <w:rPr>
          <w:rFonts w:ascii="Aptos" w:eastAsia="Aptos" w:hAnsi="Aptos" w:cs="Aptos"/>
        </w:rPr>
        <w:t xml:space="preserve">, </w:t>
      </w:r>
      <w:r w:rsidRPr="00225D19">
        <w:rPr>
          <w:rFonts w:ascii="Aptos" w:eastAsia="Aptos" w:hAnsi="Aptos" w:cs="Aptos"/>
        </w:rPr>
        <w:t>2020). The COVID-19 pandemic has worsened waiting times and disrupted elective care (NHS England, 2022).</w:t>
      </w:r>
    </w:p>
    <w:p w14:paraId="5BB29B55" w14:textId="78417EC9" w:rsidR="55FD0A8F" w:rsidRPr="00225D19" w:rsidRDefault="1AFA2217" w:rsidP="00754030">
      <w:pPr>
        <w:spacing w:before="240" w:after="240"/>
        <w:jc w:val="both"/>
        <w:rPr>
          <w:rFonts w:ascii="Aptos" w:eastAsia="Aptos" w:hAnsi="Aptos" w:cs="Aptos"/>
        </w:rPr>
      </w:pPr>
      <w:r w:rsidRPr="00225D19">
        <w:rPr>
          <w:rFonts w:ascii="Aptos" w:eastAsia="Aptos" w:hAnsi="Aptos" w:cs="Aptos"/>
        </w:rPr>
        <w:t xml:space="preserve">To improve outcomes, OA care must be supported by sustained investment, local flexibility, and cross-sector collaboration. Prioritising self-management, integrated pathways, and </w:t>
      </w:r>
      <w:r w:rsidR="7AB10A8D" w:rsidRPr="00225D19">
        <w:rPr>
          <w:rFonts w:ascii="Aptos" w:eastAsia="Aptos" w:hAnsi="Aptos" w:cs="Aptos"/>
        </w:rPr>
        <w:t>fair</w:t>
      </w:r>
      <w:r w:rsidRPr="00225D19">
        <w:rPr>
          <w:rFonts w:ascii="Aptos" w:eastAsia="Aptos" w:hAnsi="Aptos" w:cs="Aptos"/>
        </w:rPr>
        <w:t xml:space="preserve"> access will help ensure that people with OA live healthier, more fulfilling lives</w:t>
      </w:r>
      <w:r w:rsidR="149FB800" w:rsidRPr="00225D19">
        <w:rPr>
          <w:rFonts w:ascii="Aptos" w:eastAsia="Aptos" w:hAnsi="Aptos" w:cs="Aptos"/>
        </w:rPr>
        <w:t xml:space="preserve"> </w:t>
      </w:r>
      <w:r w:rsidRPr="00225D19">
        <w:rPr>
          <w:rFonts w:ascii="Aptos" w:eastAsia="Aptos" w:hAnsi="Aptos" w:cs="Aptos"/>
        </w:rPr>
        <w:t>regardless of location or circumstance.</w:t>
      </w:r>
    </w:p>
    <w:p w14:paraId="7C62C395" w14:textId="6C5A5017" w:rsidR="55FD0A8F" w:rsidRDefault="55FD0A8F" w:rsidP="55FD0A8F"/>
    <w:p w14:paraId="5EF847D2" w14:textId="77777777" w:rsidR="00754030" w:rsidRDefault="00754030" w:rsidP="55FD0A8F"/>
    <w:p w14:paraId="65984250" w14:textId="77777777" w:rsidR="00754030" w:rsidRDefault="00754030" w:rsidP="55FD0A8F"/>
    <w:p w14:paraId="10896536" w14:textId="77777777" w:rsidR="00754030" w:rsidRDefault="00754030" w:rsidP="55FD0A8F"/>
    <w:p w14:paraId="4E9EB17A" w14:textId="77777777" w:rsidR="00754030" w:rsidRDefault="00754030" w:rsidP="55FD0A8F"/>
    <w:p w14:paraId="062A66C8" w14:textId="77777777" w:rsidR="00754030" w:rsidRDefault="00754030" w:rsidP="55FD0A8F"/>
    <w:p w14:paraId="0D2B621B" w14:textId="77777777" w:rsidR="00754030" w:rsidRDefault="00754030" w:rsidP="55FD0A8F"/>
    <w:p w14:paraId="6927B4BB" w14:textId="77777777" w:rsidR="00754030" w:rsidRDefault="00754030" w:rsidP="55FD0A8F"/>
    <w:p w14:paraId="6A7C9830" w14:textId="67277995" w:rsidR="55FD0A8F" w:rsidRPr="00225D19" w:rsidRDefault="55FD0A8F" w:rsidP="55FD0A8F"/>
    <w:p w14:paraId="3118465E" w14:textId="7DFA8905" w:rsidR="0E59C3B4" w:rsidRPr="00225D19" w:rsidRDefault="19DE3499" w:rsidP="0E59C3B4">
      <w:r w:rsidRPr="00225D19">
        <w:lastRenderedPageBreak/>
        <w:t>REFERENCES.</w:t>
      </w:r>
    </w:p>
    <w:p w14:paraId="632C5E0E" w14:textId="659BCB67" w:rsidR="19DE3499" w:rsidRPr="00B53262" w:rsidRDefault="19DE3499" w:rsidP="00B53262">
      <w:pPr>
        <w:spacing w:line="276" w:lineRule="auto"/>
        <w:jc w:val="both"/>
      </w:pPr>
      <w:r w:rsidRPr="00B53262">
        <w:rPr>
          <w:rFonts w:eastAsia="Aptos" w:cs="Aptos"/>
        </w:rPr>
        <w:t xml:space="preserve">Bair, M. J., Wu, J., Damush, T. M., Sutherland, J. M., </w:t>
      </w:r>
      <w:r w:rsidR="00F04ECA" w:rsidRPr="00B53262">
        <w:rPr>
          <w:rFonts w:eastAsia="Aptos" w:cs="Aptos"/>
        </w:rPr>
        <w:t>and</w:t>
      </w:r>
      <w:r w:rsidRPr="00B53262">
        <w:rPr>
          <w:rFonts w:eastAsia="Aptos" w:cs="Aptos"/>
        </w:rPr>
        <w:t xml:space="preserve"> Kroenke, K. (2008) ‘Association of depression and anxiety alone and in combination with chronic musculoskeletal pain in primary care patients.’ </w:t>
      </w:r>
      <w:r w:rsidRPr="00B53262">
        <w:rPr>
          <w:rFonts w:eastAsia="Aptos" w:cs="Aptos"/>
          <w:i/>
          <w:iCs/>
        </w:rPr>
        <w:t>Psychosomatic medicine</w:t>
      </w:r>
      <w:r w:rsidRPr="00B53262">
        <w:rPr>
          <w:rFonts w:eastAsia="Aptos" w:cs="Aptos"/>
        </w:rPr>
        <w:t xml:space="preserve">, </w:t>
      </w:r>
      <w:r w:rsidR="00E61CE0" w:rsidRPr="00B53262">
        <w:rPr>
          <w:rFonts w:eastAsia="Aptos" w:cs="Aptos"/>
        </w:rPr>
        <w:t>pp</w:t>
      </w:r>
      <w:r w:rsidR="003E2E2E" w:rsidRPr="00B53262">
        <w:rPr>
          <w:rFonts w:eastAsia="Aptos" w:cs="Aptos"/>
        </w:rPr>
        <w:t>.</w:t>
      </w:r>
      <w:r w:rsidR="00E61CE0" w:rsidRPr="00B53262">
        <w:rPr>
          <w:rFonts w:eastAsia="Aptos" w:cs="Aptos"/>
        </w:rPr>
        <w:t xml:space="preserve"> </w:t>
      </w:r>
      <w:r w:rsidRPr="00B53262">
        <w:rPr>
          <w:rFonts w:eastAsia="Aptos" w:cs="Aptos"/>
          <w:i/>
          <w:iCs/>
        </w:rPr>
        <w:t>70</w:t>
      </w:r>
      <w:r w:rsidRPr="00B53262">
        <w:rPr>
          <w:rFonts w:eastAsia="Aptos" w:cs="Aptos"/>
        </w:rPr>
        <w:t xml:space="preserve">(8), 890–897.Available at: </w:t>
      </w:r>
      <w:hyperlink r:id="rId14">
        <w:r w:rsidRPr="00B53262">
          <w:rPr>
            <w:rStyle w:val="Hyperlink"/>
            <w:rFonts w:eastAsia="Aptos" w:cs="Aptos"/>
            <w:color w:val="auto"/>
          </w:rPr>
          <w:t>https://doi.org/10.1097/PSY.0b013e318185c510</w:t>
        </w:r>
      </w:hyperlink>
      <w:r w:rsidRPr="00B53262">
        <w:rPr>
          <w:rFonts w:eastAsia="Aptos" w:cs="Aptos"/>
        </w:rPr>
        <w:t xml:space="preserve">.  </w:t>
      </w:r>
      <w:r w:rsidRPr="00B53262">
        <w:rPr>
          <w:rFonts w:eastAsia="Aptos" w:cs="Aptos"/>
          <w:lang w:val="en-US"/>
        </w:rPr>
        <w:t xml:space="preserve"> </w:t>
      </w:r>
    </w:p>
    <w:p w14:paraId="07F87330" w14:textId="499C6A39" w:rsidR="19DE3499" w:rsidRPr="00B53262" w:rsidRDefault="19DE3499" w:rsidP="00B53262">
      <w:pPr>
        <w:spacing w:line="276" w:lineRule="auto"/>
        <w:jc w:val="both"/>
      </w:pPr>
      <w:r w:rsidRPr="00B53262">
        <w:rPr>
          <w:rFonts w:eastAsia="Aptos" w:cs="Aptos"/>
        </w:rPr>
        <w:t xml:space="preserve">Bannuru, R. R., Osani, M. C., Vaysbrot, E. E., Arden, N. K., Bennell, K., Bierma-Zeinstra, S. M. A., Kraus, V. B., Lohmander, L. S., Abbott, J. H., Bhandari, M., Blanco, F. J., Espinosa, R., Haugen, I. K., Lin, J., Mandl, L. A., Moilanen, E., Nakamura, N., Snyder-Mackler, L., Trojian, T., Underwood, M., … McAlindon, T. E. (2019)  ‘OARSI guidelines for the non-surgical management of knee, hip, and polyarticular osteoarthritis.’ </w:t>
      </w:r>
      <w:r w:rsidRPr="00B53262">
        <w:rPr>
          <w:rFonts w:eastAsia="Aptos" w:cs="Aptos"/>
          <w:i/>
          <w:iCs/>
        </w:rPr>
        <w:t>Osteoarthritis and cartilage</w:t>
      </w:r>
      <w:r w:rsidRPr="00B53262">
        <w:rPr>
          <w:rFonts w:eastAsia="Aptos" w:cs="Aptos"/>
        </w:rPr>
        <w:t xml:space="preserve">, </w:t>
      </w:r>
      <w:r w:rsidR="000D18DB" w:rsidRPr="00B53262">
        <w:rPr>
          <w:rFonts w:eastAsia="Aptos" w:cs="Aptos"/>
        </w:rPr>
        <w:t>pp</w:t>
      </w:r>
      <w:r w:rsidR="00FF6336" w:rsidRPr="00B53262">
        <w:rPr>
          <w:rFonts w:eastAsia="Aptos" w:cs="Aptos"/>
        </w:rPr>
        <w:t>.</w:t>
      </w:r>
      <w:r w:rsidR="004652EB" w:rsidRPr="00B53262">
        <w:rPr>
          <w:rFonts w:eastAsia="Aptos" w:cs="Aptos"/>
        </w:rPr>
        <w:t xml:space="preserve"> </w:t>
      </w:r>
      <w:r w:rsidRPr="00B53262">
        <w:rPr>
          <w:rFonts w:eastAsia="Aptos" w:cs="Aptos"/>
          <w:i/>
          <w:iCs/>
        </w:rPr>
        <w:t>27</w:t>
      </w:r>
      <w:r w:rsidRPr="00B53262">
        <w:rPr>
          <w:rFonts w:eastAsia="Aptos" w:cs="Aptos"/>
        </w:rPr>
        <w:t xml:space="preserve">(11), 1578–1589. Available at:  </w:t>
      </w:r>
      <w:bookmarkStart w:id="62" w:name="_Hlk210815388"/>
      <w:r w:rsidRPr="00B53262">
        <w:fldChar w:fldCharType="begin"/>
      </w:r>
      <w:r w:rsidRPr="00B53262">
        <w:instrText>HYPERLINK "https://doi.org/10.1016/j.joca.2019.06.011" \h</w:instrText>
      </w:r>
      <w:r w:rsidRPr="00B53262">
        <w:fldChar w:fldCharType="separate"/>
      </w:r>
      <w:r w:rsidRPr="00B53262">
        <w:rPr>
          <w:rStyle w:val="Hyperlink"/>
          <w:rFonts w:eastAsia="Aptos" w:cs="Aptos"/>
          <w:color w:val="auto"/>
        </w:rPr>
        <w:t>https://doi.org/10.1016/j.joca.2019.06.011</w:t>
      </w:r>
      <w:r w:rsidRPr="00B53262">
        <w:fldChar w:fldCharType="end"/>
      </w:r>
      <w:r w:rsidRPr="00B53262">
        <w:rPr>
          <w:rFonts w:eastAsia="Aptos" w:cs="Aptos"/>
        </w:rPr>
        <w:t xml:space="preserve">.  </w:t>
      </w:r>
      <w:r w:rsidRPr="00B53262">
        <w:rPr>
          <w:rFonts w:eastAsia="Aptos" w:cs="Aptos"/>
          <w:lang w:val="en-US"/>
        </w:rPr>
        <w:t xml:space="preserve"> </w:t>
      </w:r>
      <w:bookmarkEnd w:id="62"/>
    </w:p>
    <w:p w14:paraId="52F1E601" w14:textId="6D8ACDFB" w:rsidR="19DE3499" w:rsidRPr="00B53262" w:rsidRDefault="19DE3499" w:rsidP="00B53262">
      <w:pPr>
        <w:spacing w:line="276" w:lineRule="auto"/>
        <w:jc w:val="both"/>
        <w:rPr>
          <w:color w:val="EE0000"/>
        </w:rPr>
      </w:pPr>
      <w:r w:rsidRPr="00B53262">
        <w:rPr>
          <w:rFonts w:eastAsia="Aptos" w:cs="Aptos"/>
        </w:rPr>
        <w:t>Bartels, C.M., Ramly, E., Johnson, H.M., Lauver, D.R., Panyard, D.J., Li, Z., Sampene, E., Lewicki, K. and McBride, P.E., (2018) ‘Connecting rheumatology patients to primary care for high blood pressure: specialty clinic protocol improves follow</w:t>
      </w:r>
      <w:r w:rsidRPr="00B53262">
        <w:rPr>
          <w:rFonts w:ascii="Cambria Math" w:eastAsia="Cambria Math" w:hAnsi="Cambria Math" w:cs="Cambria Math"/>
        </w:rPr>
        <w:t>‐</w:t>
      </w:r>
      <w:r w:rsidRPr="00B53262">
        <w:rPr>
          <w:rFonts w:eastAsia="Aptos" w:cs="Aptos"/>
        </w:rPr>
        <w:t xml:space="preserve">up and population blood pressures.’ </w:t>
      </w:r>
      <w:r w:rsidRPr="00B53262">
        <w:rPr>
          <w:rFonts w:eastAsia="Aptos" w:cs="Aptos"/>
          <w:i/>
          <w:iCs/>
        </w:rPr>
        <w:t>Arthritis care &amp; research</w:t>
      </w:r>
      <w:r w:rsidRPr="00B53262">
        <w:rPr>
          <w:rFonts w:eastAsia="Aptos" w:cs="Aptos"/>
        </w:rPr>
        <w:t xml:space="preserve">, </w:t>
      </w:r>
      <w:r w:rsidRPr="00B53262">
        <w:rPr>
          <w:rFonts w:eastAsia="Aptos" w:cs="Aptos"/>
          <w:i/>
          <w:iCs/>
        </w:rPr>
        <w:t>71</w:t>
      </w:r>
      <w:r w:rsidRPr="00B53262">
        <w:rPr>
          <w:rFonts w:eastAsia="Aptos" w:cs="Aptos"/>
        </w:rPr>
        <w:t>(4), pp.461-470. Available at:</w:t>
      </w:r>
      <w:r w:rsidR="00801487" w:rsidRPr="00B53262">
        <w:rPr>
          <w:rFonts w:eastAsia="Aptos" w:cs="Aptos"/>
        </w:rPr>
        <w:t xml:space="preserve"> </w:t>
      </w:r>
      <w:hyperlink r:id="rId15" w:history="1">
        <w:r w:rsidR="00A80442" w:rsidRPr="00B53262">
          <w:rPr>
            <w:rStyle w:val="Hyperlink"/>
            <w:rFonts w:eastAsia="Aptos" w:cs="Aptos"/>
            <w:color w:val="auto"/>
          </w:rPr>
          <w:t>https://doi.org/10.1002/acr.23612</w:t>
        </w:r>
      </w:hyperlink>
      <w:r w:rsidR="00A80442" w:rsidRPr="00B53262">
        <w:rPr>
          <w:rFonts w:eastAsia="Aptos" w:cs="Aptos"/>
        </w:rPr>
        <w:t xml:space="preserve">. </w:t>
      </w:r>
      <w:r w:rsidR="00382129" w:rsidRPr="00B53262">
        <w:rPr>
          <w:rFonts w:eastAsia="Aptos" w:cs="Aptos"/>
        </w:rPr>
        <w:t xml:space="preserve"> </w:t>
      </w:r>
      <w:r w:rsidRPr="00B53262">
        <w:rPr>
          <w:rFonts w:eastAsia="Aptos" w:cs="Aptos"/>
        </w:rPr>
        <w:t xml:space="preserve"> </w:t>
      </w:r>
    </w:p>
    <w:p w14:paraId="26B32801" w14:textId="1872113A" w:rsidR="19DE3499" w:rsidRPr="00B53262" w:rsidRDefault="19DE3499" w:rsidP="00B53262">
      <w:pPr>
        <w:spacing w:line="276" w:lineRule="auto"/>
        <w:jc w:val="both"/>
      </w:pPr>
      <w:r w:rsidRPr="00B53262">
        <w:rPr>
          <w:rFonts w:eastAsia="Aptos" w:cs="Aptos"/>
        </w:rPr>
        <w:t>Carers UK (2021) ‘</w:t>
      </w:r>
      <w:r w:rsidRPr="00B53262">
        <w:rPr>
          <w:rFonts w:eastAsia="Aptos" w:cs="Aptos"/>
          <w:i/>
          <w:iCs/>
        </w:rPr>
        <w:t xml:space="preserve">State of Caring 2021’ Available at: </w:t>
      </w:r>
      <w:r w:rsidR="008C0460" w:rsidRPr="00B53262">
        <w:rPr>
          <w:rFonts w:eastAsia="Aptos" w:cs="Aptos"/>
          <w:u w:val="single"/>
        </w:rPr>
        <w:t>https://</w:t>
      </w:r>
      <w:r w:rsidR="00190063" w:rsidRPr="00B53262">
        <w:rPr>
          <w:rFonts w:eastAsia="Aptos" w:cs="Aptos"/>
          <w:u w:val="single"/>
        </w:rPr>
        <w:t>www.</w:t>
      </w:r>
      <w:hyperlink r:id="rId16">
        <w:r w:rsidRPr="00B53262">
          <w:rPr>
            <w:rStyle w:val="Hyperlink"/>
            <w:rFonts w:eastAsia="Aptos" w:cs="Aptos"/>
            <w:color w:val="auto"/>
          </w:rPr>
          <w:t>carers-ni-state-of-caringfinal.pdf.</w:t>
        </w:r>
      </w:hyperlink>
      <w:r w:rsidRPr="00B53262">
        <w:rPr>
          <w:rFonts w:eastAsia="Aptos" w:cs="Aptos"/>
        </w:rPr>
        <w:t xml:space="preserve"> (Accessed: 11 September 2025). </w:t>
      </w:r>
      <w:r w:rsidRPr="00B53262">
        <w:rPr>
          <w:rFonts w:eastAsia="Aptos" w:cs="Aptos"/>
          <w:lang w:val="en-US"/>
        </w:rPr>
        <w:t xml:space="preserve"> </w:t>
      </w:r>
    </w:p>
    <w:p w14:paraId="7891C3F9" w14:textId="4D414FA5" w:rsidR="19DE3499" w:rsidRPr="00B53262" w:rsidRDefault="19DE3499" w:rsidP="00B53262">
      <w:pPr>
        <w:spacing w:line="276" w:lineRule="auto"/>
        <w:jc w:val="both"/>
      </w:pPr>
      <w:r w:rsidRPr="00B53262">
        <w:rPr>
          <w:rFonts w:eastAsia="Aptos" w:cs="Aptos"/>
        </w:rPr>
        <w:t xml:space="preserve">Charles, A., Ham, C., Baird, B., Alderwick, H. and Bennett, L. (2018) </w:t>
      </w:r>
      <w:r w:rsidR="003A09DE" w:rsidRPr="00B53262">
        <w:rPr>
          <w:rFonts w:eastAsia="Aptos" w:cs="Aptos"/>
        </w:rPr>
        <w:t>‘</w:t>
      </w:r>
      <w:r w:rsidRPr="00B53262">
        <w:rPr>
          <w:rFonts w:eastAsia="Aptos" w:cs="Aptos"/>
          <w:i/>
          <w:iCs/>
        </w:rPr>
        <w:t>Reimagining community services: Making the most of our assets</w:t>
      </w:r>
      <w:r w:rsidRPr="00B53262">
        <w:rPr>
          <w:rFonts w:eastAsia="Aptos" w:cs="Aptos"/>
        </w:rPr>
        <w:t>.</w:t>
      </w:r>
      <w:r w:rsidR="003A09DE" w:rsidRPr="00B53262">
        <w:rPr>
          <w:rFonts w:eastAsia="Aptos" w:cs="Aptos"/>
        </w:rPr>
        <w:t>’</w:t>
      </w:r>
      <w:r w:rsidRPr="00B53262">
        <w:rPr>
          <w:rFonts w:eastAsia="Aptos" w:cs="Aptos"/>
        </w:rPr>
        <w:t xml:space="preserve"> The King’s Fund. Available at: </w:t>
      </w:r>
      <w:hyperlink r:id="rId17">
        <w:bookmarkStart w:id="63" w:name="_Hlk210815621"/>
        <w:r w:rsidRPr="00B53262">
          <w:rPr>
            <w:rStyle w:val="Hyperlink"/>
            <w:rFonts w:eastAsia="Aptos" w:cs="Aptos"/>
            <w:color w:val="auto"/>
          </w:rPr>
          <w:t>https://www.</w:t>
        </w:r>
        <w:bookmarkEnd w:id="63"/>
        <w:r w:rsidRPr="00B53262">
          <w:rPr>
            <w:rStyle w:val="Hyperlink"/>
            <w:rFonts w:eastAsia="Aptos" w:cs="Aptos"/>
            <w:color w:val="auto"/>
          </w:rPr>
          <w:t>kingsfund.org.uk/publications/community-services-assets</w:t>
        </w:r>
      </w:hyperlink>
      <w:r w:rsidR="003A09DE" w:rsidRPr="00B53262">
        <w:t>.</w:t>
      </w:r>
      <w:r w:rsidRPr="00B53262">
        <w:rPr>
          <w:rFonts w:eastAsia="Aptos" w:cs="Aptos"/>
        </w:rPr>
        <w:t xml:space="preserve"> (Accessed: 11 September 2025). </w:t>
      </w:r>
      <w:r w:rsidRPr="00B53262">
        <w:rPr>
          <w:rFonts w:eastAsia="Aptos" w:cs="Aptos"/>
          <w:lang w:val="en-US"/>
        </w:rPr>
        <w:t xml:space="preserve"> </w:t>
      </w:r>
    </w:p>
    <w:p w14:paraId="7C90161E" w14:textId="366F39DC" w:rsidR="19DE3499" w:rsidRPr="00B53262" w:rsidRDefault="19DE3499" w:rsidP="00B53262">
      <w:pPr>
        <w:spacing w:line="276" w:lineRule="auto"/>
        <w:jc w:val="both"/>
      </w:pPr>
      <w:r w:rsidRPr="00B53262">
        <w:rPr>
          <w:rFonts w:eastAsia="Aptos" w:cs="Aptos"/>
        </w:rPr>
        <w:t xml:space="preserve">Charles, A., Wenzel, L., Kershaw, M., Ham, C. and Walsh, N., (2018) ‘A year of integrated care systems.’ </w:t>
      </w:r>
      <w:r w:rsidRPr="00B53262">
        <w:rPr>
          <w:rFonts w:eastAsia="Aptos" w:cs="Aptos"/>
          <w:i/>
          <w:iCs/>
        </w:rPr>
        <w:t>Reviewing the journey so far. London: The King’s Fund</w:t>
      </w:r>
      <w:r w:rsidRPr="00B53262">
        <w:rPr>
          <w:rFonts w:eastAsia="Aptos" w:cs="Aptos"/>
        </w:rPr>
        <w:t xml:space="preserve">, </w:t>
      </w:r>
      <w:r w:rsidRPr="00B53262">
        <w:rPr>
          <w:rFonts w:eastAsia="Aptos" w:cs="Aptos"/>
          <w:i/>
          <w:iCs/>
        </w:rPr>
        <w:t>2009</w:t>
      </w:r>
      <w:r w:rsidRPr="00B53262">
        <w:rPr>
          <w:rFonts w:eastAsia="Aptos" w:cs="Aptos"/>
        </w:rPr>
        <w:t>, p</w:t>
      </w:r>
      <w:r w:rsidR="006945DA" w:rsidRPr="00B53262">
        <w:rPr>
          <w:rFonts w:eastAsia="Aptos" w:cs="Aptos"/>
        </w:rPr>
        <w:t>p</w:t>
      </w:r>
      <w:r w:rsidRPr="00B53262">
        <w:rPr>
          <w:rFonts w:eastAsia="Aptos" w:cs="Aptos"/>
        </w:rPr>
        <w:t xml:space="preserve">.2018. Available at: </w:t>
      </w:r>
      <w:r w:rsidR="006945DA" w:rsidRPr="00B53262">
        <w:rPr>
          <w:rFonts w:eastAsia="Aptos" w:cs="Aptos"/>
          <w:u w:val="single"/>
        </w:rPr>
        <w:t>https://www.</w:t>
      </w:r>
      <w:hyperlink r:id="rId18">
        <w:r w:rsidRPr="00B53262">
          <w:rPr>
            <w:rStyle w:val="Hyperlink"/>
            <w:rFonts w:eastAsia="Aptos" w:cs="Aptos"/>
            <w:color w:val="auto"/>
          </w:rPr>
          <w:t>A Year Of Integrated Care Systems | The King's Fund.</w:t>
        </w:r>
      </w:hyperlink>
      <w:r w:rsidRPr="00B53262">
        <w:rPr>
          <w:rFonts w:eastAsia="Aptos" w:cs="Aptos"/>
        </w:rPr>
        <w:t xml:space="preserve"> (Accessed: 14 September 2025).  </w:t>
      </w:r>
      <w:r w:rsidRPr="00B53262">
        <w:rPr>
          <w:rFonts w:eastAsia="Aptos" w:cs="Aptos"/>
          <w:lang w:val="en-US"/>
        </w:rPr>
        <w:t xml:space="preserve"> </w:t>
      </w:r>
    </w:p>
    <w:p w14:paraId="14C59F2A" w14:textId="2AB55931" w:rsidR="19DE3499" w:rsidRPr="00B53262" w:rsidRDefault="19DE3499" w:rsidP="00B53262">
      <w:pPr>
        <w:spacing w:line="276" w:lineRule="auto"/>
        <w:jc w:val="both"/>
      </w:pPr>
      <w:r w:rsidRPr="00B53262">
        <w:rPr>
          <w:rFonts w:eastAsia="Aptos" w:cs="Aptos"/>
        </w:rPr>
        <w:t>Chou, R., Turner, J. A., Devine, E. B., Hansen, R. N., Sullivan, S. D., Blazina, I., Dana, T., Bougatsos, C</w:t>
      </w:r>
      <w:r w:rsidR="006945DA" w:rsidRPr="00B53262">
        <w:rPr>
          <w:rFonts w:eastAsia="Aptos" w:cs="Aptos"/>
        </w:rPr>
        <w:t xml:space="preserve"> and</w:t>
      </w:r>
      <w:r w:rsidRPr="00B53262">
        <w:rPr>
          <w:rFonts w:eastAsia="Aptos" w:cs="Aptos"/>
        </w:rPr>
        <w:t xml:space="preserve"> Deyo, R. A. (2015) ‘The effectiveness and risks of long-term opioid therapy for chronic pain: a systematic review for a National Institutes of Health Pathways to Prevention Workshop.’ </w:t>
      </w:r>
      <w:r w:rsidRPr="00B53262">
        <w:rPr>
          <w:rFonts w:eastAsia="Aptos" w:cs="Aptos"/>
          <w:i/>
          <w:iCs/>
        </w:rPr>
        <w:t>Annals of internal medicine</w:t>
      </w:r>
      <w:r w:rsidRPr="00B53262">
        <w:rPr>
          <w:rFonts w:eastAsia="Aptos" w:cs="Aptos"/>
        </w:rPr>
        <w:t xml:space="preserve">, </w:t>
      </w:r>
      <w:r w:rsidR="006945DA" w:rsidRPr="00B53262">
        <w:rPr>
          <w:rFonts w:eastAsia="Aptos" w:cs="Aptos"/>
        </w:rPr>
        <w:t>pp.</w:t>
      </w:r>
      <w:r w:rsidRPr="00B53262">
        <w:rPr>
          <w:rFonts w:eastAsia="Aptos" w:cs="Aptos"/>
          <w:i/>
          <w:iCs/>
        </w:rPr>
        <w:t>162</w:t>
      </w:r>
      <w:r w:rsidRPr="00B53262">
        <w:rPr>
          <w:rFonts w:eastAsia="Aptos" w:cs="Aptos"/>
        </w:rPr>
        <w:t xml:space="preserve">(4), 276–286. </w:t>
      </w:r>
      <w:hyperlink r:id="rId19">
        <w:r w:rsidRPr="00B53262">
          <w:rPr>
            <w:rStyle w:val="Hyperlink"/>
            <w:rFonts w:eastAsia="Aptos" w:cs="Aptos"/>
            <w:color w:val="auto"/>
          </w:rPr>
          <w:t>https://doi.org/10.7326/M14-2559</w:t>
        </w:r>
      </w:hyperlink>
      <w:r w:rsidRPr="00B53262">
        <w:rPr>
          <w:rFonts w:eastAsia="Aptos" w:cs="Aptos"/>
        </w:rPr>
        <w:t xml:space="preserve">  </w:t>
      </w:r>
      <w:r w:rsidRPr="00B53262">
        <w:rPr>
          <w:rFonts w:eastAsia="Aptos" w:cs="Aptos"/>
          <w:lang w:val="en-US"/>
        </w:rPr>
        <w:t xml:space="preserve"> </w:t>
      </w:r>
    </w:p>
    <w:p w14:paraId="4DD4E617" w14:textId="1BD439B0" w:rsidR="19DE3499" w:rsidRPr="00B53262" w:rsidRDefault="19DE3499" w:rsidP="00B53262">
      <w:pPr>
        <w:spacing w:line="276" w:lineRule="auto"/>
        <w:jc w:val="both"/>
      </w:pPr>
      <w:r w:rsidRPr="00B53262">
        <w:rPr>
          <w:rFonts w:eastAsia="Aptos" w:cs="Aptos"/>
        </w:rPr>
        <w:t xml:space="preserve">Engel, G.L., </w:t>
      </w:r>
      <w:r w:rsidR="00737073" w:rsidRPr="00B53262">
        <w:rPr>
          <w:rFonts w:eastAsia="Aptos" w:cs="Aptos"/>
        </w:rPr>
        <w:t>(</w:t>
      </w:r>
      <w:r w:rsidRPr="00B53262">
        <w:rPr>
          <w:rFonts w:eastAsia="Aptos" w:cs="Aptos"/>
        </w:rPr>
        <w:t>1977</w:t>
      </w:r>
      <w:r w:rsidR="00737073" w:rsidRPr="00B53262">
        <w:rPr>
          <w:rFonts w:eastAsia="Aptos" w:cs="Aptos"/>
        </w:rPr>
        <w:t>)</w:t>
      </w:r>
      <w:r w:rsidRPr="00B53262">
        <w:rPr>
          <w:rFonts w:eastAsia="Aptos" w:cs="Aptos"/>
        </w:rPr>
        <w:t xml:space="preserve">. The need for a new medical model: a challenge for biomedicine. </w:t>
      </w:r>
      <w:r w:rsidRPr="00B53262">
        <w:rPr>
          <w:rFonts w:eastAsia="Aptos" w:cs="Aptos"/>
          <w:i/>
          <w:iCs/>
        </w:rPr>
        <w:t>Science</w:t>
      </w:r>
      <w:r w:rsidRPr="00B53262">
        <w:rPr>
          <w:rFonts w:eastAsia="Aptos" w:cs="Aptos"/>
        </w:rPr>
        <w:t xml:space="preserve">, </w:t>
      </w:r>
      <w:r w:rsidRPr="00B53262">
        <w:rPr>
          <w:rFonts w:eastAsia="Aptos" w:cs="Aptos"/>
          <w:i/>
          <w:iCs/>
        </w:rPr>
        <w:t>196</w:t>
      </w:r>
      <w:r w:rsidRPr="00B53262">
        <w:rPr>
          <w:rFonts w:eastAsia="Aptos" w:cs="Aptos"/>
        </w:rPr>
        <w:t xml:space="preserve">(4286), pp.129-136. Available at: </w:t>
      </w:r>
      <w:r w:rsidR="00E11FC9" w:rsidRPr="00B53262">
        <w:rPr>
          <w:rFonts w:eastAsia="Aptos" w:cs="Aptos"/>
          <w:u w:val="single"/>
        </w:rPr>
        <w:t>https://www.</w:t>
      </w:r>
      <w:hyperlink r:id="rId20">
        <w:r w:rsidR="00E11FC9" w:rsidRPr="00B53262">
          <w:rPr>
            <w:rStyle w:val="Hyperlink"/>
            <w:rFonts w:eastAsia="Aptos" w:cs="Aptos"/>
            <w:color w:val="auto"/>
          </w:rPr>
          <w:t>t</w:t>
        </w:r>
        <w:r w:rsidRPr="00B53262">
          <w:rPr>
            <w:rStyle w:val="Hyperlink"/>
            <w:rFonts w:eastAsia="Aptos" w:cs="Aptos"/>
            <w:color w:val="auto"/>
          </w:rPr>
          <w:t>he Need for a New Medical Model: A Challenge for Biomedicine | Science.</w:t>
        </w:r>
      </w:hyperlink>
      <w:r w:rsidRPr="00B53262">
        <w:rPr>
          <w:rFonts w:eastAsia="Aptos" w:cs="Aptos"/>
        </w:rPr>
        <w:t xml:space="preserve"> Accessed: (14 September 2025).  </w:t>
      </w:r>
      <w:r w:rsidRPr="00B53262">
        <w:rPr>
          <w:rFonts w:eastAsia="Aptos" w:cs="Aptos"/>
          <w:lang w:val="en-US"/>
        </w:rPr>
        <w:t xml:space="preserve"> </w:t>
      </w:r>
    </w:p>
    <w:p w14:paraId="33FE57C8" w14:textId="2EBBAB94" w:rsidR="19DE3499" w:rsidRPr="00B53262" w:rsidRDefault="19DE3499" w:rsidP="00B53262">
      <w:pPr>
        <w:spacing w:line="276" w:lineRule="auto"/>
        <w:jc w:val="both"/>
      </w:pPr>
      <w:r w:rsidRPr="00B53262">
        <w:rPr>
          <w:rFonts w:eastAsia="Aptos" w:cs="Aptos"/>
        </w:rPr>
        <w:lastRenderedPageBreak/>
        <w:t xml:space="preserve">England, N.H.S. and Improvement, N.H.S., (2022) ‘Delivery plan for tackling the COVID-19 backlog of elective care.’ </w:t>
      </w:r>
      <w:r w:rsidRPr="00B53262">
        <w:rPr>
          <w:rFonts w:eastAsia="Aptos" w:cs="Aptos"/>
          <w:i/>
          <w:iCs/>
        </w:rPr>
        <w:t xml:space="preserve"> </w:t>
      </w:r>
      <w:r w:rsidRPr="00B53262">
        <w:rPr>
          <w:rFonts w:eastAsia="Aptos" w:cs="Aptos"/>
        </w:rPr>
        <w:t xml:space="preserve">Available at: </w:t>
      </w:r>
      <w:r w:rsidR="002B47C8" w:rsidRPr="00B53262">
        <w:rPr>
          <w:rFonts w:eastAsia="Aptos" w:cs="Aptos"/>
          <w:u w:val="single"/>
        </w:rPr>
        <w:t>https://www.</w:t>
      </w:r>
      <w:hyperlink r:id="rId21">
        <w:r w:rsidRPr="00B53262">
          <w:rPr>
            <w:rStyle w:val="Hyperlink"/>
            <w:rFonts w:eastAsia="Aptos" w:cs="Aptos"/>
            <w:color w:val="auto"/>
          </w:rPr>
          <w:t>The NHS Long Term Plan and COVID-19 | The Health Foundation.</w:t>
        </w:r>
      </w:hyperlink>
      <w:r w:rsidRPr="00B53262">
        <w:rPr>
          <w:rFonts w:eastAsia="Aptos" w:cs="Aptos"/>
        </w:rPr>
        <w:t xml:space="preserve"> (Accessed: 11 September 2025). </w:t>
      </w:r>
      <w:r w:rsidRPr="00B53262">
        <w:rPr>
          <w:rFonts w:eastAsia="Aptos" w:cs="Aptos"/>
          <w:lang w:val="en-US"/>
        </w:rPr>
        <w:t xml:space="preserve"> </w:t>
      </w:r>
    </w:p>
    <w:p w14:paraId="65F89917" w14:textId="0E7CF1F6" w:rsidR="19DE3499" w:rsidRPr="00B53262" w:rsidRDefault="19DE3499" w:rsidP="00B53262">
      <w:pPr>
        <w:spacing w:line="276" w:lineRule="auto"/>
        <w:jc w:val="both"/>
      </w:pPr>
      <w:r w:rsidRPr="00B53262">
        <w:rPr>
          <w:rFonts w:eastAsia="Aptos" w:cs="Aptos"/>
        </w:rPr>
        <w:t xml:space="preserve">Fransen, M., McConnell, S., Harmer, A. R., Van der Esch, M., Simic, M., &amp; Bennell, K. L. (2015) ‘Exercise for osteoarthritis of the knee: a Cochrane systematic review.’ </w:t>
      </w:r>
      <w:r w:rsidRPr="00B53262">
        <w:rPr>
          <w:rFonts w:eastAsia="Aptos" w:cs="Aptos"/>
          <w:i/>
          <w:iCs/>
        </w:rPr>
        <w:t>British journal of sports medicine</w:t>
      </w:r>
      <w:r w:rsidRPr="00B53262">
        <w:rPr>
          <w:rFonts w:eastAsia="Aptos" w:cs="Aptos"/>
        </w:rPr>
        <w:t xml:space="preserve">, </w:t>
      </w:r>
      <w:r w:rsidRPr="00B53262">
        <w:rPr>
          <w:rFonts w:eastAsia="Aptos" w:cs="Aptos"/>
          <w:i/>
          <w:iCs/>
        </w:rPr>
        <w:t>49</w:t>
      </w:r>
      <w:r w:rsidRPr="00B53262">
        <w:rPr>
          <w:rFonts w:eastAsia="Aptos" w:cs="Aptos"/>
        </w:rPr>
        <w:t xml:space="preserve">(24), 1554–1557.  Available at: </w:t>
      </w:r>
      <w:hyperlink r:id="rId22">
        <w:r w:rsidRPr="00B53262">
          <w:rPr>
            <w:rStyle w:val="Hyperlink"/>
            <w:rFonts w:eastAsia="Aptos" w:cs="Aptos"/>
            <w:color w:val="auto"/>
          </w:rPr>
          <w:t>https://doi.org/10.1136/bjsports-2015-095424</w:t>
        </w:r>
      </w:hyperlink>
      <w:r w:rsidRPr="00B53262">
        <w:rPr>
          <w:rFonts w:eastAsia="Aptos" w:cs="Aptos"/>
        </w:rPr>
        <w:t xml:space="preserve">.  </w:t>
      </w:r>
      <w:r w:rsidRPr="00B53262">
        <w:rPr>
          <w:rFonts w:eastAsia="Aptos" w:cs="Aptos"/>
          <w:lang w:val="en-US"/>
        </w:rPr>
        <w:t xml:space="preserve"> </w:t>
      </w:r>
    </w:p>
    <w:p w14:paraId="6933A4BB" w14:textId="547CCFFC" w:rsidR="19DE3499" w:rsidRPr="00B53262" w:rsidRDefault="19DE3499" w:rsidP="00B53262">
      <w:pPr>
        <w:spacing w:line="276" w:lineRule="auto"/>
        <w:jc w:val="both"/>
      </w:pPr>
      <w:r w:rsidRPr="00B53262">
        <w:rPr>
          <w:rFonts w:eastAsia="Aptos" w:cs="Aptos"/>
        </w:rPr>
        <w:t xml:space="preserve">Greenhalgh, T., Wherton, J., Shaw, S., &amp; Morrison, C. (2020) ‘Video consultations for covid-19.’ </w:t>
      </w:r>
      <w:r w:rsidRPr="00B53262">
        <w:rPr>
          <w:rFonts w:eastAsia="Aptos" w:cs="Aptos"/>
          <w:i/>
          <w:iCs/>
        </w:rPr>
        <w:t>BMJ (Clinical research ed.)</w:t>
      </w:r>
      <w:r w:rsidRPr="00B53262">
        <w:rPr>
          <w:rFonts w:eastAsia="Aptos" w:cs="Aptos"/>
        </w:rPr>
        <w:t xml:space="preserve">, </w:t>
      </w:r>
      <w:r w:rsidRPr="00B53262">
        <w:rPr>
          <w:rFonts w:eastAsia="Aptos" w:cs="Aptos"/>
          <w:i/>
          <w:iCs/>
        </w:rPr>
        <w:t>368</w:t>
      </w:r>
      <w:r w:rsidRPr="00B53262">
        <w:rPr>
          <w:rFonts w:eastAsia="Aptos" w:cs="Aptos"/>
        </w:rPr>
        <w:t xml:space="preserve">, m998. Available at: </w:t>
      </w:r>
      <w:r w:rsidR="00CB7E2D" w:rsidRPr="00B53262">
        <w:rPr>
          <w:rFonts w:eastAsia="Aptos" w:cs="Aptos"/>
          <w:u w:val="single"/>
        </w:rPr>
        <w:t>https://www.</w:t>
      </w:r>
      <w:hyperlink r:id="rId23">
        <w:r w:rsidRPr="00B53262">
          <w:rPr>
            <w:rStyle w:val="Hyperlink"/>
            <w:rFonts w:eastAsia="Aptos" w:cs="Aptos"/>
            <w:color w:val="auto"/>
          </w:rPr>
          <w:t>Video consultations for covid-19 - PubMed.</w:t>
        </w:r>
      </w:hyperlink>
      <w:r w:rsidRPr="00B53262">
        <w:rPr>
          <w:rFonts w:eastAsia="Aptos" w:cs="Aptos"/>
        </w:rPr>
        <w:t xml:space="preserve"> (Accessed: 11 September 2025). </w:t>
      </w:r>
      <w:r w:rsidRPr="00B53262">
        <w:rPr>
          <w:rFonts w:eastAsia="Aptos" w:cs="Aptos"/>
          <w:lang w:val="en-US"/>
        </w:rPr>
        <w:t xml:space="preserve"> </w:t>
      </w:r>
    </w:p>
    <w:p w14:paraId="46D0EE3B" w14:textId="36ADB6FE" w:rsidR="19DE3499" w:rsidRPr="00B53262" w:rsidRDefault="19DE3499" w:rsidP="00B53262">
      <w:pPr>
        <w:spacing w:line="276" w:lineRule="auto"/>
        <w:jc w:val="both"/>
      </w:pPr>
      <w:r w:rsidRPr="00B53262">
        <w:rPr>
          <w:rFonts w:eastAsia="Aptos" w:cs="Aptos"/>
        </w:rPr>
        <w:t xml:space="preserve">Greenwood, N., Mackenzie, A., Cloud, G.C. and Wilson, N., (2009) </w:t>
      </w:r>
      <w:r w:rsidR="005D5A45" w:rsidRPr="00B53262">
        <w:rPr>
          <w:rFonts w:eastAsia="Aptos" w:cs="Aptos"/>
        </w:rPr>
        <w:t>‘</w:t>
      </w:r>
      <w:r w:rsidRPr="00B53262">
        <w:rPr>
          <w:rFonts w:eastAsia="Aptos" w:cs="Aptos"/>
        </w:rPr>
        <w:t xml:space="preserve">Informal primary carers of stroke survivors living at home–challenges, satisfactions and coping: a systematic review of qualitative studies.’ </w:t>
      </w:r>
      <w:r w:rsidRPr="00B53262">
        <w:rPr>
          <w:rFonts w:eastAsia="Aptos" w:cs="Aptos"/>
          <w:i/>
          <w:iCs/>
        </w:rPr>
        <w:t>Disability and rehabilitation</w:t>
      </w:r>
      <w:r w:rsidRPr="00B53262">
        <w:rPr>
          <w:rFonts w:eastAsia="Aptos" w:cs="Aptos"/>
        </w:rPr>
        <w:t xml:space="preserve">, </w:t>
      </w:r>
      <w:r w:rsidRPr="00B53262">
        <w:rPr>
          <w:rFonts w:eastAsia="Aptos" w:cs="Aptos"/>
          <w:i/>
          <w:iCs/>
        </w:rPr>
        <w:t>31</w:t>
      </w:r>
      <w:r w:rsidRPr="00B53262">
        <w:rPr>
          <w:rFonts w:eastAsia="Aptos" w:cs="Aptos"/>
        </w:rPr>
        <w:t xml:space="preserve">(5), pp.337-351. Available at:  </w:t>
      </w:r>
      <w:hyperlink>
        <w:r w:rsidRPr="00B53262">
          <w:rPr>
            <w:rStyle w:val="Hyperlink"/>
            <w:rFonts w:eastAsia="Aptos" w:cs="Aptos"/>
            <w:color w:val="auto"/>
          </w:rPr>
          <w:t>https://</w:t>
        </w:r>
      </w:hyperlink>
      <w:r w:rsidRPr="00B53262">
        <w:rPr>
          <w:rFonts w:eastAsia="Aptos" w:cs="Aptos"/>
        </w:rPr>
        <w:t xml:space="preserve"> </w:t>
      </w:r>
      <w:hyperlink r:id="rId24">
        <w:r w:rsidRPr="00B53262">
          <w:rPr>
            <w:rStyle w:val="Hyperlink"/>
            <w:rFonts w:eastAsia="Aptos" w:cs="Aptos"/>
            <w:color w:val="auto"/>
          </w:rPr>
          <w:t>Informal primary carers of stroke survivors living at home–challenges, satisfactions and coping: A systematic review of qualitative studies: Disability and Rehabilitation: Vol 31, No 5.</w:t>
        </w:r>
      </w:hyperlink>
      <w:r w:rsidRPr="00B53262">
        <w:rPr>
          <w:rFonts w:eastAsia="Aptos" w:cs="Aptos"/>
        </w:rPr>
        <w:t xml:space="preserve"> (Accessed: 12 September 2025). </w:t>
      </w:r>
      <w:r w:rsidRPr="00B53262">
        <w:rPr>
          <w:rFonts w:eastAsia="Aptos" w:cs="Aptos"/>
          <w:lang w:val="en-US"/>
        </w:rPr>
        <w:t xml:space="preserve"> </w:t>
      </w:r>
    </w:p>
    <w:p w14:paraId="5832B39B" w14:textId="6000C791" w:rsidR="19DE3499" w:rsidRPr="00B53262" w:rsidRDefault="19DE3499" w:rsidP="00B53262">
      <w:pPr>
        <w:spacing w:line="276" w:lineRule="auto"/>
        <w:jc w:val="both"/>
      </w:pPr>
      <w:r w:rsidRPr="00B53262">
        <w:rPr>
          <w:rFonts w:eastAsia="Aptos" w:cs="Aptos"/>
        </w:rPr>
        <w:t xml:space="preserve">Hawker, G.A., Stewart, L., French, M.R., Cibere, J., Jordan, J.M., March, L., Suarez-Almazor, M. and Gooberman-Hill, R., ( 2008) ‘Understanding the pain experience in hip and knee osteoarthritis–an OARSI/OMERACT initiative.’ </w:t>
      </w:r>
      <w:r w:rsidRPr="00B53262">
        <w:rPr>
          <w:rFonts w:eastAsia="Aptos" w:cs="Aptos"/>
          <w:i/>
          <w:iCs/>
        </w:rPr>
        <w:t>Osteoarthritis and cartilage</w:t>
      </w:r>
      <w:r w:rsidRPr="00B53262">
        <w:rPr>
          <w:rFonts w:eastAsia="Aptos" w:cs="Aptos"/>
        </w:rPr>
        <w:t xml:space="preserve">, </w:t>
      </w:r>
      <w:r w:rsidRPr="00B53262">
        <w:rPr>
          <w:rFonts w:eastAsia="Aptos" w:cs="Aptos"/>
          <w:i/>
          <w:iCs/>
        </w:rPr>
        <w:t>16</w:t>
      </w:r>
      <w:r w:rsidRPr="00B53262">
        <w:rPr>
          <w:rFonts w:eastAsia="Aptos" w:cs="Aptos"/>
        </w:rPr>
        <w:t xml:space="preserve">(4), pp.415-422.Available at: </w:t>
      </w:r>
      <w:r w:rsidR="00676834" w:rsidRPr="00B53262">
        <w:rPr>
          <w:rFonts w:eastAsia="Aptos" w:cs="Aptos"/>
          <w:u w:val="single"/>
        </w:rPr>
        <w:t>https://www.</w:t>
      </w:r>
      <w:hyperlink r:id="rId25">
        <w:r w:rsidR="003D60B4" w:rsidRPr="00B53262">
          <w:rPr>
            <w:rStyle w:val="Hyperlink"/>
            <w:rFonts w:eastAsia="Aptos" w:cs="Aptos"/>
            <w:color w:val="auto"/>
          </w:rPr>
          <w:t>u</w:t>
        </w:r>
        <w:r w:rsidRPr="00B53262">
          <w:rPr>
            <w:rStyle w:val="Hyperlink"/>
            <w:rFonts w:eastAsia="Aptos" w:cs="Aptos"/>
            <w:color w:val="auto"/>
          </w:rPr>
          <w:t>nderstanding the pain experience in hip and knee osteoarthritis – an OARSI/OMERACT initiative - ScienceDirect.</w:t>
        </w:r>
      </w:hyperlink>
      <w:r w:rsidRPr="00B53262">
        <w:rPr>
          <w:rFonts w:eastAsia="Aptos" w:cs="Aptos"/>
        </w:rPr>
        <w:t xml:space="preserve"> (Accessed: 12 September 2025). </w:t>
      </w:r>
      <w:r w:rsidRPr="00B53262">
        <w:rPr>
          <w:rFonts w:eastAsia="Aptos" w:cs="Aptos"/>
          <w:lang w:val="en-US"/>
        </w:rPr>
        <w:t xml:space="preserve"> </w:t>
      </w:r>
    </w:p>
    <w:p w14:paraId="762247CC" w14:textId="2FB23B76" w:rsidR="19DE3499" w:rsidRPr="00B53262" w:rsidRDefault="19DE3499" w:rsidP="00B53262">
      <w:pPr>
        <w:spacing w:line="276" w:lineRule="auto"/>
        <w:jc w:val="both"/>
      </w:pPr>
      <w:r w:rsidRPr="00B53262">
        <w:rPr>
          <w:rFonts w:eastAsia="Aptos" w:cs="Aptos"/>
        </w:rPr>
        <w:t>Health Foundation (2016) ‘</w:t>
      </w:r>
      <w:r w:rsidRPr="00B53262">
        <w:rPr>
          <w:rFonts w:eastAsia="Aptos" w:cs="Aptos"/>
          <w:i/>
          <w:iCs/>
        </w:rPr>
        <w:t>Person-centred care made simple</w:t>
      </w:r>
      <w:r w:rsidRPr="00B53262">
        <w:rPr>
          <w:rFonts w:eastAsia="Aptos" w:cs="Aptos"/>
        </w:rPr>
        <w:t xml:space="preserve">.’ Available at: </w:t>
      </w:r>
      <w:hyperlink r:id="rId26">
        <w:r w:rsidRPr="00B53262">
          <w:rPr>
            <w:rStyle w:val="Hyperlink"/>
            <w:rFonts w:eastAsia="Aptos" w:cs="Aptos"/>
            <w:color w:val="auto"/>
          </w:rPr>
          <w:t>https://www.health.org.uk/publications/person-centred-care-made-simple</w:t>
        </w:r>
      </w:hyperlink>
      <w:r w:rsidRPr="00B53262">
        <w:rPr>
          <w:rFonts w:eastAsia="Aptos" w:cs="Aptos"/>
        </w:rPr>
        <w:t xml:space="preserve"> (Accessed: 11 September 2025). </w:t>
      </w:r>
      <w:r w:rsidRPr="00B53262">
        <w:rPr>
          <w:rFonts w:eastAsia="Aptos" w:cs="Aptos"/>
          <w:lang w:val="en-US"/>
        </w:rPr>
        <w:t xml:space="preserve"> </w:t>
      </w:r>
    </w:p>
    <w:p w14:paraId="3D7F604D" w14:textId="1F22E6C7" w:rsidR="19DE3499" w:rsidRPr="00B53262" w:rsidRDefault="19DE3499" w:rsidP="00B53262">
      <w:pPr>
        <w:spacing w:line="276" w:lineRule="auto"/>
        <w:jc w:val="both"/>
      </w:pPr>
      <w:r w:rsidRPr="00B53262">
        <w:rPr>
          <w:rFonts w:eastAsia="Aptos" w:cs="Aptos"/>
        </w:rPr>
        <w:t xml:space="preserve">Hunter, D.J. and Bierma-Zeinstra, S. (2019) ‘Osteoarthritis’, </w:t>
      </w:r>
      <w:r w:rsidRPr="00B53262">
        <w:rPr>
          <w:rFonts w:eastAsia="Aptos" w:cs="Aptos"/>
          <w:i/>
          <w:iCs/>
        </w:rPr>
        <w:t>Lancet,</w:t>
      </w:r>
      <w:r w:rsidRPr="00B53262">
        <w:rPr>
          <w:rFonts w:eastAsia="Aptos" w:cs="Aptos"/>
        </w:rPr>
        <w:t xml:space="preserve"> London, England. Available at: </w:t>
      </w:r>
      <w:r w:rsidR="00ED65F2" w:rsidRPr="00B53262">
        <w:rPr>
          <w:rFonts w:eastAsia="Aptos" w:cs="Aptos"/>
          <w:u w:val="single"/>
        </w:rPr>
        <w:t>https://doi.org/</w:t>
      </w:r>
      <w:hyperlink r:id="rId27">
        <w:r w:rsidRPr="00B53262">
          <w:rPr>
            <w:rStyle w:val="Hyperlink"/>
            <w:rFonts w:eastAsia="Aptos" w:cs="Aptos"/>
            <w:color w:val="auto"/>
          </w:rPr>
          <w:t>10.1016/S0140-6736(19)30417-9.</w:t>
        </w:r>
      </w:hyperlink>
      <w:r w:rsidRPr="00B53262">
        <w:rPr>
          <w:rFonts w:eastAsia="Aptos" w:cs="Aptos"/>
        </w:rPr>
        <w:t xml:space="preserve"> </w:t>
      </w:r>
      <w:r w:rsidRPr="00B53262">
        <w:rPr>
          <w:rFonts w:eastAsia="Aptos" w:cs="Aptos"/>
          <w:lang w:val="en-US"/>
        </w:rPr>
        <w:t xml:space="preserve"> </w:t>
      </w:r>
    </w:p>
    <w:p w14:paraId="730D39B4" w14:textId="1077C3C8" w:rsidR="19DE3499" w:rsidRPr="00B53262" w:rsidRDefault="19DE3499" w:rsidP="00B53262">
      <w:pPr>
        <w:spacing w:line="276" w:lineRule="auto"/>
        <w:jc w:val="both"/>
      </w:pPr>
      <w:r w:rsidRPr="00B53262">
        <w:rPr>
          <w:rFonts w:eastAsia="Aptos" w:cs="Aptos"/>
        </w:rPr>
        <w:t>Jin, J.O., Kawai, T., Cha, S. and Yu, Q., (2013) ‘Interleukin</w:t>
      </w:r>
      <w:r w:rsidRPr="00B53262">
        <w:rPr>
          <w:rFonts w:ascii="Cambria Math" w:eastAsia="Cambria Math" w:hAnsi="Cambria Math" w:cs="Cambria Math"/>
        </w:rPr>
        <w:t>‐</w:t>
      </w:r>
      <w:r w:rsidRPr="00B53262">
        <w:rPr>
          <w:rFonts w:eastAsia="Aptos" w:cs="Aptos"/>
        </w:rPr>
        <w:t>7 enhances the Th</w:t>
      </w:r>
      <w:r w:rsidR="00F90C49" w:rsidRPr="00B53262">
        <w:rPr>
          <w:rFonts w:eastAsia="Aptos" w:cs="Aptos"/>
        </w:rPr>
        <w:t>e</w:t>
      </w:r>
      <w:r w:rsidRPr="00B53262">
        <w:rPr>
          <w:rFonts w:eastAsia="Aptos" w:cs="Aptos"/>
        </w:rPr>
        <w:t xml:space="preserve">1 response to promote the development of Sjögren's syndrome–like autoimmune exocrinopathy in mice.’ </w:t>
      </w:r>
      <w:r w:rsidRPr="00B53262">
        <w:rPr>
          <w:rFonts w:eastAsia="Aptos" w:cs="Aptos"/>
          <w:i/>
          <w:iCs/>
        </w:rPr>
        <w:t>Arthritis &amp; Rheumatism</w:t>
      </w:r>
      <w:r w:rsidRPr="00B53262">
        <w:rPr>
          <w:rFonts w:eastAsia="Aptos" w:cs="Aptos"/>
        </w:rPr>
        <w:t xml:space="preserve">, </w:t>
      </w:r>
      <w:r w:rsidRPr="00B53262">
        <w:rPr>
          <w:rFonts w:eastAsia="Aptos" w:cs="Aptos"/>
          <w:i/>
          <w:iCs/>
        </w:rPr>
        <w:t>65</w:t>
      </w:r>
      <w:r w:rsidRPr="00B53262">
        <w:rPr>
          <w:rFonts w:eastAsia="Aptos" w:cs="Aptos"/>
        </w:rPr>
        <w:t xml:space="preserve">(8), pp.2132-2142. Available at: </w:t>
      </w:r>
      <w:bookmarkStart w:id="64" w:name="_Hlk210817671"/>
      <w:r w:rsidR="0037705A" w:rsidRPr="00B53262">
        <w:rPr>
          <w:rFonts w:eastAsia="Aptos" w:cs="Aptos"/>
          <w:u w:val="single"/>
        </w:rPr>
        <w:t>https:</w:t>
      </w:r>
      <w:r w:rsidR="00FE2707" w:rsidRPr="00B53262">
        <w:rPr>
          <w:rFonts w:eastAsia="Aptos" w:cs="Aptos"/>
          <w:u w:val="single"/>
        </w:rPr>
        <w:t>//www.</w:t>
      </w:r>
      <w:bookmarkEnd w:id="64"/>
      <w:r w:rsidRPr="00B53262">
        <w:fldChar w:fldCharType="begin"/>
      </w:r>
      <w:r w:rsidRPr="00B53262">
        <w:instrText>HYPERLINK "https://onlinelibrary.wiley.com/doi/abs/10.1002/art.38007" \h</w:instrText>
      </w:r>
      <w:r w:rsidRPr="00B53262">
        <w:fldChar w:fldCharType="separate"/>
      </w:r>
      <w:r w:rsidR="00FE2707" w:rsidRPr="00B53262">
        <w:rPr>
          <w:rStyle w:val="Hyperlink"/>
          <w:rFonts w:eastAsia="Aptos" w:cs="Aptos"/>
          <w:color w:val="auto"/>
        </w:rPr>
        <w:t>i</w:t>
      </w:r>
      <w:r w:rsidRPr="00B53262">
        <w:rPr>
          <w:rStyle w:val="Hyperlink"/>
          <w:rFonts w:eastAsia="Aptos" w:cs="Aptos"/>
          <w:color w:val="auto"/>
        </w:rPr>
        <w:t>nterleukin</w:t>
      </w:r>
      <w:r w:rsidRPr="00B53262">
        <w:rPr>
          <w:rStyle w:val="Hyperlink"/>
          <w:rFonts w:ascii="Cambria Math" w:eastAsia="Cambria Math" w:hAnsi="Cambria Math" w:cs="Cambria Math"/>
          <w:color w:val="auto"/>
        </w:rPr>
        <w:t>‐</w:t>
      </w:r>
      <w:r w:rsidRPr="00B53262">
        <w:rPr>
          <w:rStyle w:val="Hyperlink"/>
          <w:rFonts w:eastAsia="Aptos" w:cs="Aptos"/>
          <w:color w:val="auto"/>
        </w:rPr>
        <w:t>7 Enhances the Th1 Response to Promote the Development of Sjögren's Syndrome–like Autoimmune Exocrinopathy in Mice - Jin - 2013 - Arthritis &amp; Rheumatism - Wiley Online Library</w:t>
      </w:r>
      <w:r w:rsidRPr="00B53262">
        <w:fldChar w:fldCharType="end"/>
      </w:r>
      <w:r w:rsidRPr="00B53262">
        <w:rPr>
          <w:rFonts w:eastAsia="Aptos" w:cs="Aptos"/>
        </w:rPr>
        <w:t xml:space="preserve"> (Accessed: 12 September 2025). </w:t>
      </w:r>
      <w:r w:rsidRPr="00B53262">
        <w:rPr>
          <w:rFonts w:eastAsia="Aptos" w:cs="Aptos"/>
          <w:lang w:val="en-US"/>
        </w:rPr>
        <w:t xml:space="preserve"> </w:t>
      </w:r>
    </w:p>
    <w:p w14:paraId="427A8061" w14:textId="21E5FA16" w:rsidR="19DE3499" w:rsidRPr="00B53262" w:rsidRDefault="19DE3499" w:rsidP="00B53262">
      <w:pPr>
        <w:spacing w:line="276" w:lineRule="auto"/>
        <w:jc w:val="both"/>
      </w:pPr>
      <w:r w:rsidRPr="00B53262">
        <w:rPr>
          <w:rFonts w:eastAsia="Aptos" w:cs="Aptos"/>
        </w:rPr>
        <w:t xml:space="preserve">Kars Fertelli, T., (2020) ‘Effects of education about rheumatoid arthritis and sexuality on the sexual problems of women with rheumatoid arthritis.’ </w:t>
      </w:r>
      <w:r w:rsidRPr="00B53262">
        <w:rPr>
          <w:rFonts w:eastAsia="Aptos" w:cs="Aptos"/>
          <w:i/>
          <w:iCs/>
        </w:rPr>
        <w:t>Clinical Nursing Research</w:t>
      </w:r>
      <w:r w:rsidRPr="00B53262">
        <w:rPr>
          <w:rFonts w:eastAsia="Aptos" w:cs="Aptos"/>
        </w:rPr>
        <w:t xml:space="preserve">, </w:t>
      </w:r>
      <w:r w:rsidRPr="00B53262">
        <w:rPr>
          <w:rFonts w:eastAsia="Aptos" w:cs="Aptos"/>
          <w:i/>
          <w:iCs/>
        </w:rPr>
        <w:t>29</w:t>
      </w:r>
      <w:r w:rsidRPr="00B53262">
        <w:rPr>
          <w:rFonts w:eastAsia="Aptos" w:cs="Aptos"/>
        </w:rPr>
        <w:t>(3), pp.189-199. Available. at:</w:t>
      </w:r>
      <w:r w:rsidRPr="00B53262">
        <w:rPr>
          <w:rFonts w:eastAsia="Aptos" w:cs="Aptos"/>
          <w:u w:val="single"/>
        </w:rPr>
        <w:t xml:space="preserve"> </w:t>
      </w:r>
      <w:r w:rsidR="00FE2707" w:rsidRPr="00B53262">
        <w:rPr>
          <w:rFonts w:eastAsia="Aptos" w:cs="Aptos"/>
          <w:u w:val="single"/>
        </w:rPr>
        <w:t>https://www.</w:t>
      </w:r>
      <w:hyperlink r:id="rId28">
        <w:r w:rsidRPr="00B53262">
          <w:rPr>
            <w:rStyle w:val="Hyperlink"/>
            <w:rFonts w:eastAsia="Aptos" w:cs="Aptos"/>
            <w:color w:val="auto"/>
          </w:rPr>
          <w:t xml:space="preserve">Effects of Education About Rheumatoid </w:t>
        </w:r>
        <w:r w:rsidRPr="00B53262">
          <w:rPr>
            <w:rStyle w:val="Hyperlink"/>
            <w:rFonts w:eastAsia="Aptos" w:cs="Aptos"/>
            <w:color w:val="auto"/>
          </w:rPr>
          <w:lastRenderedPageBreak/>
          <w:t>Arthritis and Sexuality on the Sexual Problems of Women With Rheumatoid Arthritis - Tülay Kars Fertelli, 2020.</w:t>
        </w:r>
      </w:hyperlink>
      <w:r w:rsidRPr="00B53262">
        <w:rPr>
          <w:rFonts w:eastAsia="Aptos" w:cs="Aptos"/>
        </w:rPr>
        <w:t xml:space="preserve"> (Accessed: 11 September 2025). </w:t>
      </w:r>
      <w:r w:rsidRPr="00B53262">
        <w:rPr>
          <w:rFonts w:eastAsia="Aptos" w:cs="Aptos"/>
          <w:lang w:val="en-US"/>
        </w:rPr>
        <w:t xml:space="preserve"> </w:t>
      </w:r>
    </w:p>
    <w:p w14:paraId="30A859F1" w14:textId="780BB107" w:rsidR="19DE3499" w:rsidRPr="00B53262" w:rsidRDefault="19DE3499" w:rsidP="00B53262">
      <w:pPr>
        <w:spacing w:line="276" w:lineRule="auto"/>
        <w:jc w:val="both"/>
      </w:pPr>
      <w:r w:rsidRPr="00B53262">
        <w:rPr>
          <w:rFonts w:eastAsia="Aptos" w:cs="Aptos"/>
        </w:rPr>
        <w:t xml:space="preserve">Keith T. Palmer (2012) ‘The older worker with osteoarthritis of the knee,’ </w:t>
      </w:r>
      <w:r w:rsidRPr="00B53262">
        <w:rPr>
          <w:rFonts w:eastAsia="Aptos" w:cs="Aptos"/>
          <w:i/>
          <w:iCs/>
        </w:rPr>
        <w:t>British Medical Bulletin</w:t>
      </w:r>
      <w:r w:rsidRPr="00B53262">
        <w:rPr>
          <w:rFonts w:eastAsia="Aptos" w:cs="Aptos"/>
        </w:rPr>
        <w:t>, Available at:</w:t>
      </w:r>
      <w:r w:rsidRPr="00B53262">
        <w:rPr>
          <w:rFonts w:eastAsia="Aptos" w:cs="Aptos"/>
          <w:u w:val="single"/>
        </w:rPr>
        <w:t xml:space="preserve"> </w:t>
      </w:r>
      <w:r w:rsidR="004A7D29" w:rsidRPr="00B53262">
        <w:rPr>
          <w:rFonts w:eastAsia="Aptos" w:cs="Aptos"/>
          <w:u w:val="single"/>
        </w:rPr>
        <w:t>https://www.</w:t>
      </w:r>
      <w:r w:rsidRPr="00B53262">
        <w:rPr>
          <w:rFonts w:eastAsia="Aptos" w:cs="Aptos"/>
          <w:u w:val="single"/>
        </w:rPr>
        <w:t xml:space="preserve"> </w:t>
      </w:r>
      <w:hyperlink r:id="rId29" w:anchor="google_vignette">
        <w:r w:rsidRPr="00B53262">
          <w:rPr>
            <w:rStyle w:val="Hyperlink"/>
            <w:rFonts w:eastAsia="Aptos" w:cs="Aptos"/>
            <w:color w:val="auto"/>
          </w:rPr>
          <w:t>older worker with osteoarthritis of the knee | British Medical Bulletin | Oxford Academic.</w:t>
        </w:r>
      </w:hyperlink>
      <w:r w:rsidRPr="00B53262">
        <w:rPr>
          <w:rFonts w:eastAsia="Aptos" w:cs="Aptos"/>
        </w:rPr>
        <w:t xml:space="preserve"> (Accessed: 10 September 2025). </w:t>
      </w:r>
      <w:r w:rsidRPr="00B53262">
        <w:rPr>
          <w:rFonts w:eastAsia="Aptos" w:cs="Aptos"/>
          <w:lang w:val="en-US"/>
        </w:rPr>
        <w:t xml:space="preserve"> </w:t>
      </w:r>
    </w:p>
    <w:p w14:paraId="71E71D72" w14:textId="74054E64" w:rsidR="19DE3499" w:rsidRPr="00B53262" w:rsidRDefault="19DE3499" w:rsidP="00B53262">
      <w:pPr>
        <w:spacing w:line="276" w:lineRule="auto"/>
        <w:jc w:val="both"/>
      </w:pPr>
      <w:r w:rsidRPr="00B53262">
        <w:rPr>
          <w:rFonts w:eastAsia="Aptos" w:cs="Aptos"/>
        </w:rPr>
        <w:t xml:space="preserve">Khan, M., Evaniew, N., Bedi, A., Ayeni, O.R. and Bhandari, M., (2014) ‘Arthroscopic surgery for degenerative tears of the meniscus: a systematic review and meta-analysis.’ </w:t>
      </w:r>
      <w:r w:rsidRPr="00B53262">
        <w:rPr>
          <w:rFonts w:eastAsia="Aptos" w:cs="Aptos"/>
          <w:i/>
          <w:iCs/>
        </w:rPr>
        <w:t>Cmaj</w:t>
      </w:r>
      <w:r w:rsidRPr="00B53262">
        <w:rPr>
          <w:rFonts w:eastAsia="Aptos" w:cs="Aptos"/>
        </w:rPr>
        <w:t xml:space="preserve">, </w:t>
      </w:r>
      <w:r w:rsidRPr="00B53262">
        <w:rPr>
          <w:rFonts w:eastAsia="Aptos" w:cs="Aptos"/>
          <w:i/>
          <w:iCs/>
        </w:rPr>
        <w:t>186</w:t>
      </w:r>
      <w:r w:rsidRPr="00B53262">
        <w:rPr>
          <w:rFonts w:eastAsia="Aptos" w:cs="Aptos"/>
        </w:rPr>
        <w:t xml:space="preserve">(14), pp.1057-1064. Available at:  </w:t>
      </w:r>
      <w:hyperlink r:id="rId30">
        <w:r w:rsidRPr="00B53262">
          <w:rPr>
            <w:rStyle w:val="Hyperlink"/>
            <w:rFonts w:eastAsia="Aptos" w:cs="Aptos"/>
            <w:color w:val="auto"/>
          </w:rPr>
          <w:t>https://doi.org/10.1503/cmaj.140433</w:t>
        </w:r>
      </w:hyperlink>
      <w:r w:rsidRPr="00B53262">
        <w:rPr>
          <w:rFonts w:eastAsia="Aptos" w:cs="Aptos"/>
        </w:rPr>
        <w:t xml:space="preserve">.  </w:t>
      </w:r>
      <w:r w:rsidRPr="00B53262">
        <w:rPr>
          <w:rFonts w:eastAsia="Aptos" w:cs="Aptos"/>
          <w:lang w:val="en-US"/>
        </w:rPr>
        <w:t xml:space="preserve"> </w:t>
      </w:r>
    </w:p>
    <w:p w14:paraId="582D6C76" w14:textId="0EC2D99A" w:rsidR="19DE3499" w:rsidRPr="00B53262" w:rsidRDefault="19DE3499" w:rsidP="00B53262">
      <w:pPr>
        <w:spacing w:line="276" w:lineRule="auto"/>
        <w:jc w:val="both"/>
      </w:pPr>
      <w:r w:rsidRPr="00B53262">
        <w:rPr>
          <w:rFonts w:eastAsia="Aptos" w:cs="Aptos"/>
        </w:rPr>
        <w:t xml:space="preserve">Litwic, A., Edwards, M. H., Dennison, E. M., &amp; Cooper, C. (2013). ‘Epidemiology and burden of osteoarthritis’. </w:t>
      </w:r>
      <w:r w:rsidRPr="00B53262">
        <w:rPr>
          <w:rFonts w:eastAsia="Aptos" w:cs="Aptos"/>
          <w:i/>
          <w:iCs/>
        </w:rPr>
        <w:t xml:space="preserve">British medical bulletin. </w:t>
      </w:r>
      <w:r w:rsidRPr="00B53262">
        <w:rPr>
          <w:rFonts w:eastAsia="Aptos" w:cs="Aptos"/>
        </w:rPr>
        <w:t xml:space="preserve">Available at: </w:t>
      </w:r>
      <w:hyperlink r:id="rId31">
        <w:r w:rsidRPr="00B53262">
          <w:rPr>
            <w:rStyle w:val="Hyperlink"/>
            <w:rFonts w:eastAsia="Aptos" w:cs="Aptos"/>
            <w:color w:val="auto"/>
          </w:rPr>
          <w:t>https://doi.org/10.1093/bmb/lds038</w:t>
        </w:r>
      </w:hyperlink>
      <w:r w:rsidRPr="00B53262">
        <w:rPr>
          <w:rFonts w:eastAsia="Aptos" w:cs="Aptos"/>
        </w:rPr>
        <w:t xml:space="preserve">.  </w:t>
      </w:r>
      <w:r w:rsidRPr="00B53262">
        <w:rPr>
          <w:rFonts w:eastAsia="Aptos" w:cs="Aptos"/>
          <w:lang w:val="en-US"/>
        </w:rPr>
        <w:t xml:space="preserve"> </w:t>
      </w:r>
    </w:p>
    <w:p w14:paraId="6A186BF3" w14:textId="5BABDED3" w:rsidR="19DE3499" w:rsidRPr="00B53262" w:rsidRDefault="19DE3499" w:rsidP="00B53262">
      <w:pPr>
        <w:spacing w:line="276" w:lineRule="auto"/>
        <w:jc w:val="both"/>
      </w:pPr>
      <w:r w:rsidRPr="00B53262">
        <w:rPr>
          <w:rFonts w:eastAsia="Aptos" w:cs="Aptos"/>
        </w:rPr>
        <w:t xml:space="preserve">Lopes, David G., Daniela Costa, Eduardo B. Cruz, Nuno Mendonça, Ana Rita Henriques, Jaime Branco, Helena Canhão, and Ana M. Rodrigues. (2022) "Association of physical activity with physical function and quality of life in people with hip and knee osteoarthritis: longitudinal analysis of a population-based cohort." </w:t>
      </w:r>
      <w:r w:rsidRPr="00B53262">
        <w:rPr>
          <w:rFonts w:eastAsia="Aptos" w:cs="Aptos"/>
          <w:i/>
          <w:iCs/>
        </w:rPr>
        <w:t>Arthritis Research &amp; Therapy</w:t>
      </w:r>
      <w:r w:rsidRPr="00B53262">
        <w:rPr>
          <w:rFonts w:eastAsia="Aptos" w:cs="Aptos"/>
        </w:rPr>
        <w:t xml:space="preserve"> 25, no. 1 (2023): 14. Available at: </w:t>
      </w:r>
      <w:r w:rsidR="008B0815" w:rsidRPr="00B53262">
        <w:rPr>
          <w:rFonts w:eastAsia="Aptos" w:cs="Aptos"/>
        </w:rPr>
        <w:t>h</w:t>
      </w:r>
      <w:r w:rsidR="008B0815" w:rsidRPr="00B53262">
        <w:rPr>
          <w:rFonts w:eastAsia="Aptos" w:cs="Aptos"/>
          <w:u w:val="single"/>
        </w:rPr>
        <w:t>ttps://www.</w:t>
      </w:r>
      <w:hyperlink r:id="rId32">
        <w:r w:rsidRPr="00B53262">
          <w:rPr>
            <w:rStyle w:val="Hyperlink"/>
            <w:rFonts w:eastAsia="Aptos" w:cs="Aptos"/>
            <w:color w:val="auto"/>
          </w:rPr>
          <w:t>Association of physical activity with physical function and quality of life in people with hip and knee osteoarthritis: longitudinal analysis of a population-based cohort | Arthritis Research &amp; Therapy.</w:t>
        </w:r>
      </w:hyperlink>
      <w:r w:rsidRPr="00B53262">
        <w:rPr>
          <w:rFonts w:eastAsia="Aptos" w:cs="Aptos"/>
        </w:rPr>
        <w:t xml:space="preserve"> (Accessed: 11 September 2025). </w:t>
      </w:r>
      <w:r w:rsidRPr="00B53262">
        <w:rPr>
          <w:rFonts w:eastAsia="Aptos" w:cs="Aptos"/>
          <w:lang w:val="en-US"/>
        </w:rPr>
        <w:t xml:space="preserve"> </w:t>
      </w:r>
    </w:p>
    <w:p w14:paraId="03B4D4F3" w14:textId="0F3212FA" w:rsidR="19DE3499" w:rsidRPr="00B53262" w:rsidRDefault="19DE3499" w:rsidP="00B53262">
      <w:pPr>
        <w:spacing w:line="276" w:lineRule="auto"/>
        <w:jc w:val="both"/>
      </w:pPr>
      <w:r w:rsidRPr="00B53262">
        <w:rPr>
          <w:rFonts w:eastAsia="Aptos" w:cs="Aptos"/>
        </w:rPr>
        <w:t>Marmot, M., Allen, J., Boyce, T., Goldblatt, P. and Morrison, J. (2020) ‘</w:t>
      </w:r>
      <w:r w:rsidRPr="00B53262">
        <w:rPr>
          <w:rFonts w:eastAsia="Aptos" w:cs="Aptos"/>
          <w:i/>
          <w:iCs/>
        </w:rPr>
        <w:t>Health Equity in England: The Marmot Review 10 Years On</w:t>
      </w:r>
      <w:r w:rsidRPr="00B53262">
        <w:rPr>
          <w:rFonts w:eastAsia="Aptos" w:cs="Aptos"/>
        </w:rPr>
        <w:t xml:space="preserve">.’ London: Institute of Health Equity. Available at: </w:t>
      </w:r>
      <w:hyperlink r:id="rId33">
        <w:r w:rsidRPr="00B53262">
          <w:rPr>
            <w:rStyle w:val="Hyperlink"/>
            <w:rFonts w:eastAsia="Aptos" w:cs="Aptos"/>
            <w:color w:val="auto"/>
          </w:rPr>
          <w:t>https://www.health.org.uk/publications/reports/the-marmot-review-10-years-on</w:t>
        </w:r>
      </w:hyperlink>
      <w:r w:rsidRPr="00B53262">
        <w:rPr>
          <w:rFonts w:eastAsia="Aptos" w:cs="Aptos"/>
        </w:rPr>
        <w:t xml:space="preserve"> (Accessed: 11 September 2025). </w:t>
      </w:r>
      <w:r w:rsidRPr="00B53262">
        <w:rPr>
          <w:rFonts w:eastAsia="Aptos" w:cs="Aptos"/>
          <w:lang w:val="en-US"/>
        </w:rPr>
        <w:t xml:space="preserve"> </w:t>
      </w:r>
    </w:p>
    <w:p w14:paraId="11B66AB1" w14:textId="4D745C55" w:rsidR="19DE3499" w:rsidRPr="00B53262" w:rsidRDefault="19DE3499" w:rsidP="00B53262">
      <w:pPr>
        <w:spacing w:line="276" w:lineRule="auto"/>
        <w:jc w:val="both"/>
      </w:pPr>
      <w:r w:rsidRPr="00B53262">
        <w:rPr>
          <w:rFonts w:eastAsia="Aptos" w:cs="Aptos"/>
        </w:rPr>
        <w:t>McTaggart</w:t>
      </w:r>
      <w:r w:rsidRPr="00B53262">
        <w:rPr>
          <w:rFonts w:ascii="Cambria Math" w:eastAsia="Cambria Math" w:hAnsi="Cambria Math" w:cs="Cambria Math"/>
        </w:rPr>
        <w:t>‐</w:t>
      </w:r>
      <w:r w:rsidRPr="00B53262">
        <w:rPr>
          <w:rFonts w:eastAsia="Aptos" w:cs="Aptos"/>
        </w:rPr>
        <w:t xml:space="preserve">Cowan, H.M., Brazier, J.E. and Tsuchiya, A., (2010) ‘Clustering Rasch results: a novel method for developing rheumatoid arthritis states for use in valuation studies.’ </w:t>
      </w:r>
      <w:r w:rsidRPr="00B53262">
        <w:rPr>
          <w:rFonts w:eastAsia="Aptos" w:cs="Aptos"/>
          <w:i/>
          <w:iCs/>
        </w:rPr>
        <w:t>Value in Health</w:t>
      </w:r>
      <w:r w:rsidRPr="00B53262">
        <w:rPr>
          <w:rFonts w:eastAsia="Aptos" w:cs="Aptos"/>
        </w:rPr>
        <w:t xml:space="preserve">, </w:t>
      </w:r>
      <w:r w:rsidRPr="00B53262">
        <w:rPr>
          <w:rFonts w:eastAsia="Aptos" w:cs="Aptos"/>
          <w:i/>
          <w:iCs/>
        </w:rPr>
        <w:t>13</w:t>
      </w:r>
      <w:r w:rsidRPr="00B53262">
        <w:rPr>
          <w:rFonts w:eastAsia="Aptos" w:cs="Aptos"/>
        </w:rPr>
        <w:t xml:space="preserve">(6), pp.787-795. Available at:  </w:t>
      </w:r>
      <w:r w:rsidR="008B0815" w:rsidRPr="00B53262">
        <w:rPr>
          <w:rFonts w:eastAsia="Aptos" w:cs="Aptos"/>
          <w:u w:val="single"/>
        </w:rPr>
        <w:t>https://www.</w:t>
      </w:r>
      <w:hyperlink r:id="rId34">
        <w:r w:rsidRPr="00B53262">
          <w:rPr>
            <w:rStyle w:val="Hyperlink"/>
            <w:rFonts w:eastAsia="Aptos" w:cs="Aptos"/>
            <w:color w:val="auto"/>
          </w:rPr>
          <w:t>Clustering Rasch Results: A Novel Method for Developing Rheumatoid Arthritis States for Use in Valuation Studies - McTaggart</w:t>
        </w:r>
        <w:r w:rsidRPr="00B53262">
          <w:rPr>
            <w:rStyle w:val="Hyperlink"/>
            <w:rFonts w:ascii="Cambria Math" w:eastAsia="Cambria Math" w:hAnsi="Cambria Math" w:cs="Cambria Math"/>
            <w:color w:val="auto"/>
          </w:rPr>
          <w:t>‐</w:t>
        </w:r>
        <w:r w:rsidRPr="00B53262">
          <w:rPr>
            <w:rStyle w:val="Hyperlink"/>
            <w:rFonts w:eastAsia="Aptos" w:cs="Aptos"/>
            <w:color w:val="auto"/>
          </w:rPr>
          <w:t>Cowan - 2010 - Value in Health - Wiley Online Library</w:t>
        </w:r>
      </w:hyperlink>
      <w:r w:rsidRPr="00B53262">
        <w:rPr>
          <w:rFonts w:eastAsia="Aptos" w:cs="Aptos"/>
        </w:rPr>
        <w:t xml:space="preserve"> (Accessed: 11 September 2025). </w:t>
      </w:r>
      <w:r w:rsidRPr="00B53262">
        <w:rPr>
          <w:rFonts w:eastAsia="Aptos" w:cs="Aptos"/>
          <w:lang w:val="en-US"/>
        </w:rPr>
        <w:t xml:space="preserve"> </w:t>
      </w:r>
    </w:p>
    <w:p w14:paraId="05524874" w14:textId="0C401F0F" w:rsidR="19DE3499" w:rsidRPr="00B53262" w:rsidRDefault="19DE3499" w:rsidP="00B53262">
      <w:pPr>
        <w:spacing w:line="276" w:lineRule="auto"/>
        <w:jc w:val="both"/>
      </w:pPr>
      <w:r w:rsidRPr="00B53262">
        <w:rPr>
          <w:rFonts w:eastAsia="Aptos" w:cs="Aptos"/>
        </w:rPr>
        <w:t xml:space="preserve">Murray, M.L., Pinches, H., Mafham, M., Hartley, S., Carpenter, J., Landray, M.J., Love, S.B., Parmar, M. and Sydes, M., (2022) ‘Use of NHS Digital datasets as trial data in the UK: a position paper’. Available at: </w:t>
      </w:r>
      <w:hyperlink r:id="rId35">
        <w:r w:rsidRPr="00B53262">
          <w:rPr>
            <w:rStyle w:val="Hyperlink"/>
            <w:rFonts w:eastAsia="Aptos" w:cs="Aptos"/>
            <w:color w:val="auto"/>
          </w:rPr>
          <w:t>https://doi.</w:t>
        </w:r>
      </w:hyperlink>
      <w:hyperlink r:id="rId36">
        <w:r w:rsidRPr="00B53262">
          <w:rPr>
            <w:rStyle w:val="Hyperlink"/>
            <w:rFonts w:eastAsia="Aptos" w:cs="Aptos"/>
            <w:color w:val="auto"/>
          </w:rPr>
          <w:t>10.5281/zenodo.6047154.</w:t>
        </w:r>
      </w:hyperlink>
      <w:r w:rsidRPr="00B53262">
        <w:rPr>
          <w:rFonts w:eastAsia="Aptos" w:cs="Aptos"/>
          <w:u w:val="single"/>
        </w:rPr>
        <w:t xml:space="preserve"> </w:t>
      </w:r>
      <w:r w:rsidRPr="00B53262">
        <w:rPr>
          <w:rFonts w:eastAsia="Aptos" w:cs="Aptos"/>
        </w:rPr>
        <w:t xml:space="preserve"> </w:t>
      </w:r>
      <w:r w:rsidRPr="00B53262">
        <w:rPr>
          <w:rFonts w:eastAsia="Aptos" w:cs="Aptos"/>
          <w:lang w:val="en-US"/>
        </w:rPr>
        <w:t xml:space="preserve"> </w:t>
      </w:r>
    </w:p>
    <w:p w14:paraId="1834E906" w14:textId="6EBC23B1" w:rsidR="19DE3499" w:rsidRPr="00B53262" w:rsidRDefault="19DE3499" w:rsidP="00B53262">
      <w:pPr>
        <w:spacing w:line="276" w:lineRule="auto"/>
        <w:jc w:val="both"/>
        <w:rPr>
          <w:rFonts w:eastAsia="Aptos" w:cs="Aptos"/>
          <w:lang w:val="en-US"/>
        </w:rPr>
      </w:pPr>
      <w:r w:rsidRPr="00B53262">
        <w:rPr>
          <w:rFonts w:eastAsia="Aptos" w:cs="Aptos"/>
        </w:rPr>
        <w:t xml:space="preserve">National Institute for Health and Care Excellence (NICE) (2022) ‘Osteoarthritis: care and management.’ Available at: </w:t>
      </w:r>
      <w:hyperlink r:id="rId37">
        <w:r w:rsidRPr="00B53262">
          <w:rPr>
            <w:rStyle w:val="Hyperlink"/>
            <w:rFonts w:eastAsia="Aptos" w:cs="Aptos"/>
            <w:color w:val="auto"/>
          </w:rPr>
          <w:t>https://www.nice.org.uk/guidance/cg177</w:t>
        </w:r>
      </w:hyperlink>
      <w:r w:rsidRPr="00B53262">
        <w:rPr>
          <w:rFonts w:eastAsia="Aptos" w:cs="Aptos"/>
        </w:rPr>
        <w:t xml:space="preserve">.  (Accessed: 11 September 2025). </w:t>
      </w:r>
      <w:r w:rsidRPr="00B53262">
        <w:rPr>
          <w:rFonts w:eastAsia="Aptos" w:cs="Aptos"/>
          <w:lang w:val="en-US"/>
        </w:rPr>
        <w:t xml:space="preserve">    </w:t>
      </w:r>
    </w:p>
    <w:p w14:paraId="12452FAF" w14:textId="25A978EA" w:rsidR="19DE3499" w:rsidRPr="00B53262" w:rsidRDefault="19DE3499" w:rsidP="00B53262">
      <w:pPr>
        <w:spacing w:line="276" w:lineRule="auto"/>
        <w:jc w:val="both"/>
      </w:pPr>
      <w:r w:rsidRPr="00B53262">
        <w:rPr>
          <w:rFonts w:eastAsia="Aptos" w:cs="Aptos"/>
        </w:rPr>
        <w:t xml:space="preserve">National Joint Registry (2022) </w:t>
      </w:r>
      <w:r w:rsidRPr="00B53262">
        <w:rPr>
          <w:rFonts w:eastAsia="Aptos" w:cs="Aptos"/>
          <w:i/>
          <w:iCs/>
        </w:rPr>
        <w:t>Annual Report 2022</w:t>
      </w:r>
      <w:r w:rsidRPr="00B53262">
        <w:rPr>
          <w:rFonts w:eastAsia="Aptos" w:cs="Aptos"/>
        </w:rPr>
        <w:t xml:space="preserve">. Available at: </w:t>
      </w:r>
      <w:hyperlink r:id="rId38">
        <w:r w:rsidRPr="00B53262">
          <w:rPr>
            <w:rStyle w:val="Hyperlink"/>
            <w:rFonts w:eastAsia="Aptos" w:cs="Aptos"/>
            <w:color w:val="auto"/>
          </w:rPr>
          <w:t>https://reports.njrcentre.org.uk/.</w:t>
        </w:r>
      </w:hyperlink>
      <w:r w:rsidRPr="00B53262">
        <w:rPr>
          <w:rFonts w:eastAsia="Aptos" w:cs="Aptos"/>
        </w:rPr>
        <w:t xml:space="preserve"> (Accessed: 11 September 2025). </w:t>
      </w:r>
      <w:r w:rsidRPr="00B53262">
        <w:rPr>
          <w:rFonts w:eastAsia="Aptos" w:cs="Aptos"/>
          <w:lang w:val="en-US"/>
        </w:rPr>
        <w:t xml:space="preserve"> </w:t>
      </w:r>
    </w:p>
    <w:p w14:paraId="2EC550F8" w14:textId="25C87B91" w:rsidR="19DE3499" w:rsidRPr="00B53262" w:rsidRDefault="19DE3499" w:rsidP="00B53262">
      <w:pPr>
        <w:spacing w:line="276" w:lineRule="auto"/>
        <w:jc w:val="both"/>
      </w:pPr>
      <w:r w:rsidRPr="00B53262">
        <w:rPr>
          <w:rFonts w:eastAsia="Aptos" w:cs="Aptos"/>
        </w:rPr>
        <w:lastRenderedPageBreak/>
        <w:t>NHS (2025) ‘</w:t>
      </w:r>
      <w:r w:rsidRPr="00B53262">
        <w:rPr>
          <w:rFonts w:eastAsia="Aptos" w:cs="Aptos"/>
          <w:i/>
          <w:iCs/>
        </w:rPr>
        <w:t>Osteoarthritis Treatment and support’</w:t>
      </w:r>
      <w:r w:rsidRPr="00B53262">
        <w:rPr>
          <w:rFonts w:eastAsia="Aptos" w:cs="Aptos"/>
        </w:rPr>
        <w:t xml:space="preserve">.  Available at: </w:t>
      </w:r>
      <w:hyperlink r:id="rId39">
        <w:r w:rsidRPr="00B53262">
          <w:rPr>
            <w:rStyle w:val="Hyperlink"/>
            <w:rFonts w:eastAsia="Aptos" w:cs="Aptos"/>
            <w:color w:val="auto"/>
          </w:rPr>
          <w:t>https://www.nhs.uk/conditions/osteoarthritis/treatment/</w:t>
        </w:r>
      </w:hyperlink>
      <w:r w:rsidRPr="00B53262">
        <w:rPr>
          <w:rFonts w:eastAsia="Aptos" w:cs="Aptos"/>
        </w:rPr>
        <w:t xml:space="preserve"> (Accessed: 11 September 2025). </w:t>
      </w:r>
      <w:r w:rsidRPr="00B53262">
        <w:rPr>
          <w:rFonts w:eastAsia="Aptos" w:cs="Aptos"/>
          <w:lang w:val="en-US"/>
        </w:rPr>
        <w:t xml:space="preserve"> </w:t>
      </w:r>
    </w:p>
    <w:p w14:paraId="53F9604C" w14:textId="4369ECF4" w:rsidR="19DE3499" w:rsidRPr="00B53262" w:rsidRDefault="19DE3499" w:rsidP="00B53262">
      <w:pPr>
        <w:spacing w:line="276" w:lineRule="auto"/>
        <w:jc w:val="both"/>
      </w:pPr>
      <w:r w:rsidRPr="00B53262">
        <w:rPr>
          <w:rFonts w:eastAsia="Aptos" w:cs="Aptos"/>
        </w:rPr>
        <w:t xml:space="preserve">NHS Digital (2021) ‘Health Survey for England 2021.’ Available at: </w:t>
      </w:r>
      <w:r w:rsidR="002D05BB" w:rsidRPr="00B53262">
        <w:rPr>
          <w:rFonts w:eastAsia="Aptos" w:cs="Aptos"/>
          <w:u w:val="single"/>
        </w:rPr>
        <w:t>https://www.</w:t>
      </w:r>
      <w:hyperlink r:id="rId40">
        <w:r w:rsidRPr="00B53262">
          <w:rPr>
            <w:rStyle w:val="Hyperlink"/>
            <w:rFonts w:eastAsia="Aptos" w:cs="Aptos"/>
            <w:color w:val="auto"/>
          </w:rPr>
          <w:t>Health Survey for England, 2021 part 1 - NHS England Digital.</w:t>
        </w:r>
      </w:hyperlink>
      <w:r w:rsidRPr="00B53262">
        <w:rPr>
          <w:rFonts w:eastAsia="Aptos" w:cs="Aptos"/>
        </w:rPr>
        <w:t xml:space="preserve"> (Accessed: 11 September 2025). </w:t>
      </w:r>
      <w:r w:rsidRPr="00B53262">
        <w:rPr>
          <w:rFonts w:eastAsia="Aptos" w:cs="Aptos"/>
          <w:lang w:val="en-US"/>
        </w:rPr>
        <w:t xml:space="preserve"> </w:t>
      </w:r>
    </w:p>
    <w:p w14:paraId="1C0B532B" w14:textId="4F647E28" w:rsidR="19DE3499" w:rsidRPr="00B53262" w:rsidRDefault="19DE3499" w:rsidP="00B53262">
      <w:pPr>
        <w:spacing w:line="276" w:lineRule="auto"/>
        <w:jc w:val="both"/>
      </w:pPr>
      <w:r w:rsidRPr="00B53262">
        <w:rPr>
          <w:rFonts w:eastAsia="Aptos" w:cs="Aptos"/>
        </w:rPr>
        <w:t>NHS England (2019) ‘</w:t>
      </w:r>
      <w:r w:rsidRPr="00B53262">
        <w:rPr>
          <w:rFonts w:eastAsia="Aptos" w:cs="Aptos"/>
          <w:i/>
          <w:iCs/>
        </w:rPr>
        <w:t>The NHS Long Term Plan</w:t>
      </w:r>
      <w:r w:rsidRPr="00B53262">
        <w:rPr>
          <w:rFonts w:eastAsia="Aptos" w:cs="Aptos"/>
        </w:rPr>
        <w:t xml:space="preserve">.’ Available at: </w:t>
      </w:r>
      <w:hyperlink r:id="rId41">
        <w:r w:rsidRPr="00B53262">
          <w:rPr>
            <w:rStyle w:val="Hyperlink"/>
            <w:rFonts w:eastAsia="Aptos" w:cs="Aptos"/>
            <w:color w:val="auto"/>
          </w:rPr>
          <w:t>https://www.longtermplan.nhs.uk/.</w:t>
        </w:r>
      </w:hyperlink>
      <w:r w:rsidRPr="00B53262">
        <w:rPr>
          <w:rFonts w:eastAsia="Aptos" w:cs="Aptos"/>
        </w:rPr>
        <w:t xml:space="preserve"> (Accessed: 11 September 2025). </w:t>
      </w:r>
      <w:r w:rsidRPr="00B53262">
        <w:rPr>
          <w:rFonts w:eastAsia="Aptos" w:cs="Aptos"/>
          <w:lang w:val="en-US"/>
        </w:rPr>
        <w:t xml:space="preserve"> </w:t>
      </w:r>
    </w:p>
    <w:p w14:paraId="2374575F" w14:textId="0572B4A4" w:rsidR="19DE3499" w:rsidRPr="00B53262" w:rsidRDefault="19DE3499" w:rsidP="00B53262">
      <w:pPr>
        <w:spacing w:line="276" w:lineRule="auto"/>
        <w:jc w:val="both"/>
      </w:pPr>
      <w:r w:rsidRPr="00B53262">
        <w:rPr>
          <w:rFonts w:eastAsia="Aptos" w:cs="Aptos"/>
        </w:rPr>
        <w:t xml:space="preserve">NHS England (2019) </w:t>
      </w:r>
      <w:r w:rsidRPr="00B53262">
        <w:rPr>
          <w:rFonts w:eastAsia="Aptos" w:cs="Aptos"/>
          <w:i/>
          <w:iCs/>
        </w:rPr>
        <w:t>The NHS Long Term Plan</w:t>
      </w:r>
      <w:r w:rsidRPr="00B53262">
        <w:rPr>
          <w:rFonts w:eastAsia="Aptos" w:cs="Aptos"/>
        </w:rPr>
        <w:t xml:space="preserve">. </w:t>
      </w:r>
      <w:r w:rsidRPr="00B53262">
        <w:rPr>
          <w:rFonts w:eastAsia="Aptos" w:cs="Aptos"/>
          <w:u w:val="single"/>
        </w:rPr>
        <w:t>Available at:</w:t>
      </w:r>
      <w:r w:rsidR="002D05BB" w:rsidRPr="00B53262">
        <w:rPr>
          <w:rFonts w:eastAsia="Aptos" w:cs="Aptos"/>
          <w:u w:val="single"/>
        </w:rPr>
        <w:t xml:space="preserve"> https://www.</w:t>
      </w:r>
      <w:hyperlink r:id="rId42">
        <w:r w:rsidRPr="00B53262">
          <w:rPr>
            <w:rStyle w:val="Hyperlink"/>
            <w:rFonts w:eastAsia="Aptos" w:cs="Aptos"/>
            <w:color w:val="auto"/>
          </w:rPr>
          <w:t>NHS England » NHS Long Term Plan to tackle major killer conditions and save up to half a million lives</w:t>
        </w:r>
      </w:hyperlink>
      <w:r w:rsidR="00883636" w:rsidRPr="00B53262">
        <w:t>.</w:t>
      </w:r>
      <w:r w:rsidRPr="00B53262">
        <w:rPr>
          <w:rFonts w:eastAsia="Aptos" w:cs="Aptos"/>
        </w:rPr>
        <w:t xml:space="preserve"> (Accessed: 11 September 2025). </w:t>
      </w:r>
      <w:r w:rsidRPr="00B53262">
        <w:rPr>
          <w:rFonts w:eastAsia="Aptos" w:cs="Aptos"/>
          <w:lang w:val="en-US"/>
        </w:rPr>
        <w:t xml:space="preserve"> </w:t>
      </w:r>
    </w:p>
    <w:p w14:paraId="327E3A90" w14:textId="3C1C4CAA" w:rsidR="19DE3499" w:rsidRPr="00B53262" w:rsidRDefault="19DE3499" w:rsidP="00B53262">
      <w:pPr>
        <w:spacing w:line="276" w:lineRule="auto"/>
        <w:jc w:val="both"/>
      </w:pPr>
      <w:r w:rsidRPr="00B53262">
        <w:rPr>
          <w:rFonts w:eastAsia="Aptos" w:cs="Aptos"/>
        </w:rPr>
        <w:t>Peak Health Physiotherapy (2022) ‘</w:t>
      </w:r>
      <w:r w:rsidRPr="00B53262">
        <w:rPr>
          <w:rFonts w:eastAsia="Aptos" w:cs="Aptos"/>
          <w:i/>
          <w:iCs/>
        </w:rPr>
        <w:t>Osteoarthritis ‘How Can You Help Your Pain’</w:t>
      </w:r>
      <w:r w:rsidRPr="00B53262">
        <w:rPr>
          <w:rFonts w:eastAsia="Aptos" w:cs="Aptos"/>
        </w:rPr>
        <w:t xml:space="preserve">.   Available at: </w:t>
      </w:r>
      <w:hyperlink r:id="rId43">
        <w:r w:rsidRPr="00B53262">
          <w:rPr>
            <w:rStyle w:val="Hyperlink"/>
            <w:rFonts w:eastAsia="Aptos" w:cs="Aptos"/>
            <w:color w:val="auto"/>
          </w:rPr>
          <w:t>Osteoarthritis - How Can You Help Your Pain | Peak Health Physiotherapy</w:t>
        </w:r>
      </w:hyperlink>
      <w:r w:rsidRPr="00B53262">
        <w:rPr>
          <w:rFonts w:eastAsia="Aptos" w:cs="Aptos"/>
        </w:rPr>
        <w:t xml:space="preserve"> (Accessed: 11 September 2025). </w:t>
      </w:r>
      <w:r w:rsidRPr="00B53262">
        <w:rPr>
          <w:rFonts w:eastAsia="Aptos" w:cs="Aptos"/>
          <w:lang w:val="en-US"/>
        </w:rPr>
        <w:t xml:space="preserve"> </w:t>
      </w:r>
    </w:p>
    <w:p w14:paraId="567CF3C9" w14:textId="0DF0E2E4" w:rsidR="19DE3499" w:rsidRPr="00B53262" w:rsidRDefault="19DE3499" w:rsidP="00B53262">
      <w:pPr>
        <w:spacing w:line="276" w:lineRule="auto"/>
        <w:jc w:val="both"/>
      </w:pPr>
      <w:r w:rsidRPr="00B53262">
        <w:rPr>
          <w:rFonts w:eastAsia="Aptos" w:cs="Aptos"/>
        </w:rPr>
        <w:t>Public Health England (2020) ‘</w:t>
      </w:r>
      <w:r w:rsidRPr="00B53262">
        <w:rPr>
          <w:rFonts w:eastAsia="Aptos" w:cs="Aptos"/>
          <w:i/>
          <w:iCs/>
        </w:rPr>
        <w:t>Healthy ageing: consensus statement</w:t>
      </w:r>
      <w:r w:rsidRPr="00B53262">
        <w:rPr>
          <w:rFonts w:eastAsia="Aptos" w:cs="Aptos"/>
        </w:rPr>
        <w:t xml:space="preserve">.’ Available at: </w:t>
      </w:r>
      <w:hyperlink r:id="rId44">
        <w:r w:rsidRPr="00B53262">
          <w:rPr>
            <w:rStyle w:val="Hyperlink"/>
            <w:rFonts w:eastAsia="Aptos" w:cs="Aptos"/>
            <w:color w:val="auto"/>
          </w:rPr>
          <w:t>https://www.gov.uk/government/publications/healthy-ageing-consensus-statement</w:t>
        </w:r>
      </w:hyperlink>
      <w:r w:rsidRPr="00B53262">
        <w:rPr>
          <w:rFonts w:eastAsia="Aptos" w:cs="Aptos"/>
        </w:rPr>
        <w:t xml:space="preserve"> (Accessed: 11 September 2025). </w:t>
      </w:r>
      <w:r w:rsidRPr="00B53262">
        <w:rPr>
          <w:rFonts w:eastAsia="Aptos" w:cs="Aptos"/>
          <w:lang w:val="en-US"/>
        </w:rPr>
        <w:t xml:space="preserve"> </w:t>
      </w:r>
    </w:p>
    <w:p w14:paraId="711AB8CC" w14:textId="27581548" w:rsidR="19DE3499" w:rsidRPr="00B53262" w:rsidRDefault="19DE3499" w:rsidP="00B53262">
      <w:pPr>
        <w:spacing w:line="276" w:lineRule="auto"/>
        <w:jc w:val="both"/>
      </w:pPr>
      <w:r w:rsidRPr="00B53262">
        <w:rPr>
          <w:rFonts w:eastAsia="Aptos" w:cs="Aptos"/>
        </w:rPr>
        <w:t xml:space="preserve">Qiao, L., Li, M., Deng, F., Wen, X., Deng, H., Xue, Z., Wan, P., Xiang, R., Xie, Y., He, H. and Fan, X., (2024) ‘Epidemiological trends of osteoarthritis at the global, regional, and national levels from 1990 to 2021 and projections to 2050.’ </w:t>
      </w:r>
      <w:r w:rsidRPr="00B53262">
        <w:rPr>
          <w:rFonts w:eastAsia="Aptos" w:cs="Aptos"/>
          <w:i/>
          <w:iCs/>
        </w:rPr>
        <w:t>medRxiv</w:t>
      </w:r>
      <w:r w:rsidRPr="00B53262">
        <w:rPr>
          <w:rFonts w:eastAsia="Aptos" w:cs="Aptos"/>
        </w:rPr>
        <w:t xml:space="preserve">, pp.2024-06. Available at: </w:t>
      </w:r>
      <w:hyperlink r:id="rId45">
        <w:r w:rsidRPr="00B53262">
          <w:rPr>
            <w:rStyle w:val="Hyperlink"/>
            <w:rFonts w:eastAsia="Aptos" w:cs="Aptos"/>
            <w:color w:val="auto"/>
          </w:rPr>
          <w:t>Epidemiological trends of osteoarthritis at the global, regional, and national levels from 1990 to 2021 and projections to 2050 | medRxiv.</w:t>
        </w:r>
      </w:hyperlink>
      <w:r w:rsidRPr="00B53262">
        <w:rPr>
          <w:rFonts w:eastAsia="Aptos" w:cs="Aptos"/>
        </w:rPr>
        <w:t xml:space="preserve"> (Accessed: 12 September 2025). </w:t>
      </w:r>
      <w:r w:rsidRPr="00B53262">
        <w:rPr>
          <w:rFonts w:eastAsia="Aptos" w:cs="Aptos"/>
          <w:lang w:val="en-US"/>
        </w:rPr>
        <w:t xml:space="preserve"> </w:t>
      </w:r>
    </w:p>
    <w:p w14:paraId="3C4A7298" w14:textId="12F8EA05" w:rsidR="19DE3499" w:rsidRPr="00B53262" w:rsidRDefault="19DE3499" w:rsidP="00B53262">
      <w:pPr>
        <w:spacing w:line="276" w:lineRule="auto"/>
        <w:jc w:val="both"/>
      </w:pPr>
      <w:r w:rsidRPr="00B53262">
        <w:rPr>
          <w:rFonts w:eastAsia="Aptos" w:cs="Aptos"/>
        </w:rPr>
        <w:t xml:space="preserve">Riddle, D. L., &amp; Stratford, P. W. (2013) ‘Unilateral vs bilateral symptomatic knee osteoarthritis: associations between pain intensity and function.’ </w:t>
      </w:r>
      <w:r w:rsidRPr="00B53262">
        <w:rPr>
          <w:rFonts w:eastAsia="Aptos" w:cs="Aptos"/>
          <w:i/>
          <w:iCs/>
        </w:rPr>
        <w:t>Rheumatology (Oxford, England)</w:t>
      </w:r>
      <w:r w:rsidRPr="00B53262">
        <w:rPr>
          <w:rFonts w:eastAsia="Aptos" w:cs="Aptos"/>
        </w:rPr>
        <w:t xml:space="preserve">, </w:t>
      </w:r>
      <w:r w:rsidRPr="00B53262">
        <w:rPr>
          <w:rFonts w:eastAsia="Aptos" w:cs="Aptos"/>
          <w:i/>
          <w:iCs/>
        </w:rPr>
        <w:t>52</w:t>
      </w:r>
      <w:r w:rsidRPr="00B53262">
        <w:rPr>
          <w:rFonts w:eastAsia="Aptos" w:cs="Aptos"/>
        </w:rPr>
        <w:t xml:space="preserve">(12), </w:t>
      </w:r>
      <w:r w:rsidR="006E4579" w:rsidRPr="00B53262">
        <w:rPr>
          <w:rFonts w:eastAsia="Aptos" w:cs="Aptos"/>
        </w:rPr>
        <w:t xml:space="preserve">pp. </w:t>
      </w:r>
      <w:r w:rsidRPr="00B53262">
        <w:rPr>
          <w:rFonts w:eastAsia="Aptos" w:cs="Aptos"/>
        </w:rPr>
        <w:t xml:space="preserve">2229–2237. </w:t>
      </w:r>
      <w:hyperlink r:id="rId46">
        <w:r w:rsidRPr="00B53262">
          <w:rPr>
            <w:rStyle w:val="Hyperlink"/>
            <w:rFonts w:eastAsia="Aptos" w:cs="Aptos"/>
            <w:color w:val="auto"/>
          </w:rPr>
          <w:t>https://doi.org/10.1093/rheumatology/ket291</w:t>
        </w:r>
      </w:hyperlink>
      <w:r w:rsidRPr="00B53262">
        <w:rPr>
          <w:rFonts w:eastAsia="Aptos" w:cs="Aptos"/>
        </w:rPr>
        <w:t xml:space="preserve">.  </w:t>
      </w:r>
      <w:r w:rsidRPr="00B53262">
        <w:rPr>
          <w:rFonts w:eastAsia="Aptos" w:cs="Aptos"/>
          <w:lang w:val="en-US"/>
        </w:rPr>
        <w:t xml:space="preserve"> </w:t>
      </w:r>
    </w:p>
    <w:p w14:paraId="4D68A939" w14:textId="72366A5A" w:rsidR="19DE3499" w:rsidRPr="00B53262" w:rsidRDefault="19DE3499" w:rsidP="00B53262">
      <w:pPr>
        <w:spacing w:line="276" w:lineRule="auto"/>
        <w:jc w:val="both"/>
      </w:pPr>
      <w:r w:rsidRPr="00B53262">
        <w:rPr>
          <w:rFonts w:eastAsia="Aptos" w:cs="Aptos"/>
        </w:rPr>
        <w:t xml:space="preserve">Robinson, S.M., Ryan, S., Adams, N., Hassell, A. and Walker, D., (2018) ‘An exploration of the experiences of rheumatology nurses counselling patients on methotrexate therapy.’ </w:t>
      </w:r>
      <w:r w:rsidRPr="00B53262">
        <w:rPr>
          <w:rFonts w:eastAsia="Aptos" w:cs="Aptos"/>
          <w:i/>
          <w:iCs/>
        </w:rPr>
        <w:t>Musculoskeletal Care</w:t>
      </w:r>
      <w:r w:rsidRPr="00B53262">
        <w:rPr>
          <w:rFonts w:eastAsia="Aptos" w:cs="Aptos"/>
        </w:rPr>
        <w:t xml:space="preserve">, </w:t>
      </w:r>
      <w:r w:rsidRPr="00B53262">
        <w:rPr>
          <w:rFonts w:eastAsia="Aptos" w:cs="Aptos"/>
          <w:i/>
          <w:iCs/>
        </w:rPr>
        <w:t>16</w:t>
      </w:r>
      <w:r w:rsidRPr="00B53262">
        <w:rPr>
          <w:rFonts w:eastAsia="Aptos" w:cs="Aptos"/>
        </w:rPr>
        <w:t>(4), pp.</w:t>
      </w:r>
      <w:r w:rsidR="006E4579" w:rsidRPr="00B53262">
        <w:rPr>
          <w:rFonts w:eastAsia="Aptos" w:cs="Aptos"/>
        </w:rPr>
        <w:t xml:space="preserve"> </w:t>
      </w:r>
      <w:r w:rsidRPr="00B53262">
        <w:rPr>
          <w:rFonts w:eastAsia="Aptos" w:cs="Aptos"/>
        </w:rPr>
        <w:t xml:space="preserve">463-470. Available at: </w:t>
      </w:r>
      <w:hyperlink r:id="rId47">
        <w:r w:rsidRPr="00B53262">
          <w:rPr>
            <w:rStyle w:val="Hyperlink"/>
            <w:rFonts w:eastAsia="Aptos" w:cs="Aptos"/>
            <w:color w:val="auto"/>
          </w:rPr>
          <w:t>An exploration of the experiences of rheumatology nurses counselling patients on methotrexate therapy - Robinson - 2018 - Musculoskeletal Care - Wiley Online Library.</w:t>
        </w:r>
      </w:hyperlink>
      <w:r w:rsidRPr="00B53262">
        <w:rPr>
          <w:rFonts w:eastAsia="Aptos" w:cs="Aptos"/>
        </w:rPr>
        <w:t xml:space="preserve"> (Accessed: 11 September 2025). </w:t>
      </w:r>
      <w:r w:rsidRPr="00B53262">
        <w:rPr>
          <w:rFonts w:eastAsia="Aptos" w:cs="Aptos"/>
          <w:lang w:val="en-US"/>
        </w:rPr>
        <w:t xml:space="preserve"> </w:t>
      </w:r>
    </w:p>
    <w:p w14:paraId="5133113A" w14:textId="57206A0E" w:rsidR="19DE3499" w:rsidRPr="00B53262" w:rsidRDefault="19DE3499" w:rsidP="00B53262">
      <w:pPr>
        <w:spacing w:line="276" w:lineRule="auto"/>
        <w:jc w:val="both"/>
      </w:pPr>
      <w:r w:rsidRPr="00B53262">
        <w:rPr>
          <w:rFonts w:eastAsia="Aptos" w:cs="Aptos"/>
        </w:rPr>
        <w:t>Sabah, S.A., Knight, R., Nicolson, P.J., Taylor, A., Kendrick, B., Alvand, A., Petrou, S., Beard, D.J., Price, A.J. and Palmer, A.J., (2023) ‘Epidemiology of revision hip replacement surgery in the UK over the past 15 years</w:t>
      </w:r>
      <w:r w:rsidR="006E4579" w:rsidRPr="00B53262">
        <w:rPr>
          <w:rFonts w:eastAsia="Aptos" w:cs="Aptos"/>
        </w:rPr>
        <w:t xml:space="preserve"> </w:t>
      </w:r>
      <w:r w:rsidRPr="00B53262">
        <w:rPr>
          <w:rFonts w:eastAsia="Aptos" w:cs="Aptos"/>
        </w:rPr>
        <w:t xml:space="preserve">an analysis from the National Joint Registry’. </w:t>
      </w:r>
      <w:r w:rsidRPr="00B53262">
        <w:rPr>
          <w:rFonts w:eastAsia="Aptos" w:cs="Aptos"/>
          <w:i/>
          <w:iCs/>
        </w:rPr>
        <w:t xml:space="preserve">BMJ.  </w:t>
      </w:r>
      <w:r w:rsidRPr="00B53262">
        <w:rPr>
          <w:rFonts w:eastAsia="Aptos" w:cs="Aptos"/>
        </w:rPr>
        <w:t xml:space="preserve">Available at: </w:t>
      </w:r>
      <w:hyperlink r:id="rId48">
        <w:r w:rsidRPr="00B53262">
          <w:rPr>
            <w:rStyle w:val="Hyperlink"/>
            <w:rFonts w:eastAsia="Aptos" w:cs="Aptos"/>
            <w:color w:val="auto"/>
          </w:rPr>
          <w:t>Epidemiology of revision hip replacement surgery in the UK over the past 15 years</w:t>
        </w:r>
        <w:r w:rsidR="006E4579" w:rsidRPr="00B53262">
          <w:rPr>
            <w:rStyle w:val="Hyperlink"/>
            <w:rFonts w:eastAsia="Aptos" w:cs="Aptos"/>
            <w:color w:val="auto"/>
          </w:rPr>
          <w:t xml:space="preserve"> </w:t>
        </w:r>
        <w:r w:rsidRPr="00B53262">
          <w:rPr>
            <w:rStyle w:val="Hyperlink"/>
            <w:rFonts w:eastAsia="Aptos" w:cs="Aptos"/>
            <w:color w:val="auto"/>
          </w:rPr>
          <w:t>an analysis from the National Joint Registry | BMJ Open.</w:t>
        </w:r>
      </w:hyperlink>
      <w:r w:rsidRPr="00B53262">
        <w:rPr>
          <w:rFonts w:eastAsia="Aptos" w:cs="Aptos"/>
        </w:rPr>
        <w:t xml:space="preserve"> (Accessed: 11 September 2025). </w:t>
      </w:r>
      <w:r w:rsidRPr="00B53262">
        <w:rPr>
          <w:rFonts w:eastAsia="Aptos" w:cs="Aptos"/>
          <w:lang w:val="en-US"/>
        </w:rPr>
        <w:t xml:space="preserve"> </w:t>
      </w:r>
    </w:p>
    <w:p w14:paraId="14F6A3F0" w14:textId="66FC7707" w:rsidR="19DE3499" w:rsidRPr="00B53262" w:rsidRDefault="19DE3499" w:rsidP="00B53262">
      <w:pPr>
        <w:spacing w:line="276" w:lineRule="auto"/>
        <w:jc w:val="both"/>
      </w:pPr>
      <w:r w:rsidRPr="00B53262">
        <w:rPr>
          <w:rFonts w:eastAsia="Aptos" w:cs="Aptos"/>
        </w:rPr>
        <w:lastRenderedPageBreak/>
        <w:t xml:space="preserve">Srikanth, V.K., Fryer, J.L., Zhai, G., Winzenberg, T.M., Hosmer, D. and Jones, G., (2005) ‘A meta-analysis of sex differences prevalence, incidence and severity of osteoarthritis.’ </w:t>
      </w:r>
      <w:r w:rsidRPr="00B53262">
        <w:rPr>
          <w:rFonts w:eastAsia="Aptos" w:cs="Aptos"/>
          <w:i/>
          <w:iCs/>
        </w:rPr>
        <w:t>Osteoarthritis and cartilage</w:t>
      </w:r>
      <w:r w:rsidRPr="00B53262">
        <w:rPr>
          <w:rFonts w:eastAsia="Aptos" w:cs="Aptos"/>
        </w:rPr>
        <w:t xml:space="preserve">, Available at: </w:t>
      </w:r>
      <w:hyperlink r:id="rId49">
        <w:r w:rsidRPr="00B53262">
          <w:rPr>
            <w:rStyle w:val="Hyperlink"/>
            <w:rFonts w:eastAsia="Aptos" w:cs="Aptos"/>
            <w:color w:val="auto"/>
          </w:rPr>
          <w:t>A meta-analysis of sex differences prevalence, incidence and severity of osteoarthritis - ScienceDirect.</w:t>
        </w:r>
      </w:hyperlink>
      <w:r w:rsidRPr="00B53262">
        <w:rPr>
          <w:rFonts w:eastAsia="Aptos" w:cs="Aptos"/>
        </w:rPr>
        <w:t xml:space="preserve"> (Accessed: 10 September 2025). </w:t>
      </w:r>
      <w:r w:rsidRPr="00B53262">
        <w:rPr>
          <w:rFonts w:eastAsia="Aptos" w:cs="Aptos"/>
          <w:lang w:val="en-US"/>
        </w:rPr>
        <w:t xml:space="preserve"> </w:t>
      </w:r>
    </w:p>
    <w:p w14:paraId="1ADE7680" w14:textId="46EEB472" w:rsidR="19DE3499" w:rsidRPr="00B53262" w:rsidRDefault="19DE3499" w:rsidP="00B53262">
      <w:pPr>
        <w:spacing w:line="276" w:lineRule="auto"/>
        <w:jc w:val="both"/>
      </w:pPr>
      <w:r w:rsidRPr="00B53262">
        <w:rPr>
          <w:rFonts w:eastAsia="Aptos" w:cs="Aptos"/>
        </w:rPr>
        <w:t xml:space="preserve">Stubbs, B., Binnekade, T., Eggermont, L., Sepehry, A. A., Patchay, S., </w:t>
      </w:r>
      <w:r w:rsidR="00207DFA" w:rsidRPr="00B53262">
        <w:rPr>
          <w:rFonts w:eastAsia="Aptos" w:cs="Aptos"/>
        </w:rPr>
        <w:t>and</w:t>
      </w:r>
      <w:r w:rsidRPr="00B53262">
        <w:rPr>
          <w:rFonts w:eastAsia="Aptos" w:cs="Aptos"/>
        </w:rPr>
        <w:t xml:space="preserve"> Schofield, P. (2014) ‘Pain and the risk for falls in community-dwelling older adults: systematic review and meta-analysis.’ </w:t>
      </w:r>
      <w:r w:rsidRPr="00B53262">
        <w:rPr>
          <w:rFonts w:eastAsia="Aptos" w:cs="Aptos"/>
          <w:i/>
          <w:iCs/>
        </w:rPr>
        <w:t>Archives of physical medicine and rehabilitation</w:t>
      </w:r>
      <w:r w:rsidRPr="00B53262">
        <w:rPr>
          <w:rFonts w:eastAsia="Aptos" w:cs="Aptos"/>
        </w:rPr>
        <w:t xml:space="preserve">, </w:t>
      </w:r>
      <w:r w:rsidRPr="00B53262">
        <w:rPr>
          <w:rFonts w:eastAsia="Aptos" w:cs="Aptos"/>
          <w:i/>
          <w:iCs/>
        </w:rPr>
        <w:t>95</w:t>
      </w:r>
      <w:r w:rsidRPr="00B53262">
        <w:rPr>
          <w:rFonts w:eastAsia="Aptos" w:cs="Aptos"/>
        </w:rPr>
        <w:t xml:space="preserve">(1), </w:t>
      </w:r>
      <w:r w:rsidR="00207DFA" w:rsidRPr="00B53262">
        <w:rPr>
          <w:rFonts w:eastAsia="Aptos" w:cs="Aptos"/>
        </w:rPr>
        <w:t>pp.</w:t>
      </w:r>
      <w:r w:rsidRPr="00B53262">
        <w:rPr>
          <w:rFonts w:eastAsia="Aptos" w:cs="Aptos"/>
        </w:rPr>
        <w:t xml:space="preserve">175–187.e9.  Available at: </w:t>
      </w:r>
      <w:hyperlink r:id="rId50">
        <w:r w:rsidRPr="00B53262">
          <w:rPr>
            <w:rStyle w:val="Hyperlink"/>
            <w:rFonts w:eastAsia="Aptos" w:cs="Aptos"/>
            <w:color w:val="auto"/>
          </w:rPr>
          <w:t>https://doi.org/10.1016/j.apmr.2013.08.241</w:t>
        </w:r>
      </w:hyperlink>
      <w:r w:rsidRPr="00B53262">
        <w:rPr>
          <w:rFonts w:eastAsia="Aptos" w:cs="Aptos"/>
        </w:rPr>
        <w:t xml:space="preserve">.  </w:t>
      </w:r>
      <w:r w:rsidRPr="00B53262">
        <w:rPr>
          <w:rFonts w:eastAsia="Aptos" w:cs="Aptos"/>
          <w:lang w:val="en-US"/>
        </w:rPr>
        <w:t xml:space="preserve"> </w:t>
      </w:r>
    </w:p>
    <w:p w14:paraId="2017F932" w14:textId="545E5124" w:rsidR="19DE3499" w:rsidRPr="00B53262" w:rsidRDefault="19DE3499" w:rsidP="00B53262">
      <w:pPr>
        <w:spacing w:line="276" w:lineRule="auto"/>
        <w:jc w:val="both"/>
      </w:pPr>
      <w:r w:rsidRPr="00B53262">
        <w:rPr>
          <w:rFonts w:eastAsia="Aptos" w:cs="Aptos"/>
        </w:rPr>
        <w:t>The King’s Fund (2022) ‘</w:t>
      </w:r>
      <w:r w:rsidRPr="00B53262">
        <w:rPr>
          <w:rFonts w:eastAsia="Aptos" w:cs="Aptos"/>
          <w:i/>
          <w:iCs/>
        </w:rPr>
        <w:t>What are Integrated Care Systems?’</w:t>
      </w:r>
      <w:r w:rsidRPr="00B53262">
        <w:rPr>
          <w:rFonts w:eastAsia="Aptos" w:cs="Aptos"/>
        </w:rPr>
        <w:t xml:space="preserve">  Available at: </w:t>
      </w:r>
      <w:hyperlink r:id="rId51">
        <w:r w:rsidRPr="00B53262">
          <w:rPr>
            <w:rStyle w:val="Hyperlink"/>
            <w:rFonts w:eastAsia="Aptos" w:cs="Aptos"/>
            <w:color w:val="auto"/>
          </w:rPr>
          <w:t>https://www.kingsfund.org.uk/publications/integrated-care-systems-explained</w:t>
        </w:r>
      </w:hyperlink>
      <w:r w:rsidRPr="00B53262">
        <w:rPr>
          <w:rFonts w:eastAsia="Aptos" w:cs="Aptos"/>
        </w:rPr>
        <w:t xml:space="preserve">.(Accessed: 11 September 2025). </w:t>
      </w:r>
      <w:r w:rsidRPr="00B53262">
        <w:rPr>
          <w:rFonts w:eastAsia="Aptos" w:cs="Aptos"/>
          <w:lang w:val="en-US"/>
        </w:rPr>
        <w:t xml:space="preserve"> </w:t>
      </w:r>
    </w:p>
    <w:p w14:paraId="66A14A68" w14:textId="30B6D52A" w:rsidR="19DE3499" w:rsidRPr="00B53262" w:rsidRDefault="19DE3499" w:rsidP="00B53262">
      <w:pPr>
        <w:spacing w:line="276" w:lineRule="auto"/>
        <w:jc w:val="both"/>
      </w:pPr>
      <w:r w:rsidRPr="00B53262">
        <w:rPr>
          <w:rFonts w:eastAsia="Aptos" w:cs="Aptos"/>
        </w:rPr>
        <w:t xml:space="preserve">Versus Arthritis (2019) ‘The state of musculoskeletal health 2019.’ </w:t>
      </w:r>
      <w:r w:rsidRPr="00B53262">
        <w:rPr>
          <w:rFonts w:eastAsia="Aptos" w:cs="Aptos"/>
          <w:i/>
          <w:iCs/>
        </w:rPr>
        <w:t>Versus Arthritis</w:t>
      </w:r>
      <w:r w:rsidRPr="00B53262">
        <w:rPr>
          <w:rFonts w:eastAsia="Aptos" w:cs="Aptos"/>
        </w:rPr>
        <w:t xml:space="preserve">, </w:t>
      </w:r>
      <w:r w:rsidRPr="00B53262">
        <w:rPr>
          <w:rFonts w:eastAsia="Aptos" w:cs="Aptos"/>
          <w:i/>
          <w:iCs/>
        </w:rPr>
        <w:t>91</w:t>
      </w:r>
      <w:r w:rsidRPr="00B53262">
        <w:rPr>
          <w:rFonts w:eastAsia="Aptos" w:cs="Aptos"/>
        </w:rPr>
        <w:t xml:space="preserve">(5), pp.31-32. Available at: </w:t>
      </w:r>
      <w:hyperlink r:id="rId52">
        <w:r w:rsidRPr="00B53262">
          <w:rPr>
            <w:rStyle w:val="Hyperlink"/>
            <w:rFonts w:eastAsia="Aptos" w:cs="Aptos"/>
            <w:color w:val="auto"/>
          </w:rPr>
          <w:t>The State of Musculoskeletal Health.</w:t>
        </w:r>
      </w:hyperlink>
      <w:r w:rsidRPr="00B53262">
        <w:rPr>
          <w:rFonts w:eastAsia="Aptos" w:cs="Aptos"/>
        </w:rPr>
        <w:t xml:space="preserve"> (Accessed: 11 September 2025). </w:t>
      </w:r>
      <w:r w:rsidRPr="00B53262">
        <w:rPr>
          <w:rFonts w:eastAsia="Aptos" w:cs="Aptos"/>
          <w:lang w:val="en-US"/>
        </w:rPr>
        <w:t xml:space="preserve"> </w:t>
      </w:r>
    </w:p>
    <w:p w14:paraId="69EEDC91" w14:textId="49C59D8B" w:rsidR="19DE3499" w:rsidRPr="00B53262" w:rsidRDefault="19DE3499" w:rsidP="00B53262">
      <w:pPr>
        <w:spacing w:line="276" w:lineRule="auto"/>
        <w:jc w:val="both"/>
      </w:pPr>
      <w:r w:rsidRPr="00B53262">
        <w:rPr>
          <w:rFonts w:eastAsia="Aptos" w:cs="Aptos"/>
        </w:rPr>
        <w:t>Versus Arthritis (2019) ‘</w:t>
      </w:r>
      <w:r w:rsidRPr="00B53262">
        <w:rPr>
          <w:rFonts w:eastAsia="Aptos" w:cs="Aptos"/>
          <w:i/>
          <w:iCs/>
        </w:rPr>
        <w:t>The State of Musculoskeletal Health 2019</w:t>
      </w:r>
      <w:r w:rsidRPr="00B53262">
        <w:rPr>
          <w:rFonts w:eastAsia="Aptos" w:cs="Aptos"/>
        </w:rPr>
        <w:t xml:space="preserve">.’ Available at: </w:t>
      </w:r>
      <w:hyperlink r:id="rId53">
        <w:r w:rsidRPr="00B53262">
          <w:rPr>
            <w:rStyle w:val="Hyperlink"/>
            <w:rFonts w:eastAsia="Aptos" w:cs="Aptos"/>
            <w:color w:val="auto"/>
          </w:rPr>
          <w:t>Global Burden of Musculoskeletal Disorders in Adults Aged 50 and Over, 1990–2021: Risk Factors and Sociodemographic Inequalities - PMC.</w:t>
        </w:r>
      </w:hyperlink>
      <w:r w:rsidRPr="00B53262">
        <w:rPr>
          <w:rFonts w:eastAsia="Aptos" w:cs="Aptos"/>
        </w:rPr>
        <w:t xml:space="preserve"> (Accessed: 11 September 2025). </w:t>
      </w:r>
      <w:r w:rsidRPr="00B53262">
        <w:rPr>
          <w:rFonts w:eastAsia="Aptos" w:cs="Aptos"/>
          <w:lang w:val="en-US"/>
        </w:rPr>
        <w:t xml:space="preserve"> </w:t>
      </w:r>
    </w:p>
    <w:p w14:paraId="0CACFF68" w14:textId="190891F2" w:rsidR="19DE3499" w:rsidRPr="00B53262" w:rsidRDefault="19DE3499" w:rsidP="00B53262">
      <w:pPr>
        <w:spacing w:line="276" w:lineRule="auto"/>
        <w:jc w:val="both"/>
      </w:pPr>
      <w:r w:rsidRPr="00B53262">
        <w:rPr>
          <w:rFonts w:eastAsia="Aptos" w:cs="Aptos"/>
        </w:rPr>
        <w:t xml:space="preserve">Versus Arthritis (2019) ‘The state of musculoskeletal health.’ </w:t>
      </w:r>
      <w:r w:rsidRPr="00B53262">
        <w:rPr>
          <w:rFonts w:eastAsia="Aptos" w:cs="Aptos"/>
          <w:i/>
          <w:iCs/>
        </w:rPr>
        <w:t>Versus Arthritis</w:t>
      </w:r>
      <w:r w:rsidRPr="00B53262">
        <w:rPr>
          <w:rFonts w:eastAsia="Aptos" w:cs="Aptos"/>
        </w:rPr>
        <w:t xml:space="preserve">, </w:t>
      </w:r>
      <w:r w:rsidRPr="00B53262">
        <w:rPr>
          <w:rFonts w:eastAsia="Aptos" w:cs="Aptos"/>
          <w:i/>
          <w:iCs/>
        </w:rPr>
        <w:t>91</w:t>
      </w:r>
      <w:r w:rsidRPr="00B53262">
        <w:rPr>
          <w:rFonts w:eastAsia="Aptos" w:cs="Aptos"/>
        </w:rPr>
        <w:t xml:space="preserve">(5), pp.31-32. Available at: </w:t>
      </w:r>
      <w:hyperlink r:id="rId54">
        <w:r w:rsidRPr="00B53262">
          <w:rPr>
            <w:rStyle w:val="Hyperlink"/>
            <w:rFonts w:eastAsia="Aptos" w:cs="Aptos"/>
            <w:color w:val="auto"/>
          </w:rPr>
          <w:t>Versus Arthritis Musculoskeletal Disorders Research Advisory Group Priority Setting Exercise Protocol | medRxiv.</w:t>
        </w:r>
      </w:hyperlink>
      <w:r w:rsidRPr="00B53262">
        <w:rPr>
          <w:rFonts w:eastAsia="Aptos" w:cs="Aptos"/>
        </w:rPr>
        <w:t xml:space="preserve">  (Accessed: 11 September 2025). </w:t>
      </w:r>
      <w:r w:rsidRPr="00B53262">
        <w:rPr>
          <w:rFonts w:eastAsia="Aptos" w:cs="Aptos"/>
          <w:lang w:val="en-US"/>
        </w:rPr>
        <w:t xml:space="preserve"> </w:t>
      </w:r>
    </w:p>
    <w:p w14:paraId="0750F270" w14:textId="1F33CDF0" w:rsidR="19DE3499" w:rsidRPr="00B53262" w:rsidRDefault="19DE3499" w:rsidP="00B53262">
      <w:pPr>
        <w:spacing w:line="276" w:lineRule="auto"/>
        <w:jc w:val="both"/>
      </w:pPr>
      <w:r w:rsidRPr="00B53262">
        <w:rPr>
          <w:rFonts w:eastAsia="Aptos" w:cs="Aptos"/>
        </w:rPr>
        <w:t xml:space="preserve">Vincent, H.K., Heywood, K., Connelly, J. and Hurley, R.W., (2012) ‘Obesity and weight loss in the treatment and prevention of osteoarthritis.’ </w:t>
      </w:r>
      <w:r w:rsidRPr="00B53262">
        <w:rPr>
          <w:rFonts w:eastAsia="Aptos" w:cs="Aptos"/>
          <w:i/>
          <w:iCs/>
        </w:rPr>
        <w:t>PM&amp;R</w:t>
      </w:r>
      <w:r w:rsidRPr="00B53262">
        <w:rPr>
          <w:rFonts w:eastAsia="Aptos" w:cs="Aptos"/>
        </w:rPr>
        <w:t xml:space="preserve">, </w:t>
      </w:r>
      <w:r w:rsidRPr="00B53262">
        <w:rPr>
          <w:rFonts w:eastAsia="Aptos" w:cs="Aptos"/>
          <w:i/>
          <w:iCs/>
        </w:rPr>
        <w:t>4</w:t>
      </w:r>
      <w:r w:rsidRPr="00B53262">
        <w:rPr>
          <w:rFonts w:eastAsia="Aptos" w:cs="Aptos"/>
        </w:rPr>
        <w:t>(5), pp. S59-S67.</w:t>
      </w:r>
      <w:r w:rsidR="00D93B2E" w:rsidRPr="00B53262">
        <w:rPr>
          <w:rFonts w:eastAsia="Aptos" w:cs="Aptos"/>
        </w:rPr>
        <w:t xml:space="preserve"> </w:t>
      </w:r>
      <w:r w:rsidRPr="00B53262">
        <w:rPr>
          <w:rFonts w:eastAsia="Aptos" w:cs="Aptos"/>
        </w:rPr>
        <w:t xml:space="preserve">Available at: </w:t>
      </w:r>
      <w:hyperlink r:id="rId55">
        <w:r w:rsidRPr="00B53262">
          <w:rPr>
            <w:rStyle w:val="Hyperlink"/>
            <w:rFonts w:eastAsia="Aptos" w:cs="Aptos"/>
            <w:color w:val="auto"/>
          </w:rPr>
          <w:t>Obesity and Weight Loss in the Treatment and Prevention of Osteoarthritis - ScienceDirect.</w:t>
        </w:r>
      </w:hyperlink>
      <w:r w:rsidRPr="00B53262">
        <w:rPr>
          <w:rFonts w:eastAsia="Aptos" w:cs="Aptos"/>
        </w:rPr>
        <w:t xml:space="preserve"> (Accessed: 12 September 2025). </w:t>
      </w:r>
      <w:r w:rsidRPr="00B53262">
        <w:rPr>
          <w:rFonts w:eastAsia="Aptos" w:cs="Aptos"/>
          <w:lang w:val="en-US"/>
        </w:rPr>
        <w:t xml:space="preserve"> </w:t>
      </w:r>
    </w:p>
    <w:p w14:paraId="4CE5B21B" w14:textId="165BA3C8" w:rsidR="19DE3499" w:rsidRPr="00B53262" w:rsidRDefault="19DE3499" w:rsidP="00B53262">
      <w:pPr>
        <w:spacing w:line="276" w:lineRule="auto"/>
        <w:jc w:val="both"/>
      </w:pPr>
      <w:r w:rsidRPr="00B53262">
        <w:rPr>
          <w:rFonts w:eastAsia="Aptos" w:cs="Aptos"/>
        </w:rPr>
        <w:t xml:space="preserve">Vos, T., Lim, S.S., Abbafati, C., Abbas, K.M., Abbasi, M., Abbasifard, M., Abbasi-Kangevari, M., Abbastabar, H., Abd-Allah, F., Abdelalim, A. and Abdollahi, M., (2020) ‘Global burden of 369 diseases and injuries in 204 countries and territories,’ 1990–2019: a systematic analysis for the Global Burden of Disease Study 2019. </w:t>
      </w:r>
      <w:r w:rsidRPr="00B53262">
        <w:rPr>
          <w:rFonts w:eastAsia="Aptos" w:cs="Aptos"/>
          <w:i/>
          <w:iCs/>
        </w:rPr>
        <w:t>The lancet</w:t>
      </w:r>
      <w:r w:rsidRPr="00B53262">
        <w:rPr>
          <w:rFonts w:eastAsia="Aptos" w:cs="Aptos"/>
        </w:rPr>
        <w:t xml:space="preserve">, </w:t>
      </w:r>
      <w:r w:rsidRPr="00B53262">
        <w:rPr>
          <w:rFonts w:eastAsia="Aptos" w:cs="Aptos"/>
          <w:i/>
          <w:iCs/>
        </w:rPr>
        <w:t>396</w:t>
      </w:r>
      <w:r w:rsidRPr="00B53262">
        <w:rPr>
          <w:rFonts w:eastAsia="Aptos" w:cs="Aptos"/>
        </w:rPr>
        <w:t xml:space="preserve">(10258), pp.1204-1222. Available at: </w:t>
      </w:r>
      <w:hyperlink r:id="rId56">
        <w:r w:rsidRPr="00B53262">
          <w:rPr>
            <w:rStyle w:val="Hyperlink"/>
            <w:rFonts w:eastAsia="Aptos" w:cs="Aptos"/>
            <w:color w:val="auto"/>
          </w:rPr>
          <w:t>Global burden of 369 diseases and injuries in 204 countries and territories, 1990–2019: a systematic analysis for the Global Burden of Disease Study 2019  The Lancet.</w:t>
        </w:r>
      </w:hyperlink>
      <w:r w:rsidRPr="00B53262">
        <w:rPr>
          <w:rFonts w:eastAsia="Aptos" w:cs="Aptos"/>
        </w:rPr>
        <w:t xml:space="preserve"> (Accessed: 12 September 2025). </w:t>
      </w:r>
      <w:r w:rsidRPr="00B53262">
        <w:rPr>
          <w:rFonts w:eastAsia="Aptos" w:cs="Aptos"/>
          <w:lang w:val="en-US"/>
        </w:rPr>
        <w:t xml:space="preserve"> </w:t>
      </w:r>
    </w:p>
    <w:p w14:paraId="36691255" w14:textId="7D84753E" w:rsidR="19DE3499" w:rsidRPr="00B53262" w:rsidRDefault="19DE3499" w:rsidP="00B53262">
      <w:pPr>
        <w:spacing w:line="276" w:lineRule="auto"/>
        <w:jc w:val="both"/>
      </w:pPr>
      <w:r w:rsidRPr="00B53262">
        <w:rPr>
          <w:rFonts w:eastAsia="Aptos" w:cs="Aptos"/>
        </w:rPr>
        <w:t xml:space="preserve">World Health Organization (2002) </w:t>
      </w:r>
      <w:r w:rsidRPr="00B53262">
        <w:rPr>
          <w:rFonts w:eastAsia="Aptos" w:cs="Aptos"/>
          <w:i/>
          <w:iCs/>
        </w:rPr>
        <w:t>Innovative Care for Chronic Conditions: Building Blocks for Action</w:t>
      </w:r>
      <w:r w:rsidRPr="00B53262">
        <w:rPr>
          <w:rFonts w:eastAsia="Aptos" w:cs="Aptos"/>
        </w:rPr>
        <w:t xml:space="preserve">. Geneva: WHO. Available at: </w:t>
      </w:r>
      <w:hyperlink r:id="rId57">
        <w:r w:rsidRPr="00B53262">
          <w:rPr>
            <w:rStyle w:val="Hyperlink"/>
            <w:rFonts w:eastAsia="Aptos" w:cs="Aptos"/>
            <w:color w:val="auto"/>
          </w:rPr>
          <w:t>https://apps.who.int/iris/handle/10665/42500</w:t>
        </w:r>
      </w:hyperlink>
      <w:r w:rsidR="00EF4244" w:rsidRPr="00B53262">
        <w:t>.</w:t>
      </w:r>
      <w:r w:rsidRPr="00B53262">
        <w:rPr>
          <w:rFonts w:eastAsia="Aptos" w:cs="Aptos"/>
        </w:rPr>
        <w:t xml:space="preserve"> (Accessed: 11 September 2025). </w:t>
      </w:r>
      <w:r w:rsidRPr="00B53262">
        <w:rPr>
          <w:rFonts w:eastAsia="Aptos" w:cs="Aptos"/>
          <w:lang w:val="en-US"/>
        </w:rPr>
        <w:t xml:space="preserve"> </w:t>
      </w:r>
    </w:p>
    <w:p w14:paraId="67355C28" w14:textId="183A8F6F" w:rsidR="19DE3499" w:rsidRPr="00B53262" w:rsidRDefault="19DE3499" w:rsidP="00B53262">
      <w:pPr>
        <w:spacing w:line="276" w:lineRule="auto"/>
        <w:jc w:val="both"/>
      </w:pPr>
      <w:r w:rsidRPr="00B53262">
        <w:rPr>
          <w:rFonts w:eastAsia="Aptos" w:cs="Aptos"/>
        </w:rPr>
        <w:t>World Health Organization (2020) ‘</w:t>
      </w:r>
      <w:r w:rsidRPr="00B53262">
        <w:rPr>
          <w:rFonts w:eastAsia="Aptos" w:cs="Aptos"/>
          <w:i/>
          <w:iCs/>
        </w:rPr>
        <w:t>Palliative care</w:t>
      </w:r>
      <w:r w:rsidRPr="00B53262">
        <w:rPr>
          <w:rFonts w:eastAsia="Aptos" w:cs="Aptos"/>
        </w:rPr>
        <w:t xml:space="preserve">.’ Available at: </w:t>
      </w:r>
      <w:hyperlink r:id="rId58">
        <w:r w:rsidRPr="00B53262">
          <w:rPr>
            <w:rStyle w:val="Hyperlink"/>
            <w:rFonts w:eastAsia="Aptos" w:cs="Aptos"/>
            <w:color w:val="auto"/>
          </w:rPr>
          <w:t>https://www.who.int/news-room/fact-sheets/detail/palliative-care.</w:t>
        </w:r>
      </w:hyperlink>
      <w:r w:rsidRPr="00B53262">
        <w:rPr>
          <w:rFonts w:eastAsia="Aptos" w:cs="Aptos"/>
        </w:rPr>
        <w:t xml:space="preserve"> (Accessed: 11 September 2025) </w:t>
      </w:r>
      <w:r w:rsidRPr="00B53262">
        <w:rPr>
          <w:rFonts w:eastAsia="Aptos" w:cs="Aptos"/>
          <w:lang w:val="en-US"/>
        </w:rPr>
        <w:t xml:space="preserve"> </w:t>
      </w:r>
    </w:p>
    <w:p w14:paraId="1F93C1FC" w14:textId="595CCA6B" w:rsidR="19DE3499" w:rsidRPr="00B53262" w:rsidRDefault="19DE3499" w:rsidP="00B53262">
      <w:pPr>
        <w:spacing w:line="276" w:lineRule="auto"/>
        <w:jc w:val="both"/>
      </w:pPr>
      <w:r w:rsidRPr="00B53262">
        <w:rPr>
          <w:rFonts w:eastAsia="Aptos" w:cs="Aptos"/>
        </w:rPr>
        <w:lastRenderedPageBreak/>
        <w:t>World Health Organization (2023) ‘Musculoskeletal conditions.’ Available at</w:t>
      </w:r>
      <w:r w:rsidRPr="00B53262">
        <w:rPr>
          <w:rFonts w:eastAsia="Aptos" w:cs="Aptos"/>
          <w:u w:val="single"/>
        </w:rPr>
        <w:t xml:space="preserve"> </w:t>
      </w:r>
      <w:hyperlink r:id="rId59">
        <w:r w:rsidRPr="00B53262">
          <w:rPr>
            <w:rStyle w:val="Hyperlink"/>
            <w:rFonts w:eastAsia="Aptos" w:cs="Aptos"/>
            <w:color w:val="auto"/>
          </w:rPr>
          <w:t>Musculoskeletal health.</w:t>
        </w:r>
      </w:hyperlink>
      <w:r w:rsidRPr="00B53262">
        <w:rPr>
          <w:rFonts w:eastAsia="Aptos" w:cs="Aptos"/>
        </w:rPr>
        <w:t xml:space="preserve"> (Accessed: 11 September 2025). </w:t>
      </w:r>
      <w:r w:rsidRPr="00B53262">
        <w:rPr>
          <w:rFonts w:eastAsia="Aptos" w:cs="Aptos"/>
          <w:lang w:val="en-US"/>
        </w:rPr>
        <w:t xml:space="preserve"> </w:t>
      </w:r>
    </w:p>
    <w:p w14:paraId="5D497929" w14:textId="32F01D1A" w:rsidR="1E6F8F8C" w:rsidRPr="00646F09" w:rsidRDefault="19DE3499" w:rsidP="00B53262">
      <w:pPr>
        <w:spacing w:line="276" w:lineRule="auto"/>
        <w:jc w:val="both"/>
      </w:pPr>
      <w:r w:rsidRPr="00B53262">
        <w:rPr>
          <w:rFonts w:eastAsia="Aptos" w:cs="Aptos"/>
        </w:rPr>
        <w:t xml:space="preserve">Zeng, C., Wei, J., Persson, M. S. M., Sarmanova, A., Doherty, M., Xie, D., Wang, Y., Li, X., Li, J., Long, H., Lei, G., &amp; Zhang, W. (2018) ‘Relative efficacy and safety of topical non-steroidal anti-inflammatory drugs for osteoarthritis: a systematic review and network meta-analysis of randomised controlled trials and observational studies.’ </w:t>
      </w:r>
      <w:r w:rsidRPr="00B53262">
        <w:rPr>
          <w:rFonts w:eastAsia="Aptos" w:cs="Aptos"/>
          <w:i/>
          <w:iCs/>
        </w:rPr>
        <w:t>British journal of sports medicine</w:t>
      </w:r>
      <w:r w:rsidRPr="00B53262">
        <w:rPr>
          <w:rFonts w:eastAsia="Aptos" w:cs="Aptos"/>
        </w:rPr>
        <w:t xml:space="preserve">, </w:t>
      </w:r>
      <w:r w:rsidRPr="00B53262">
        <w:rPr>
          <w:rFonts w:eastAsia="Aptos" w:cs="Aptos"/>
          <w:i/>
          <w:iCs/>
        </w:rPr>
        <w:t>52</w:t>
      </w:r>
      <w:r w:rsidRPr="00B53262">
        <w:rPr>
          <w:rFonts w:eastAsia="Aptos" w:cs="Aptos"/>
        </w:rPr>
        <w:t xml:space="preserve">(10), 642–650. </w:t>
      </w:r>
      <w:hyperlink r:id="rId60">
        <w:r w:rsidRPr="00B53262">
          <w:rPr>
            <w:rStyle w:val="Hyperlink"/>
            <w:rFonts w:eastAsia="Aptos" w:cs="Aptos"/>
            <w:color w:val="auto"/>
          </w:rPr>
          <w:t>https://doi.org/10.1136/bjsports-2017-098043</w:t>
        </w:r>
      </w:hyperlink>
      <w:r w:rsidRPr="00B53262">
        <w:rPr>
          <w:rFonts w:eastAsia="Aptos" w:cs="Aptos"/>
        </w:rPr>
        <w:t xml:space="preserve">.  </w:t>
      </w:r>
      <w:r w:rsidRPr="00B53262">
        <w:rPr>
          <w:rFonts w:eastAsia="Aptos" w:cs="Aptos"/>
          <w:lang w:val="en-US"/>
        </w:rPr>
        <w:t xml:space="preserve"> </w:t>
      </w:r>
    </w:p>
    <w:p w14:paraId="5DC3E3D4" w14:textId="28DD2874" w:rsidR="19DE3499" w:rsidRPr="00B53262" w:rsidRDefault="19DE3499" w:rsidP="00B53262">
      <w:pPr>
        <w:spacing w:line="276" w:lineRule="auto"/>
        <w:jc w:val="both"/>
      </w:pPr>
      <w:r w:rsidRPr="00B53262">
        <w:rPr>
          <w:rFonts w:eastAsia="Aptos" w:cs="Aptos"/>
        </w:rPr>
        <w:t xml:space="preserve">Zengini, E., Finan, C., &amp; Wilkinson, J. M. (2016) ‘The Genetic Epidemiological Landscape of Hip and Knee Osteoarthritis: Where Are We Now and Where Are We Going.’  </w:t>
      </w:r>
      <w:r w:rsidRPr="00B53262">
        <w:rPr>
          <w:rFonts w:eastAsia="Aptos" w:cs="Aptos"/>
          <w:i/>
          <w:iCs/>
        </w:rPr>
        <w:t>The Journal of rheumatology</w:t>
      </w:r>
      <w:r w:rsidRPr="00B53262">
        <w:rPr>
          <w:rFonts w:eastAsia="Aptos" w:cs="Aptos"/>
        </w:rPr>
        <w:t xml:space="preserve">, </w:t>
      </w:r>
      <w:r w:rsidRPr="00B53262">
        <w:rPr>
          <w:rFonts w:eastAsia="Aptos" w:cs="Aptos"/>
          <w:i/>
          <w:iCs/>
        </w:rPr>
        <w:t>43</w:t>
      </w:r>
      <w:r w:rsidRPr="00B53262">
        <w:rPr>
          <w:rFonts w:eastAsia="Aptos" w:cs="Aptos"/>
        </w:rPr>
        <w:t xml:space="preserve">(2), 260–266.Available at:  </w:t>
      </w:r>
      <w:hyperlink r:id="rId61">
        <w:r w:rsidRPr="00B53262">
          <w:rPr>
            <w:rStyle w:val="Hyperlink"/>
            <w:rFonts w:eastAsia="Aptos" w:cs="Aptos"/>
            <w:color w:val="auto"/>
          </w:rPr>
          <w:t>https://doi.org/10.3899/jrheum.150710</w:t>
        </w:r>
      </w:hyperlink>
      <w:r w:rsidRPr="00B53262">
        <w:rPr>
          <w:rFonts w:eastAsia="Aptos" w:cs="Aptos"/>
          <w:lang w:val="en-US"/>
        </w:rPr>
        <w:t xml:space="preserve"> </w:t>
      </w:r>
    </w:p>
    <w:p w14:paraId="570D251D" w14:textId="1C390571" w:rsidR="19DE3499" w:rsidRPr="00B53262" w:rsidRDefault="19DE3499" w:rsidP="00B53262">
      <w:pPr>
        <w:spacing w:line="276" w:lineRule="auto"/>
        <w:jc w:val="both"/>
      </w:pPr>
      <w:r w:rsidRPr="00B53262">
        <w:rPr>
          <w:rFonts w:eastAsia="Aptos" w:cs="Aptos"/>
        </w:rPr>
        <w:t xml:space="preserve"> </w:t>
      </w:r>
    </w:p>
    <w:p w14:paraId="269A78BA" w14:textId="4E7C3679" w:rsidR="19DE3499" w:rsidRPr="00B53262" w:rsidRDefault="19DE3499" w:rsidP="00B53262">
      <w:pPr>
        <w:spacing w:line="276" w:lineRule="auto"/>
        <w:jc w:val="both"/>
      </w:pPr>
      <w:r w:rsidRPr="00B53262">
        <w:rPr>
          <w:rFonts w:eastAsia="Aptos" w:cs="Aptos"/>
        </w:rPr>
        <w:t xml:space="preserve"> </w:t>
      </w:r>
    </w:p>
    <w:p w14:paraId="72FB11E5" w14:textId="4A716AAA" w:rsidR="19DE3499" w:rsidRPr="00B53262" w:rsidRDefault="19DE3499" w:rsidP="00B53262">
      <w:pPr>
        <w:spacing w:line="276" w:lineRule="auto"/>
        <w:jc w:val="both"/>
      </w:pPr>
      <w:r w:rsidRPr="00B53262">
        <w:rPr>
          <w:rFonts w:eastAsia="Aptos" w:cs="Aptos"/>
        </w:rPr>
        <w:t xml:space="preserve"> </w:t>
      </w:r>
    </w:p>
    <w:p w14:paraId="5B51B5F9" w14:textId="772C0254" w:rsidR="19DE3499" w:rsidRPr="00B53262" w:rsidRDefault="19DE3499" w:rsidP="00B53262">
      <w:pPr>
        <w:spacing w:line="276" w:lineRule="auto"/>
        <w:jc w:val="both"/>
      </w:pPr>
      <w:r w:rsidRPr="00B53262">
        <w:rPr>
          <w:rFonts w:eastAsia="Aptos" w:cs="Aptos"/>
        </w:rPr>
        <w:t xml:space="preserve"> </w:t>
      </w:r>
    </w:p>
    <w:p w14:paraId="62C4798B" w14:textId="27F85C36" w:rsidR="19DE3499" w:rsidRPr="00B53262" w:rsidRDefault="19DE3499" w:rsidP="00B53262">
      <w:pPr>
        <w:spacing w:line="276" w:lineRule="auto"/>
        <w:jc w:val="both"/>
      </w:pPr>
      <w:r w:rsidRPr="00B53262">
        <w:rPr>
          <w:rFonts w:eastAsia="Aptos" w:cs="Aptos"/>
        </w:rPr>
        <w:t xml:space="preserve"> </w:t>
      </w:r>
    </w:p>
    <w:p w14:paraId="3FDB410F" w14:textId="6BCB51FC" w:rsidR="19DE3499" w:rsidRPr="00B53262" w:rsidRDefault="19DE3499" w:rsidP="00B53262">
      <w:pPr>
        <w:spacing w:line="276" w:lineRule="auto"/>
        <w:jc w:val="both"/>
      </w:pPr>
      <w:r w:rsidRPr="00B53262">
        <w:rPr>
          <w:rFonts w:eastAsia="Aptos" w:cs="Aptos"/>
        </w:rPr>
        <w:t xml:space="preserve"> </w:t>
      </w:r>
    </w:p>
    <w:p w14:paraId="1CFE1911" w14:textId="7B741483" w:rsidR="19DE3499" w:rsidRPr="00B53262" w:rsidRDefault="19DE3499" w:rsidP="00B53262">
      <w:pPr>
        <w:spacing w:line="276" w:lineRule="auto"/>
        <w:jc w:val="both"/>
      </w:pPr>
      <w:r w:rsidRPr="00B53262">
        <w:rPr>
          <w:rFonts w:eastAsia="Aptos" w:cs="Aptos"/>
        </w:rPr>
        <w:t xml:space="preserve"> </w:t>
      </w:r>
    </w:p>
    <w:p w14:paraId="4FB271AA" w14:textId="107A172B" w:rsidR="3864A4C8" w:rsidRPr="00B53262" w:rsidRDefault="3864A4C8" w:rsidP="00B53262">
      <w:pPr>
        <w:spacing w:line="276" w:lineRule="auto"/>
        <w:jc w:val="both"/>
        <w:rPr>
          <w:rFonts w:eastAsia="Aptos" w:cs="Aptos"/>
        </w:rPr>
      </w:pPr>
    </w:p>
    <w:p w14:paraId="2C91D3F7" w14:textId="766CA0D4" w:rsidR="1ED65496" w:rsidRPr="00B53262" w:rsidRDefault="1ED65496" w:rsidP="00B53262">
      <w:pPr>
        <w:jc w:val="both"/>
      </w:pPr>
    </w:p>
    <w:p w14:paraId="34BDF0C0" w14:textId="36179BC1" w:rsidR="537BA60F" w:rsidRPr="00B53262" w:rsidRDefault="537BA60F" w:rsidP="00B53262">
      <w:pPr>
        <w:jc w:val="both"/>
      </w:pPr>
    </w:p>
    <w:p w14:paraId="34C6A24A" w14:textId="43219195" w:rsidR="537BA60F" w:rsidRPr="00B53262" w:rsidRDefault="537BA60F" w:rsidP="00B53262">
      <w:pPr>
        <w:jc w:val="both"/>
      </w:pPr>
    </w:p>
    <w:p w14:paraId="6FB76F22" w14:textId="0E315F11" w:rsidR="537BA60F" w:rsidRPr="00B53262" w:rsidRDefault="537BA60F" w:rsidP="00B53262">
      <w:pPr>
        <w:jc w:val="both"/>
      </w:pPr>
    </w:p>
    <w:p w14:paraId="19222606" w14:textId="4E75D994" w:rsidR="537BA60F" w:rsidRPr="00B53262" w:rsidRDefault="537BA60F" w:rsidP="00B53262">
      <w:pPr>
        <w:jc w:val="both"/>
      </w:pPr>
    </w:p>
    <w:p w14:paraId="233134A1" w14:textId="4900C4C2" w:rsidR="537BA60F" w:rsidRPr="00B53262" w:rsidRDefault="537BA60F" w:rsidP="00B53262">
      <w:pPr>
        <w:jc w:val="both"/>
      </w:pPr>
    </w:p>
    <w:p w14:paraId="3AAAE212" w14:textId="451124C3" w:rsidR="537BA60F" w:rsidRPr="00B53262" w:rsidRDefault="537BA60F" w:rsidP="00B53262">
      <w:pPr>
        <w:jc w:val="both"/>
      </w:pPr>
    </w:p>
    <w:p w14:paraId="6453BF5D" w14:textId="597C7A25" w:rsidR="537BA60F" w:rsidRPr="00225D19" w:rsidRDefault="537BA60F" w:rsidP="537BA60F"/>
    <w:sectPr w:rsidR="537BA60F" w:rsidRPr="00225D19">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106366" w14:textId="77777777" w:rsidR="00105033" w:rsidRDefault="00105033" w:rsidP="00757A2B">
      <w:pPr>
        <w:spacing w:after="0" w:line="240" w:lineRule="auto"/>
      </w:pPr>
      <w:r>
        <w:separator/>
      </w:r>
    </w:p>
  </w:endnote>
  <w:endnote w:type="continuationSeparator" w:id="0">
    <w:p w14:paraId="2A344EAF" w14:textId="77777777" w:rsidR="00105033" w:rsidRDefault="00105033" w:rsidP="00757A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8834847"/>
      <w:docPartObj>
        <w:docPartGallery w:val="Page Numbers (Bottom of Page)"/>
        <w:docPartUnique/>
      </w:docPartObj>
    </w:sdtPr>
    <w:sdtEndPr>
      <w:rPr>
        <w:noProof/>
      </w:rPr>
    </w:sdtEndPr>
    <w:sdtContent>
      <w:p w14:paraId="3E106A0C" w14:textId="3581B877" w:rsidR="00757A2B" w:rsidRDefault="00757A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8C46FF" w14:textId="77777777" w:rsidR="00757A2B" w:rsidRDefault="00757A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A7B632" w14:textId="77777777" w:rsidR="00105033" w:rsidRDefault="00105033" w:rsidP="00757A2B">
      <w:pPr>
        <w:spacing w:after="0" w:line="240" w:lineRule="auto"/>
      </w:pPr>
      <w:r>
        <w:separator/>
      </w:r>
    </w:p>
  </w:footnote>
  <w:footnote w:type="continuationSeparator" w:id="0">
    <w:p w14:paraId="108ACFB8" w14:textId="77777777" w:rsidR="00105033" w:rsidRDefault="00105033" w:rsidP="00757A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93543"/>
    <w:multiLevelType w:val="hybridMultilevel"/>
    <w:tmpl w:val="FFFFFFFF"/>
    <w:lvl w:ilvl="0" w:tplc="96C461AC">
      <w:start w:val="1"/>
      <w:numFmt w:val="bullet"/>
      <w:lvlText w:val=""/>
      <w:lvlJc w:val="left"/>
      <w:pPr>
        <w:ind w:left="720" w:hanging="360"/>
      </w:pPr>
      <w:rPr>
        <w:rFonts w:ascii="Symbol" w:hAnsi="Symbol" w:hint="default"/>
      </w:rPr>
    </w:lvl>
    <w:lvl w:ilvl="1" w:tplc="93F6AA16">
      <w:start w:val="1"/>
      <w:numFmt w:val="bullet"/>
      <w:lvlText w:val="o"/>
      <w:lvlJc w:val="left"/>
      <w:pPr>
        <w:ind w:left="1440" w:hanging="360"/>
      </w:pPr>
      <w:rPr>
        <w:rFonts w:ascii="Courier New" w:hAnsi="Courier New" w:hint="default"/>
      </w:rPr>
    </w:lvl>
    <w:lvl w:ilvl="2" w:tplc="ABDE137E">
      <w:start w:val="1"/>
      <w:numFmt w:val="bullet"/>
      <w:lvlText w:val=""/>
      <w:lvlJc w:val="left"/>
      <w:pPr>
        <w:ind w:left="2160" w:hanging="360"/>
      </w:pPr>
      <w:rPr>
        <w:rFonts w:ascii="Wingdings" w:hAnsi="Wingdings" w:hint="default"/>
      </w:rPr>
    </w:lvl>
    <w:lvl w:ilvl="3" w:tplc="19FC4D66">
      <w:start w:val="1"/>
      <w:numFmt w:val="bullet"/>
      <w:lvlText w:val=""/>
      <w:lvlJc w:val="left"/>
      <w:pPr>
        <w:ind w:left="2880" w:hanging="360"/>
      </w:pPr>
      <w:rPr>
        <w:rFonts w:ascii="Symbol" w:hAnsi="Symbol" w:hint="default"/>
      </w:rPr>
    </w:lvl>
    <w:lvl w:ilvl="4" w:tplc="A7E8F952">
      <w:start w:val="1"/>
      <w:numFmt w:val="bullet"/>
      <w:lvlText w:val="o"/>
      <w:lvlJc w:val="left"/>
      <w:pPr>
        <w:ind w:left="3600" w:hanging="360"/>
      </w:pPr>
      <w:rPr>
        <w:rFonts w:ascii="Courier New" w:hAnsi="Courier New" w:hint="default"/>
      </w:rPr>
    </w:lvl>
    <w:lvl w:ilvl="5" w:tplc="80385E54">
      <w:start w:val="1"/>
      <w:numFmt w:val="bullet"/>
      <w:lvlText w:val=""/>
      <w:lvlJc w:val="left"/>
      <w:pPr>
        <w:ind w:left="4320" w:hanging="360"/>
      </w:pPr>
      <w:rPr>
        <w:rFonts w:ascii="Wingdings" w:hAnsi="Wingdings" w:hint="default"/>
      </w:rPr>
    </w:lvl>
    <w:lvl w:ilvl="6" w:tplc="30D26E30">
      <w:start w:val="1"/>
      <w:numFmt w:val="bullet"/>
      <w:lvlText w:val=""/>
      <w:lvlJc w:val="left"/>
      <w:pPr>
        <w:ind w:left="5040" w:hanging="360"/>
      </w:pPr>
      <w:rPr>
        <w:rFonts w:ascii="Symbol" w:hAnsi="Symbol" w:hint="default"/>
      </w:rPr>
    </w:lvl>
    <w:lvl w:ilvl="7" w:tplc="AF782108">
      <w:start w:val="1"/>
      <w:numFmt w:val="bullet"/>
      <w:lvlText w:val="o"/>
      <w:lvlJc w:val="left"/>
      <w:pPr>
        <w:ind w:left="5760" w:hanging="360"/>
      </w:pPr>
      <w:rPr>
        <w:rFonts w:ascii="Courier New" w:hAnsi="Courier New" w:hint="default"/>
      </w:rPr>
    </w:lvl>
    <w:lvl w:ilvl="8" w:tplc="848682E0">
      <w:start w:val="1"/>
      <w:numFmt w:val="bullet"/>
      <w:lvlText w:val=""/>
      <w:lvlJc w:val="left"/>
      <w:pPr>
        <w:ind w:left="6480" w:hanging="360"/>
      </w:pPr>
      <w:rPr>
        <w:rFonts w:ascii="Wingdings" w:hAnsi="Wingdings" w:hint="default"/>
      </w:rPr>
    </w:lvl>
  </w:abstractNum>
  <w:abstractNum w:abstractNumId="1" w15:restartNumberingAfterBreak="0">
    <w:nsid w:val="090F2F88"/>
    <w:multiLevelType w:val="hybridMultilevel"/>
    <w:tmpl w:val="FFFFFFFF"/>
    <w:lvl w:ilvl="0" w:tplc="14123522">
      <w:start w:val="1"/>
      <w:numFmt w:val="decimal"/>
      <w:lvlText w:val="%1."/>
      <w:lvlJc w:val="left"/>
      <w:pPr>
        <w:ind w:left="720" w:hanging="360"/>
      </w:pPr>
    </w:lvl>
    <w:lvl w:ilvl="1" w:tplc="C3DC66FC">
      <w:start w:val="1"/>
      <w:numFmt w:val="lowerLetter"/>
      <w:lvlText w:val="%2."/>
      <w:lvlJc w:val="left"/>
      <w:pPr>
        <w:ind w:left="1440" w:hanging="360"/>
      </w:pPr>
    </w:lvl>
    <w:lvl w:ilvl="2" w:tplc="58C63C6C">
      <w:start w:val="1"/>
      <w:numFmt w:val="lowerRoman"/>
      <w:lvlText w:val="%3."/>
      <w:lvlJc w:val="right"/>
      <w:pPr>
        <w:ind w:left="2160" w:hanging="180"/>
      </w:pPr>
    </w:lvl>
    <w:lvl w:ilvl="3" w:tplc="810C3682">
      <w:start w:val="1"/>
      <w:numFmt w:val="decimal"/>
      <w:lvlText w:val="%4."/>
      <w:lvlJc w:val="left"/>
      <w:pPr>
        <w:ind w:left="2880" w:hanging="360"/>
      </w:pPr>
    </w:lvl>
    <w:lvl w:ilvl="4" w:tplc="71CE724A">
      <w:start w:val="1"/>
      <w:numFmt w:val="lowerLetter"/>
      <w:lvlText w:val="%5."/>
      <w:lvlJc w:val="left"/>
      <w:pPr>
        <w:ind w:left="3600" w:hanging="360"/>
      </w:pPr>
    </w:lvl>
    <w:lvl w:ilvl="5" w:tplc="F92EF09C">
      <w:start w:val="1"/>
      <w:numFmt w:val="lowerRoman"/>
      <w:lvlText w:val="%6."/>
      <w:lvlJc w:val="right"/>
      <w:pPr>
        <w:ind w:left="4320" w:hanging="180"/>
      </w:pPr>
    </w:lvl>
    <w:lvl w:ilvl="6" w:tplc="49580574">
      <w:start w:val="1"/>
      <w:numFmt w:val="decimal"/>
      <w:lvlText w:val="%7."/>
      <w:lvlJc w:val="left"/>
      <w:pPr>
        <w:ind w:left="5040" w:hanging="360"/>
      </w:pPr>
    </w:lvl>
    <w:lvl w:ilvl="7" w:tplc="9FB21522">
      <w:start w:val="1"/>
      <w:numFmt w:val="lowerLetter"/>
      <w:lvlText w:val="%8."/>
      <w:lvlJc w:val="left"/>
      <w:pPr>
        <w:ind w:left="5760" w:hanging="360"/>
      </w:pPr>
    </w:lvl>
    <w:lvl w:ilvl="8" w:tplc="061A79E0">
      <w:start w:val="1"/>
      <w:numFmt w:val="lowerRoman"/>
      <w:lvlText w:val="%9."/>
      <w:lvlJc w:val="right"/>
      <w:pPr>
        <w:ind w:left="6480" w:hanging="180"/>
      </w:pPr>
    </w:lvl>
  </w:abstractNum>
  <w:abstractNum w:abstractNumId="2" w15:restartNumberingAfterBreak="0">
    <w:nsid w:val="0C2FB3F5"/>
    <w:multiLevelType w:val="hybridMultilevel"/>
    <w:tmpl w:val="FFFFFFFF"/>
    <w:lvl w:ilvl="0" w:tplc="5A409FCE">
      <w:start w:val="1"/>
      <w:numFmt w:val="bullet"/>
      <w:lvlText w:val=""/>
      <w:lvlJc w:val="left"/>
      <w:pPr>
        <w:ind w:left="720" w:hanging="360"/>
      </w:pPr>
      <w:rPr>
        <w:rFonts w:ascii="Symbol" w:hAnsi="Symbol" w:hint="default"/>
      </w:rPr>
    </w:lvl>
    <w:lvl w:ilvl="1" w:tplc="14FE9A16">
      <w:start w:val="1"/>
      <w:numFmt w:val="bullet"/>
      <w:lvlText w:val="o"/>
      <w:lvlJc w:val="left"/>
      <w:pPr>
        <w:ind w:left="1440" w:hanging="360"/>
      </w:pPr>
      <w:rPr>
        <w:rFonts w:ascii="Courier New" w:hAnsi="Courier New" w:hint="default"/>
      </w:rPr>
    </w:lvl>
    <w:lvl w:ilvl="2" w:tplc="BF5837CE">
      <w:start w:val="1"/>
      <w:numFmt w:val="bullet"/>
      <w:lvlText w:val=""/>
      <w:lvlJc w:val="left"/>
      <w:pPr>
        <w:ind w:left="2160" w:hanging="360"/>
      </w:pPr>
      <w:rPr>
        <w:rFonts w:ascii="Wingdings" w:hAnsi="Wingdings" w:hint="default"/>
      </w:rPr>
    </w:lvl>
    <w:lvl w:ilvl="3" w:tplc="33385FB4">
      <w:start w:val="1"/>
      <w:numFmt w:val="bullet"/>
      <w:lvlText w:val=""/>
      <w:lvlJc w:val="left"/>
      <w:pPr>
        <w:ind w:left="2880" w:hanging="360"/>
      </w:pPr>
      <w:rPr>
        <w:rFonts w:ascii="Symbol" w:hAnsi="Symbol" w:hint="default"/>
      </w:rPr>
    </w:lvl>
    <w:lvl w:ilvl="4" w:tplc="D8444306">
      <w:start w:val="1"/>
      <w:numFmt w:val="bullet"/>
      <w:lvlText w:val="o"/>
      <w:lvlJc w:val="left"/>
      <w:pPr>
        <w:ind w:left="3600" w:hanging="360"/>
      </w:pPr>
      <w:rPr>
        <w:rFonts w:ascii="Courier New" w:hAnsi="Courier New" w:hint="default"/>
      </w:rPr>
    </w:lvl>
    <w:lvl w:ilvl="5" w:tplc="B0589CC4">
      <w:start w:val="1"/>
      <w:numFmt w:val="bullet"/>
      <w:lvlText w:val=""/>
      <w:lvlJc w:val="left"/>
      <w:pPr>
        <w:ind w:left="4320" w:hanging="360"/>
      </w:pPr>
      <w:rPr>
        <w:rFonts w:ascii="Wingdings" w:hAnsi="Wingdings" w:hint="default"/>
      </w:rPr>
    </w:lvl>
    <w:lvl w:ilvl="6" w:tplc="85D01F38">
      <w:start w:val="1"/>
      <w:numFmt w:val="bullet"/>
      <w:lvlText w:val=""/>
      <w:lvlJc w:val="left"/>
      <w:pPr>
        <w:ind w:left="5040" w:hanging="360"/>
      </w:pPr>
      <w:rPr>
        <w:rFonts w:ascii="Symbol" w:hAnsi="Symbol" w:hint="default"/>
      </w:rPr>
    </w:lvl>
    <w:lvl w:ilvl="7" w:tplc="23DC2DD2">
      <w:start w:val="1"/>
      <w:numFmt w:val="bullet"/>
      <w:lvlText w:val="o"/>
      <w:lvlJc w:val="left"/>
      <w:pPr>
        <w:ind w:left="5760" w:hanging="360"/>
      </w:pPr>
      <w:rPr>
        <w:rFonts w:ascii="Courier New" w:hAnsi="Courier New" w:hint="default"/>
      </w:rPr>
    </w:lvl>
    <w:lvl w:ilvl="8" w:tplc="20AA7D80">
      <w:start w:val="1"/>
      <w:numFmt w:val="bullet"/>
      <w:lvlText w:val=""/>
      <w:lvlJc w:val="left"/>
      <w:pPr>
        <w:ind w:left="6480" w:hanging="360"/>
      </w:pPr>
      <w:rPr>
        <w:rFonts w:ascii="Wingdings" w:hAnsi="Wingdings" w:hint="default"/>
      </w:rPr>
    </w:lvl>
  </w:abstractNum>
  <w:abstractNum w:abstractNumId="3" w15:restartNumberingAfterBreak="0">
    <w:nsid w:val="0EE9ADA4"/>
    <w:multiLevelType w:val="hybridMultilevel"/>
    <w:tmpl w:val="FFFFFFFF"/>
    <w:lvl w:ilvl="0" w:tplc="1722B4A4">
      <w:start w:val="1"/>
      <w:numFmt w:val="bullet"/>
      <w:lvlText w:val=""/>
      <w:lvlJc w:val="left"/>
      <w:pPr>
        <w:ind w:left="720" w:hanging="360"/>
      </w:pPr>
      <w:rPr>
        <w:rFonts w:ascii="Symbol" w:hAnsi="Symbol" w:hint="default"/>
      </w:rPr>
    </w:lvl>
    <w:lvl w:ilvl="1" w:tplc="6E926592">
      <w:start w:val="1"/>
      <w:numFmt w:val="bullet"/>
      <w:lvlText w:val="o"/>
      <w:lvlJc w:val="left"/>
      <w:pPr>
        <w:ind w:left="1440" w:hanging="360"/>
      </w:pPr>
      <w:rPr>
        <w:rFonts w:ascii="Courier New" w:hAnsi="Courier New" w:hint="default"/>
      </w:rPr>
    </w:lvl>
    <w:lvl w:ilvl="2" w:tplc="288834E0">
      <w:start w:val="1"/>
      <w:numFmt w:val="bullet"/>
      <w:lvlText w:val=""/>
      <w:lvlJc w:val="left"/>
      <w:pPr>
        <w:ind w:left="2160" w:hanging="360"/>
      </w:pPr>
      <w:rPr>
        <w:rFonts w:ascii="Wingdings" w:hAnsi="Wingdings" w:hint="default"/>
      </w:rPr>
    </w:lvl>
    <w:lvl w:ilvl="3" w:tplc="C2A27334">
      <w:start w:val="1"/>
      <w:numFmt w:val="bullet"/>
      <w:lvlText w:val=""/>
      <w:lvlJc w:val="left"/>
      <w:pPr>
        <w:ind w:left="2880" w:hanging="360"/>
      </w:pPr>
      <w:rPr>
        <w:rFonts w:ascii="Symbol" w:hAnsi="Symbol" w:hint="default"/>
      </w:rPr>
    </w:lvl>
    <w:lvl w:ilvl="4" w:tplc="256848EC">
      <w:start w:val="1"/>
      <w:numFmt w:val="bullet"/>
      <w:lvlText w:val="o"/>
      <w:lvlJc w:val="left"/>
      <w:pPr>
        <w:ind w:left="3600" w:hanging="360"/>
      </w:pPr>
      <w:rPr>
        <w:rFonts w:ascii="Courier New" w:hAnsi="Courier New" w:hint="default"/>
      </w:rPr>
    </w:lvl>
    <w:lvl w:ilvl="5" w:tplc="EB164DBA">
      <w:start w:val="1"/>
      <w:numFmt w:val="bullet"/>
      <w:lvlText w:val=""/>
      <w:lvlJc w:val="left"/>
      <w:pPr>
        <w:ind w:left="4320" w:hanging="360"/>
      </w:pPr>
      <w:rPr>
        <w:rFonts w:ascii="Wingdings" w:hAnsi="Wingdings" w:hint="default"/>
      </w:rPr>
    </w:lvl>
    <w:lvl w:ilvl="6" w:tplc="6302D030">
      <w:start w:val="1"/>
      <w:numFmt w:val="bullet"/>
      <w:lvlText w:val=""/>
      <w:lvlJc w:val="left"/>
      <w:pPr>
        <w:ind w:left="5040" w:hanging="360"/>
      </w:pPr>
      <w:rPr>
        <w:rFonts w:ascii="Symbol" w:hAnsi="Symbol" w:hint="default"/>
      </w:rPr>
    </w:lvl>
    <w:lvl w:ilvl="7" w:tplc="4824FE6E">
      <w:start w:val="1"/>
      <w:numFmt w:val="bullet"/>
      <w:lvlText w:val="o"/>
      <w:lvlJc w:val="left"/>
      <w:pPr>
        <w:ind w:left="5760" w:hanging="360"/>
      </w:pPr>
      <w:rPr>
        <w:rFonts w:ascii="Courier New" w:hAnsi="Courier New" w:hint="default"/>
      </w:rPr>
    </w:lvl>
    <w:lvl w:ilvl="8" w:tplc="663EE000">
      <w:start w:val="1"/>
      <w:numFmt w:val="bullet"/>
      <w:lvlText w:val=""/>
      <w:lvlJc w:val="left"/>
      <w:pPr>
        <w:ind w:left="6480" w:hanging="360"/>
      </w:pPr>
      <w:rPr>
        <w:rFonts w:ascii="Wingdings" w:hAnsi="Wingdings" w:hint="default"/>
      </w:rPr>
    </w:lvl>
  </w:abstractNum>
  <w:abstractNum w:abstractNumId="4" w15:restartNumberingAfterBreak="0">
    <w:nsid w:val="41DE3E00"/>
    <w:multiLevelType w:val="hybridMultilevel"/>
    <w:tmpl w:val="FFFFFFFF"/>
    <w:lvl w:ilvl="0" w:tplc="EC3C754A">
      <w:start w:val="1"/>
      <w:numFmt w:val="decimal"/>
      <w:lvlText w:val="%1."/>
      <w:lvlJc w:val="left"/>
      <w:pPr>
        <w:ind w:left="720" w:hanging="360"/>
      </w:pPr>
    </w:lvl>
    <w:lvl w:ilvl="1" w:tplc="2DC4232C">
      <w:start w:val="1"/>
      <w:numFmt w:val="lowerLetter"/>
      <w:lvlText w:val="%2."/>
      <w:lvlJc w:val="left"/>
      <w:pPr>
        <w:ind w:left="1440" w:hanging="360"/>
      </w:pPr>
    </w:lvl>
    <w:lvl w:ilvl="2" w:tplc="BC64D936">
      <w:start w:val="1"/>
      <w:numFmt w:val="lowerRoman"/>
      <w:lvlText w:val="%3."/>
      <w:lvlJc w:val="right"/>
      <w:pPr>
        <w:ind w:left="2160" w:hanging="180"/>
      </w:pPr>
    </w:lvl>
    <w:lvl w:ilvl="3" w:tplc="6F6AC76E">
      <w:start w:val="1"/>
      <w:numFmt w:val="decimal"/>
      <w:lvlText w:val="%4."/>
      <w:lvlJc w:val="left"/>
      <w:pPr>
        <w:ind w:left="2880" w:hanging="360"/>
      </w:pPr>
    </w:lvl>
    <w:lvl w:ilvl="4" w:tplc="46102496">
      <w:start w:val="1"/>
      <w:numFmt w:val="lowerLetter"/>
      <w:lvlText w:val="%5."/>
      <w:lvlJc w:val="left"/>
      <w:pPr>
        <w:ind w:left="3600" w:hanging="360"/>
      </w:pPr>
    </w:lvl>
    <w:lvl w:ilvl="5" w:tplc="0C86B5DE">
      <w:start w:val="1"/>
      <w:numFmt w:val="lowerRoman"/>
      <w:lvlText w:val="%6."/>
      <w:lvlJc w:val="right"/>
      <w:pPr>
        <w:ind w:left="4320" w:hanging="180"/>
      </w:pPr>
    </w:lvl>
    <w:lvl w:ilvl="6" w:tplc="A7E2FB4A">
      <w:start w:val="1"/>
      <w:numFmt w:val="decimal"/>
      <w:lvlText w:val="%7."/>
      <w:lvlJc w:val="left"/>
      <w:pPr>
        <w:ind w:left="5040" w:hanging="360"/>
      </w:pPr>
    </w:lvl>
    <w:lvl w:ilvl="7" w:tplc="0C9657C6">
      <w:start w:val="1"/>
      <w:numFmt w:val="lowerLetter"/>
      <w:lvlText w:val="%8."/>
      <w:lvlJc w:val="left"/>
      <w:pPr>
        <w:ind w:left="5760" w:hanging="360"/>
      </w:pPr>
    </w:lvl>
    <w:lvl w:ilvl="8" w:tplc="97D41032">
      <w:start w:val="1"/>
      <w:numFmt w:val="lowerRoman"/>
      <w:lvlText w:val="%9."/>
      <w:lvlJc w:val="right"/>
      <w:pPr>
        <w:ind w:left="6480" w:hanging="180"/>
      </w:pPr>
    </w:lvl>
  </w:abstractNum>
  <w:abstractNum w:abstractNumId="5" w15:restartNumberingAfterBreak="0">
    <w:nsid w:val="55F9003C"/>
    <w:multiLevelType w:val="hybridMultilevel"/>
    <w:tmpl w:val="FFFFFFFF"/>
    <w:lvl w:ilvl="0" w:tplc="E146E402">
      <w:start w:val="1"/>
      <w:numFmt w:val="bullet"/>
      <w:lvlText w:val=""/>
      <w:lvlJc w:val="left"/>
      <w:pPr>
        <w:ind w:left="720" w:hanging="360"/>
      </w:pPr>
      <w:rPr>
        <w:rFonts w:ascii="Symbol" w:hAnsi="Symbol" w:hint="default"/>
      </w:rPr>
    </w:lvl>
    <w:lvl w:ilvl="1" w:tplc="E5D83582">
      <w:start w:val="1"/>
      <w:numFmt w:val="bullet"/>
      <w:lvlText w:val="o"/>
      <w:lvlJc w:val="left"/>
      <w:pPr>
        <w:ind w:left="1440" w:hanging="360"/>
      </w:pPr>
      <w:rPr>
        <w:rFonts w:ascii="Courier New" w:hAnsi="Courier New" w:hint="default"/>
      </w:rPr>
    </w:lvl>
    <w:lvl w:ilvl="2" w:tplc="1A965432">
      <w:start w:val="1"/>
      <w:numFmt w:val="bullet"/>
      <w:lvlText w:val=""/>
      <w:lvlJc w:val="left"/>
      <w:pPr>
        <w:ind w:left="2160" w:hanging="360"/>
      </w:pPr>
      <w:rPr>
        <w:rFonts w:ascii="Wingdings" w:hAnsi="Wingdings" w:hint="default"/>
      </w:rPr>
    </w:lvl>
    <w:lvl w:ilvl="3" w:tplc="809E9E42">
      <w:start w:val="1"/>
      <w:numFmt w:val="bullet"/>
      <w:lvlText w:val=""/>
      <w:lvlJc w:val="left"/>
      <w:pPr>
        <w:ind w:left="2880" w:hanging="360"/>
      </w:pPr>
      <w:rPr>
        <w:rFonts w:ascii="Symbol" w:hAnsi="Symbol" w:hint="default"/>
      </w:rPr>
    </w:lvl>
    <w:lvl w:ilvl="4" w:tplc="D4568754">
      <w:start w:val="1"/>
      <w:numFmt w:val="bullet"/>
      <w:lvlText w:val="o"/>
      <w:lvlJc w:val="left"/>
      <w:pPr>
        <w:ind w:left="3600" w:hanging="360"/>
      </w:pPr>
      <w:rPr>
        <w:rFonts w:ascii="Courier New" w:hAnsi="Courier New" w:hint="default"/>
      </w:rPr>
    </w:lvl>
    <w:lvl w:ilvl="5" w:tplc="40A6A4DA">
      <w:start w:val="1"/>
      <w:numFmt w:val="bullet"/>
      <w:lvlText w:val=""/>
      <w:lvlJc w:val="left"/>
      <w:pPr>
        <w:ind w:left="4320" w:hanging="360"/>
      </w:pPr>
      <w:rPr>
        <w:rFonts w:ascii="Wingdings" w:hAnsi="Wingdings" w:hint="default"/>
      </w:rPr>
    </w:lvl>
    <w:lvl w:ilvl="6" w:tplc="DA5697BE">
      <w:start w:val="1"/>
      <w:numFmt w:val="bullet"/>
      <w:lvlText w:val=""/>
      <w:lvlJc w:val="left"/>
      <w:pPr>
        <w:ind w:left="5040" w:hanging="360"/>
      </w:pPr>
      <w:rPr>
        <w:rFonts w:ascii="Symbol" w:hAnsi="Symbol" w:hint="default"/>
      </w:rPr>
    </w:lvl>
    <w:lvl w:ilvl="7" w:tplc="DE4226B0">
      <w:start w:val="1"/>
      <w:numFmt w:val="bullet"/>
      <w:lvlText w:val="o"/>
      <w:lvlJc w:val="left"/>
      <w:pPr>
        <w:ind w:left="5760" w:hanging="360"/>
      </w:pPr>
      <w:rPr>
        <w:rFonts w:ascii="Courier New" w:hAnsi="Courier New" w:hint="default"/>
      </w:rPr>
    </w:lvl>
    <w:lvl w:ilvl="8" w:tplc="B56ECDF6">
      <w:start w:val="1"/>
      <w:numFmt w:val="bullet"/>
      <w:lvlText w:val=""/>
      <w:lvlJc w:val="left"/>
      <w:pPr>
        <w:ind w:left="6480" w:hanging="360"/>
      </w:pPr>
      <w:rPr>
        <w:rFonts w:ascii="Wingdings" w:hAnsi="Wingdings" w:hint="default"/>
      </w:rPr>
    </w:lvl>
  </w:abstractNum>
  <w:num w:numId="1" w16cid:durableId="1230340045">
    <w:abstractNumId w:val="0"/>
  </w:num>
  <w:num w:numId="2" w16cid:durableId="1287613892">
    <w:abstractNumId w:val="3"/>
  </w:num>
  <w:num w:numId="3" w16cid:durableId="1616522008">
    <w:abstractNumId w:val="1"/>
  </w:num>
  <w:num w:numId="4" w16cid:durableId="2075083835">
    <w:abstractNumId w:val="5"/>
  </w:num>
  <w:num w:numId="5" w16cid:durableId="457381526">
    <w:abstractNumId w:val="2"/>
  </w:num>
  <w:num w:numId="6" w16cid:durableId="9626899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C40"/>
    <w:rsid w:val="00000463"/>
    <w:rsid w:val="00002128"/>
    <w:rsid w:val="000045B3"/>
    <w:rsid w:val="00004794"/>
    <w:rsid w:val="000047C0"/>
    <w:rsid w:val="0000492D"/>
    <w:rsid w:val="000051C4"/>
    <w:rsid w:val="00005697"/>
    <w:rsid w:val="0000632E"/>
    <w:rsid w:val="0000667D"/>
    <w:rsid w:val="000102D9"/>
    <w:rsid w:val="0001057C"/>
    <w:rsid w:val="00011C7F"/>
    <w:rsid w:val="00012A6A"/>
    <w:rsid w:val="00013358"/>
    <w:rsid w:val="000137E1"/>
    <w:rsid w:val="0001480C"/>
    <w:rsid w:val="00014A59"/>
    <w:rsid w:val="00016A1A"/>
    <w:rsid w:val="00017E27"/>
    <w:rsid w:val="00021EA3"/>
    <w:rsid w:val="0002438F"/>
    <w:rsid w:val="00024846"/>
    <w:rsid w:val="00026340"/>
    <w:rsid w:val="0002799A"/>
    <w:rsid w:val="000300DA"/>
    <w:rsid w:val="00031C40"/>
    <w:rsid w:val="00032376"/>
    <w:rsid w:val="0003251A"/>
    <w:rsid w:val="00033354"/>
    <w:rsid w:val="0003640A"/>
    <w:rsid w:val="00037C29"/>
    <w:rsid w:val="00037D23"/>
    <w:rsid w:val="00040C3D"/>
    <w:rsid w:val="000418C5"/>
    <w:rsid w:val="00042204"/>
    <w:rsid w:val="0004361C"/>
    <w:rsid w:val="00043905"/>
    <w:rsid w:val="00044106"/>
    <w:rsid w:val="000449AA"/>
    <w:rsid w:val="000452B4"/>
    <w:rsid w:val="00045614"/>
    <w:rsid w:val="000465FB"/>
    <w:rsid w:val="00046C4B"/>
    <w:rsid w:val="000479F0"/>
    <w:rsid w:val="00047C0F"/>
    <w:rsid w:val="00047DA7"/>
    <w:rsid w:val="00047E6F"/>
    <w:rsid w:val="00051B66"/>
    <w:rsid w:val="000537DD"/>
    <w:rsid w:val="00053F83"/>
    <w:rsid w:val="0005474F"/>
    <w:rsid w:val="000556F6"/>
    <w:rsid w:val="000569A1"/>
    <w:rsid w:val="000569D8"/>
    <w:rsid w:val="00056A5F"/>
    <w:rsid w:val="000570D2"/>
    <w:rsid w:val="00057442"/>
    <w:rsid w:val="00061095"/>
    <w:rsid w:val="0006127E"/>
    <w:rsid w:val="000615F0"/>
    <w:rsid w:val="00062710"/>
    <w:rsid w:val="00063028"/>
    <w:rsid w:val="000641BE"/>
    <w:rsid w:val="000649ED"/>
    <w:rsid w:val="00065759"/>
    <w:rsid w:val="000657B0"/>
    <w:rsid w:val="00065DAC"/>
    <w:rsid w:val="0006625F"/>
    <w:rsid w:val="00066A15"/>
    <w:rsid w:val="00067323"/>
    <w:rsid w:val="0007099C"/>
    <w:rsid w:val="000728FB"/>
    <w:rsid w:val="00072D86"/>
    <w:rsid w:val="000730FA"/>
    <w:rsid w:val="00074926"/>
    <w:rsid w:val="00074D56"/>
    <w:rsid w:val="00077DE8"/>
    <w:rsid w:val="00080ACC"/>
    <w:rsid w:val="000811CD"/>
    <w:rsid w:val="00082339"/>
    <w:rsid w:val="00082C28"/>
    <w:rsid w:val="00082E5C"/>
    <w:rsid w:val="00085D54"/>
    <w:rsid w:val="00085FF2"/>
    <w:rsid w:val="00087A1D"/>
    <w:rsid w:val="000904CF"/>
    <w:rsid w:val="00090FCF"/>
    <w:rsid w:val="0009170D"/>
    <w:rsid w:val="000918B5"/>
    <w:rsid w:val="00092636"/>
    <w:rsid w:val="000940FE"/>
    <w:rsid w:val="00095287"/>
    <w:rsid w:val="0009769C"/>
    <w:rsid w:val="000A1AC2"/>
    <w:rsid w:val="000A2B24"/>
    <w:rsid w:val="000A56BD"/>
    <w:rsid w:val="000A5B91"/>
    <w:rsid w:val="000A6CDE"/>
    <w:rsid w:val="000A6EB8"/>
    <w:rsid w:val="000A75F7"/>
    <w:rsid w:val="000B0285"/>
    <w:rsid w:val="000B06A8"/>
    <w:rsid w:val="000B0A25"/>
    <w:rsid w:val="000B2CDF"/>
    <w:rsid w:val="000B5326"/>
    <w:rsid w:val="000B7048"/>
    <w:rsid w:val="000B7878"/>
    <w:rsid w:val="000C0008"/>
    <w:rsid w:val="000C0A0F"/>
    <w:rsid w:val="000C1109"/>
    <w:rsid w:val="000C26DB"/>
    <w:rsid w:val="000C3320"/>
    <w:rsid w:val="000C398D"/>
    <w:rsid w:val="000C53C8"/>
    <w:rsid w:val="000C6E26"/>
    <w:rsid w:val="000C6F53"/>
    <w:rsid w:val="000C7E53"/>
    <w:rsid w:val="000D0EFD"/>
    <w:rsid w:val="000D18DB"/>
    <w:rsid w:val="000D24F2"/>
    <w:rsid w:val="000D34D3"/>
    <w:rsid w:val="000D3DA3"/>
    <w:rsid w:val="000D52CA"/>
    <w:rsid w:val="000D5ABD"/>
    <w:rsid w:val="000D5E6A"/>
    <w:rsid w:val="000D66C1"/>
    <w:rsid w:val="000D74F7"/>
    <w:rsid w:val="000D770E"/>
    <w:rsid w:val="000D7D62"/>
    <w:rsid w:val="000E00F6"/>
    <w:rsid w:val="000E1A30"/>
    <w:rsid w:val="000E1F08"/>
    <w:rsid w:val="000E2DC4"/>
    <w:rsid w:val="000E3371"/>
    <w:rsid w:val="000E3B91"/>
    <w:rsid w:val="000E41AE"/>
    <w:rsid w:val="000E48FE"/>
    <w:rsid w:val="000F0EED"/>
    <w:rsid w:val="000F2D34"/>
    <w:rsid w:val="000F2EAF"/>
    <w:rsid w:val="000F362C"/>
    <w:rsid w:val="000F4357"/>
    <w:rsid w:val="000F590C"/>
    <w:rsid w:val="000F5D5D"/>
    <w:rsid w:val="000F5E54"/>
    <w:rsid w:val="000F62A5"/>
    <w:rsid w:val="000F6F45"/>
    <w:rsid w:val="000F6FD2"/>
    <w:rsid w:val="000F72C1"/>
    <w:rsid w:val="001014E1"/>
    <w:rsid w:val="00102195"/>
    <w:rsid w:val="001021B4"/>
    <w:rsid w:val="00103096"/>
    <w:rsid w:val="00105033"/>
    <w:rsid w:val="001054E3"/>
    <w:rsid w:val="001062EC"/>
    <w:rsid w:val="00106E5C"/>
    <w:rsid w:val="00106F0A"/>
    <w:rsid w:val="00107102"/>
    <w:rsid w:val="0010781F"/>
    <w:rsid w:val="0011015C"/>
    <w:rsid w:val="001117A1"/>
    <w:rsid w:val="00111E44"/>
    <w:rsid w:val="0011209E"/>
    <w:rsid w:val="00112405"/>
    <w:rsid w:val="00112770"/>
    <w:rsid w:val="00112A9C"/>
    <w:rsid w:val="00113E02"/>
    <w:rsid w:val="00114909"/>
    <w:rsid w:val="0011644A"/>
    <w:rsid w:val="001165F1"/>
    <w:rsid w:val="00117642"/>
    <w:rsid w:val="00117A40"/>
    <w:rsid w:val="00120C80"/>
    <w:rsid w:val="001214B2"/>
    <w:rsid w:val="001224C0"/>
    <w:rsid w:val="0012392A"/>
    <w:rsid w:val="00124933"/>
    <w:rsid w:val="00125AE3"/>
    <w:rsid w:val="00126B40"/>
    <w:rsid w:val="00126E0C"/>
    <w:rsid w:val="00126E37"/>
    <w:rsid w:val="00131688"/>
    <w:rsid w:val="001322A5"/>
    <w:rsid w:val="0013366C"/>
    <w:rsid w:val="0013367F"/>
    <w:rsid w:val="0013381E"/>
    <w:rsid w:val="00133A6E"/>
    <w:rsid w:val="00134A2E"/>
    <w:rsid w:val="00135CC1"/>
    <w:rsid w:val="00136574"/>
    <w:rsid w:val="00142EA1"/>
    <w:rsid w:val="001448BB"/>
    <w:rsid w:val="00144D01"/>
    <w:rsid w:val="00144D5D"/>
    <w:rsid w:val="0014545A"/>
    <w:rsid w:val="00145700"/>
    <w:rsid w:val="00145A36"/>
    <w:rsid w:val="00145A53"/>
    <w:rsid w:val="00146139"/>
    <w:rsid w:val="001467CF"/>
    <w:rsid w:val="001508B8"/>
    <w:rsid w:val="001515F6"/>
    <w:rsid w:val="00151647"/>
    <w:rsid w:val="00151A28"/>
    <w:rsid w:val="00152925"/>
    <w:rsid w:val="00154629"/>
    <w:rsid w:val="00154B45"/>
    <w:rsid w:val="0015594A"/>
    <w:rsid w:val="00156DDD"/>
    <w:rsid w:val="00157FE0"/>
    <w:rsid w:val="00160452"/>
    <w:rsid w:val="00160611"/>
    <w:rsid w:val="00163D52"/>
    <w:rsid w:val="00163ED7"/>
    <w:rsid w:val="001641AC"/>
    <w:rsid w:val="00165427"/>
    <w:rsid w:val="00167CCA"/>
    <w:rsid w:val="00167CD8"/>
    <w:rsid w:val="00167DA4"/>
    <w:rsid w:val="0017048E"/>
    <w:rsid w:val="0017095B"/>
    <w:rsid w:val="00170D99"/>
    <w:rsid w:val="00171350"/>
    <w:rsid w:val="001723E3"/>
    <w:rsid w:val="00172DC6"/>
    <w:rsid w:val="00172EE0"/>
    <w:rsid w:val="00173559"/>
    <w:rsid w:val="00180816"/>
    <w:rsid w:val="00180B05"/>
    <w:rsid w:val="00181E44"/>
    <w:rsid w:val="00181EB6"/>
    <w:rsid w:val="0018265F"/>
    <w:rsid w:val="0018350E"/>
    <w:rsid w:val="001838CD"/>
    <w:rsid w:val="0018443B"/>
    <w:rsid w:val="00184853"/>
    <w:rsid w:val="00186E38"/>
    <w:rsid w:val="00187CEF"/>
    <w:rsid w:val="00187FBC"/>
    <w:rsid w:val="00190063"/>
    <w:rsid w:val="0019156B"/>
    <w:rsid w:val="00191EDA"/>
    <w:rsid w:val="00191F1F"/>
    <w:rsid w:val="00192C21"/>
    <w:rsid w:val="00193378"/>
    <w:rsid w:val="00193D0A"/>
    <w:rsid w:val="00193D72"/>
    <w:rsid w:val="0019534A"/>
    <w:rsid w:val="00195973"/>
    <w:rsid w:val="00196CCD"/>
    <w:rsid w:val="00196F25"/>
    <w:rsid w:val="001972A5"/>
    <w:rsid w:val="001A182E"/>
    <w:rsid w:val="001A261A"/>
    <w:rsid w:val="001A28C2"/>
    <w:rsid w:val="001A2ADE"/>
    <w:rsid w:val="001A3496"/>
    <w:rsid w:val="001A4A5E"/>
    <w:rsid w:val="001A5532"/>
    <w:rsid w:val="001A5BD0"/>
    <w:rsid w:val="001A618D"/>
    <w:rsid w:val="001A6F2C"/>
    <w:rsid w:val="001A751C"/>
    <w:rsid w:val="001A7F61"/>
    <w:rsid w:val="001B0785"/>
    <w:rsid w:val="001B07E1"/>
    <w:rsid w:val="001B19CC"/>
    <w:rsid w:val="001B19FD"/>
    <w:rsid w:val="001B30B6"/>
    <w:rsid w:val="001B31A7"/>
    <w:rsid w:val="001B5CD7"/>
    <w:rsid w:val="001B7D22"/>
    <w:rsid w:val="001B89BC"/>
    <w:rsid w:val="001C004B"/>
    <w:rsid w:val="001C0632"/>
    <w:rsid w:val="001C10F6"/>
    <w:rsid w:val="001C16BE"/>
    <w:rsid w:val="001C1D32"/>
    <w:rsid w:val="001C3462"/>
    <w:rsid w:val="001C3D2A"/>
    <w:rsid w:val="001C4A4E"/>
    <w:rsid w:val="001C53CF"/>
    <w:rsid w:val="001C7C2D"/>
    <w:rsid w:val="001D0464"/>
    <w:rsid w:val="001D1638"/>
    <w:rsid w:val="001D164D"/>
    <w:rsid w:val="001D17E5"/>
    <w:rsid w:val="001D1DD0"/>
    <w:rsid w:val="001D222C"/>
    <w:rsid w:val="001D2E89"/>
    <w:rsid w:val="001D3700"/>
    <w:rsid w:val="001D3A40"/>
    <w:rsid w:val="001D3EC7"/>
    <w:rsid w:val="001D501A"/>
    <w:rsid w:val="001D51D4"/>
    <w:rsid w:val="001D54BD"/>
    <w:rsid w:val="001D5790"/>
    <w:rsid w:val="001D6C08"/>
    <w:rsid w:val="001D75E1"/>
    <w:rsid w:val="001D78EB"/>
    <w:rsid w:val="001D7B08"/>
    <w:rsid w:val="001E10BB"/>
    <w:rsid w:val="001E24CB"/>
    <w:rsid w:val="001E26E0"/>
    <w:rsid w:val="001E4D16"/>
    <w:rsid w:val="001E4D94"/>
    <w:rsid w:val="001E56DF"/>
    <w:rsid w:val="001E6F7E"/>
    <w:rsid w:val="001E6F9B"/>
    <w:rsid w:val="001E73CE"/>
    <w:rsid w:val="001E7A79"/>
    <w:rsid w:val="001F0A07"/>
    <w:rsid w:val="001F1A66"/>
    <w:rsid w:val="001F22D1"/>
    <w:rsid w:val="001F2B9A"/>
    <w:rsid w:val="001F43C7"/>
    <w:rsid w:val="001F4ABE"/>
    <w:rsid w:val="001F5DCE"/>
    <w:rsid w:val="001F63B0"/>
    <w:rsid w:val="0020112E"/>
    <w:rsid w:val="002021A2"/>
    <w:rsid w:val="00202B04"/>
    <w:rsid w:val="00203E30"/>
    <w:rsid w:val="00204444"/>
    <w:rsid w:val="00204794"/>
    <w:rsid w:val="00204902"/>
    <w:rsid w:val="00205E96"/>
    <w:rsid w:val="002067BF"/>
    <w:rsid w:val="002073F9"/>
    <w:rsid w:val="00207DFA"/>
    <w:rsid w:val="00210BA9"/>
    <w:rsid w:val="0021221C"/>
    <w:rsid w:val="002128B0"/>
    <w:rsid w:val="0021551D"/>
    <w:rsid w:val="00215A52"/>
    <w:rsid w:val="0021633E"/>
    <w:rsid w:val="00216843"/>
    <w:rsid w:val="00216DBE"/>
    <w:rsid w:val="00217007"/>
    <w:rsid w:val="00217137"/>
    <w:rsid w:val="0022152C"/>
    <w:rsid w:val="00221BFC"/>
    <w:rsid w:val="0022286D"/>
    <w:rsid w:val="002252EC"/>
    <w:rsid w:val="00225D19"/>
    <w:rsid w:val="002261DE"/>
    <w:rsid w:val="00226288"/>
    <w:rsid w:val="00226CBB"/>
    <w:rsid w:val="00227941"/>
    <w:rsid w:val="002306E7"/>
    <w:rsid w:val="00232F60"/>
    <w:rsid w:val="0023308E"/>
    <w:rsid w:val="00235728"/>
    <w:rsid w:val="00235D74"/>
    <w:rsid w:val="002362C1"/>
    <w:rsid w:val="002370BA"/>
    <w:rsid w:val="00237DCE"/>
    <w:rsid w:val="00237EC6"/>
    <w:rsid w:val="00240E5B"/>
    <w:rsid w:val="00241158"/>
    <w:rsid w:val="0024186B"/>
    <w:rsid w:val="00241978"/>
    <w:rsid w:val="00241C7C"/>
    <w:rsid w:val="0024201E"/>
    <w:rsid w:val="00242031"/>
    <w:rsid w:val="00242500"/>
    <w:rsid w:val="0024352E"/>
    <w:rsid w:val="00243FFD"/>
    <w:rsid w:val="00244BBF"/>
    <w:rsid w:val="00245154"/>
    <w:rsid w:val="00245A8F"/>
    <w:rsid w:val="002461AD"/>
    <w:rsid w:val="00246263"/>
    <w:rsid w:val="00250CBB"/>
    <w:rsid w:val="002510C4"/>
    <w:rsid w:val="00251306"/>
    <w:rsid w:val="002522B6"/>
    <w:rsid w:val="002526C3"/>
    <w:rsid w:val="002546D1"/>
    <w:rsid w:val="002546EA"/>
    <w:rsid w:val="002555EF"/>
    <w:rsid w:val="0025591D"/>
    <w:rsid w:val="00255E2F"/>
    <w:rsid w:val="002569D0"/>
    <w:rsid w:val="0026010F"/>
    <w:rsid w:val="00264D2E"/>
    <w:rsid w:val="00266972"/>
    <w:rsid w:val="00266A58"/>
    <w:rsid w:val="0026FD21"/>
    <w:rsid w:val="002700C5"/>
    <w:rsid w:val="002701F9"/>
    <w:rsid w:val="00270642"/>
    <w:rsid w:val="00270C70"/>
    <w:rsid w:val="00275979"/>
    <w:rsid w:val="00275F58"/>
    <w:rsid w:val="00276C16"/>
    <w:rsid w:val="0028061C"/>
    <w:rsid w:val="002806C7"/>
    <w:rsid w:val="00280BC0"/>
    <w:rsid w:val="00280D6E"/>
    <w:rsid w:val="002817B5"/>
    <w:rsid w:val="00281E7A"/>
    <w:rsid w:val="0028268C"/>
    <w:rsid w:val="00283760"/>
    <w:rsid w:val="0028591D"/>
    <w:rsid w:val="002864E2"/>
    <w:rsid w:val="00290A27"/>
    <w:rsid w:val="00293AF2"/>
    <w:rsid w:val="002947C5"/>
    <w:rsid w:val="002950E9"/>
    <w:rsid w:val="00295EEF"/>
    <w:rsid w:val="00296186"/>
    <w:rsid w:val="0029F1B6"/>
    <w:rsid w:val="002A1130"/>
    <w:rsid w:val="002A142B"/>
    <w:rsid w:val="002A1B35"/>
    <w:rsid w:val="002A3153"/>
    <w:rsid w:val="002A3C78"/>
    <w:rsid w:val="002A6882"/>
    <w:rsid w:val="002A7B50"/>
    <w:rsid w:val="002B1623"/>
    <w:rsid w:val="002B1F3D"/>
    <w:rsid w:val="002B3954"/>
    <w:rsid w:val="002B4129"/>
    <w:rsid w:val="002B47C8"/>
    <w:rsid w:val="002B7384"/>
    <w:rsid w:val="002B7F9D"/>
    <w:rsid w:val="002C02DB"/>
    <w:rsid w:val="002C0B02"/>
    <w:rsid w:val="002C1DE1"/>
    <w:rsid w:val="002C2F92"/>
    <w:rsid w:val="002C46AF"/>
    <w:rsid w:val="002C4952"/>
    <w:rsid w:val="002C5CCA"/>
    <w:rsid w:val="002C6CFD"/>
    <w:rsid w:val="002C6F1E"/>
    <w:rsid w:val="002C7D9C"/>
    <w:rsid w:val="002D05BB"/>
    <w:rsid w:val="002D08AC"/>
    <w:rsid w:val="002D162F"/>
    <w:rsid w:val="002D35B3"/>
    <w:rsid w:val="002D35F4"/>
    <w:rsid w:val="002D36A1"/>
    <w:rsid w:val="002D3F9F"/>
    <w:rsid w:val="002D5562"/>
    <w:rsid w:val="002D5E06"/>
    <w:rsid w:val="002D76A8"/>
    <w:rsid w:val="002D777E"/>
    <w:rsid w:val="002E1BB6"/>
    <w:rsid w:val="002E4042"/>
    <w:rsid w:val="002E4B1F"/>
    <w:rsid w:val="002E5FA5"/>
    <w:rsid w:val="002E66BB"/>
    <w:rsid w:val="002E7505"/>
    <w:rsid w:val="002E9F5C"/>
    <w:rsid w:val="002F0E87"/>
    <w:rsid w:val="002F1D0E"/>
    <w:rsid w:val="002F4AED"/>
    <w:rsid w:val="003003BE"/>
    <w:rsid w:val="00300E4F"/>
    <w:rsid w:val="00301433"/>
    <w:rsid w:val="00302DD2"/>
    <w:rsid w:val="0030360B"/>
    <w:rsid w:val="00303B3D"/>
    <w:rsid w:val="00303F39"/>
    <w:rsid w:val="0030538A"/>
    <w:rsid w:val="0030651D"/>
    <w:rsid w:val="003104AE"/>
    <w:rsid w:val="0031076A"/>
    <w:rsid w:val="00311175"/>
    <w:rsid w:val="003128B8"/>
    <w:rsid w:val="00312977"/>
    <w:rsid w:val="00312CD9"/>
    <w:rsid w:val="003136F3"/>
    <w:rsid w:val="003156C5"/>
    <w:rsid w:val="00315E42"/>
    <w:rsid w:val="003165A3"/>
    <w:rsid w:val="003168B1"/>
    <w:rsid w:val="003177FE"/>
    <w:rsid w:val="00321FE6"/>
    <w:rsid w:val="0032201E"/>
    <w:rsid w:val="003236B0"/>
    <w:rsid w:val="00324239"/>
    <w:rsid w:val="00325B85"/>
    <w:rsid w:val="00326A0E"/>
    <w:rsid w:val="00326A64"/>
    <w:rsid w:val="003306AA"/>
    <w:rsid w:val="00331B09"/>
    <w:rsid w:val="00333CCC"/>
    <w:rsid w:val="003351F7"/>
    <w:rsid w:val="0033570C"/>
    <w:rsid w:val="00336055"/>
    <w:rsid w:val="00337BCE"/>
    <w:rsid w:val="00340AB6"/>
    <w:rsid w:val="0034189F"/>
    <w:rsid w:val="003420BC"/>
    <w:rsid w:val="0034293B"/>
    <w:rsid w:val="00342C19"/>
    <w:rsid w:val="003443BA"/>
    <w:rsid w:val="003447A9"/>
    <w:rsid w:val="003458FA"/>
    <w:rsid w:val="00346F6B"/>
    <w:rsid w:val="0034703C"/>
    <w:rsid w:val="003473AD"/>
    <w:rsid w:val="00347D11"/>
    <w:rsid w:val="00350ECF"/>
    <w:rsid w:val="003510D4"/>
    <w:rsid w:val="003521D1"/>
    <w:rsid w:val="00352656"/>
    <w:rsid w:val="003533CB"/>
    <w:rsid w:val="00354316"/>
    <w:rsid w:val="003572ED"/>
    <w:rsid w:val="00357648"/>
    <w:rsid w:val="00357A6E"/>
    <w:rsid w:val="00360B85"/>
    <w:rsid w:val="00362C56"/>
    <w:rsid w:val="003636BF"/>
    <w:rsid w:val="00365445"/>
    <w:rsid w:val="00365803"/>
    <w:rsid w:val="0036640A"/>
    <w:rsid w:val="00367979"/>
    <w:rsid w:val="00371295"/>
    <w:rsid w:val="00371457"/>
    <w:rsid w:val="003722A5"/>
    <w:rsid w:val="00374502"/>
    <w:rsid w:val="00376E91"/>
    <w:rsid w:val="0037705A"/>
    <w:rsid w:val="00377B42"/>
    <w:rsid w:val="00377CB0"/>
    <w:rsid w:val="00381300"/>
    <w:rsid w:val="00382129"/>
    <w:rsid w:val="00382A2B"/>
    <w:rsid w:val="00383329"/>
    <w:rsid w:val="0038361C"/>
    <w:rsid w:val="0038452F"/>
    <w:rsid w:val="0038461D"/>
    <w:rsid w:val="003846AE"/>
    <w:rsid w:val="00384890"/>
    <w:rsid w:val="00384B91"/>
    <w:rsid w:val="00384F58"/>
    <w:rsid w:val="00385527"/>
    <w:rsid w:val="00386992"/>
    <w:rsid w:val="00387613"/>
    <w:rsid w:val="0039396A"/>
    <w:rsid w:val="0039655A"/>
    <w:rsid w:val="003974DC"/>
    <w:rsid w:val="003A09DE"/>
    <w:rsid w:val="003A1D9F"/>
    <w:rsid w:val="003A24B5"/>
    <w:rsid w:val="003A2898"/>
    <w:rsid w:val="003A2B0F"/>
    <w:rsid w:val="003A459D"/>
    <w:rsid w:val="003A5A86"/>
    <w:rsid w:val="003B0039"/>
    <w:rsid w:val="003B2784"/>
    <w:rsid w:val="003B3FC6"/>
    <w:rsid w:val="003B60A0"/>
    <w:rsid w:val="003B687B"/>
    <w:rsid w:val="003C1B10"/>
    <w:rsid w:val="003C2BC0"/>
    <w:rsid w:val="003C39C0"/>
    <w:rsid w:val="003C3AFC"/>
    <w:rsid w:val="003C4E6A"/>
    <w:rsid w:val="003C542C"/>
    <w:rsid w:val="003C6956"/>
    <w:rsid w:val="003C7350"/>
    <w:rsid w:val="003C7DC6"/>
    <w:rsid w:val="003D10A3"/>
    <w:rsid w:val="003D1B37"/>
    <w:rsid w:val="003D29C2"/>
    <w:rsid w:val="003D3051"/>
    <w:rsid w:val="003D3BE0"/>
    <w:rsid w:val="003D3D8C"/>
    <w:rsid w:val="003D45D9"/>
    <w:rsid w:val="003D533C"/>
    <w:rsid w:val="003D60B4"/>
    <w:rsid w:val="003D6698"/>
    <w:rsid w:val="003D7130"/>
    <w:rsid w:val="003E00DC"/>
    <w:rsid w:val="003E057D"/>
    <w:rsid w:val="003E0B40"/>
    <w:rsid w:val="003E2561"/>
    <w:rsid w:val="003E2BAD"/>
    <w:rsid w:val="003E2DC1"/>
    <w:rsid w:val="003E2E2E"/>
    <w:rsid w:val="003E2EFF"/>
    <w:rsid w:val="003E37EE"/>
    <w:rsid w:val="003E4611"/>
    <w:rsid w:val="003E4FA9"/>
    <w:rsid w:val="003E5191"/>
    <w:rsid w:val="003E549A"/>
    <w:rsid w:val="003E5F37"/>
    <w:rsid w:val="003E7FB9"/>
    <w:rsid w:val="003F24DB"/>
    <w:rsid w:val="003F2954"/>
    <w:rsid w:val="003F2FC5"/>
    <w:rsid w:val="003F4536"/>
    <w:rsid w:val="003F46B7"/>
    <w:rsid w:val="003F4811"/>
    <w:rsid w:val="003F6D77"/>
    <w:rsid w:val="0040123C"/>
    <w:rsid w:val="00401B13"/>
    <w:rsid w:val="004024D8"/>
    <w:rsid w:val="004027A3"/>
    <w:rsid w:val="00403C54"/>
    <w:rsid w:val="00405553"/>
    <w:rsid w:val="00405DD6"/>
    <w:rsid w:val="0040614A"/>
    <w:rsid w:val="0040740F"/>
    <w:rsid w:val="00411379"/>
    <w:rsid w:val="0041177E"/>
    <w:rsid w:val="004119C2"/>
    <w:rsid w:val="00411D2B"/>
    <w:rsid w:val="00414CC1"/>
    <w:rsid w:val="00415149"/>
    <w:rsid w:val="00415889"/>
    <w:rsid w:val="00416864"/>
    <w:rsid w:val="00416AD2"/>
    <w:rsid w:val="004170E2"/>
    <w:rsid w:val="00417F2C"/>
    <w:rsid w:val="004209FD"/>
    <w:rsid w:val="00421254"/>
    <w:rsid w:val="00421ECE"/>
    <w:rsid w:val="004229C6"/>
    <w:rsid w:val="00423180"/>
    <w:rsid w:val="004251BE"/>
    <w:rsid w:val="00427086"/>
    <w:rsid w:val="004277B5"/>
    <w:rsid w:val="004277C4"/>
    <w:rsid w:val="004277C8"/>
    <w:rsid w:val="00427986"/>
    <w:rsid w:val="00430017"/>
    <w:rsid w:val="004306C1"/>
    <w:rsid w:val="0043287B"/>
    <w:rsid w:val="0043331E"/>
    <w:rsid w:val="00433B90"/>
    <w:rsid w:val="00434749"/>
    <w:rsid w:val="0043595C"/>
    <w:rsid w:val="004361A7"/>
    <w:rsid w:val="004371F8"/>
    <w:rsid w:val="00437832"/>
    <w:rsid w:val="0043786B"/>
    <w:rsid w:val="00441820"/>
    <w:rsid w:val="00441C4A"/>
    <w:rsid w:val="004421A5"/>
    <w:rsid w:val="0044338B"/>
    <w:rsid w:val="00443CBF"/>
    <w:rsid w:val="00443D0D"/>
    <w:rsid w:val="00444042"/>
    <w:rsid w:val="00444166"/>
    <w:rsid w:val="004445E9"/>
    <w:rsid w:val="004468E0"/>
    <w:rsid w:val="00447F80"/>
    <w:rsid w:val="0044B22C"/>
    <w:rsid w:val="00450DEC"/>
    <w:rsid w:val="00450E1C"/>
    <w:rsid w:val="004516F8"/>
    <w:rsid w:val="00452F8F"/>
    <w:rsid w:val="00453EDB"/>
    <w:rsid w:val="00453F44"/>
    <w:rsid w:val="00454071"/>
    <w:rsid w:val="0045740C"/>
    <w:rsid w:val="004602DE"/>
    <w:rsid w:val="00460830"/>
    <w:rsid w:val="004615E7"/>
    <w:rsid w:val="00462F9A"/>
    <w:rsid w:val="00464EFA"/>
    <w:rsid w:val="004652EB"/>
    <w:rsid w:val="0046568C"/>
    <w:rsid w:val="00465A57"/>
    <w:rsid w:val="0047036B"/>
    <w:rsid w:val="00471382"/>
    <w:rsid w:val="004741BD"/>
    <w:rsid w:val="0047531B"/>
    <w:rsid w:val="0047611F"/>
    <w:rsid w:val="0047668D"/>
    <w:rsid w:val="00476CF3"/>
    <w:rsid w:val="004770A9"/>
    <w:rsid w:val="00477810"/>
    <w:rsid w:val="0048073E"/>
    <w:rsid w:val="00483246"/>
    <w:rsid w:val="00483B47"/>
    <w:rsid w:val="0048403F"/>
    <w:rsid w:val="004847D4"/>
    <w:rsid w:val="00484B5C"/>
    <w:rsid w:val="00485209"/>
    <w:rsid w:val="004854DA"/>
    <w:rsid w:val="00486558"/>
    <w:rsid w:val="004865C8"/>
    <w:rsid w:val="0048751E"/>
    <w:rsid w:val="004879D8"/>
    <w:rsid w:val="00487C7C"/>
    <w:rsid w:val="00487E21"/>
    <w:rsid w:val="004915A1"/>
    <w:rsid w:val="004923A9"/>
    <w:rsid w:val="00493AA3"/>
    <w:rsid w:val="004942A6"/>
    <w:rsid w:val="004943E0"/>
    <w:rsid w:val="00495EFA"/>
    <w:rsid w:val="00496A57"/>
    <w:rsid w:val="00497F69"/>
    <w:rsid w:val="004A0E27"/>
    <w:rsid w:val="004A219B"/>
    <w:rsid w:val="004A2371"/>
    <w:rsid w:val="004A319E"/>
    <w:rsid w:val="004A3ACB"/>
    <w:rsid w:val="004A3DEB"/>
    <w:rsid w:val="004A578E"/>
    <w:rsid w:val="004A6A56"/>
    <w:rsid w:val="004A7D29"/>
    <w:rsid w:val="004B129F"/>
    <w:rsid w:val="004B151B"/>
    <w:rsid w:val="004B1E8E"/>
    <w:rsid w:val="004B1FD2"/>
    <w:rsid w:val="004B2B9F"/>
    <w:rsid w:val="004B37CA"/>
    <w:rsid w:val="004B3B1E"/>
    <w:rsid w:val="004B46D8"/>
    <w:rsid w:val="004B67C4"/>
    <w:rsid w:val="004B6FDC"/>
    <w:rsid w:val="004C2D84"/>
    <w:rsid w:val="004C3405"/>
    <w:rsid w:val="004C3F59"/>
    <w:rsid w:val="004C4F04"/>
    <w:rsid w:val="004C552C"/>
    <w:rsid w:val="004C56FE"/>
    <w:rsid w:val="004C5897"/>
    <w:rsid w:val="004C6610"/>
    <w:rsid w:val="004C6CFB"/>
    <w:rsid w:val="004D025D"/>
    <w:rsid w:val="004D0774"/>
    <w:rsid w:val="004D09C6"/>
    <w:rsid w:val="004D32D5"/>
    <w:rsid w:val="004D34E0"/>
    <w:rsid w:val="004D4610"/>
    <w:rsid w:val="004D6E18"/>
    <w:rsid w:val="004D7215"/>
    <w:rsid w:val="004D73A2"/>
    <w:rsid w:val="004D7B75"/>
    <w:rsid w:val="004E08E2"/>
    <w:rsid w:val="004E0A69"/>
    <w:rsid w:val="004E1E38"/>
    <w:rsid w:val="004E23AB"/>
    <w:rsid w:val="004E3F33"/>
    <w:rsid w:val="004E500D"/>
    <w:rsid w:val="004E6D6F"/>
    <w:rsid w:val="004E7440"/>
    <w:rsid w:val="004E7A96"/>
    <w:rsid w:val="004F0DBC"/>
    <w:rsid w:val="004F2F8A"/>
    <w:rsid w:val="004F4113"/>
    <w:rsid w:val="004F4DBB"/>
    <w:rsid w:val="004F6FEA"/>
    <w:rsid w:val="004F7F9B"/>
    <w:rsid w:val="004FA56E"/>
    <w:rsid w:val="005007E6"/>
    <w:rsid w:val="00500BD8"/>
    <w:rsid w:val="005020EB"/>
    <w:rsid w:val="0050356D"/>
    <w:rsid w:val="005046A0"/>
    <w:rsid w:val="00504994"/>
    <w:rsid w:val="00506A9C"/>
    <w:rsid w:val="00507474"/>
    <w:rsid w:val="00510FBA"/>
    <w:rsid w:val="00511811"/>
    <w:rsid w:val="00511C90"/>
    <w:rsid w:val="00512477"/>
    <w:rsid w:val="005144DF"/>
    <w:rsid w:val="0051458A"/>
    <w:rsid w:val="00517145"/>
    <w:rsid w:val="00517727"/>
    <w:rsid w:val="00520049"/>
    <w:rsid w:val="00520712"/>
    <w:rsid w:val="00520A6B"/>
    <w:rsid w:val="00522BA9"/>
    <w:rsid w:val="00523085"/>
    <w:rsid w:val="00523CB0"/>
    <w:rsid w:val="005268BA"/>
    <w:rsid w:val="005268DB"/>
    <w:rsid w:val="00527225"/>
    <w:rsid w:val="00527A2E"/>
    <w:rsid w:val="00527BAE"/>
    <w:rsid w:val="00530FFA"/>
    <w:rsid w:val="005314C6"/>
    <w:rsid w:val="00533E62"/>
    <w:rsid w:val="00534576"/>
    <w:rsid w:val="0053492C"/>
    <w:rsid w:val="00534FA3"/>
    <w:rsid w:val="005375B4"/>
    <w:rsid w:val="005409B2"/>
    <w:rsid w:val="0054259A"/>
    <w:rsid w:val="005446F4"/>
    <w:rsid w:val="00544954"/>
    <w:rsid w:val="00546E05"/>
    <w:rsid w:val="00550977"/>
    <w:rsid w:val="00550D4F"/>
    <w:rsid w:val="00551DDE"/>
    <w:rsid w:val="005523A6"/>
    <w:rsid w:val="00553E79"/>
    <w:rsid w:val="00555C28"/>
    <w:rsid w:val="00556C54"/>
    <w:rsid w:val="00557165"/>
    <w:rsid w:val="005573BE"/>
    <w:rsid w:val="00561CCE"/>
    <w:rsid w:val="00562AE8"/>
    <w:rsid w:val="00562CE1"/>
    <w:rsid w:val="00564824"/>
    <w:rsid w:val="00565A8C"/>
    <w:rsid w:val="005674D9"/>
    <w:rsid w:val="00567AC1"/>
    <w:rsid w:val="00570584"/>
    <w:rsid w:val="00574053"/>
    <w:rsid w:val="00577427"/>
    <w:rsid w:val="00577CB4"/>
    <w:rsid w:val="005808B6"/>
    <w:rsid w:val="005817BA"/>
    <w:rsid w:val="00582CD2"/>
    <w:rsid w:val="00583674"/>
    <w:rsid w:val="00583FE0"/>
    <w:rsid w:val="00584EF6"/>
    <w:rsid w:val="0058716E"/>
    <w:rsid w:val="005874A9"/>
    <w:rsid w:val="005874EB"/>
    <w:rsid w:val="005875EC"/>
    <w:rsid w:val="0058775E"/>
    <w:rsid w:val="005878F3"/>
    <w:rsid w:val="005905D7"/>
    <w:rsid w:val="005912F9"/>
    <w:rsid w:val="00593840"/>
    <w:rsid w:val="0059429C"/>
    <w:rsid w:val="00595EF1"/>
    <w:rsid w:val="005968E1"/>
    <w:rsid w:val="00597FBC"/>
    <w:rsid w:val="005A090A"/>
    <w:rsid w:val="005A1AF7"/>
    <w:rsid w:val="005A3485"/>
    <w:rsid w:val="005A3CF1"/>
    <w:rsid w:val="005A4557"/>
    <w:rsid w:val="005A483A"/>
    <w:rsid w:val="005A53CC"/>
    <w:rsid w:val="005A60A4"/>
    <w:rsid w:val="005A67AB"/>
    <w:rsid w:val="005A6A12"/>
    <w:rsid w:val="005ACF3C"/>
    <w:rsid w:val="005B06F8"/>
    <w:rsid w:val="005B1252"/>
    <w:rsid w:val="005B3929"/>
    <w:rsid w:val="005B3AD3"/>
    <w:rsid w:val="005B40B5"/>
    <w:rsid w:val="005B43F9"/>
    <w:rsid w:val="005B4740"/>
    <w:rsid w:val="005B6E9D"/>
    <w:rsid w:val="005B708E"/>
    <w:rsid w:val="005B7454"/>
    <w:rsid w:val="005C0ED4"/>
    <w:rsid w:val="005C234A"/>
    <w:rsid w:val="005C2F3D"/>
    <w:rsid w:val="005C44E9"/>
    <w:rsid w:val="005C4EDF"/>
    <w:rsid w:val="005C6118"/>
    <w:rsid w:val="005C642E"/>
    <w:rsid w:val="005C7291"/>
    <w:rsid w:val="005D102B"/>
    <w:rsid w:val="005D24C5"/>
    <w:rsid w:val="005D4B33"/>
    <w:rsid w:val="005D5A45"/>
    <w:rsid w:val="005D6B1D"/>
    <w:rsid w:val="005D6C4A"/>
    <w:rsid w:val="005D7943"/>
    <w:rsid w:val="005E1708"/>
    <w:rsid w:val="005E1CD8"/>
    <w:rsid w:val="005E1F21"/>
    <w:rsid w:val="005E1F37"/>
    <w:rsid w:val="005E1FCE"/>
    <w:rsid w:val="005E2291"/>
    <w:rsid w:val="005E28F6"/>
    <w:rsid w:val="005E2A8A"/>
    <w:rsid w:val="005E2EAB"/>
    <w:rsid w:val="005E2F02"/>
    <w:rsid w:val="005E51CB"/>
    <w:rsid w:val="005E52FF"/>
    <w:rsid w:val="005E5308"/>
    <w:rsid w:val="005E5D09"/>
    <w:rsid w:val="005E6350"/>
    <w:rsid w:val="005E7E71"/>
    <w:rsid w:val="005F1A32"/>
    <w:rsid w:val="005F387D"/>
    <w:rsid w:val="005F42F9"/>
    <w:rsid w:val="005F4B85"/>
    <w:rsid w:val="005F64BA"/>
    <w:rsid w:val="005F783B"/>
    <w:rsid w:val="00600378"/>
    <w:rsid w:val="0060060A"/>
    <w:rsid w:val="00600EBE"/>
    <w:rsid w:val="00602317"/>
    <w:rsid w:val="00603993"/>
    <w:rsid w:val="00606113"/>
    <w:rsid w:val="0060646E"/>
    <w:rsid w:val="00606FE0"/>
    <w:rsid w:val="00613937"/>
    <w:rsid w:val="00613AC2"/>
    <w:rsid w:val="006141FC"/>
    <w:rsid w:val="006169FD"/>
    <w:rsid w:val="00616A65"/>
    <w:rsid w:val="00617015"/>
    <w:rsid w:val="006179B1"/>
    <w:rsid w:val="00620576"/>
    <w:rsid w:val="00620A12"/>
    <w:rsid w:val="006228EF"/>
    <w:rsid w:val="00625349"/>
    <w:rsid w:val="006255BF"/>
    <w:rsid w:val="00626F5F"/>
    <w:rsid w:val="00630C44"/>
    <w:rsid w:val="00633937"/>
    <w:rsid w:val="00634E42"/>
    <w:rsid w:val="006358A7"/>
    <w:rsid w:val="00635C5F"/>
    <w:rsid w:val="006413A8"/>
    <w:rsid w:val="006425D1"/>
    <w:rsid w:val="00643A09"/>
    <w:rsid w:val="0064672E"/>
    <w:rsid w:val="00646F09"/>
    <w:rsid w:val="0065035F"/>
    <w:rsid w:val="00651A36"/>
    <w:rsid w:val="00651AE5"/>
    <w:rsid w:val="00652DD8"/>
    <w:rsid w:val="0065413C"/>
    <w:rsid w:val="00654559"/>
    <w:rsid w:val="00654854"/>
    <w:rsid w:val="006550F2"/>
    <w:rsid w:val="00655425"/>
    <w:rsid w:val="006567D7"/>
    <w:rsid w:val="00656FFF"/>
    <w:rsid w:val="006576FF"/>
    <w:rsid w:val="0066044E"/>
    <w:rsid w:val="00660A05"/>
    <w:rsid w:val="006615F5"/>
    <w:rsid w:val="00661F9F"/>
    <w:rsid w:val="00662EBA"/>
    <w:rsid w:val="00663559"/>
    <w:rsid w:val="00663A18"/>
    <w:rsid w:val="00663BCD"/>
    <w:rsid w:val="00663BD0"/>
    <w:rsid w:val="006656E1"/>
    <w:rsid w:val="00665BB8"/>
    <w:rsid w:val="00665E9C"/>
    <w:rsid w:val="006661E0"/>
    <w:rsid w:val="00666244"/>
    <w:rsid w:val="00667635"/>
    <w:rsid w:val="00667DBB"/>
    <w:rsid w:val="00670025"/>
    <w:rsid w:val="006708FB"/>
    <w:rsid w:val="006719BF"/>
    <w:rsid w:val="00673DBA"/>
    <w:rsid w:val="00675815"/>
    <w:rsid w:val="00676834"/>
    <w:rsid w:val="00676B5E"/>
    <w:rsid w:val="00676E69"/>
    <w:rsid w:val="0067779B"/>
    <w:rsid w:val="006778C5"/>
    <w:rsid w:val="00680258"/>
    <w:rsid w:val="006808A3"/>
    <w:rsid w:val="00680BDD"/>
    <w:rsid w:val="00682B4E"/>
    <w:rsid w:val="006843E4"/>
    <w:rsid w:val="00686F81"/>
    <w:rsid w:val="00686FAF"/>
    <w:rsid w:val="006878FA"/>
    <w:rsid w:val="0069126C"/>
    <w:rsid w:val="006928B7"/>
    <w:rsid w:val="00693C48"/>
    <w:rsid w:val="00693EB4"/>
    <w:rsid w:val="006945DA"/>
    <w:rsid w:val="006956F5"/>
    <w:rsid w:val="00695FBE"/>
    <w:rsid w:val="006A0448"/>
    <w:rsid w:val="006A2CCF"/>
    <w:rsid w:val="006A2F7B"/>
    <w:rsid w:val="006A38A2"/>
    <w:rsid w:val="006A4354"/>
    <w:rsid w:val="006A4880"/>
    <w:rsid w:val="006A4FC9"/>
    <w:rsid w:val="006A520B"/>
    <w:rsid w:val="006A6296"/>
    <w:rsid w:val="006A66C8"/>
    <w:rsid w:val="006A7A7F"/>
    <w:rsid w:val="006A7AB0"/>
    <w:rsid w:val="006B3435"/>
    <w:rsid w:val="006B3B82"/>
    <w:rsid w:val="006B4354"/>
    <w:rsid w:val="006B53CE"/>
    <w:rsid w:val="006B5F0D"/>
    <w:rsid w:val="006B6012"/>
    <w:rsid w:val="006B6223"/>
    <w:rsid w:val="006B75F1"/>
    <w:rsid w:val="006B7E9F"/>
    <w:rsid w:val="006C06C4"/>
    <w:rsid w:val="006C100A"/>
    <w:rsid w:val="006C2040"/>
    <w:rsid w:val="006C207C"/>
    <w:rsid w:val="006C2313"/>
    <w:rsid w:val="006C2E4F"/>
    <w:rsid w:val="006C3EB4"/>
    <w:rsid w:val="006C6DCD"/>
    <w:rsid w:val="006C6DFF"/>
    <w:rsid w:val="006C769D"/>
    <w:rsid w:val="006D06EC"/>
    <w:rsid w:val="006D0ABF"/>
    <w:rsid w:val="006D10AA"/>
    <w:rsid w:val="006D15A2"/>
    <w:rsid w:val="006D5AE5"/>
    <w:rsid w:val="006D70B4"/>
    <w:rsid w:val="006E1306"/>
    <w:rsid w:val="006E1B4C"/>
    <w:rsid w:val="006E1FB1"/>
    <w:rsid w:val="006E23FB"/>
    <w:rsid w:val="006E2E45"/>
    <w:rsid w:val="006E31FD"/>
    <w:rsid w:val="006E4579"/>
    <w:rsid w:val="006E45E4"/>
    <w:rsid w:val="006E4D86"/>
    <w:rsid w:val="006E6475"/>
    <w:rsid w:val="006E6D7B"/>
    <w:rsid w:val="006E7753"/>
    <w:rsid w:val="006F09CC"/>
    <w:rsid w:val="006F0BE8"/>
    <w:rsid w:val="006F102E"/>
    <w:rsid w:val="006F11C8"/>
    <w:rsid w:val="006F180F"/>
    <w:rsid w:val="006F1CDA"/>
    <w:rsid w:val="006F3992"/>
    <w:rsid w:val="006F4795"/>
    <w:rsid w:val="006F5B9E"/>
    <w:rsid w:val="00701206"/>
    <w:rsid w:val="007015DE"/>
    <w:rsid w:val="00701651"/>
    <w:rsid w:val="00705BBB"/>
    <w:rsid w:val="00710B2A"/>
    <w:rsid w:val="00711928"/>
    <w:rsid w:val="007124C6"/>
    <w:rsid w:val="0071277A"/>
    <w:rsid w:val="00713BB0"/>
    <w:rsid w:val="00713BCB"/>
    <w:rsid w:val="00715F95"/>
    <w:rsid w:val="00717E4B"/>
    <w:rsid w:val="0072004F"/>
    <w:rsid w:val="0072018F"/>
    <w:rsid w:val="00720948"/>
    <w:rsid w:val="00721A17"/>
    <w:rsid w:val="0072300B"/>
    <w:rsid w:val="00723588"/>
    <w:rsid w:val="00723863"/>
    <w:rsid w:val="0072459E"/>
    <w:rsid w:val="00724E43"/>
    <w:rsid w:val="0072589F"/>
    <w:rsid w:val="00726A27"/>
    <w:rsid w:val="0072744B"/>
    <w:rsid w:val="0072B03E"/>
    <w:rsid w:val="00732874"/>
    <w:rsid w:val="007347D5"/>
    <w:rsid w:val="00734814"/>
    <w:rsid w:val="00734AEF"/>
    <w:rsid w:val="007350E4"/>
    <w:rsid w:val="00737073"/>
    <w:rsid w:val="0074044B"/>
    <w:rsid w:val="00740D1C"/>
    <w:rsid w:val="00743B56"/>
    <w:rsid w:val="00743DD9"/>
    <w:rsid w:val="00744829"/>
    <w:rsid w:val="007460C6"/>
    <w:rsid w:val="00746ACA"/>
    <w:rsid w:val="00747510"/>
    <w:rsid w:val="00750122"/>
    <w:rsid w:val="007503CB"/>
    <w:rsid w:val="00750AB6"/>
    <w:rsid w:val="00751F9B"/>
    <w:rsid w:val="00754030"/>
    <w:rsid w:val="0075409C"/>
    <w:rsid w:val="00754FE9"/>
    <w:rsid w:val="00756810"/>
    <w:rsid w:val="0075688C"/>
    <w:rsid w:val="0075692B"/>
    <w:rsid w:val="007577BF"/>
    <w:rsid w:val="00757A2B"/>
    <w:rsid w:val="00761203"/>
    <w:rsid w:val="00761944"/>
    <w:rsid w:val="00764750"/>
    <w:rsid w:val="0076590A"/>
    <w:rsid w:val="0076633D"/>
    <w:rsid w:val="00766FDE"/>
    <w:rsid w:val="00770458"/>
    <w:rsid w:val="007712F5"/>
    <w:rsid w:val="0077187D"/>
    <w:rsid w:val="007721D1"/>
    <w:rsid w:val="00773D20"/>
    <w:rsid w:val="0077404E"/>
    <w:rsid w:val="00775792"/>
    <w:rsid w:val="00777F05"/>
    <w:rsid w:val="007811C9"/>
    <w:rsid w:val="00782398"/>
    <w:rsid w:val="007842F1"/>
    <w:rsid w:val="007844CD"/>
    <w:rsid w:val="00784DFD"/>
    <w:rsid w:val="007855F0"/>
    <w:rsid w:val="007869FC"/>
    <w:rsid w:val="0078773A"/>
    <w:rsid w:val="00787A05"/>
    <w:rsid w:val="00790B01"/>
    <w:rsid w:val="00790E3A"/>
    <w:rsid w:val="00791B03"/>
    <w:rsid w:val="00792957"/>
    <w:rsid w:val="007935C6"/>
    <w:rsid w:val="00795968"/>
    <w:rsid w:val="00796140"/>
    <w:rsid w:val="007A1B4E"/>
    <w:rsid w:val="007A32BB"/>
    <w:rsid w:val="007A37E1"/>
    <w:rsid w:val="007A457E"/>
    <w:rsid w:val="007A4E16"/>
    <w:rsid w:val="007A5F72"/>
    <w:rsid w:val="007A60F2"/>
    <w:rsid w:val="007A6F40"/>
    <w:rsid w:val="007A75D9"/>
    <w:rsid w:val="007B0C89"/>
    <w:rsid w:val="007B0F11"/>
    <w:rsid w:val="007B14A7"/>
    <w:rsid w:val="007B20D6"/>
    <w:rsid w:val="007B20EB"/>
    <w:rsid w:val="007B2770"/>
    <w:rsid w:val="007B3E47"/>
    <w:rsid w:val="007B41C5"/>
    <w:rsid w:val="007B5C2C"/>
    <w:rsid w:val="007B7508"/>
    <w:rsid w:val="007B7B46"/>
    <w:rsid w:val="007C0CD5"/>
    <w:rsid w:val="007C32B4"/>
    <w:rsid w:val="007C42C5"/>
    <w:rsid w:val="007C5FB0"/>
    <w:rsid w:val="007D05F6"/>
    <w:rsid w:val="007D0850"/>
    <w:rsid w:val="007D0A8B"/>
    <w:rsid w:val="007D23C5"/>
    <w:rsid w:val="007D2A67"/>
    <w:rsid w:val="007D457C"/>
    <w:rsid w:val="007D493B"/>
    <w:rsid w:val="007D61E8"/>
    <w:rsid w:val="007D7981"/>
    <w:rsid w:val="007E06EF"/>
    <w:rsid w:val="007E3587"/>
    <w:rsid w:val="007E3D55"/>
    <w:rsid w:val="007E56F8"/>
    <w:rsid w:val="007E5A4C"/>
    <w:rsid w:val="007E688E"/>
    <w:rsid w:val="007E6CC2"/>
    <w:rsid w:val="007E7191"/>
    <w:rsid w:val="007F101D"/>
    <w:rsid w:val="007F185E"/>
    <w:rsid w:val="007F2366"/>
    <w:rsid w:val="007F358F"/>
    <w:rsid w:val="007F395D"/>
    <w:rsid w:val="007F5358"/>
    <w:rsid w:val="007F5556"/>
    <w:rsid w:val="007F68BA"/>
    <w:rsid w:val="007FF4A3"/>
    <w:rsid w:val="00801105"/>
    <w:rsid w:val="008011A1"/>
    <w:rsid w:val="008013B5"/>
    <w:rsid w:val="00801487"/>
    <w:rsid w:val="0080270C"/>
    <w:rsid w:val="00803741"/>
    <w:rsid w:val="008041A2"/>
    <w:rsid w:val="00804F8A"/>
    <w:rsid w:val="0080546C"/>
    <w:rsid w:val="00805E20"/>
    <w:rsid w:val="008064F6"/>
    <w:rsid w:val="00810B06"/>
    <w:rsid w:val="00812083"/>
    <w:rsid w:val="00814044"/>
    <w:rsid w:val="00821560"/>
    <w:rsid w:val="00821C6D"/>
    <w:rsid w:val="008247D1"/>
    <w:rsid w:val="00830750"/>
    <w:rsid w:val="00831284"/>
    <w:rsid w:val="0083259D"/>
    <w:rsid w:val="008337CA"/>
    <w:rsid w:val="008339C5"/>
    <w:rsid w:val="00834813"/>
    <w:rsid w:val="00837021"/>
    <w:rsid w:val="00840376"/>
    <w:rsid w:val="00841E2C"/>
    <w:rsid w:val="0084218B"/>
    <w:rsid w:val="008428BB"/>
    <w:rsid w:val="00843A2A"/>
    <w:rsid w:val="00845C88"/>
    <w:rsid w:val="008468B4"/>
    <w:rsid w:val="0084714B"/>
    <w:rsid w:val="00847460"/>
    <w:rsid w:val="00847661"/>
    <w:rsid w:val="00847CAE"/>
    <w:rsid w:val="008505A6"/>
    <w:rsid w:val="008509FA"/>
    <w:rsid w:val="00850DB2"/>
    <w:rsid w:val="00851277"/>
    <w:rsid w:val="008512D9"/>
    <w:rsid w:val="00851474"/>
    <w:rsid w:val="00853F13"/>
    <w:rsid w:val="0085411F"/>
    <w:rsid w:val="00854C2F"/>
    <w:rsid w:val="00856841"/>
    <w:rsid w:val="00857DEC"/>
    <w:rsid w:val="0086247A"/>
    <w:rsid w:val="00863189"/>
    <w:rsid w:val="00863D9C"/>
    <w:rsid w:val="008663AA"/>
    <w:rsid w:val="0086659E"/>
    <w:rsid w:val="008669A4"/>
    <w:rsid w:val="00870FAD"/>
    <w:rsid w:val="00871334"/>
    <w:rsid w:val="00871B66"/>
    <w:rsid w:val="008720D9"/>
    <w:rsid w:val="00873864"/>
    <w:rsid w:val="0087498A"/>
    <w:rsid w:val="00875BBD"/>
    <w:rsid w:val="0087604F"/>
    <w:rsid w:val="00876B43"/>
    <w:rsid w:val="00876CAA"/>
    <w:rsid w:val="008811C2"/>
    <w:rsid w:val="00881F40"/>
    <w:rsid w:val="0088261D"/>
    <w:rsid w:val="008826EA"/>
    <w:rsid w:val="00882912"/>
    <w:rsid w:val="0088356D"/>
    <w:rsid w:val="00883636"/>
    <w:rsid w:val="008856F6"/>
    <w:rsid w:val="0089231B"/>
    <w:rsid w:val="00892700"/>
    <w:rsid w:val="00892D4A"/>
    <w:rsid w:val="0089446D"/>
    <w:rsid w:val="00894E0E"/>
    <w:rsid w:val="008950E7"/>
    <w:rsid w:val="008973D3"/>
    <w:rsid w:val="00897F51"/>
    <w:rsid w:val="008A01F0"/>
    <w:rsid w:val="008A074A"/>
    <w:rsid w:val="008A098D"/>
    <w:rsid w:val="008A3126"/>
    <w:rsid w:val="008A5ACE"/>
    <w:rsid w:val="008B0815"/>
    <w:rsid w:val="008B2646"/>
    <w:rsid w:val="008B45F8"/>
    <w:rsid w:val="008B481F"/>
    <w:rsid w:val="008B4BCD"/>
    <w:rsid w:val="008C0460"/>
    <w:rsid w:val="008C1A31"/>
    <w:rsid w:val="008C21D6"/>
    <w:rsid w:val="008C585B"/>
    <w:rsid w:val="008C5CD7"/>
    <w:rsid w:val="008C663D"/>
    <w:rsid w:val="008C74F5"/>
    <w:rsid w:val="008C7BCB"/>
    <w:rsid w:val="008D0A3B"/>
    <w:rsid w:val="008D0EEF"/>
    <w:rsid w:val="008D2824"/>
    <w:rsid w:val="008D38C4"/>
    <w:rsid w:val="008D4D72"/>
    <w:rsid w:val="008D502A"/>
    <w:rsid w:val="008D574D"/>
    <w:rsid w:val="008D6C4B"/>
    <w:rsid w:val="008D7BE0"/>
    <w:rsid w:val="008E043E"/>
    <w:rsid w:val="008E09B1"/>
    <w:rsid w:val="008E0C73"/>
    <w:rsid w:val="008E13A9"/>
    <w:rsid w:val="008E154B"/>
    <w:rsid w:val="008E15EC"/>
    <w:rsid w:val="008E1979"/>
    <w:rsid w:val="008E22A6"/>
    <w:rsid w:val="008E29E0"/>
    <w:rsid w:val="008E5749"/>
    <w:rsid w:val="008E5F6C"/>
    <w:rsid w:val="008F1B90"/>
    <w:rsid w:val="008F523C"/>
    <w:rsid w:val="008F54F5"/>
    <w:rsid w:val="008F668F"/>
    <w:rsid w:val="00900770"/>
    <w:rsid w:val="009012E3"/>
    <w:rsid w:val="00901525"/>
    <w:rsid w:val="009021B6"/>
    <w:rsid w:val="009035E9"/>
    <w:rsid w:val="009046D5"/>
    <w:rsid w:val="00907F40"/>
    <w:rsid w:val="00911AC4"/>
    <w:rsid w:val="009131AD"/>
    <w:rsid w:val="009131DA"/>
    <w:rsid w:val="009132D5"/>
    <w:rsid w:val="00915CF6"/>
    <w:rsid w:val="00917AC1"/>
    <w:rsid w:val="00921DEA"/>
    <w:rsid w:val="009227A7"/>
    <w:rsid w:val="00923A2E"/>
    <w:rsid w:val="0092469E"/>
    <w:rsid w:val="00924C72"/>
    <w:rsid w:val="009266AB"/>
    <w:rsid w:val="00930541"/>
    <w:rsid w:val="00930D47"/>
    <w:rsid w:val="00930E2C"/>
    <w:rsid w:val="00931D18"/>
    <w:rsid w:val="009326D3"/>
    <w:rsid w:val="009333E1"/>
    <w:rsid w:val="00933AD1"/>
    <w:rsid w:val="00934797"/>
    <w:rsid w:val="00934CE0"/>
    <w:rsid w:val="00934F5D"/>
    <w:rsid w:val="00940073"/>
    <w:rsid w:val="009426BD"/>
    <w:rsid w:val="00943876"/>
    <w:rsid w:val="00951A77"/>
    <w:rsid w:val="009521A7"/>
    <w:rsid w:val="0095262C"/>
    <w:rsid w:val="009541B9"/>
    <w:rsid w:val="00954F2A"/>
    <w:rsid w:val="009550EF"/>
    <w:rsid w:val="009555AC"/>
    <w:rsid w:val="009578BD"/>
    <w:rsid w:val="00957B1A"/>
    <w:rsid w:val="0096155F"/>
    <w:rsid w:val="009622AA"/>
    <w:rsid w:val="00962711"/>
    <w:rsid w:val="00962BC0"/>
    <w:rsid w:val="00962E25"/>
    <w:rsid w:val="0096324F"/>
    <w:rsid w:val="009647F6"/>
    <w:rsid w:val="00965323"/>
    <w:rsid w:val="009653C2"/>
    <w:rsid w:val="009657C0"/>
    <w:rsid w:val="00965B85"/>
    <w:rsid w:val="0096639E"/>
    <w:rsid w:val="00966A4F"/>
    <w:rsid w:val="00966FFF"/>
    <w:rsid w:val="009672CB"/>
    <w:rsid w:val="00967B29"/>
    <w:rsid w:val="009747FF"/>
    <w:rsid w:val="00975D5D"/>
    <w:rsid w:val="00983832"/>
    <w:rsid w:val="009848A7"/>
    <w:rsid w:val="00987D4E"/>
    <w:rsid w:val="0098E60A"/>
    <w:rsid w:val="00992245"/>
    <w:rsid w:val="00992946"/>
    <w:rsid w:val="009947A6"/>
    <w:rsid w:val="0099767E"/>
    <w:rsid w:val="00997A38"/>
    <w:rsid w:val="009A2377"/>
    <w:rsid w:val="009A4234"/>
    <w:rsid w:val="009A5F1D"/>
    <w:rsid w:val="009A6763"/>
    <w:rsid w:val="009A6D9B"/>
    <w:rsid w:val="009A7343"/>
    <w:rsid w:val="009A74FD"/>
    <w:rsid w:val="009B0CDE"/>
    <w:rsid w:val="009B1889"/>
    <w:rsid w:val="009B1FEB"/>
    <w:rsid w:val="009B2483"/>
    <w:rsid w:val="009B308B"/>
    <w:rsid w:val="009B5A18"/>
    <w:rsid w:val="009B60FE"/>
    <w:rsid w:val="009B617E"/>
    <w:rsid w:val="009C07A7"/>
    <w:rsid w:val="009C1067"/>
    <w:rsid w:val="009C1DC8"/>
    <w:rsid w:val="009C22AB"/>
    <w:rsid w:val="009C3254"/>
    <w:rsid w:val="009C495A"/>
    <w:rsid w:val="009C57E4"/>
    <w:rsid w:val="009C5CBE"/>
    <w:rsid w:val="009C6775"/>
    <w:rsid w:val="009D3A80"/>
    <w:rsid w:val="009D53D3"/>
    <w:rsid w:val="009D66BA"/>
    <w:rsid w:val="009D6E66"/>
    <w:rsid w:val="009D718B"/>
    <w:rsid w:val="009D7D63"/>
    <w:rsid w:val="009E0041"/>
    <w:rsid w:val="009E0187"/>
    <w:rsid w:val="009E067B"/>
    <w:rsid w:val="009E0D8A"/>
    <w:rsid w:val="009E1DB4"/>
    <w:rsid w:val="009E53D0"/>
    <w:rsid w:val="009E6243"/>
    <w:rsid w:val="009E6278"/>
    <w:rsid w:val="009E7072"/>
    <w:rsid w:val="009F01A6"/>
    <w:rsid w:val="009F0680"/>
    <w:rsid w:val="009F0801"/>
    <w:rsid w:val="009F146E"/>
    <w:rsid w:val="009F234B"/>
    <w:rsid w:val="009F2AD1"/>
    <w:rsid w:val="009F3796"/>
    <w:rsid w:val="009F53C2"/>
    <w:rsid w:val="009F6EC5"/>
    <w:rsid w:val="009F6FAB"/>
    <w:rsid w:val="00A017C1"/>
    <w:rsid w:val="00A04BEE"/>
    <w:rsid w:val="00A05FE6"/>
    <w:rsid w:val="00A11AAF"/>
    <w:rsid w:val="00A154CC"/>
    <w:rsid w:val="00A15AE2"/>
    <w:rsid w:val="00A16863"/>
    <w:rsid w:val="00A16B7A"/>
    <w:rsid w:val="00A17678"/>
    <w:rsid w:val="00A20379"/>
    <w:rsid w:val="00A20657"/>
    <w:rsid w:val="00A20C69"/>
    <w:rsid w:val="00A23592"/>
    <w:rsid w:val="00A24185"/>
    <w:rsid w:val="00A25241"/>
    <w:rsid w:val="00A25FE9"/>
    <w:rsid w:val="00A2668C"/>
    <w:rsid w:val="00A277EF"/>
    <w:rsid w:val="00A32C3C"/>
    <w:rsid w:val="00A335A1"/>
    <w:rsid w:val="00A3433C"/>
    <w:rsid w:val="00A34397"/>
    <w:rsid w:val="00A348FE"/>
    <w:rsid w:val="00A35519"/>
    <w:rsid w:val="00A368E6"/>
    <w:rsid w:val="00A37909"/>
    <w:rsid w:val="00A40BB0"/>
    <w:rsid w:val="00A418ED"/>
    <w:rsid w:val="00A42495"/>
    <w:rsid w:val="00A42566"/>
    <w:rsid w:val="00A42CF4"/>
    <w:rsid w:val="00A43287"/>
    <w:rsid w:val="00A448B9"/>
    <w:rsid w:val="00A44DAB"/>
    <w:rsid w:val="00A453DE"/>
    <w:rsid w:val="00A45BF9"/>
    <w:rsid w:val="00A468D1"/>
    <w:rsid w:val="00A51558"/>
    <w:rsid w:val="00A5206F"/>
    <w:rsid w:val="00A52223"/>
    <w:rsid w:val="00A5267B"/>
    <w:rsid w:val="00A531AE"/>
    <w:rsid w:val="00A531E7"/>
    <w:rsid w:val="00A532B1"/>
    <w:rsid w:val="00A5455B"/>
    <w:rsid w:val="00A548EC"/>
    <w:rsid w:val="00A54F63"/>
    <w:rsid w:val="00A55864"/>
    <w:rsid w:val="00A56FD9"/>
    <w:rsid w:val="00A572F6"/>
    <w:rsid w:val="00A60F66"/>
    <w:rsid w:val="00A61F8F"/>
    <w:rsid w:val="00A63076"/>
    <w:rsid w:val="00A63A45"/>
    <w:rsid w:val="00A64076"/>
    <w:rsid w:val="00A65498"/>
    <w:rsid w:val="00A65E06"/>
    <w:rsid w:val="00A672A3"/>
    <w:rsid w:val="00A67950"/>
    <w:rsid w:val="00A70E6A"/>
    <w:rsid w:val="00A71EB2"/>
    <w:rsid w:val="00A72A15"/>
    <w:rsid w:val="00A744A9"/>
    <w:rsid w:val="00A7697F"/>
    <w:rsid w:val="00A76C5A"/>
    <w:rsid w:val="00A7730C"/>
    <w:rsid w:val="00A80442"/>
    <w:rsid w:val="00A80EDA"/>
    <w:rsid w:val="00A813C1"/>
    <w:rsid w:val="00A8361B"/>
    <w:rsid w:val="00A8395B"/>
    <w:rsid w:val="00A84968"/>
    <w:rsid w:val="00A84D1B"/>
    <w:rsid w:val="00A85239"/>
    <w:rsid w:val="00A853BB"/>
    <w:rsid w:val="00A8585F"/>
    <w:rsid w:val="00A858BD"/>
    <w:rsid w:val="00A86C0B"/>
    <w:rsid w:val="00A902D6"/>
    <w:rsid w:val="00A9129A"/>
    <w:rsid w:val="00A91EE8"/>
    <w:rsid w:val="00A9268A"/>
    <w:rsid w:val="00A93518"/>
    <w:rsid w:val="00A93F35"/>
    <w:rsid w:val="00A9416F"/>
    <w:rsid w:val="00A95119"/>
    <w:rsid w:val="00A9534D"/>
    <w:rsid w:val="00AA0EA7"/>
    <w:rsid w:val="00AA1E7D"/>
    <w:rsid w:val="00AA33EB"/>
    <w:rsid w:val="00AA4438"/>
    <w:rsid w:val="00AA5C07"/>
    <w:rsid w:val="00AA5F5B"/>
    <w:rsid w:val="00AA69D8"/>
    <w:rsid w:val="00AA6EF4"/>
    <w:rsid w:val="00AA776B"/>
    <w:rsid w:val="00AA7F11"/>
    <w:rsid w:val="00AB15A1"/>
    <w:rsid w:val="00AB2D6C"/>
    <w:rsid w:val="00AB46D0"/>
    <w:rsid w:val="00AB4B06"/>
    <w:rsid w:val="00AC5183"/>
    <w:rsid w:val="00AC52E4"/>
    <w:rsid w:val="00AC599A"/>
    <w:rsid w:val="00AC7428"/>
    <w:rsid w:val="00AC7F15"/>
    <w:rsid w:val="00AD1E93"/>
    <w:rsid w:val="00AD200E"/>
    <w:rsid w:val="00AD27FC"/>
    <w:rsid w:val="00AD2D26"/>
    <w:rsid w:val="00AD3B81"/>
    <w:rsid w:val="00AD5ADF"/>
    <w:rsid w:val="00AD6C49"/>
    <w:rsid w:val="00AD77E2"/>
    <w:rsid w:val="00AE1FB3"/>
    <w:rsid w:val="00AE3BF8"/>
    <w:rsid w:val="00AE5F40"/>
    <w:rsid w:val="00AE6773"/>
    <w:rsid w:val="00AE68BA"/>
    <w:rsid w:val="00AE7A2C"/>
    <w:rsid w:val="00AE7A8B"/>
    <w:rsid w:val="00AF039A"/>
    <w:rsid w:val="00AF05F4"/>
    <w:rsid w:val="00AF1779"/>
    <w:rsid w:val="00AF20B3"/>
    <w:rsid w:val="00AF2B23"/>
    <w:rsid w:val="00AF32C6"/>
    <w:rsid w:val="00AF3D0B"/>
    <w:rsid w:val="00AF4C79"/>
    <w:rsid w:val="00AF7223"/>
    <w:rsid w:val="00B0059D"/>
    <w:rsid w:val="00B0222C"/>
    <w:rsid w:val="00B0367D"/>
    <w:rsid w:val="00B048F6"/>
    <w:rsid w:val="00B04AB4"/>
    <w:rsid w:val="00B0603E"/>
    <w:rsid w:val="00B0627A"/>
    <w:rsid w:val="00B06AB9"/>
    <w:rsid w:val="00B10BD3"/>
    <w:rsid w:val="00B11576"/>
    <w:rsid w:val="00B12AD0"/>
    <w:rsid w:val="00B12AEB"/>
    <w:rsid w:val="00B12B40"/>
    <w:rsid w:val="00B13BD0"/>
    <w:rsid w:val="00B14817"/>
    <w:rsid w:val="00B14C49"/>
    <w:rsid w:val="00B1750D"/>
    <w:rsid w:val="00B208DA"/>
    <w:rsid w:val="00B20C5E"/>
    <w:rsid w:val="00B20EC0"/>
    <w:rsid w:val="00B21503"/>
    <w:rsid w:val="00B2254B"/>
    <w:rsid w:val="00B2255F"/>
    <w:rsid w:val="00B22604"/>
    <w:rsid w:val="00B23709"/>
    <w:rsid w:val="00B25761"/>
    <w:rsid w:val="00B25DE9"/>
    <w:rsid w:val="00B26533"/>
    <w:rsid w:val="00B26CA3"/>
    <w:rsid w:val="00B27F65"/>
    <w:rsid w:val="00B30CC3"/>
    <w:rsid w:val="00B31459"/>
    <w:rsid w:val="00B31612"/>
    <w:rsid w:val="00B343A9"/>
    <w:rsid w:val="00B35927"/>
    <w:rsid w:val="00B35ABB"/>
    <w:rsid w:val="00B3641E"/>
    <w:rsid w:val="00B3651D"/>
    <w:rsid w:val="00B3717E"/>
    <w:rsid w:val="00B37191"/>
    <w:rsid w:val="00B40F80"/>
    <w:rsid w:val="00B41D02"/>
    <w:rsid w:val="00B42A13"/>
    <w:rsid w:val="00B430E2"/>
    <w:rsid w:val="00B44240"/>
    <w:rsid w:val="00B44BCC"/>
    <w:rsid w:val="00B4599C"/>
    <w:rsid w:val="00B46530"/>
    <w:rsid w:val="00B469F2"/>
    <w:rsid w:val="00B46D22"/>
    <w:rsid w:val="00B470B9"/>
    <w:rsid w:val="00B49879"/>
    <w:rsid w:val="00B5202A"/>
    <w:rsid w:val="00B5268D"/>
    <w:rsid w:val="00B52FA5"/>
    <w:rsid w:val="00B53262"/>
    <w:rsid w:val="00B5448E"/>
    <w:rsid w:val="00B57B63"/>
    <w:rsid w:val="00B607B9"/>
    <w:rsid w:val="00B607E5"/>
    <w:rsid w:val="00B614FF"/>
    <w:rsid w:val="00B61781"/>
    <w:rsid w:val="00B61B5A"/>
    <w:rsid w:val="00B62207"/>
    <w:rsid w:val="00B62C91"/>
    <w:rsid w:val="00B62E8E"/>
    <w:rsid w:val="00B65531"/>
    <w:rsid w:val="00B665E3"/>
    <w:rsid w:val="00B66855"/>
    <w:rsid w:val="00B72CD1"/>
    <w:rsid w:val="00B72EA0"/>
    <w:rsid w:val="00B73F05"/>
    <w:rsid w:val="00B73F33"/>
    <w:rsid w:val="00B7428A"/>
    <w:rsid w:val="00B755EA"/>
    <w:rsid w:val="00B771C3"/>
    <w:rsid w:val="00B77AC4"/>
    <w:rsid w:val="00B80A33"/>
    <w:rsid w:val="00B810DE"/>
    <w:rsid w:val="00B815B4"/>
    <w:rsid w:val="00B816C6"/>
    <w:rsid w:val="00B8222F"/>
    <w:rsid w:val="00B82E91"/>
    <w:rsid w:val="00B83339"/>
    <w:rsid w:val="00B84BBB"/>
    <w:rsid w:val="00B84F3B"/>
    <w:rsid w:val="00B85175"/>
    <w:rsid w:val="00B85813"/>
    <w:rsid w:val="00B85B6E"/>
    <w:rsid w:val="00B87128"/>
    <w:rsid w:val="00B900C7"/>
    <w:rsid w:val="00B90442"/>
    <w:rsid w:val="00B9113E"/>
    <w:rsid w:val="00B93219"/>
    <w:rsid w:val="00B94632"/>
    <w:rsid w:val="00B951E3"/>
    <w:rsid w:val="00B95CBC"/>
    <w:rsid w:val="00B977B9"/>
    <w:rsid w:val="00BA28AA"/>
    <w:rsid w:val="00BA2D78"/>
    <w:rsid w:val="00BA33CC"/>
    <w:rsid w:val="00BA42B2"/>
    <w:rsid w:val="00BA5AFB"/>
    <w:rsid w:val="00BA5D72"/>
    <w:rsid w:val="00BA76EE"/>
    <w:rsid w:val="00BB257F"/>
    <w:rsid w:val="00BB2B54"/>
    <w:rsid w:val="00BB2BAC"/>
    <w:rsid w:val="00BB2BEF"/>
    <w:rsid w:val="00BB385B"/>
    <w:rsid w:val="00BB55C6"/>
    <w:rsid w:val="00BB6BCE"/>
    <w:rsid w:val="00BB7FA1"/>
    <w:rsid w:val="00BBF3A2"/>
    <w:rsid w:val="00BC06AC"/>
    <w:rsid w:val="00BC0A40"/>
    <w:rsid w:val="00BC4A97"/>
    <w:rsid w:val="00BC5610"/>
    <w:rsid w:val="00BC63B9"/>
    <w:rsid w:val="00BD0D8F"/>
    <w:rsid w:val="00BD10B8"/>
    <w:rsid w:val="00BD4130"/>
    <w:rsid w:val="00BD53D5"/>
    <w:rsid w:val="00BD56C1"/>
    <w:rsid w:val="00BD65A0"/>
    <w:rsid w:val="00BD7C30"/>
    <w:rsid w:val="00BE0E97"/>
    <w:rsid w:val="00BE137D"/>
    <w:rsid w:val="00BE2174"/>
    <w:rsid w:val="00BE3602"/>
    <w:rsid w:val="00BE37F3"/>
    <w:rsid w:val="00BE43B5"/>
    <w:rsid w:val="00BE5071"/>
    <w:rsid w:val="00BE66C1"/>
    <w:rsid w:val="00BF0235"/>
    <w:rsid w:val="00BF168E"/>
    <w:rsid w:val="00BF1A61"/>
    <w:rsid w:val="00BF2CB6"/>
    <w:rsid w:val="00BF42D8"/>
    <w:rsid w:val="00BF4A7B"/>
    <w:rsid w:val="00BF4B87"/>
    <w:rsid w:val="00BF4D58"/>
    <w:rsid w:val="00BF4E35"/>
    <w:rsid w:val="00BF5F7D"/>
    <w:rsid w:val="00BF617E"/>
    <w:rsid w:val="00BF6732"/>
    <w:rsid w:val="00BF686E"/>
    <w:rsid w:val="00BF7A9D"/>
    <w:rsid w:val="00C001DD"/>
    <w:rsid w:val="00C030BD"/>
    <w:rsid w:val="00C0434B"/>
    <w:rsid w:val="00C04475"/>
    <w:rsid w:val="00C06592"/>
    <w:rsid w:val="00C0758D"/>
    <w:rsid w:val="00C0792A"/>
    <w:rsid w:val="00C07C03"/>
    <w:rsid w:val="00C07F89"/>
    <w:rsid w:val="00C10747"/>
    <w:rsid w:val="00C10910"/>
    <w:rsid w:val="00C10CC7"/>
    <w:rsid w:val="00C13CDA"/>
    <w:rsid w:val="00C13EB8"/>
    <w:rsid w:val="00C147AA"/>
    <w:rsid w:val="00C15E76"/>
    <w:rsid w:val="00C1650A"/>
    <w:rsid w:val="00C1657B"/>
    <w:rsid w:val="00C16739"/>
    <w:rsid w:val="00C1682F"/>
    <w:rsid w:val="00C16AE0"/>
    <w:rsid w:val="00C170F5"/>
    <w:rsid w:val="00C17319"/>
    <w:rsid w:val="00C1744C"/>
    <w:rsid w:val="00C175DA"/>
    <w:rsid w:val="00C177F9"/>
    <w:rsid w:val="00C20CB0"/>
    <w:rsid w:val="00C27753"/>
    <w:rsid w:val="00C27A50"/>
    <w:rsid w:val="00C27C6D"/>
    <w:rsid w:val="00C31084"/>
    <w:rsid w:val="00C32D2F"/>
    <w:rsid w:val="00C33212"/>
    <w:rsid w:val="00C337D7"/>
    <w:rsid w:val="00C35C07"/>
    <w:rsid w:val="00C35EE4"/>
    <w:rsid w:val="00C379A9"/>
    <w:rsid w:val="00C411DD"/>
    <w:rsid w:val="00C41245"/>
    <w:rsid w:val="00C41393"/>
    <w:rsid w:val="00C41831"/>
    <w:rsid w:val="00C4397C"/>
    <w:rsid w:val="00C4433A"/>
    <w:rsid w:val="00C44CA9"/>
    <w:rsid w:val="00C46BC0"/>
    <w:rsid w:val="00C47410"/>
    <w:rsid w:val="00C50BED"/>
    <w:rsid w:val="00C50D13"/>
    <w:rsid w:val="00C51007"/>
    <w:rsid w:val="00C51670"/>
    <w:rsid w:val="00C51A5E"/>
    <w:rsid w:val="00C53115"/>
    <w:rsid w:val="00C53B25"/>
    <w:rsid w:val="00C546D9"/>
    <w:rsid w:val="00C5511F"/>
    <w:rsid w:val="00C5543E"/>
    <w:rsid w:val="00C56729"/>
    <w:rsid w:val="00C57F8D"/>
    <w:rsid w:val="00C61043"/>
    <w:rsid w:val="00C61F70"/>
    <w:rsid w:val="00C621B8"/>
    <w:rsid w:val="00C62792"/>
    <w:rsid w:val="00C62B42"/>
    <w:rsid w:val="00C63486"/>
    <w:rsid w:val="00C63A78"/>
    <w:rsid w:val="00C660DB"/>
    <w:rsid w:val="00C71A2F"/>
    <w:rsid w:val="00C71A7B"/>
    <w:rsid w:val="00C723FD"/>
    <w:rsid w:val="00C725EC"/>
    <w:rsid w:val="00C7385C"/>
    <w:rsid w:val="00C74873"/>
    <w:rsid w:val="00C761C0"/>
    <w:rsid w:val="00C77750"/>
    <w:rsid w:val="00C77915"/>
    <w:rsid w:val="00C82952"/>
    <w:rsid w:val="00C82C2F"/>
    <w:rsid w:val="00C82C3A"/>
    <w:rsid w:val="00C83956"/>
    <w:rsid w:val="00C84A05"/>
    <w:rsid w:val="00C84C12"/>
    <w:rsid w:val="00C85490"/>
    <w:rsid w:val="00C87361"/>
    <w:rsid w:val="00C87C3C"/>
    <w:rsid w:val="00C87D1A"/>
    <w:rsid w:val="00C90253"/>
    <w:rsid w:val="00C90518"/>
    <w:rsid w:val="00C91BD4"/>
    <w:rsid w:val="00C927B6"/>
    <w:rsid w:val="00C936F6"/>
    <w:rsid w:val="00C94D86"/>
    <w:rsid w:val="00C96B09"/>
    <w:rsid w:val="00C96CA9"/>
    <w:rsid w:val="00C9ECC5"/>
    <w:rsid w:val="00CA0D67"/>
    <w:rsid w:val="00CA321B"/>
    <w:rsid w:val="00CA344D"/>
    <w:rsid w:val="00CA597C"/>
    <w:rsid w:val="00CA6455"/>
    <w:rsid w:val="00CA650E"/>
    <w:rsid w:val="00CA7C53"/>
    <w:rsid w:val="00CA7F09"/>
    <w:rsid w:val="00CB1CB1"/>
    <w:rsid w:val="00CB66C4"/>
    <w:rsid w:val="00CB7827"/>
    <w:rsid w:val="00CB7E2D"/>
    <w:rsid w:val="00CC0C34"/>
    <w:rsid w:val="00CC2A12"/>
    <w:rsid w:val="00CC2BF9"/>
    <w:rsid w:val="00CC2DB5"/>
    <w:rsid w:val="00CC4861"/>
    <w:rsid w:val="00CC4D92"/>
    <w:rsid w:val="00CC5181"/>
    <w:rsid w:val="00CC5F1F"/>
    <w:rsid w:val="00CC6474"/>
    <w:rsid w:val="00CD11D5"/>
    <w:rsid w:val="00CD21F7"/>
    <w:rsid w:val="00CD2EAE"/>
    <w:rsid w:val="00CD59A8"/>
    <w:rsid w:val="00CD6ECB"/>
    <w:rsid w:val="00CD7133"/>
    <w:rsid w:val="00CD783E"/>
    <w:rsid w:val="00CD7CCF"/>
    <w:rsid w:val="00CE17AA"/>
    <w:rsid w:val="00CE37DF"/>
    <w:rsid w:val="00CE3AEE"/>
    <w:rsid w:val="00CE63A2"/>
    <w:rsid w:val="00CE7AD6"/>
    <w:rsid w:val="00CF020E"/>
    <w:rsid w:val="00CF0FAA"/>
    <w:rsid w:val="00CF140E"/>
    <w:rsid w:val="00CF1F37"/>
    <w:rsid w:val="00CF29FA"/>
    <w:rsid w:val="00CF35D1"/>
    <w:rsid w:val="00CF4640"/>
    <w:rsid w:val="00CF47A8"/>
    <w:rsid w:val="00CF5E99"/>
    <w:rsid w:val="00CF6125"/>
    <w:rsid w:val="00D01161"/>
    <w:rsid w:val="00D01210"/>
    <w:rsid w:val="00D042A2"/>
    <w:rsid w:val="00D047AD"/>
    <w:rsid w:val="00D05464"/>
    <w:rsid w:val="00D05B55"/>
    <w:rsid w:val="00D1066E"/>
    <w:rsid w:val="00D10A7A"/>
    <w:rsid w:val="00D10AA5"/>
    <w:rsid w:val="00D10B7E"/>
    <w:rsid w:val="00D118A2"/>
    <w:rsid w:val="00D12489"/>
    <w:rsid w:val="00D136D6"/>
    <w:rsid w:val="00D13A0D"/>
    <w:rsid w:val="00D13D8B"/>
    <w:rsid w:val="00D1491C"/>
    <w:rsid w:val="00D153D2"/>
    <w:rsid w:val="00D1616C"/>
    <w:rsid w:val="00D17284"/>
    <w:rsid w:val="00D17497"/>
    <w:rsid w:val="00D20880"/>
    <w:rsid w:val="00D22991"/>
    <w:rsid w:val="00D233C4"/>
    <w:rsid w:val="00D237C0"/>
    <w:rsid w:val="00D23D01"/>
    <w:rsid w:val="00D23D4C"/>
    <w:rsid w:val="00D24B2A"/>
    <w:rsid w:val="00D24ED7"/>
    <w:rsid w:val="00D25B13"/>
    <w:rsid w:val="00D25E47"/>
    <w:rsid w:val="00D262C5"/>
    <w:rsid w:val="00D26ED0"/>
    <w:rsid w:val="00D277FD"/>
    <w:rsid w:val="00D27DC7"/>
    <w:rsid w:val="00D302EA"/>
    <w:rsid w:val="00D30C2F"/>
    <w:rsid w:val="00D31C79"/>
    <w:rsid w:val="00D31F6A"/>
    <w:rsid w:val="00D33BBB"/>
    <w:rsid w:val="00D34D63"/>
    <w:rsid w:val="00D34F10"/>
    <w:rsid w:val="00D353CF"/>
    <w:rsid w:val="00D35A19"/>
    <w:rsid w:val="00D3679C"/>
    <w:rsid w:val="00D37C23"/>
    <w:rsid w:val="00D417D1"/>
    <w:rsid w:val="00D42FE5"/>
    <w:rsid w:val="00D43675"/>
    <w:rsid w:val="00D44A12"/>
    <w:rsid w:val="00D4547C"/>
    <w:rsid w:val="00D45A2A"/>
    <w:rsid w:val="00D466DD"/>
    <w:rsid w:val="00D470D3"/>
    <w:rsid w:val="00D504A0"/>
    <w:rsid w:val="00D50F31"/>
    <w:rsid w:val="00D51F8B"/>
    <w:rsid w:val="00D52B06"/>
    <w:rsid w:val="00D53090"/>
    <w:rsid w:val="00D53B66"/>
    <w:rsid w:val="00D53DED"/>
    <w:rsid w:val="00D56117"/>
    <w:rsid w:val="00D56560"/>
    <w:rsid w:val="00D57243"/>
    <w:rsid w:val="00D576CD"/>
    <w:rsid w:val="00D57F7C"/>
    <w:rsid w:val="00D60C1B"/>
    <w:rsid w:val="00D6299F"/>
    <w:rsid w:val="00D650F4"/>
    <w:rsid w:val="00D65CB1"/>
    <w:rsid w:val="00D660C1"/>
    <w:rsid w:val="00D66D7A"/>
    <w:rsid w:val="00D67768"/>
    <w:rsid w:val="00D71C45"/>
    <w:rsid w:val="00D72569"/>
    <w:rsid w:val="00D74B5A"/>
    <w:rsid w:val="00D7545A"/>
    <w:rsid w:val="00D77145"/>
    <w:rsid w:val="00D77D15"/>
    <w:rsid w:val="00D80827"/>
    <w:rsid w:val="00D82B6B"/>
    <w:rsid w:val="00D83E26"/>
    <w:rsid w:val="00D84ED3"/>
    <w:rsid w:val="00D861D4"/>
    <w:rsid w:val="00D86DA9"/>
    <w:rsid w:val="00D9059D"/>
    <w:rsid w:val="00D9124D"/>
    <w:rsid w:val="00D91974"/>
    <w:rsid w:val="00D92A35"/>
    <w:rsid w:val="00D9300C"/>
    <w:rsid w:val="00D93B2E"/>
    <w:rsid w:val="00D93FD7"/>
    <w:rsid w:val="00DA0AB5"/>
    <w:rsid w:val="00DA0C1A"/>
    <w:rsid w:val="00DA1F5F"/>
    <w:rsid w:val="00DA3483"/>
    <w:rsid w:val="00DA35FC"/>
    <w:rsid w:val="00DA5DC7"/>
    <w:rsid w:val="00DA6D1F"/>
    <w:rsid w:val="00DA7CC8"/>
    <w:rsid w:val="00DB0234"/>
    <w:rsid w:val="00DB25FE"/>
    <w:rsid w:val="00DB2C1C"/>
    <w:rsid w:val="00DB517E"/>
    <w:rsid w:val="00DB73A0"/>
    <w:rsid w:val="00DC1273"/>
    <w:rsid w:val="00DC18D8"/>
    <w:rsid w:val="00DC2BC3"/>
    <w:rsid w:val="00DC3132"/>
    <w:rsid w:val="00DC3677"/>
    <w:rsid w:val="00DC38DB"/>
    <w:rsid w:val="00DC426C"/>
    <w:rsid w:val="00DC4F74"/>
    <w:rsid w:val="00DC5AC0"/>
    <w:rsid w:val="00DC5C8E"/>
    <w:rsid w:val="00DD0268"/>
    <w:rsid w:val="00DD0FBD"/>
    <w:rsid w:val="00DD2126"/>
    <w:rsid w:val="00DD2ED8"/>
    <w:rsid w:val="00DD3628"/>
    <w:rsid w:val="00DD38C2"/>
    <w:rsid w:val="00DD486F"/>
    <w:rsid w:val="00DD5F99"/>
    <w:rsid w:val="00DD664D"/>
    <w:rsid w:val="00DD7295"/>
    <w:rsid w:val="00DD7EFA"/>
    <w:rsid w:val="00DD7F3A"/>
    <w:rsid w:val="00DE0187"/>
    <w:rsid w:val="00DE0AF0"/>
    <w:rsid w:val="00DE10F6"/>
    <w:rsid w:val="00DE235D"/>
    <w:rsid w:val="00DE249E"/>
    <w:rsid w:val="00DE3288"/>
    <w:rsid w:val="00DE5267"/>
    <w:rsid w:val="00DE753B"/>
    <w:rsid w:val="00DF0A93"/>
    <w:rsid w:val="00DF0D85"/>
    <w:rsid w:val="00DF0F00"/>
    <w:rsid w:val="00DF2938"/>
    <w:rsid w:val="00DF2C3A"/>
    <w:rsid w:val="00DF309F"/>
    <w:rsid w:val="00DF4C1D"/>
    <w:rsid w:val="00DF6721"/>
    <w:rsid w:val="00DF6863"/>
    <w:rsid w:val="00E000D3"/>
    <w:rsid w:val="00E00882"/>
    <w:rsid w:val="00E00CA1"/>
    <w:rsid w:val="00E01253"/>
    <w:rsid w:val="00E01409"/>
    <w:rsid w:val="00E02338"/>
    <w:rsid w:val="00E02F59"/>
    <w:rsid w:val="00E03388"/>
    <w:rsid w:val="00E046EF"/>
    <w:rsid w:val="00E077D1"/>
    <w:rsid w:val="00E10A7C"/>
    <w:rsid w:val="00E113AB"/>
    <w:rsid w:val="00E11FC9"/>
    <w:rsid w:val="00E143FD"/>
    <w:rsid w:val="00E14A3B"/>
    <w:rsid w:val="00E163D7"/>
    <w:rsid w:val="00E2062F"/>
    <w:rsid w:val="00E2094E"/>
    <w:rsid w:val="00E212EB"/>
    <w:rsid w:val="00E21A37"/>
    <w:rsid w:val="00E22462"/>
    <w:rsid w:val="00E22DDB"/>
    <w:rsid w:val="00E232ED"/>
    <w:rsid w:val="00E24255"/>
    <w:rsid w:val="00E26B34"/>
    <w:rsid w:val="00E2741C"/>
    <w:rsid w:val="00E3013A"/>
    <w:rsid w:val="00E31460"/>
    <w:rsid w:val="00E31E2B"/>
    <w:rsid w:val="00E32899"/>
    <w:rsid w:val="00E32987"/>
    <w:rsid w:val="00E332AA"/>
    <w:rsid w:val="00E349E2"/>
    <w:rsid w:val="00E3548D"/>
    <w:rsid w:val="00E35689"/>
    <w:rsid w:val="00E35843"/>
    <w:rsid w:val="00E40F1E"/>
    <w:rsid w:val="00E4203A"/>
    <w:rsid w:val="00E4245A"/>
    <w:rsid w:val="00E435A6"/>
    <w:rsid w:val="00E44A4D"/>
    <w:rsid w:val="00E5014D"/>
    <w:rsid w:val="00E50357"/>
    <w:rsid w:val="00E50E9B"/>
    <w:rsid w:val="00E51B41"/>
    <w:rsid w:val="00E53392"/>
    <w:rsid w:val="00E5367E"/>
    <w:rsid w:val="00E54225"/>
    <w:rsid w:val="00E55D4D"/>
    <w:rsid w:val="00E56100"/>
    <w:rsid w:val="00E56302"/>
    <w:rsid w:val="00E56BBE"/>
    <w:rsid w:val="00E576BB"/>
    <w:rsid w:val="00E609B3"/>
    <w:rsid w:val="00E61CE0"/>
    <w:rsid w:val="00E62D51"/>
    <w:rsid w:val="00E633B7"/>
    <w:rsid w:val="00E6663E"/>
    <w:rsid w:val="00E6687F"/>
    <w:rsid w:val="00E67590"/>
    <w:rsid w:val="00E6785D"/>
    <w:rsid w:val="00E7038E"/>
    <w:rsid w:val="00E718DA"/>
    <w:rsid w:val="00E71AC5"/>
    <w:rsid w:val="00E73BEE"/>
    <w:rsid w:val="00E74B16"/>
    <w:rsid w:val="00E74B8A"/>
    <w:rsid w:val="00E74FB3"/>
    <w:rsid w:val="00E76303"/>
    <w:rsid w:val="00E7721C"/>
    <w:rsid w:val="00E80B33"/>
    <w:rsid w:val="00E80C1A"/>
    <w:rsid w:val="00E812CD"/>
    <w:rsid w:val="00E81371"/>
    <w:rsid w:val="00E83028"/>
    <w:rsid w:val="00E83AD2"/>
    <w:rsid w:val="00E83E52"/>
    <w:rsid w:val="00E842F1"/>
    <w:rsid w:val="00E84E43"/>
    <w:rsid w:val="00E86EFC"/>
    <w:rsid w:val="00E873E5"/>
    <w:rsid w:val="00E87763"/>
    <w:rsid w:val="00E87A00"/>
    <w:rsid w:val="00E94DCD"/>
    <w:rsid w:val="00E9531E"/>
    <w:rsid w:val="00E96173"/>
    <w:rsid w:val="00E96F60"/>
    <w:rsid w:val="00EA0AB6"/>
    <w:rsid w:val="00EA18EA"/>
    <w:rsid w:val="00EA1E89"/>
    <w:rsid w:val="00EA24D6"/>
    <w:rsid w:val="00EA2EBD"/>
    <w:rsid w:val="00EA305E"/>
    <w:rsid w:val="00EA3312"/>
    <w:rsid w:val="00EA3699"/>
    <w:rsid w:val="00EA423B"/>
    <w:rsid w:val="00EA5688"/>
    <w:rsid w:val="00EA6B47"/>
    <w:rsid w:val="00EA6DC0"/>
    <w:rsid w:val="00EA79F5"/>
    <w:rsid w:val="00EB0B5C"/>
    <w:rsid w:val="00EB0EDB"/>
    <w:rsid w:val="00EB228E"/>
    <w:rsid w:val="00EB3718"/>
    <w:rsid w:val="00EB3949"/>
    <w:rsid w:val="00EB3F10"/>
    <w:rsid w:val="00EB420E"/>
    <w:rsid w:val="00EB5093"/>
    <w:rsid w:val="00EC0132"/>
    <w:rsid w:val="00EC0DFD"/>
    <w:rsid w:val="00EC0E19"/>
    <w:rsid w:val="00EC37D6"/>
    <w:rsid w:val="00EC4FDD"/>
    <w:rsid w:val="00ED1FC8"/>
    <w:rsid w:val="00ED2D38"/>
    <w:rsid w:val="00ED3218"/>
    <w:rsid w:val="00ED5751"/>
    <w:rsid w:val="00ED645C"/>
    <w:rsid w:val="00ED65F2"/>
    <w:rsid w:val="00ED6803"/>
    <w:rsid w:val="00ED7745"/>
    <w:rsid w:val="00EE174B"/>
    <w:rsid w:val="00EE3358"/>
    <w:rsid w:val="00EE3824"/>
    <w:rsid w:val="00EE3983"/>
    <w:rsid w:val="00EE44F2"/>
    <w:rsid w:val="00EE554C"/>
    <w:rsid w:val="00EE66FA"/>
    <w:rsid w:val="00EE6B7A"/>
    <w:rsid w:val="00EE6EE9"/>
    <w:rsid w:val="00EE7EA9"/>
    <w:rsid w:val="00EF0C6D"/>
    <w:rsid w:val="00EF12BE"/>
    <w:rsid w:val="00EF12F6"/>
    <w:rsid w:val="00EF2055"/>
    <w:rsid w:val="00EF25B9"/>
    <w:rsid w:val="00EF332F"/>
    <w:rsid w:val="00EF3C6E"/>
    <w:rsid w:val="00EF4244"/>
    <w:rsid w:val="00EF63E0"/>
    <w:rsid w:val="00EF6F0C"/>
    <w:rsid w:val="00EF708D"/>
    <w:rsid w:val="00EF7373"/>
    <w:rsid w:val="00F0010F"/>
    <w:rsid w:val="00F01B9E"/>
    <w:rsid w:val="00F037C3"/>
    <w:rsid w:val="00F048F7"/>
    <w:rsid w:val="00F04A15"/>
    <w:rsid w:val="00F04ECA"/>
    <w:rsid w:val="00F05AE4"/>
    <w:rsid w:val="00F06EAB"/>
    <w:rsid w:val="00F06F19"/>
    <w:rsid w:val="00F06FA1"/>
    <w:rsid w:val="00F10393"/>
    <w:rsid w:val="00F1172C"/>
    <w:rsid w:val="00F11EEA"/>
    <w:rsid w:val="00F13DEA"/>
    <w:rsid w:val="00F1750E"/>
    <w:rsid w:val="00F21CBC"/>
    <w:rsid w:val="00F224D0"/>
    <w:rsid w:val="00F22D74"/>
    <w:rsid w:val="00F23DCE"/>
    <w:rsid w:val="00F24209"/>
    <w:rsid w:val="00F2559D"/>
    <w:rsid w:val="00F25FE7"/>
    <w:rsid w:val="00F27F44"/>
    <w:rsid w:val="00F3082A"/>
    <w:rsid w:val="00F30DC1"/>
    <w:rsid w:val="00F32145"/>
    <w:rsid w:val="00F32614"/>
    <w:rsid w:val="00F33184"/>
    <w:rsid w:val="00F336AA"/>
    <w:rsid w:val="00F34C72"/>
    <w:rsid w:val="00F36C5C"/>
    <w:rsid w:val="00F37277"/>
    <w:rsid w:val="00F4013D"/>
    <w:rsid w:val="00F410BF"/>
    <w:rsid w:val="00F41375"/>
    <w:rsid w:val="00F4214C"/>
    <w:rsid w:val="00F42DDB"/>
    <w:rsid w:val="00F43DCD"/>
    <w:rsid w:val="00F4451E"/>
    <w:rsid w:val="00F462E2"/>
    <w:rsid w:val="00F50BAE"/>
    <w:rsid w:val="00F5150F"/>
    <w:rsid w:val="00F52D4B"/>
    <w:rsid w:val="00F53940"/>
    <w:rsid w:val="00F54489"/>
    <w:rsid w:val="00F544CB"/>
    <w:rsid w:val="00F55A5F"/>
    <w:rsid w:val="00F570BD"/>
    <w:rsid w:val="00F57369"/>
    <w:rsid w:val="00F57A4C"/>
    <w:rsid w:val="00F57BD3"/>
    <w:rsid w:val="00F6148B"/>
    <w:rsid w:val="00F62B9A"/>
    <w:rsid w:val="00F656E7"/>
    <w:rsid w:val="00F65E70"/>
    <w:rsid w:val="00F663DD"/>
    <w:rsid w:val="00F66F1D"/>
    <w:rsid w:val="00F707E6"/>
    <w:rsid w:val="00F70E8C"/>
    <w:rsid w:val="00F710FA"/>
    <w:rsid w:val="00F71206"/>
    <w:rsid w:val="00F72193"/>
    <w:rsid w:val="00F72694"/>
    <w:rsid w:val="00F72EAE"/>
    <w:rsid w:val="00F73440"/>
    <w:rsid w:val="00F734D5"/>
    <w:rsid w:val="00F745A5"/>
    <w:rsid w:val="00F749AF"/>
    <w:rsid w:val="00F758BA"/>
    <w:rsid w:val="00F76C58"/>
    <w:rsid w:val="00F76E4C"/>
    <w:rsid w:val="00F77378"/>
    <w:rsid w:val="00F7740B"/>
    <w:rsid w:val="00F80E3F"/>
    <w:rsid w:val="00F82E61"/>
    <w:rsid w:val="00F83C1E"/>
    <w:rsid w:val="00F83FE5"/>
    <w:rsid w:val="00F84340"/>
    <w:rsid w:val="00F84ADE"/>
    <w:rsid w:val="00F8677F"/>
    <w:rsid w:val="00F878BA"/>
    <w:rsid w:val="00F9011F"/>
    <w:rsid w:val="00F90C49"/>
    <w:rsid w:val="00F91F82"/>
    <w:rsid w:val="00F94B66"/>
    <w:rsid w:val="00F95CFE"/>
    <w:rsid w:val="00F96A3C"/>
    <w:rsid w:val="00F96B9C"/>
    <w:rsid w:val="00F96CB9"/>
    <w:rsid w:val="00F97ED3"/>
    <w:rsid w:val="00FA03A2"/>
    <w:rsid w:val="00FA091C"/>
    <w:rsid w:val="00FA0C66"/>
    <w:rsid w:val="00FA1738"/>
    <w:rsid w:val="00FA1C79"/>
    <w:rsid w:val="00FA42A6"/>
    <w:rsid w:val="00FA4458"/>
    <w:rsid w:val="00FA4E84"/>
    <w:rsid w:val="00FA5CBC"/>
    <w:rsid w:val="00FA5E96"/>
    <w:rsid w:val="00FA62E0"/>
    <w:rsid w:val="00FA6568"/>
    <w:rsid w:val="00FA659B"/>
    <w:rsid w:val="00FA67C1"/>
    <w:rsid w:val="00FB0DAD"/>
    <w:rsid w:val="00FB2C3C"/>
    <w:rsid w:val="00FB2C5C"/>
    <w:rsid w:val="00FB531A"/>
    <w:rsid w:val="00FB7AC4"/>
    <w:rsid w:val="00FB7EDC"/>
    <w:rsid w:val="00FC0511"/>
    <w:rsid w:val="00FC0950"/>
    <w:rsid w:val="00FC0FCC"/>
    <w:rsid w:val="00FC56B2"/>
    <w:rsid w:val="00FC611C"/>
    <w:rsid w:val="00FC6E94"/>
    <w:rsid w:val="00FC7330"/>
    <w:rsid w:val="00FD00FB"/>
    <w:rsid w:val="00FD01B6"/>
    <w:rsid w:val="00FD239F"/>
    <w:rsid w:val="00FD2641"/>
    <w:rsid w:val="00FD35E7"/>
    <w:rsid w:val="00FD3B10"/>
    <w:rsid w:val="00FD3B3F"/>
    <w:rsid w:val="00FD4C3C"/>
    <w:rsid w:val="00FD7023"/>
    <w:rsid w:val="00FE058B"/>
    <w:rsid w:val="00FE1093"/>
    <w:rsid w:val="00FE2707"/>
    <w:rsid w:val="00FE71E1"/>
    <w:rsid w:val="00FE79CD"/>
    <w:rsid w:val="00FF196E"/>
    <w:rsid w:val="00FF22FE"/>
    <w:rsid w:val="00FF234E"/>
    <w:rsid w:val="00FF23CB"/>
    <w:rsid w:val="00FF30D9"/>
    <w:rsid w:val="00FF3F54"/>
    <w:rsid w:val="00FF59A1"/>
    <w:rsid w:val="00FF6336"/>
    <w:rsid w:val="01050181"/>
    <w:rsid w:val="0124EBEC"/>
    <w:rsid w:val="01311B51"/>
    <w:rsid w:val="01329AC5"/>
    <w:rsid w:val="0150C322"/>
    <w:rsid w:val="015869E9"/>
    <w:rsid w:val="016E3FEA"/>
    <w:rsid w:val="017F1157"/>
    <w:rsid w:val="0198D6CD"/>
    <w:rsid w:val="019D9594"/>
    <w:rsid w:val="01A72728"/>
    <w:rsid w:val="01D19554"/>
    <w:rsid w:val="01E328BC"/>
    <w:rsid w:val="01F7C5C9"/>
    <w:rsid w:val="01FB2551"/>
    <w:rsid w:val="021B4E73"/>
    <w:rsid w:val="023DB160"/>
    <w:rsid w:val="024BA4C5"/>
    <w:rsid w:val="0257D19B"/>
    <w:rsid w:val="0277A641"/>
    <w:rsid w:val="0292FDA5"/>
    <w:rsid w:val="02B4D420"/>
    <w:rsid w:val="02B7EA4F"/>
    <w:rsid w:val="02C89D0A"/>
    <w:rsid w:val="02CA43DB"/>
    <w:rsid w:val="02D58E75"/>
    <w:rsid w:val="02E40536"/>
    <w:rsid w:val="02F607F9"/>
    <w:rsid w:val="02F8FC04"/>
    <w:rsid w:val="02FD0196"/>
    <w:rsid w:val="0314D2FB"/>
    <w:rsid w:val="03214CD4"/>
    <w:rsid w:val="0342EF39"/>
    <w:rsid w:val="035DD1EC"/>
    <w:rsid w:val="035FC75F"/>
    <w:rsid w:val="0376D0B8"/>
    <w:rsid w:val="037A8E95"/>
    <w:rsid w:val="03817B4F"/>
    <w:rsid w:val="038C5699"/>
    <w:rsid w:val="038D5CD4"/>
    <w:rsid w:val="0395F636"/>
    <w:rsid w:val="03A09667"/>
    <w:rsid w:val="03AF9719"/>
    <w:rsid w:val="03B753FD"/>
    <w:rsid w:val="03BF11D3"/>
    <w:rsid w:val="03C086E9"/>
    <w:rsid w:val="03D620C0"/>
    <w:rsid w:val="03DA9441"/>
    <w:rsid w:val="03EDEFC0"/>
    <w:rsid w:val="03FDA2E1"/>
    <w:rsid w:val="0401DCED"/>
    <w:rsid w:val="040C567B"/>
    <w:rsid w:val="0410F24A"/>
    <w:rsid w:val="04179E14"/>
    <w:rsid w:val="041F9201"/>
    <w:rsid w:val="0424C0C5"/>
    <w:rsid w:val="04251A79"/>
    <w:rsid w:val="0435933A"/>
    <w:rsid w:val="043F5D5D"/>
    <w:rsid w:val="044117EA"/>
    <w:rsid w:val="044A7322"/>
    <w:rsid w:val="044B7A69"/>
    <w:rsid w:val="045458E9"/>
    <w:rsid w:val="04702070"/>
    <w:rsid w:val="0476C2C9"/>
    <w:rsid w:val="048F7A69"/>
    <w:rsid w:val="04CFCB1A"/>
    <w:rsid w:val="04E24205"/>
    <w:rsid w:val="04EB8314"/>
    <w:rsid w:val="04FEEB4B"/>
    <w:rsid w:val="053697DC"/>
    <w:rsid w:val="053EA25B"/>
    <w:rsid w:val="055B0BB9"/>
    <w:rsid w:val="055EB776"/>
    <w:rsid w:val="05657450"/>
    <w:rsid w:val="0565CDD4"/>
    <w:rsid w:val="05835C87"/>
    <w:rsid w:val="059C53BF"/>
    <w:rsid w:val="05A8C5B6"/>
    <w:rsid w:val="05D5D96A"/>
    <w:rsid w:val="05FEE38A"/>
    <w:rsid w:val="06050894"/>
    <w:rsid w:val="060BBD64"/>
    <w:rsid w:val="063BE2A2"/>
    <w:rsid w:val="063C2613"/>
    <w:rsid w:val="0644CF67"/>
    <w:rsid w:val="064CB638"/>
    <w:rsid w:val="064D9ED4"/>
    <w:rsid w:val="066548CB"/>
    <w:rsid w:val="0687A6DB"/>
    <w:rsid w:val="06BCE697"/>
    <w:rsid w:val="06DBCEC9"/>
    <w:rsid w:val="06E1799E"/>
    <w:rsid w:val="06FE82BB"/>
    <w:rsid w:val="070A80F8"/>
    <w:rsid w:val="070EDAE9"/>
    <w:rsid w:val="0710A406"/>
    <w:rsid w:val="0757232F"/>
    <w:rsid w:val="076445F6"/>
    <w:rsid w:val="07716619"/>
    <w:rsid w:val="0779078C"/>
    <w:rsid w:val="077B4A13"/>
    <w:rsid w:val="07839405"/>
    <w:rsid w:val="07AF33C0"/>
    <w:rsid w:val="07B5C043"/>
    <w:rsid w:val="07C32F2E"/>
    <w:rsid w:val="07CB2A5D"/>
    <w:rsid w:val="07DF0961"/>
    <w:rsid w:val="07E2076C"/>
    <w:rsid w:val="07E97EF3"/>
    <w:rsid w:val="081053F9"/>
    <w:rsid w:val="08141C50"/>
    <w:rsid w:val="08173E2F"/>
    <w:rsid w:val="08248161"/>
    <w:rsid w:val="083D90E0"/>
    <w:rsid w:val="083F202F"/>
    <w:rsid w:val="0842DE73"/>
    <w:rsid w:val="08513C58"/>
    <w:rsid w:val="0851DE50"/>
    <w:rsid w:val="08573B30"/>
    <w:rsid w:val="085AA5B9"/>
    <w:rsid w:val="085D9DB6"/>
    <w:rsid w:val="0887FFAA"/>
    <w:rsid w:val="089E712F"/>
    <w:rsid w:val="08A9A201"/>
    <w:rsid w:val="08B4BC44"/>
    <w:rsid w:val="08C385E7"/>
    <w:rsid w:val="08C6E0B3"/>
    <w:rsid w:val="08D96D3C"/>
    <w:rsid w:val="08E0EC15"/>
    <w:rsid w:val="08E17961"/>
    <w:rsid w:val="08EC40A2"/>
    <w:rsid w:val="0908B449"/>
    <w:rsid w:val="094D5B68"/>
    <w:rsid w:val="095DB6B1"/>
    <w:rsid w:val="095EA64F"/>
    <w:rsid w:val="096AF165"/>
    <w:rsid w:val="097AC12A"/>
    <w:rsid w:val="098697F7"/>
    <w:rsid w:val="098FC4C7"/>
    <w:rsid w:val="0991CE6F"/>
    <w:rsid w:val="0995C93E"/>
    <w:rsid w:val="09A25DB3"/>
    <w:rsid w:val="09C19662"/>
    <w:rsid w:val="09C8C7D1"/>
    <w:rsid w:val="09E17D08"/>
    <w:rsid w:val="09E3F421"/>
    <w:rsid w:val="09F4CCFC"/>
    <w:rsid w:val="0A03B490"/>
    <w:rsid w:val="0A0AA6DF"/>
    <w:rsid w:val="0A2920B1"/>
    <w:rsid w:val="0AA1FF5F"/>
    <w:rsid w:val="0AF6A879"/>
    <w:rsid w:val="0AFF8D40"/>
    <w:rsid w:val="0B0F8DC0"/>
    <w:rsid w:val="0B57E8B6"/>
    <w:rsid w:val="0B5B65EB"/>
    <w:rsid w:val="0B660277"/>
    <w:rsid w:val="0B69E245"/>
    <w:rsid w:val="0B6B59CD"/>
    <w:rsid w:val="0B6C19FF"/>
    <w:rsid w:val="0B6F7E2C"/>
    <w:rsid w:val="0B910805"/>
    <w:rsid w:val="0BAA4E0E"/>
    <w:rsid w:val="0BBAC849"/>
    <w:rsid w:val="0BCFA49A"/>
    <w:rsid w:val="0BE5B44F"/>
    <w:rsid w:val="0BF613F2"/>
    <w:rsid w:val="0C1E57AD"/>
    <w:rsid w:val="0C4C7701"/>
    <w:rsid w:val="0C53E923"/>
    <w:rsid w:val="0C5BDD7A"/>
    <w:rsid w:val="0C750177"/>
    <w:rsid w:val="0CAA05DD"/>
    <w:rsid w:val="0CB357D3"/>
    <w:rsid w:val="0CC91DE5"/>
    <w:rsid w:val="0CD87A45"/>
    <w:rsid w:val="0CDB833A"/>
    <w:rsid w:val="0CEB4488"/>
    <w:rsid w:val="0D1ABFC5"/>
    <w:rsid w:val="0D373FF2"/>
    <w:rsid w:val="0D4C296B"/>
    <w:rsid w:val="0D5E728B"/>
    <w:rsid w:val="0D6BF96B"/>
    <w:rsid w:val="0D7520F7"/>
    <w:rsid w:val="0D75E8DB"/>
    <w:rsid w:val="0D7B6370"/>
    <w:rsid w:val="0D800E7C"/>
    <w:rsid w:val="0D853C12"/>
    <w:rsid w:val="0D8BB463"/>
    <w:rsid w:val="0D922EA6"/>
    <w:rsid w:val="0DA4AF7A"/>
    <w:rsid w:val="0DA719B6"/>
    <w:rsid w:val="0DB8D040"/>
    <w:rsid w:val="0DD8A467"/>
    <w:rsid w:val="0DDC6F21"/>
    <w:rsid w:val="0DE00ED0"/>
    <w:rsid w:val="0DE87A5A"/>
    <w:rsid w:val="0DE98A9B"/>
    <w:rsid w:val="0DEB31EA"/>
    <w:rsid w:val="0DEF24DF"/>
    <w:rsid w:val="0DF28861"/>
    <w:rsid w:val="0DF61863"/>
    <w:rsid w:val="0E160B0F"/>
    <w:rsid w:val="0E48C407"/>
    <w:rsid w:val="0E532704"/>
    <w:rsid w:val="0E59C3B4"/>
    <w:rsid w:val="0E5EAD91"/>
    <w:rsid w:val="0E728C9C"/>
    <w:rsid w:val="0E9B96B8"/>
    <w:rsid w:val="0E9C75E3"/>
    <w:rsid w:val="0EA105EC"/>
    <w:rsid w:val="0EA1CFB0"/>
    <w:rsid w:val="0EA6C78C"/>
    <w:rsid w:val="0ED6ED86"/>
    <w:rsid w:val="0EDD3FC0"/>
    <w:rsid w:val="0F1452FD"/>
    <w:rsid w:val="0F3B380C"/>
    <w:rsid w:val="0F59DA5E"/>
    <w:rsid w:val="0F5C28FD"/>
    <w:rsid w:val="0F5F6C25"/>
    <w:rsid w:val="0F72208C"/>
    <w:rsid w:val="0F767F50"/>
    <w:rsid w:val="0F76BC21"/>
    <w:rsid w:val="0F86C97F"/>
    <w:rsid w:val="0F90B5D0"/>
    <w:rsid w:val="0F91F3D6"/>
    <w:rsid w:val="0F9D21B5"/>
    <w:rsid w:val="0FB75CD3"/>
    <w:rsid w:val="0FB8F423"/>
    <w:rsid w:val="0FDB98C3"/>
    <w:rsid w:val="0FE44EA8"/>
    <w:rsid w:val="10035633"/>
    <w:rsid w:val="101FB777"/>
    <w:rsid w:val="1025E7E9"/>
    <w:rsid w:val="102CB5DD"/>
    <w:rsid w:val="1032C847"/>
    <w:rsid w:val="103EFDDC"/>
    <w:rsid w:val="10453080"/>
    <w:rsid w:val="104D9AC7"/>
    <w:rsid w:val="10508670"/>
    <w:rsid w:val="105B1949"/>
    <w:rsid w:val="106A6B49"/>
    <w:rsid w:val="106DC8C5"/>
    <w:rsid w:val="1076D507"/>
    <w:rsid w:val="1082171B"/>
    <w:rsid w:val="108B4E92"/>
    <w:rsid w:val="108C376F"/>
    <w:rsid w:val="109BE4ED"/>
    <w:rsid w:val="10AE97D9"/>
    <w:rsid w:val="10BC483B"/>
    <w:rsid w:val="10C81A66"/>
    <w:rsid w:val="10D5D0C9"/>
    <w:rsid w:val="10ECEFA9"/>
    <w:rsid w:val="11006588"/>
    <w:rsid w:val="110F35D8"/>
    <w:rsid w:val="1111E0A7"/>
    <w:rsid w:val="1116588C"/>
    <w:rsid w:val="112EB5FF"/>
    <w:rsid w:val="113514E7"/>
    <w:rsid w:val="11381470"/>
    <w:rsid w:val="114BF253"/>
    <w:rsid w:val="11509DFF"/>
    <w:rsid w:val="115375E1"/>
    <w:rsid w:val="115F9986"/>
    <w:rsid w:val="11728A7C"/>
    <w:rsid w:val="11731548"/>
    <w:rsid w:val="1173E4BD"/>
    <w:rsid w:val="1181DA44"/>
    <w:rsid w:val="118C527B"/>
    <w:rsid w:val="11916A79"/>
    <w:rsid w:val="11BAD82B"/>
    <w:rsid w:val="11C0B1DB"/>
    <w:rsid w:val="11D120C3"/>
    <w:rsid w:val="11E1FB85"/>
    <w:rsid w:val="11F5F0B8"/>
    <w:rsid w:val="11F82932"/>
    <w:rsid w:val="1212B839"/>
    <w:rsid w:val="1251B9D1"/>
    <w:rsid w:val="12765466"/>
    <w:rsid w:val="12808FF5"/>
    <w:rsid w:val="1283E59E"/>
    <w:rsid w:val="12BA1D20"/>
    <w:rsid w:val="12C257C4"/>
    <w:rsid w:val="12C8AE73"/>
    <w:rsid w:val="12D660E8"/>
    <w:rsid w:val="12EBF0BE"/>
    <w:rsid w:val="12FF4ABF"/>
    <w:rsid w:val="130175A4"/>
    <w:rsid w:val="130A5239"/>
    <w:rsid w:val="131F2E01"/>
    <w:rsid w:val="1323176B"/>
    <w:rsid w:val="132380D7"/>
    <w:rsid w:val="133A7F0E"/>
    <w:rsid w:val="133AD870"/>
    <w:rsid w:val="133C3D7D"/>
    <w:rsid w:val="136E1EC0"/>
    <w:rsid w:val="138E39E8"/>
    <w:rsid w:val="1397A155"/>
    <w:rsid w:val="13B580AF"/>
    <w:rsid w:val="13B8759E"/>
    <w:rsid w:val="13BEE468"/>
    <w:rsid w:val="13E0060D"/>
    <w:rsid w:val="13E3AC5F"/>
    <w:rsid w:val="13EDF680"/>
    <w:rsid w:val="13F5E474"/>
    <w:rsid w:val="13FA3B13"/>
    <w:rsid w:val="1400F553"/>
    <w:rsid w:val="142858A1"/>
    <w:rsid w:val="1450F79D"/>
    <w:rsid w:val="145C29FA"/>
    <w:rsid w:val="145F8522"/>
    <w:rsid w:val="1476DC4E"/>
    <w:rsid w:val="14977D5B"/>
    <w:rsid w:val="1499946D"/>
    <w:rsid w:val="149FB800"/>
    <w:rsid w:val="14BE4FB0"/>
    <w:rsid w:val="14DD6D8B"/>
    <w:rsid w:val="14F692C4"/>
    <w:rsid w:val="1507AF47"/>
    <w:rsid w:val="150D67CF"/>
    <w:rsid w:val="15296A0F"/>
    <w:rsid w:val="152BBCBC"/>
    <w:rsid w:val="1535170A"/>
    <w:rsid w:val="1546CE13"/>
    <w:rsid w:val="1562E57D"/>
    <w:rsid w:val="15654EBF"/>
    <w:rsid w:val="156BCA66"/>
    <w:rsid w:val="157F4AE9"/>
    <w:rsid w:val="15A96207"/>
    <w:rsid w:val="15AC7F08"/>
    <w:rsid w:val="15C0E39F"/>
    <w:rsid w:val="15E7764E"/>
    <w:rsid w:val="160014FB"/>
    <w:rsid w:val="16089647"/>
    <w:rsid w:val="16183070"/>
    <w:rsid w:val="1625EC40"/>
    <w:rsid w:val="1645F5FD"/>
    <w:rsid w:val="16787246"/>
    <w:rsid w:val="169524CE"/>
    <w:rsid w:val="169C89BE"/>
    <w:rsid w:val="16ABE032"/>
    <w:rsid w:val="16BB31A1"/>
    <w:rsid w:val="16C778E3"/>
    <w:rsid w:val="16C93BD4"/>
    <w:rsid w:val="16E77310"/>
    <w:rsid w:val="16EB1DA7"/>
    <w:rsid w:val="1702EFCD"/>
    <w:rsid w:val="170D86CA"/>
    <w:rsid w:val="171A04D1"/>
    <w:rsid w:val="17426FED"/>
    <w:rsid w:val="174B2327"/>
    <w:rsid w:val="17514FCD"/>
    <w:rsid w:val="175988FC"/>
    <w:rsid w:val="175CF5BF"/>
    <w:rsid w:val="178BF1FB"/>
    <w:rsid w:val="178FBD5E"/>
    <w:rsid w:val="1794DD08"/>
    <w:rsid w:val="17967F89"/>
    <w:rsid w:val="1796C07A"/>
    <w:rsid w:val="17A5261D"/>
    <w:rsid w:val="17B27D1F"/>
    <w:rsid w:val="17B4AF72"/>
    <w:rsid w:val="17EE6FF1"/>
    <w:rsid w:val="180603D2"/>
    <w:rsid w:val="181FE801"/>
    <w:rsid w:val="182BA6B0"/>
    <w:rsid w:val="183AC002"/>
    <w:rsid w:val="18454F6D"/>
    <w:rsid w:val="185BAEB4"/>
    <w:rsid w:val="1861A131"/>
    <w:rsid w:val="187765E5"/>
    <w:rsid w:val="187C4FF9"/>
    <w:rsid w:val="18A0E6C9"/>
    <w:rsid w:val="18EE685D"/>
    <w:rsid w:val="18F58C19"/>
    <w:rsid w:val="1904F4E1"/>
    <w:rsid w:val="191A7904"/>
    <w:rsid w:val="19425E99"/>
    <w:rsid w:val="1950CCE8"/>
    <w:rsid w:val="1960FE44"/>
    <w:rsid w:val="199047D8"/>
    <w:rsid w:val="199DCF38"/>
    <w:rsid w:val="19BDAEE3"/>
    <w:rsid w:val="19C0E48C"/>
    <w:rsid w:val="19D8EC41"/>
    <w:rsid w:val="19DE3499"/>
    <w:rsid w:val="19E6C374"/>
    <w:rsid w:val="19FE5B27"/>
    <w:rsid w:val="1A032380"/>
    <w:rsid w:val="1A03EC5B"/>
    <w:rsid w:val="1A0EE499"/>
    <w:rsid w:val="1A4609C8"/>
    <w:rsid w:val="1A48DE41"/>
    <w:rsid w:val="1A6E05A1"/>
    <w:rsid w:val="1A741C19"/>
    <w:rsid w:val="1A823C7F"/>
    <w:rsid w:val="1A8A5CE2"/>
    <w:rsid w:val="1A9DBC52"/>
    <w:rsid w:val="1AA9B2FB"/>
    <w:rsid w:val="1AAEE3E4"/>
    <w:rsid w:val="1AD70FBC"/>
    <w:rsid w:val="1ADB3DB0"/>
    <w:rsid w:val="1AEA2EDE"/>
    <w:rsid w:val="1AF2F31D"/>
    <w:rsid w:val="1AFA2217"/>
    <w:rsid w:val="1AFFBAB3"/>
    <w:rsid w:val="1B02AACB"/>
    <w:rsid w:val="1B2E2B41"/>
    <w:rsid w:val="1B517219"/>
    <w:rsid w:val="1B51F2F1"/>
    <w:rsid w:val="1B5450C8"/>
    <w:rsid w:val="1B6A4AD9"/>
    <w:rsid w:val="1B793C71"/>
    <w:rsid w:val="1B7C0DC2"/>
    <w:rsid w:val="1B7DA049"/>
    <w:rsid w:val="1B83FBE0"/>
    <w:rsid w:val="1B9394B4"/>
    <w:rsid w:val="1B9426F9"/>
    <w:rsid w:val="1B96B086"/>
    <w:rsid w:val="1B99B320"/>
    <w:rsid w:val="1BA6B1FA"/>
    <w:rsid w:val="1BBB9163"/>
    <w:rsid w:val="1BE5CC49"/>
    <w:rsid w:val="1BE67311"/>
    <w:rsid w:val="1C04AC5D"/>
    <w:rsid w:val="1C075A03"/>
    <w:rsid w:val="1C08EB68"/>
    <w:rsid w:val="1C0C35FD"/>
    <w:rsid w:val="1C1DC44C"/>
    <w:rsid w:val="1C5D57F6"/>
    <w:rsid w:val="1C6D6A8A"/>
    <w:rsid w:val="1C7214ED"/>
    <w:rsid w:val="1C7D3772"/>
    <w:rsid w:val="1C90147A"/>
    <w:rsid w:val="1C95CA39"/>
    <w:rsid w:val="1CACA891"/>
    <w:rsid w:val="1CAEAD23"/>
    <w:rsid w:val="1CB9C570"/>
    <w:rsid w:val="1CBED38C"/>
    <w:rsid w:val="1CC83586"/>
    <w:rsid w:val="1CD9BE31"/>
    <w:rsid w:val="1CDA20C2"/>
    <w:rsid w:val="1CE0885F"/>
    <w:rsid w:val="1D14EC53"/>
    <w:rsid w:val="1D3A1CE8"/>
    <w:rsid w:val="1D428D24"/>
    <w:rsid w:val="1D68749A"/>
    <w:rsid w:val="1D81A192"/>
    <w:rsid w:val="1D892D2D"/>
    <w:rsid w:val="1D932281"/>
    <w:rsid w:val="1DB60FB9"/>
    <w:rsid w:val="1DCA1A10"/>
    <w:rsid w:val="1DD6E78A"/>
    <w:rsid w:val="1DE3D65A"/>
    <w:rsid w:val="1DF77086"/>
    <w:rsid w:val="1E08066A"/>
    <w:rsid w:val="1E089A28"/>
    <w:rsid w:val="1E208838"/>
    <w:rsid w:val="1E2405C4"/>
    <w:rsid w:val="1E29AD34"/>
    <w:rsid w:val="1E3CDC60"/>
    <w:rsid w:val="1E48266E"/>
    <w:rsid w:val="1E48FE58"/>
    <w:rsid w:val="1E51CADE"/>
    <w:rsid w:val="1E54959F"/>
    <w:rsid w:val="1E5D3145"/>
    <w:rsid w:val="1E6F8F8C"/>
    <w:rsid w:val="1E821FA3"/>
    <w:rsid w:val="1EA37BF3"/>
    <w:rsid w:val="1EA47550"/>
    <w:rsid w:val="1EB632AE"/>
    <w:rsid w:val="1EBD20DA"/>
    <w:rsid w:val="1ED65496"/>
    <w:rsid w:val="1EDF8901"/>
    <w:rsid w:val="1EFE6350"/>
    <w:rsid w:val="1F020E40"/>
    <w:rsid w:val="1F1413CB"/>
    <w:rsid w:val="1F1962E3"/>
    <w:rsid w:val="1F2033A8"/>
    <w:rsid w:val="1F2A13CB"/>
    <w:rsid w:val="1F34DD2C"/>
    <w:rsid w:val="1F3A4CD3"/>
    <w:rsid w:val="1F6A7489"/>
    <w:rsid w:val="1F6E3B9A"/>
    <w:rsid w:val="1F7E6BFB"/>
    <w:rsid w:val="1F8C9F62"/>
    <w:rsid w:val="1F90C7C9"/>
    <w:rsid w:val="1F93C5BA"/>
    <w:rsid w:val="1F9924CE"/>
    <w:rsid w:val="1FAE77BC"/>
    <w:rsid w:val="1FC044B5"/>
    <w:rsid w:val="1FC89F32"/>
    <w:rsid w:val="1FDB2755"/>
    <w:rsid w:val="1FDC3324"/>
    <w:rsid w:val="1FFE374C"/>
    <w:rsid w:val="20055665"/>
    <w:rsid w:val="20274CEA"/>
    <w:rsid w:val="2027C2DA"/>
    <w:rsid w:val="202FFD52"/>
    <w:rsid w:val="203577EA"/>
    <w:rsid w:val="2043A503"/>
    <w:rsid w:val="204540D4"/>
    <w:rsid w:val="204BBE17"/>
    <w:rsid w:val="204D0B59"/>
    <w:rsid w:val="206CF963"/>
    <w:rsid w:val="208A55AD"/>
    <w:rsid w:val="20A4581A"/>
    <w:rsid w:val="20B964DF"/>
    <w:rsid w:val="20DA5858"/>
    <w:rsid w:val="20E62FF6"/>
    <w:rsid w:val="20FB9BB7"/>
    <w:rsid w:val="20FFB0B7"/>
    <w:rsid w:val="2138AF82"/>
    <w:rsid w:val="213AA7CE"/>
    <w:rsid w:val="21427845"/>
    <w:rsid w:val="2148F434"/>
    <w:rsid w:val="21608873"/>
    <w:rsid w:val="21737858"/>
    <w:rsid w:val="217B9773"/>
    <w:rsid w:val="21858D80"/>
    <w:rsid w:val="2190055B"/>
    <w:rsid w:val="21933F6A"/>
    <w:rsid w:val="2195FB31"/>
    <w:rsid w:val="21AE1C86"/>
    <w:rsid w:val="21C2AC5F"/>
    <w:rsid w:val="21C7626B"/>
    <w:rsid w:val="21CB0239"/>
    <w:rsid w:val="21CD1B06"/>
    <w:rsid w:val="21D262F8"/>
    <w:rsid w:val="21D99DE1"/>
    <w:rsid w:val="21E55AF7"/>
    <w:rsid w:val="21FB1C90"/>
    <w:rsid w:val="22168E37"/>
    <w:rsid w:val="221DA351"/>
    <w:rsid w:val="2226BC95"/>
    <w:rsid w:val="2227C5BD"/>
    <w:rsid w:val="22397C17"/>
    <w:rsid w:val="224A0F7B"/>
    <w:rsid w:val="224ABEEF"/>
    <w:rsid w:val="224F7B4B"/>
    <w:rsid w:val="22555736"/>
    <w:rsid w:val="225C368B"/>
    <w:rsid w:val="226D4076"/>
    <w:rsid w:val="228B1703"/>
    <w:rsid w:val="228FF8A5"/>
    <w:rsid w:val="229C0F71"/>
    <w:rsid w:val="22A0BD78"/>
    <w:rsid w:val="22A225EB"/>
    <w:rsid w:val="22A49BED"/>
    <w:rsid w:val="22B00694"/>
    <w:rsid w:val="22D33DC3"/>
    <w:rsid w:val="22D82D85"/>
    <w:rsid w:val="22F94050"/>
    <w:rsid w:val="22FCDE97"/>
    <w:rsid w:val="22FD48AD"/>
    <w:rsid w:val="23031D3C"/>
    <w:rsid w:val="2310CB00"/>
    <w:rsid w:val="2334C305"/>
    <w:rsid w:val="233A406C"/>
    <w:rsid w:val="2361ED64"/>
    <w:rsid w:val="237F366F"/>
    <w:rsid w:val="23BB170A"/>
    <w:rsid w:val="23C00230"/>
    <w:rsid w:val="23DA2A6C"/>
    <w:rsid w:val="23DFD1A9"/>
    <w:rsid w:val="23E99395"/>
    <w:rsid w:val="23FE71F3"/>
    <w:rsid w:val="2417BB0E"/>
    <w:rsid w:val="24259343"/>
    <w:rsid w:val="2443D6A5"/>
    <w:rsid w:val="244870C3"/>
    <w:rsid w:val="244F7F39"/>
    <w:rsid w:val="245185F9"/>
    <w:rsid w:val="246C12F1"/>
    <w:rsid w:val="2473C978"/>
    <w:rsid w:val="2481A6F9"/>
    <w:rsid w:val="2490E14C"/>
    <w:rsid w:val="249931A4"/>
    <w:rsid w:val="249F1A8F"/>
    <w:rsid w:val="24A16D96"/>
    <w:rsid w:val="24A1D133"/>
    <w:rsid w:val="24BB5CAF"/>
    <w:rsid w:val="24BB8870"/>
    <w:rsid w:val="24BDBC1A"/>
    <w:rsid w:val="24C35DCC"/>
    <w:rsid w:val="2506D801"/>
    <w:rsid w:val="25075959"/>
    <w:rsid w:val="2522C806"/>
    <w:rsid w:val="2522EC7F"/>
    <w:rsid w:val="252DB058"/>
    <w:rsid w:val="2530051B"/>
    <w:rsid w:val="253F9D6A"/>
    <w:rsid w:val="2543A180"/>
    <w:rsid w:val="254CFC7B"/>
    <w:rsid w:val="2559A8BD"/>
    <w:rsid w:val="257242CA"/>
    <w:rsid w:val="2573EB25"/>
    <w:rsid w:val="25888EA5"/>
    <w:rsid w:val="258B1A61"/>
    <w:rsid w:val="259D5D4F"/>
    <w:rsid w:val="25A3B7F9"/>
    <w:rsid w:val="25AF3FF4"/>
    <w:rsid w:val="25D1BA99"/>
    <w:rsid w:val="25D46D98"/>
    <w:rsid w:val="25E689C0"/>
    <w:rsid w:val="25E798EF"/>
    <w:rsid w:val="25EA46AB"/>
    <w:rsid w:val="25EECBF6"/>
    <w:rsid w:val="26102837"/>
    <w:rsid w:val="26222410"/>
    <w:rsid w:val="2644FAEF"/>
    <w:rsid w:val="264A9E6D"/>
    <w:rsid w:val="264D00A5"/>
    <w:rsid w:val="265EFBB2"/>
    <w:rsid w:val="26613C31"/>
    <w:rsid w:val="26828CF4"/>
    <w:rsid w:val="26D64087"/>
    <w:rsid w:val="26F0B25C"/>
    <w:rsid w:val="26F34DC5"/>
    <w:rsid w:val="2704EF61"/>
    <w:rsid w:val="2720DB83"/>
    <w:rsid w:val="27613A02"/>
    <w:rsid w:val="27702D87"/>
    <w:rsid w:val="27740F40"/>
    <w:rsid w:val="278365ED"/>
    <w:rsid w:val="279844E1"/>
    <w:rsid w:val="27BB8819"/>
    <w:rsid w:val="27BCDCC7"/>
    <w:rsid w:val="27BEBD6A"/>
    <w:rsid w:val="27EB5406"/>
    <w:rsid w:val="28171745"/>
    <w:rsid w:val="28296CCE"/>
    <w:rsid w:val="282A6C6D"/>
    <w:rsid w:val="283410FB"/>
    <w:rsid w:val="283B2267"/>
    <w:rsid w:val="283BF056"/>
    <w:rsid w:val="2849DC04"/>
    <w:rsid w:val="287F2100"/>
    <w:rsid w:val="28C530A8"/>
    <w:rsid w:val="28D1FD35"/>
    <w:rsid w:val="28DA91BF"/>
    <w:rsid w:val="28DE82FD"/>
    <w:rsid w:val="28E602A2"/>
    <w:rsid w:val="28EC2626"/>
    <w:rsid w:val="28ECCD5F"/>
    <w:rsid w:val="290B2210"/>
    <w:rsid w:val="290FCDD0"/>
    <w:rsid w:val="291B017D"/>
    <w:rsid w:val="291BB10D"/>
    <w:rsid w:val="2921F1FF"/>
    <w:rsid w:val="292D1FF0"/>
    <w:rsid w:val="294256DB"/>
    <w:rsid w:val="294584C8"/>
    <w:rsid w:val="2946A460"/>
    <w:rsid w:val="2947D4EE"/>
    <w:rsid w:val="294A5279"/>
    <w:rsid w:val="29570184"/>
    <w:rsid w:val="295BB8F1"/>
    <w:rsid w:val="29635959"/>
    <w:rsid w:val="296C8087"/>
    <w:rsid w:val="2976DA86"/>
    <w:rsid w:val="297BA705"/>
    <w:rsid w:val="29854DB3"/>
    <w:rsid w:val="29A0A8EA"/>
    <w:rsid w:val="29A60A92"/>
    <w:rsid w:val="29AB2D72"/>
    <w:rsid w:val="29B1DD66"/>
    <w:rsid w:val="29D5AA94"/>
    <w:rsid w:val="29E1A260"/>
    <w:rsid w:val="29ECA60F"/>
    <w:rsid w:val="29FC3008"/>
    <w:rsid w:val="2A295548"/>
    <w:rsid w:val="2A38A950"/>
    <w:rsid w:val="2A3C8A75"/>
    <w:rsid w:val="2A58ECAF"/>
    <w:rsid w:val="2A7C5922"/>
    <w:rsid w:val="2AB094CD"/>
    <w:rsid w:val="2AB496A8"/>
    <w:rsid w:val="2AD05485"/>
    <w:rsid w:val="2AD22327"/>
    <w:rsid w:val="2AD51735"/>
    <w:rsid w:val="2AD5C100"/>
    <w:rsid w:val="2ADE3898"/>
    <w:rsid w:val="2B04BEF3"/>
    <w:rsid w:val="2B068D6C"/>
    <w:rsid w:val="2B0A9D5D"/>
    <w:rsid w:val="2B144225"/>
    <w:rsid w:val="2B187832"/>
    <w:rsid w:val="2B48C72F"/>
    <w:rsid w:val="2B96637A"/>
    <w:rsid w:val="2BA7519E"/>
    <w:rsid w:val="2BC0A7B7"/>
    <w:rsid w:val="2BCE59A0"/>
    <w:rsid w:val="2BD0896F"/>
    <w:rsid w:val="2BD6392B"/>
    <w:rsid w:val="2BE5B339"/>
    <w:rsid w:val="2BEAC821"/>
    <w:rsid w:val="2C038D0B"/>
    <w:rsid w:val="2C2FE237"/>
    <w:rsid w:val="2C36F1B2"/>
    <w:rsid w:val="2C42D9C2"/>
    <w:rsid w:val="2C500CF9"/>
    <w:rsid w:val="2C580672"/>
    <w:rsid w:val="2C5DF32D"/>
    <w:rsid w:val="2C6B4AFA"/>
    <w:rsid w:val="2C712EBF"/>
    <w:rsid w:val="2CD37F68"/>
    <w:rsid w:val="2CD8F164"/>
    <w:rsid w:val="2CF3A21B"/>
    <w:rsid w:val="2D0D53A1"/>
    <w:rsid w:val="2D174329"/>
    <w:rsid w:val="2D18EBB0"/>
    <w:rsid w:val="2D29CC1E"/>
    <w:rsid w:val="2D2ACB4B"/>
    <w:rsid w:val="2D349967"/>
    <w:rsid w:val="2D38F23D"/>
    <w:rsid w:val="2D38F693"/>
    <w:rsid w:val="2D3AC7CB"/>
    <w:rsid w:val="2D51465C"/>
    <w:rsid w:val="2D68FB9D"/>
    <w:rsid w:val="2D8B143C"/>
    <w:rsid w:val="2DBD148E"/>
    <w:rsid w:val="2DBD66FD"/>
    <w:rsid w:val="2DC570FB"/>
    <w:rsid w:val="2DC6147E"/>
    <w:rsid w:val="2DD538C8"/>
    <w:rsid w:val="2DDB59CF"/>
    <w:rsid w:val="2DDF2B77"/>
    <w:rsid w:val="2DE94809"/>
    <w:rsid w:val="2DEBB219"/>
    <w:rsid w:val="2DF39889"/>
    <w:rsid w:val="2DF4B190"/>
    <w:rsid w:val="2DF69A99"/>
    <w:rsid w:val="2E029CCE"/>
    <w:rsid w:val="2E26E1F0"/>
    <w:rsid w:val="2E28F140"/>
    <w:rsid w:val="2E485E9E"/>
    <w:rsid w:val="2E4FFC19"/>
    <w:rsid w:val="2E61FE35"/>
    <w:rsid w:val="2E62769B"/>
    <w:rsid w:val="2E7AC936"/>
    <w:rsid w:val="2E809CA1"/>
    <w:rsid w:val="2E87AD54"/>
    <w:rsid w:val="2E955B20"/>
    <w:rsid w:val="2E9A442F"/>
    <w:rsid w:val="2EA0A544"/>
    <w:rsid w:val="2EA99748"/>
    <w:rsid w:val="2EABAB53"/>
    <w:rsid w:val="2EBE7F6E"/>
    <w:rsid w:val="2F1A4B60"/>
    <w:rsid w:val="2F6DDA99"/>
    <w:rsid w:val="2F819A25"/>
    <w:rsid w:val="2F8C97C0"/>
    <w:rsid w:val="2FD25D84"/>
    <w:rsid w:val="2FF78E31"/>
    <w:rsid w:val="30041AE4"/>
    <w:rsid w:val="302A552E"/>
    <w:rsid w:val="303802F8"/>
    <w:rsid w:val="303E159E"/>
    <w:rsid w:val="303F261D"/>
    <w:rsid w:val="30442C34"/>
    <w:rsid w:val="304E82DA"/>
    <w:rsid w:val="3052B5AB"/>
    <w:rsid w:val="3053B52B"/>
    <w:rsid w:val="30698AAD"/>
    <w:rsid w:val="30784B7D"/>
    <w:rsid w:val="30849E08"/>
    <w:rsid w:val="30A1DC80"/>
    <w:rsid w:val="30A2DFD0"/>
    <w:rsid w:val="30B925D1"/>
    <w:rsid w:val="30D93EF3"/>
    <w:rsid w:val="30E45BA2"/>
    <w:rsid w:val="31051145"/>
    <w:rsid w:val="31059FF5"/>
    <w:rsid w:val="3105ECE5"/>
    <w:rsid w:val="3108D7D7"/>
    <w:rsid w:val="310B2771"/>
    <w:rsid w:val="310E544E"/>
    <w:rsid w:val="31103A35"/>
    <w:rsid w:val="311EA065"/>
    <w:rsid w:val="3120180D"/>
    <w:rsid w:val="31281F6F"/>
    <w:rsid w:val="3129D7A3"/>
    <w:rsid w:val="313C990F"/>
    <w:rsid w:val="31602F46"/>
    <w:rsid w:val="31885810"/>
    <w:rsid w:val="318BC70E"/>
    <w:rsid w:val="31A18745"/>
    <w:rsid w:val="31AC8D25"/>
    <w:rsid w:val="31B712C9"/>
    <w:rsid w:val="31CA130E"/>
    <w:rsid w:val="320BCFB6"/>
    <w:rsid w:val="320F51CC"/>
    <w:rsid w:val="3213F985"/>
    <w:rsid w:val="3216C4E2"/>
    <w:rsid w:val="321BD0B0"/>
    <w:rsid w:val="32503FF2"/>
    <w:rsid w:val="32589B36"/>
    <w:rsid w:val="325E77C7"/>
    <w:rsid w:val="32685DEC"/>
    <w:rsid w:val="327612F1"/>
    <w:rsid w:val="327C4235"/>
    <w:rsid w:val="327E36AD"/>
    <w:rsid w:val="32933916"/>
    <w:rsid w:val="32A74226"/>
    <w:rsid w:val="32ADE41E"/>
    <w:rsid w:val="32BCB5F6"/>
    <w:rsid w:val="32CA6040"/>
    <w:rsid w:val="32FBFE25"/>
    <w:rsid w:val="33005EF1"/>
    <w:rsid w:val="331A5D87"/>
    <w:rsid w:val="331DF2AA"/>
    <w:rsid w:val="3325720D"/>
    <w:rsid w:val="33389708"/>
    <w:rsid w:val="3341C6F7"/>
    <w:rsid w:val="33C47287"/>
    <w:rsid w:val="33EDFC34"/>
    <w:rsid w:val="34114D56"/>
    <w:rsid w:val="34173444"/>
    <w:rsid w:val="341E98BD"/>
    <w:rsid w:val="342C2A27"/>
    <w:rsid w:val="343A4E80"/>
    <w:rsid w:val="343A7430"/>
    <w:rsid w:val="344C04E2"/>
    <w:rsid w:val="345D19AF"/>
    <w:rsid w:val="346E7D96"/>
    <w:rsid w:val="347802B6"/>
    <w:rsid w:val="349FA720"/>
    <w:rsid w:val="34B96B0C"/>
    <w:rsid w:val="34BA1C42"/>
    <w:rsid w:val="34D1DAA3"/>
    <w:rsid w:val="34EB569D"/>
    <w:rsid w:val="34F2111C"/>
    <w:rsid w:val="34F299A9"/>
    <w:rsid w:val="34F51B4B"/>
    <w:rsid w:val="34FB26A1"/>
    <w:rsid w:val="350BA723"/>
    <w:rsid w:val="3531075D"/>
    <w:rsid w:val="3542429D"/>
    <w:rsid w:val="35481B4D"/>
    <w:rsid w:val="3549C211"/>
    <w:rsid w:val="355792E7"/>
    <w:rsid w:val="355D7C8F"/>
    <w:rsid w:val="355D8AC1"/>
    <w:rsid w:val="356E7BB3"/>
    <w:rsid w:val="3583E1A1"/>
    <w:rsid w:val="3587FA30"/>
    <w:rsid w:val="359756AA"/>
    <w:rsid w:val="35AC2DB4"/>
    <w:rsid w:val="35B42538"/>
    <w:rsid w:val="35BE38B3"/>
    <w:rsid w:val="35FF2A53"/>
    <w:rsid w:val="35FF93D5"/>
    <w:rsid w:val="3604CC97"/>
    <w:rsid w:val="361EEB74"/>
    <w:rsid w:val="3625BD78"/>
    <w:rsid w:val="3646B7F9"/>
    <w:rsid w:val="3654355B"/>
    <w:rsid w:val="367474C5"/>
    <w:rsid w:val="367E9451"/>
    <w:rsid w:val="369E68F7"/>
    <w:rsid w:val="36A9AACC"/>
    <w:rsid w:val="36D5D3BB"/>
    <w:rsid w:val="36DEF354"/>
    <w:rsid w:val="36E0A714"/>
    <w:rsid w:val="372C333A"/>
    <w:rsid w:val="3745E186"/>
    <w:rsid w:val="375A9C85"/>
    <w:rsid w:val="378B4AB4"/>
    <w:rsid w:val="37920B75"/>
    <w:rsid w:val="3794A891"/>
    <w:rsid w:val="37968210"/>
    <w:rsid w:val="37A8DE21"/>
    <w:rsid w:val="37BBF5EA"/>
    <w:rsid w:val="37F91E89"/>
    <w:rsid w:val="380FC2C1"/>
    <w:rsid w:val="381045A7"/>
    <w:rsid w:val="3818F04E"/>
    <w:rsid w:val="382967CB"/>
    <w:rsid w:val="38361A4B"/>
    <w:rsid w:val="385CA5A7"/>
    <w:rsid w:val="385ECE4F"/>
    <w:rsid w:val="3864A4C8"/>
    <w:rsid w:val="386A5B7D"/>
    <w:rsid w:val="386E7890"/>
    <w:rsid w:val="38766188"/>
    <w:rsid w:val="38997741"/>
    <w:rsid w:val="38A1E6C6"/>
    <w:rsid w:val="38A9BC40"/>
    <w:rsid w:val="38B4DE22"/>
    <w:rsid w:val="38BE0243"/>
    <w:rsid w:val="38DB0FE1"/>
    <w:rsid w:val="38DEF607"/>
    <w:rsid w:val="38EE5860"/>
    <w:rsid w:val="38F59E36"/>
    <w:rsid w:val="3908AB4A"/>
    <w:rsid w:val="391E1079"/>
    <w:rsid w:val="3951BAF1"/>
    <w:rsid w:val="396BC9D6"/>
    <w:rsid w:val="396F215F"/>
    <w:rsid w:val="39810348"/>
    <w:rsid w:val="39874591"/>
    <w:rsid w:val="398C840E"/>
    <w:rsid w:val="39B2C86B"/>
    <w:rsid w:val="39B4F31E"/>
    <w:rsid w:val="39C700D3"/>
    <w:rsid w:val="39CFE040"/>
    <w:rsid w:val="39E0F4D4"/>
    <w:rsid w:val="39F168E0"/>
    <w:rsid w:val="39F69170"/>
    <w:rsid w:val="3A06CA60"/>
    <w:rsid w:val="3A10F8A9"/>
    <w:rsid w:val="3A12419E"/>
    <w:rsid w:val="3A3C389A"/>
    <w:rsid w:val="3A4325F0"/>
    <w:rsid w:val="3A4DB0EE"/>
    <w:rsid w:val="3A8D9BA5"/>
    <w:rsid w:val="3A992929"/>
    <w:rsid w:val="3AA0993A"/>
    <w:rsid w:val="3AA2DD41"/>
    <w:rsid w:val="3ABD9C04"/>
    <w:rsid w:val="3AD65671"/>
    <w:rsid w:val="3AEBB056"/>
    <w:rsid w:val="3AF991F1"/>
    <w:rsid w:val="3AFF9A94"/>
    <w:rsid w:val="3B07406F"/>
    <w:rsid w:val="3B09BF84"/>
    <w:rsid w:val="3B4A296B"/>
    <w:rsid w:val="3B4E1A93"/>
    <w:rsid w:val="3B4E1C5D"/>
    <w:rsid w:val="3B51E55A"/>
    <w:rsid w:val="3B700A15"/>
    <w:rsid w:val="3B72E972"/>
    <w:rsid w:val="3B7602B7"/>
    <w:rsid w:val="3B96FC8F"/>
    <w:rsid w:val="3BBD37F3"/>
    <w:rsid w:val="3BC03B5C"/>
    <w:rsid w:val="3BDDA31B"/>
    <w:rsid w:val="3BFB1940"/>
    <w:rsid w:val="3BFB25D4"/>
    <w:rsid w:val="3BFB669E"/>
    <w:rsid w:val="3C02851E"/>
    <w:rsid w:val="3C0F6307"/>
    <w:rsid w:val="3C1255BE"/>
    <w:rsid w:val="3C201A70"/>
    <w:rsid w:val="3C2B25A6"/>
    <w:rsid w:val="3C30186F"/>
    <w:rsid w:val="3C30E160"/>
    <w:rsid w:val="3C3B4CB1"/>
    <w:rsid w:val="3C876452"/>
    <w:rsid w:val="3CA8700F"/>
    <w:rsid w:val="3CB1C113"/>
    <w:rsid w:val="3CB396FC"/>
    <w:rsid w:val="3CBCBF94"/>
    <w:rsid w:val="3CC55A78"/>
    <w:rsid w:val="3CD53A6C"/>
    <w:rsid w:val="3CEB24F1"/>
    <w:rsid w:val="3CFF2750"/>
    <w:rsid w:val="3D0D45FD"/>
    <w:rsid w:val="3D19882D"/>
    <w:rsid w:val="3D4345EB"/>
    <w:rsid w:val="3D47C7A7"/>
    <w:rsid w:val="3D508663"/>
    <w:rsid w:val="3D84A858"/>
    <w:rsid w:val="3DA82084"/>
    <w:rsid w:val="3DB83F34"/>
    <w:rsid w:val="3DBAB9F3"/>
    <w:rsid w:val="3DE863F9"/>
    <w:rsid w:val="3E05025C"/>
    <w:rsid w:val="3E070E3F"/>
    <w:rsid w:val="3E0BE10B"/>
    <w:rsid w:val="3E1646E5"/>
    <w:rsid w:val="3E1908F4"/>
    <w:rsid w:val="3E2FB532"/>
    <w:rsid w:val="3E35052B"/>
    <w:rsid w:val="3E44391D"/>
    <w:rsid w:val="3E6CAA51"/>
    <w:rsid w:val="3E766D2C"/>
    <w:rsid w:val="3EF870B4"/>
    <w:rsid w:val="3F16F2D6"/>
    <w:rsid w:val="3F26BCB9"/>
    <w:rsid w:val="3F3B663C"/>
    <w:rsid w:val="3F561863"/>
    <w:rsid w:val="3F59FF87"/>
    <w:rsid w:val="3F61CBB2"/>
    <w:rsid w:val="3F6DA4AB"/>
    <w:rsid w:val="3F8CDCE4"/>
    <w:rsid w:val="3F957381"/>
    <w:rsid w:val="3F97E29A"/>
    <w:rsid w:val="3FB85FCC"/>
    <w:rsid w:val="3FD1002F"/>
    <w:rsid w:val="3FDBAF19"/>
    <w:rsid w:val="3FDDFFFB"/>
    <w:rsid w:val="3FF06303"/>
    <w:rsid w:val="3FFF6CEB"/>
    <w:rsid w:val="401303EE"/>
    <w:rsid w:val="4014671A"/>
    <w:rsid w:val="401529C5"/>
    <w:rsid w:val="402CA262"/>
    <w:rsid w:val="4041530F"/>
    <w:rsid w:val="404B5B29"/>
    <w:rsid w:val="40809778"/>
    <w:rsid w:val="4090286E"/>
    <w:rsid w:val="40BF3814"/>
    <w:rsid w:val="40BFCB2A"/>
    <w:rsid w:val="40F67106"/>
    <w:rsid w:val="4108C074"/>
    <w:rsid w:val="410E6A74"/>
    <w:rsid w:val="411A0B5F"/>
    <w:rsid w:val="41579BE7"/>
    <w:rsid w:val="417237AC"/>
    <w:rsid w:val="419475D1"/>
    <w:rsid w:val="41AE3012"/>
    <w:rsid w:val="41B5290F"/>
    <w:rsid w:val="41DDA8C7"/>
    <w:rsid w:val="42105F4B"/>
    <w:rsid w:val="422A879B"/>
    <w:rsid w:val="425A09E5"/>
    <w:rsid w:val="42678936"/>
    <w:rsid w:val="426B9C89"/>
    <w:rsid w:val="4283658F"/>
    <w:rsid w:val="4287A748"/>
    <w:rsid w:val="42A29E70"/>
    <w:rsid w:val="42ABE36C"/>
    <w:rsid w:val="42B1481C"/>
    <w:rsid w:val="42BDFE9B"/>
    <w:rsid w:val="42C50A7D"/>
    <w:rsid w:val="42C6037F"/>
    <w:rsid w:val="42C8A98F"/>
    <w:rsid w:val="42CB7B32"/>
    <w:rsid w:val="42DBF8B8"/>
    <w:rsid w:val="42F51DD1"/>
    <w:rsid w:val="43097296"/>
    <w:rsid w:val="434E1FBF"/>
    <w:rsid w:val="43639B11"/>
    <w:rsid w:val="4374C483"/>
    <w:rsid w:val="437BAD91"/>
    <w:rsid w:val="43823ACE"/>
    <w:rsid w:val="4386BE65"/>
    <w:rsid w:val="438ECF47"/>
    <w:rsid w:val="438F4643"/>
    <w:rsid w:val="439AFC83"/>
    <w:rsid w:val="439C9BCC"/>
    <w:rsid w:val="43AD1156"/>
    <w:rsid w:val="43B164AB"/>
    <w:rsid w:val="43BB720E"/>
    <w:rsid w:val="43F12290"/>
    <w:rsid w:val="44020E9B"/>
    <w:rsid w:val="4409631E"/>
    <w:rsid w:val="4428E78D"/>
    <w:rsid w:val="445A399C"/>
    <w:rsid w:val="445C21D4"/>
    <w:rsid w:val="4466BB28"/>
    <w:rsid w:val="4481942B"/>
    <w:rsid w:val="4482CB55"/>
    <w:rsid w:val="44854087"/>
    <w:rsid w:val="448AE139"/>
    <w:rsid w:val="448AEDF1"/>
    <w:rsid w:val="448EABF7"/>
    <w:rsid w:val="44917C91"/>
    <w:rsid w:val="449DBA4E"/>
    <w:rsid w:val="44A2A9C7"/>
    <w:rsid w:val="44A42600"/>
    <w:rsid w:val="44A6201F"/>
    <w:rsid w:val="44B7D9BD"/>
    <w:rsid w:val="44BF9C9D"/>
    <w:rsid w:val="44C8CBFF"/>
    <w:rsid w:val="44C914AA"/>
    <w:rsid w:val="44E0D689"/>
    <w:rsid w:val="44F949DA"/>
    <w:rsid w:val="4502C1F9"/>
    <w:rsid w:val="450AE951"/>
    <w:rsid w:val="450E8FF1"/>
    <w:rsid w:val="451BD2B4"/>
    <w:rsid w:val="4524F2B4"/>
    <w:rsid w:val="45373BF6"/>
    <w:rsid w:val="453B23CE"/>
    <w:rsid w:val="4546631D"/>
    <w:rsid w:val="457465FC"/>
    <w:rsid w:val="45AEDF78"/>
    <w:rsid w:val="45C69453"/>
    <w:rsid w:val="45DA06A1"/>
    <w:rsid w:val="45DFCAD2"/>
    <w:rsid w:val="45E0E70D"/>
    <w:rsid w:val="45E0F6DE"/>
    <w:rsid w:val="45E1BF2D"/>
    <w:rsid w:val="45E49865"/>
    <w:rsid w:val="45E69234"/>
    <w:rsid w:val="4603C60F"/>
    <w:rsid w:val="461305AB"/>
    <w:rsid w:val="46378DB1"/>
    <w:rsid w:val="463C241D"/>
    <w:rsid w:val="465CFE96"/>
    <w:rsid w:val="46679A75"/>
    <w:rsid w:val="467F0716"/>
    <w:rsid w:val="4690B381"/>
    <w:rsid w:val="46918EAE"/>
    <w:rsid w:val="46A78F7F"/>
    <w:rsid w:val="46C02144"/>
    <w:rsid w:val="46D0BE68"/>
    <w:rsid w:val="46DE2992"/>
    <w:rsid w:val="46DE3A44"/>
    <w:rsid w:val="471457FD"/>
    <w:rsid w:val="4719F468"/>
    <w:rsid w:val="471C76CB"/>
    <w:rsid w:val="47308768"/>
    <w:rsid w:val="4744E7B3"/>
    <w:rsid w:val="477608E9"/>
    <w:rsid w:val="47875F7E"/>
    <w:rsid w:val="478B07B4"/>
    <w:rsid w:val="47B2DAF1"/>
    <w:rsid w:val="47BE5B85"/>
    <w:rsid w:val="47DA523E"/>
    <w:rsid w:val="480B53BF"/>
    <w:rsid w:val="480C5FC8"/>
    <w:rsid w:val="482A8F28"/>
    <w:rsid w:val="483774A7"/>
    <w:rsid w:val="48643381"/>
    <w:rsid w:val="48716C3D"/>
    <w:rsid w:val="487DE371"/>
    <w:rsid w:val="48861DCC"/>
    <w:rsid w:val="4893C0B7"/>
    <w:rsid w:val="48C4255C"/>
    <w:rsid w:val="48C488EA"/>
    <w:rsid w:val="48C9329F"/>
    <w:rsid w:val="490691D1"/>
    <w:rsid w:val="4907D213"/>
    <w:rsid w:val="490C9B0E"/>
    <w:rsid w:val="492A6E41"/>
    <w:rsid w:val="4937C21C"/>
    <w:rsid w:val="4951FA9C"/>
    <w:rsid w:val="495940BB"/>
    <w:rsid w:val="495EF9CA"/>
    <w:rsid w:val="496C8F44"/>
    <w:rsid w:val="4982D58B"/>
    <w:rsid w:val="49835A34"/>
    <w:rsid w:val="499246CC"/>
    <w:rsid w:val="49BCC7F5"/>
    <w:rsid w:val="49CAC8BC"/>
    <w:rsid w:val="49E765A6"/>
    <w:rsid w:val="49EDFC6C"/>
    <w:rsid w:val="49F229EA"/>
    <w:rsid w:val="49FEC050"/>
    <w:rsid w:val="4A0F9883"/>
    <w:rsid w:val="4A19CBA8"/>
    <w:rsid w:val="4A2B97F2"/>
    <w:rsid w:val="4A34CCE7"/>
    <w:rsid w:val="4A3A47D8"/>
    <w:rsid w:val="4A41318F"/>
    <w:rsid w:val="4A42BD5A"/>
    <w:rsid w:val="4A576C7F"/>
    <w:rsid w:val="4A7BF435"/>
    <w:rsid w:val="4A8839FA"/>
    <w:rsid w:val="4A8E1C83"/>
    <w:rsid w:val="4A9F7612"/>
    <w:rsid w:val="4ACB9BC1"/>
    <w:rsid w:val="4ACCE85E"/>
    <w:rsid w:val="4ADAA85E"/>
    <w:rsid w:val="4B1D3449"/>
    <w:rsid w:val="4B308958"/>
    <w:rsid w:val="4B5C7AE7"/>
    <w:rsid w:val="4B63462D"/>
    <w:rsid w:val="4B796223"/>
    <w:rsid w:val="4B799025"/>
    <w:rsid w:val="4B973953"/>
    <w:rsid w:val="4BB13435"/>
    <w:rsid w:val="4BBB16ED"/>
    <w:rsid w:val="4BCDE77A"/>
    <w:rsid w:val="4BDA0C3E"/>
    <w:rsid w:val="4C09E35B"/>
    <w:rsid w:val="4C359EB5"/>
    <w:rsid w:val="4C382C14"/>
    <w:rsid w:val="4C44EB06"/>
    <w:rsid w:val="4C47A843"/>
    <w:rsid w:val="4C593256"/>
    <w:rsid w:val="4C5F6134"/>
    <w:rsid w:val="4C6EBF11"/>
    <w:rsid w:val="4CA21A7B"/>
    <w:rsid w:val="4CAC7D75"/>
    <w:rsid w:val="4CAFD6A6"/>
    <w:rsid w:val="4CBB8149"/>
    <w:rsid w:val="4CBBE548"/>
    <w:rsid w:val="4CBD3EE9"/>
    <w:rsid w:val="4CC98AE9"/>
    <w:rsid w:val="4CCEAFCC"/>
    <w:rsid w:val="4CD3985F"/>
    <w:rsid w:val="4CF9B65C"/>
    <w:rsid w:val="4D2C2D6C"/>
    <w:rsid w:val="4D3FB2A0"/>
    <w:rsid w:val="4D4C9C9A"/>
    <w:rsid w:val="4D4FF2F0"/>
    <w:rsid w:val="4D541026"/>
    <w:rsid w:val="4D62236D"/>
    <w:rsid w:val="4D686E7C"/>
    <w:rsid w:val="4DB932FB"/>
    <w:rsid w:val="4DCE4669"/>
    <w:rsid w:val="4DE239DB"/>
    <w:rsid w:val="4DE8641E"/>
    <w:rsid w:val="4DEA9CFA"/>
    <w:rsid w:val="4E02600B"/>
    <w:rsid w:val="4E03BB63"/>
    <w:rsid w:val="4E08E930"/>
    <w:rsid w:val="4E1091BA"/>
    <w:rsid w:val="4E21C80B"/>
    <w:rsid w:val="4E2A6BBA"/>
    <w:rsid w:val="4E39872D"/>
    <w:rsid w:val="4E56360A"/>
    <w:rsid w:val="4E5BB495"/>
    <w:rsid w:val="4E67DD24"/>
    <w:rsid w:val="4E689767"/>
    <w:rsid w:val="4E7A1AD6"/>
    <w:rsid w:val="4E89D13B"/>
    <w:rsid w:val="4E90EEA4"/>
    <w:rsid w:val="4EAEB1B6"/>
    <w:rsid w:val="4EC98A2B"/>
    <w:rsid w:val="4ED05FE1"/>
    <w:rsid w:val="4EDAE5C1"/>
    <w:rsid w:val="4F01A585"/>
    <w:rsid w:val="4F1E22D6"/>
    <w:rsid w:val="4F31E41F"/>
    <w:rsid w:val="4F5AFD6D"/>
    <w:rsid w:val="4F70BAEF"/>
    <w:rsid w:val="4F899EFA"/>
    <w:rsid w:val="4FA20C04"/>
    <w:rsid w:val="4FB5AF6A"/>
    <w:rsid w:val="4FBC98F1"/>
    <w:rsid w:val="4FCB4DDE"/>
    <w:rsid w:val="4FCE7928"/>
    <w:rsid w:val="4FDB6969"/>
    <w:rsid w:val="4FDBD133"/>
    <w:rsid w:val="4FE005FE"/>
    <w:rsid w:val="4FE4183A"/>
    <w:rsid w:val="4FE892FF"/>
    <w:rsid w:val="5009E61F"/>
    <w:rsid w:val="500C2009"/>
    <w:rsid w:val="500C38EB"/>
    <w:rsid w:val="501A1AF5"/>
    <w:rsid w:val="5027C31D"/>
    <w:rsid w:val="5029A183"/>
    <w:rsid w:val="50321A9C"/>
    <w:rsid w:val="506A6432"/>
    <w:rsid w:val="5073E9F5"/>
    <w:rsid w:val="5078D37D"/>
    <w:rsid w:val="507CD2F8"/>
    <w:rsid w:val="5091F58D"/>
    <w:rsid w:val="50B4264E"/>
    <w:rsid w:val="50D23647"/>
    <w:rsid w:val="50EEEC57"/>
    <w:rsid w:val="50F0D56B"/>
    <w:rsid w:val="50F34FF9"/>
    <w:rsid w:val="51119AB9"/>
    <w:rsid w:val="51229BA2"/>
    <w:rsid w:val="5137C10E"/>
    <w:rsid w:val="513C186C"/>
    <w:rsid w:val="51613346"/>
    <w:rsid w:val="5168155C"/>
    <w:rsid w:val="516E4192"/>
    <w:rsid w:val="517E81B4"/>
    <w:rsid w:val="51892CB4"/>
    <w:rsid w:val="51A1C55D"/>
    <w:rsid w:val="51A28198"/>
    <w:rsid w:val="51A6FEC9"/>
    <w:rsid w:val="51AA7C37"/>
    <w:rsid w:val="51BEB73A"/>
    <w:rsid w:val="51D51514"/>
    <w:rsid w:val="51D799A0"/>
    <w:rsid w:val="51F24A13"/>
    <w:rsid w:val="5222D050"/>
    <w:rsid w:val="522A5A96"/>
    <w:rsid w:val="5230F171"/>
    <w:rsid w:val="5239F87E"/>
    <w:rsid w:val="524D3D51"/>
    <w:rsid w:val="5255D902"/>
    <w:rsid w:val="526773A2"/>
    <w:rsid w:val="52705C49"/>
    <w:rsid w:val="528AA698"/>
    <w:rsid w:val="528E0AB2"/>
    <w:rsid w:val="5296B0B8"/>
    <w:rsid w:val="52BCD7D9"/>
    <w:rsid w:val="52D27217"/>
    <w:rsid w:val="52DAB430"/>
    <w:rsid w:val="52DE468A"/>
    <w:rsid w:val="52E24327"/>
    <w:rsid w:val="52F719C4"/>
    <w:rsid w:val="532385BE"/>
    <w:rsid w:val="53343A40"/>
    <w:rsid w:val="5361CE0B"/>
    <w:rsid w:val="5366F7C4"/>
    <w:rsid w:val="537701D4"/>
    <w:rsid w:val="537BA60F"/>
    <w:rsid w:val="537F8A6F"/>
    <w:rsid w:val="5388D14E"/>
    <w:rsid w:val="538E8AE0"/>
    <w:rsid w:val="53AABD5C"/>
    <w:rsid w:val="53B8B26B"/>
    <w:rsid w:val="53C0B414"/>
    <w:rsid w:val="53C33E8A"/>
    <w:rsid w:val="53DE5CFC"/>
    <w:rsid w:val="53ED1B0E"/>
    <w:rsid w:val="53FB63FD"/>
    <w:rsid w:val="5439E601"/>
    <w:rsid w:val="543F6916"/>
    <w:rsid w:val="5449FC01"/>
    <w:rsid w:val="54512213"/>
    <w:rsid w:val="545BDA6A"/>
    <w:rsid w:val="54603BC8"/>
    <w:rsid w:val="5466CCF5"/>
    <w:rsid w:val="5474F08F"/>
    <w:rsid w:val="54776B33"/>
    <w:rsid w:val="547E2FBE"/>
    <w:rsid w:val="549320D1"/>
    <w:rsid w:val="54976BF9"/>
    <w:rsid w:val="54B6886C"/>
    <w:rsid w:val="54D4FD4E"/>
    <w:rsid w:val="54D8BF62"/>
    <w:rsid w:val="54FC0A83"/>
    <w:rsid w:val="5500FE99"/>
    <w:rsid w:val="5501564C"/>
    <w:rsid w:val="55018CC0"/>
    <w:rsid w:val="55080D5E"/>
    <w:rsid w:val="550EE09C"/>
    <w:rsid w:val="55239697"/>
    <w:rsid w:val="5535504C"/>
    <w:rsid w:val="55681890"/>
    <w:rsid w:val="55731FA8"/>
    <w:rsid w:val="557F8192"/>
    <w:rsid w:val="55A8A466"/>
    <w:rsid w:val="55B95A77"/>
    <w:rsid w:val="55EC1CF2"/>
    <w:rsid w:val="55ED977E"/>
    <w:rsid w:val="55FBD333"/>
    <w:rsid w:val="55FD0A8F"/>
    <w:rsid w:val="56047BA9"/>
    <w:rsid w:val="560F7615"/>
    <w:rsid w:val="56177D2E"/>
    <w:rsid w:val="561C8A2C"/>
    <w:rsid w:val="561F1DD3"/>
    <w:rsid w:val="56471582"/>
    <w:rsid w:val="564FCD8F"/>
    <w:rsid w:val="5651C99F"/>
    <w:rsid w:val="565B451A"/>
    <w:rsid w:val="565E03E5"/>
    <w:rsid w:val="56738824"/>
    <w:rsid w:val="5675FFFC"/>
    <w:rsid w:val="567DBE82"/>
    <w:rsid w:val="56855CAA"/>
    <w:rsid w:val="5688614E"/>
    <w:rsid w:val="5699135E"/>
    <w:rsid w:val="56E0A75C"/>
    <w:rsid w:val="56E1231A"/>
    <w:rsid w:val="56EAEA6F"/>
    <w:rsid w:val="56EE0850"/>
    <w:rsid w:val="5706BA58"/>
    <w:rsid w:val="571D173F"/>
    <w:rsid w:val="572DED33"/>
    <w:rsid w:val="574DBC43"/>
    <w:rsid w:val="575FEB9B"/>
    <w:rsid w:val="5768AF95"/>
    <w:rsid w:val="57768FB5"/>
    <w:rsid w:val="582358F1"/>
    <w:rsid w:val="5831EFAC"/>
    <w:rsid w:val="5835363E"/>
    <w:rsid w:val="5837EBF9"/>
    <w:rsid w:val="5842988B"/>
    <w:rsid w:val="58592C1B"/>
    <w:rsid w:val="585D515E"/>
    <w:rsid w:val="58682A22"/>
    <w:rsid w:val="586A83CC"/>
    <w:rsid w:val="586F8B61"/>
    <w:rsid w:val="58A6CED2"/>
    <w:rsid w:val="58A7A083"/>
    <w:rsid w:val="58C79274"/>
    <w:rsid w:val="58CE2683"/>
    <w:rsid w:val="58D14960"/>
    <w:rsid w:val="58D183E6"/>
    <w:rsid w:val="58E46C9F"/>
    <w:rsid w:val="590863B0"/>
    <w:rsid w:val="5943390C"/>
    <w:rsid w:val="59479F62"/>
    <w:rsid w:val="5967481A"/>
    <w:rsid w:val="5975BC76"/>
    <w:rsid w:val="59775D90"/>
    <w:rsid w:val="59916909"/>
    <w:rsid w:val="59A3CA9A"/>
    <w:rsid w:val="59C9B34B"/>
    <w:rsid w:val="59D3F554"/>
    <w:rsid w:val="59F38256"/>
    <w:rsid w:val="5A003130"/>
    <w:rsid w:val="5A0BC700"/>
    <w:rsid w:val="5A0F6229"/>
    <w:rsid w:val="5A2114D1"/>
    <w:rsid w:val="5A4B5D0C"/>
    <w:rsid w:val="5A58AE01"/>
    <w:rsid w:val="5A69BB91"/>
    <w:rsid w:val="5A6C1EA5"/>
    <w:rsid w:val="5A7B269A"/>
    <w:rsid w:val="5AB438A4"/>
    <w:rsid w:val="5AB50454"/>
    <w:rsid w:val="5AC67230"/>
    <w:rsid w:val="5AD9D572"/>
    <w:rsid w:val="5ADD877F"/>
    <w:rsid w:val="5AE78779"/>
    <w:rsid w:val="5AEB4160"/>
    <w:rsid w:val="5AF66A85"/>
    <w:rsid w:val="5AFCE862"/>
    <w:rsid w:val="5AFF9D53"/>
    <w:rsid w:val="5B193E01"/>
    <w:rsid w:val="5B3230F9"/>
    <w:rsid w:val="5B36210D"/>
    <w:rsid w:val="5B4F1601"/>
    <w:rsid w:val="5B62BAFB"/>
    <w:rsid w:val="5B75431D"/>
    <w:rsid w:val="5B7C556D"/>
    <w:rsid w:val="5B8DBDC2"/>
    <w:rsid w:val="5B9AEB5B"/>
    <w:rsid w:val="5BA4BC22"/>
    <w:rsid w:val="5BACC925"/>
    <w:rsid w:val="5BB64E91"/>
    <w:rsid w:val="5BBCE18D"/>
    <w:rsid w:val="5BC32E8C"/>
    <w:rsid w:val="5BC7CDB2"/>
    <w:rsid w:val="5BD564A7"/>
    <w:rsid w:val="5BE6FD07"/>
    <w:rsid w:val="5BF1EAB7"/>
    <w:rsid w:val="5BF390CA"/>
    <w:rsid w:val="5BFDB236"/>
    <w:rsid w:val="5C09FF56"/>
    <w:rsid w:val="5C14FBBA"/>
    <w:rsid w:val="5C1BC8AE"/>
    <w:rsid w:val="5C226E99"/>
    <w:rsid w:val="5C2C162D"/>
    <w:rsid w:val="5C47F429"/>
    <w:rsid w:val="5C57EF01"/>
    <w:rsid w:val="5C75318F"/>
    <w:rsid w:val="5C8A50F2"/>
    <w:rsid w:val="5C96839C"/>
    <w:rsid w:val="5CAFB63E"/>
    <w:rsid w:val="5CC98971"/>
    <w:rsid w:val="5CD63412"/>
    <w:rsid w:val="5CFEDF8B"/>
    <w:rsid w:val="5D15AB56"/>
    <w:rsid w:val="5D56F018"/>
    <w:rsid w:val="5D5E5ABB"/>
    <w:rsid w:val="5D76EA31"/>
    <w:rsid w:val="5D7FEB77"/>
    <w:rsid w:val="5D8864AB"/>
    <w:rsid w:val="5DB624F7"/>
    <w:rsid w:val="5DCE7F2C"/>
    <w:rsid w:val="5DD1755A"/>
    <w:rsid w:val="5DD5C173"/>
    <w:rsid w:val="5DEC7624"/>
    <w:rsid w:val="5DF30A74"/>
    <w:rsid w:val="5DFDBFA4"/>
    <w:rsid w:val="5E050AB8"/>
    <w:rsid w:val="5E3237F1"/>
    <w:rsid w:val="5E702DBC"/>
    <w:rsid w:val="5E746E76"/>
    <w:rsid w:val="5EB5E78B"/>
    <w:rsid w:val="5ECDE295"/>
    <w:rsid w:val="5EE562FF"/>
    <w:rsid w:val="5EE82745"/>
    <w:rsid w:val="5EEDB81F"/>
    <w:rsid w:val="5EF26250"/>
    <w:rsid w:val="5F0A26BE"/>
    <w:rsid w:val="5F1EE825"/>
    <w:rsid w:val="5F463B14"/>
    <w:rsid w:val="5F4A9A6B"/>
    <w:rsid w:val="5F559146"/>
    <w:rsid w:val="5F6FEAFC"/>
    <w:rsid w:val="5F78E948"/>
    <w:rsid w:val="5FB3A949"/>
    <w:rsid w:val="5FBF48C7"/>
    <w:rsid w:val="5FCB1975"/>
    <w:rsid w:val="5FE5406C"/>
    <w:rsid w:val="5FEF98A1"/>
    <w:rsid w:val="5FF0CD75"/>
    <w:rsid w:val="5FF7A20B"/>
    <w:rsid w:val="600FFA0B"/>
    <w:rsid w:val="6015FF34"/>
    <w:rsid w:val="6017B1FD"/>
    <w:rsid w:val="604288AA"/>
    <w:rsid w:val="60544350"/>
    <w:rsid w:val="6058BF0D"/>
    <w:rsid w:val="606664F0"/>
    <w:rsid w:val="60674949"/>
    <w:rsid w:val="60827839"/>
    <w:rsid w:val="608433F7"/>
    <w:rsid w:val="6088B092"/>
    <w:rsid w:val="608DF28E"/>
    <w:rsid w:val="60A130AA"/>
    <w:rsid w:val="60CCAE62"/>
    <w:rsid w:val="60D7CB13"/>
    <w:rsid w:val="60D9A7B5"/>
    <w:rsid w:val="60DCBC1E"/>
    <w:rsid w:val="60E06080"/>
    <w:rsid w:val="60F30486"/>
    <w:rsid w:val="60FC24A1"/>
    <w:rsid w:val="6109EBCE"/>
    <w:rsid w:val="610ED775"/>
    <w:rsid w:val="610EE5EF"/>
    <w:rsid w:val="61507DAE"/>
    <w:rsid w:val="6154AD24"/>
    <w:rsid w:val="616EB022"/>
    <w:rsid w:val="617B0880"/>
    <w:rsid w:val="617E44EE"/>
    <w:rsid w:val="6180DFC3"/>
    <w:rsid w:val="61853015"/>
    <w:rsid w:val="61976683"/>
    <w:rsid w:val="61B61C28"/>
    <w:rsid w:val="61CFF5BD"/>
    <w:rsid w:val="61EA12FE"/>
    <w:rsid w:val="61ED0EA0"/>
    <w:rsid w:val="621A57F3"/>
    <w:rsid w:val="62301E61"/>
    <w:rsid w:val="623706B0"/>
    <w:rsid w:val="62584E13"/>
    <w:rsid w:val="625F49CD"/>
    <w:rsid w:val="62835D31"/>
    <w:rsid w:val="628686DD"/>
    <w:rsid w:val="628CB12D"/>
    <w:rsid w:val="628EDEBB"/>
    <w:rsid w:val="62976AC7"/>
    <w:rsid w:val="62A48CF8"/>
    <w:rsid w:val="62ABF7D0"/>
    <w:rsid w:val="62CAA3CD"/>
    <w:rsid w:val="62CAF891"/>
    <w:rsid w:val="62CDE5BE"/>
    <w:rsid w:val="62F0FD6D"/>
    <w:rsid w:val="6300E753"/>
    <w:rsid w:val="63510F3F"/>
    <w:rsid w:val="63542A41"/>
    <w:rsid w:val="635B6E8E"/>
    <w:rsid w:val="63681840"/>
    <w:rsid w:val="636B609F"/>
    <w:rsid w:val="63741BEE"/>
    <w:rsid w:val="63870BB3"/>
    <w:rsid w:val="638FC767"/>
    <w:rsid w:val="6397655F"/>
    <w:rsid w:val="63981D29"/>
    <w:rsid w:val="639C655E"/>
    <w:rsid w:val="639FFC4A"/>
    <w:rsid w:val="63B50E6A"/>
    <w:rsid w:val="63C3EF4B"/>
    <w:rsid w:val="63C6396F"/>
    <w:rsid w:val="63E04C0A"/>
    <w:rsid w:val="63F01BA6"/>
    <w:rsid w:val="640D6CBB"/>
    <w:rsid w:val="642D271D"/>
    <w:rsid w:val="643D3B58"/>
    <w:rsid w:val="6441BA25"/>
    <w:rsid w:val="64BD3044"/>
    <w:rsid w:val="64C02A99"/>
    <w:rsid w:val="64E8F275"/>
    <w:rsid w:val="6501BCB7"/>
    <w:rsid w:val="65060183"/>
    <w:rsid w:val="6527F082"/>
    <w:rsid w:val="65593E30"/>
    <w:rsid w:val="656FECC9"/>
    <w:rsid w:val="6572CA37"/>
    <w:rsid w:val="658056B0"/>
    <w:rsid w:val="6592DE57"/>
    <w:rsid w:val="65975E95"/>
    <w:rsid w:val="65B0A795"/>
    <w:rsid w:val="65B6CFBC"/>
    <w:rsid w:val="65F13239"/>
    <w:rsid w:val="65F50B41"/>
    <w:rsid w:val="65FC3AD4"/>
    <w:rsid w:val="65FDD803"/>
    <w:rsid w:val="660F9E44"/>
    <w:rsid w:val="663D6B55"/>
    <w:rsid w:val="6644EC99"/>
    <w:rsid w:val="6648ACD5"/>
    <w:rsid w:val="6648DD93"/>
    <w:rsid w:val="665D6E96"/>
    <w:rsid w:val="666604B1"/>
    <w:rsid w:val="66684499"/>
    <w:rsid w:val="666FDB4B"/>
    <w:rsid w:val="66716884"/>
    <w:rsid w:val="66773D4F"/>
    <w:rsid w:val="667FBF4D"/>
    <w:rsid w:val="6696AE48"/>
    <w:rsid w:val="669C86EC"/>
    <w:rsid w:val="66A88AE2"/>
    <w:rsid w:val="66AAFEBE"/>
    <w:rsid w:val="66BB2FFD"/>
    <w:rsid w:val="66EAA37A"/>
    <w:rsid w:val="66F6DF3D"/>
    <w:rsid w:val="66FA7C3A"/>
    <w:rsid w:val="66FE6F32"/>
    <w:rsid w:val="670A2711"/>
    <w:rsid w:val="671248A9"/>
    <w:rsid w:val="672FF3E5"/>
    <w:rsid w:val="67436CEB"/>
    <w:rsid w:val="674685B8"/>
    <w:rsid w:val="675931BC"/>
    <w:rsid w:val="6777CD93"/>
    <w:rsid w:val="6778E586"/>
    <w:rsid w:val="679980E5"/>
    <w:rsid w:val="67A03B88"/>
    <w:rsid w:val="67B00D2A"/>
    <w:rsid w:val="67B42924"/>
    <w:rsid w:val="67C30BAD"/>
    <w:rsid w:val="67D358D3"/>
    <w:rsid w:val="67DC6196"/>
    <w:rsid w:val="67E06C59"/>
    <w:rsid w:val="683E05F0"/>
    <w:rsid w:val="68450CFB"/>
    <w:rsid w:val="6861A1C5"/>
    <w:rsid w:val="6867691B"/>
    <w:rsid w:val="686C8633"/>
    <w:rsid w:val="68734381"/>
    <w:rsid w:val="68755691"/>
    <w:rsid w:val="68A00F79"/>
    <w:rsid w:val="68A27100"/>
    <w:rsid w:val="68AA05AE"/>
    <w:rsid w:val="68AE8EC4"/>
    <w:rsid w:val="68C75CA7"/>
    <w:rsid w:val="68CC6E49"/>
    <w:rsid w:val="68E35F5E"/>
    <w:rsid w:val="68E3BFBE"/>
    <w:rsid w:val="68E56EF0"/>
    <w:rsid w:val="68EE10E9"/>
    <w:rsid w:val="6911BE48"/>
    <w:rsid w:val="691B2C7D"/>
    <w:rsid w:val="691F5ED1"/>
    <w:rsid w:val="69289ABF"/>
    <w:rsid w:val="6931793A"/>
    <w:rsid w:val="6936860F"/>
    <w:rsid w:val="6936F0CC"/>
    <w:rsid w:val="69386A1A"/>
    <w:rsid w:val="694583ED"/>
    <w:rsid w:val="6957C0F1"/>
    <w:rsid w:val="6963962E"/>
    <w:rsid w:val="697CABE2"/>
    <w:rsid w:val="6983E576"/>
    <w:rsid w:val="699329F4"/>
    <w:rsid w:val="69B56ED2"/>
    <w:rsid w:val="69CA2D7E"/>
    <w:rsid w:val="69E06CCC"/>
    <w:rsid w:val="69E309A8"/>
    <w:rsid w:val="69F834A9"/>
    <w:rsid w:val="6A1058A1"/>
    <w:rsid w:val="6A36D95D"/>
    <w:rsid w:val="6A3986FE"/>
    <w:rsid w:val="6A3AB706"/>
    <w:rsid w:val="6A494CC5"/>
    <w:rsid w:val="6A504F17"/>
    <w:rsid w:val="6A690DD0"/>
    <w:rsid w:val="6A840067"/>
    <w:rsid w:val="6A994EC4"/>
    <w:rsid w:val="6A9A20DD"/>
    <w:rsid w:val="6A9B315E"/>
    <w:rsid w:val="6A9F07CF"/>
    <w:rsid w:val="6A9FB4F7"/>
    <w:rsid w:val="6AA0F215"/>
    <w:rsid w:val="6AA78E42"/>
    <w:rsid w:val="6AAC29B0"/>
    <w:rsid w:val="6AB250ED"/>
    <w:rsid w:val="6AC885F1"/>
    <w:rsid w:val="6AD917B4"/>
    <w:rsid w:val="6ADF46FD"/>
    <w:rsid w:val="6AE7A16C"/>
    <w:rsid w:val="6B21D0AA"/>
    <w:rsid w:val="6B2D7749"/>
    <w:rsid w:val="6B398AB1"/>
    <w:rsid w:val="6B45C4D2"/>
    <w:rsid w:val="6B4FE21E"/>
    <w:rsid w:val="6B5412BF"/>
    <w:rsid w:val="6B77B519"/>
    <w:rsid w:val="6B882E9A"/>
    <w:rsid w:val="6B8C7BFD"/>
    <w:rsid w:val="6B8DD460"/>
    <w:rsid w:val="6B9B1ECE"/>
    <w:rsid w:val="6B9D183C"/>
    <w:rsid w:val="6BADB1F3"/>
    <w:rsid w:val="6BCF2270"/>
    <w:rsid w:val="6BF58048"/>
    <w:rsid w:val="6C1256D9"/>
    <w:rsid w:val="6C1E8E54"/>
    <w:rsid w:val="6C32513B"/>
    <w:rsid w:val="6C36316A"/>
    <w:rsid w:val="6C3B0CB4"/>
    <w:rsid w:val="6C683132"/>
    <w:rsid w:val="6C7964B6"/>
    <w:rsid w:val="6C80D68E"/>
    <w:rsid w:val="6C89BFF3"/>
    <w:rsid w:val="6C9C1269"/>
    <w:rsid w:val="6CA3C8C7"/>
    <w:rsid w:val="6CBBF3A3"/>
    <w:rsid w:val="6CC2FBD5"/>
    <w:rsid w:val="6CC598CF"/>
    <w:rsid w:val="6CC6D244"/>
    <w:rsid w:val="6CC7C0FD"/>
    <w:rsid w:val="6CCD213D"/>
    <w:rsid w:val="6D026084"/>
    <w:rsid w:val="6D229BF9"/>
    <w:rsid w:val="6D2CE540"/>
    <w:rsid w:val="6D2F04C1"/>
    <w:rsid w:val="6D2FF900"/>
    <w:rsid w:val="6D366EA5"/>
    <w:rsid w:val="6D483A79"/>
    <w:rsid w:val="6D70FBFB"/>
    <w:rsid w:val="6D9BB245"/>
    <w:rsid w:val="6DB2E918"/>
    <w:rsid w:val="6DBB7E27"/>
    <w:rsid w:val="6DD2F75B"/>
    <w:rsid w:val="6DD7EB5E"/>
    <w:rsid w:val="6E0A400D"/>
    <w:rsid w:val="6E1EBBE6"/>
    <w:rsid w:val="6E2A992D"/>
    <w:rsid w:val="6E36544B"/>
    <w:rsid w:val="6E40918C"/>
    <w:rsid w:val="6E4C5ACA"/>
    <w:rsid w:val="6E4E9DBA"/>
    <w:rsid w:val="6E723E82"/>
    <w:rsid w:val="6E816E41"/>
    <w:rsid w:val="6E8F5B29"/>
    <w:rsid w:val="6EADAF76"/>
    <w:rsid w:val="6EB290B7"/>
    <w:rsid w:val="6EC2A5CF"/>
    <w:rsid w:val="6EC45341"/>
    <w:rsid w:val="6EC64FE1"/>
    <w:rsid w:val="6ECC331C"/>
    <w:rsid w:val="6ECED79C"/>
    <w:rsid w:val="6ED43F3B"/>
    <w:rsid w:val="6ED5D348"/>
    <w:rsid w:val="6EF7D916"/>
    <w:rsid w:val="6F107892"/>
    <w:rsid w:val="6F22807B"/>
    <w:rsid w:val="6F3D560D"/>
    <w:rsid w:val="6F4A783B"/>
    <w:rsid w:val="6F525399"/>
    <w:rsid w:val="6F5C8B2D"/>
    <w:rsid w:val="6F6A5F71"/>
    <w:rsid w:val="6F7A3A0C"/>
    <w:rsid w:val="6F7A7E5B"/>
    <w:rsid w:val="6FBB1874"/>
    <w:rsid w:val="6FBD6884"/>
    <w:rsid w:val="6FE420D2"/>
    <w:rsid w:val="6FFAE9C6"/>
    <w:rsid w:val="6FFFCF4F"/>
    <w:rsid w:val="70059490"/>
    <w:rsid w:val="700C15B1"/>
    <w:rsid w:val="70127ACC"/>
    <w:rsid w:val="701E0C90"/>
    <w:rsid w:val="703155FC"/>
    <w:rsid w:val="70414268"/>
    <w:rsid w:val="70534169"/>
    <w:rsid w:val="7054528E"/>
    <w:rsid w:val="70675673"/>
    <w:rsid w:val="70677192"/>
    <w:rsid w:val="706D0795"/>
    <w:rsid w:val="70ADA006"/>
    <w:rsid w:val="70B21638"/>
    <w:rsid w:val="70C84436"/>
    <w:rsid w:val="70D1EF37"/>
    <w:rsid w:val="70E18EB2"/>
    <w:rsid w:val="70E7B674"/>
    <w:rsid w:val="70F17678"/>
    <w:rsid w:val="70FC1BD4"/>
    <w:rsid w:val="71121A60"/>
    <w:rsid w:val="71483DA4"/>
    <w:rsid w:val="714BC7A8"/>
    <w:rsid w:val="71504F85"/>
    <w:rsid w:val="715AEFD4"/>
    <w:rsid w:val="7165BF4F"/>
    <w:rsid w:val="716E7664"/>
    <w:rsid w:val="71836351"/>
    <w:rsid w:val="719EA040"/>
    <w:rsid w:val="71A39196"/>
    <w:rsid w:val="71AAA75C"/>
    <w:rsid w:val="71BDF725"/>
    <w:rsid w:val="71C16B2E"/>
    <w:rsid w:val="71CCE12B"/>
    <w:rsid w:val="71D1BE94"/>
    <w:rsid w:val="71DE5D70"/>
    <w:rsid w:val="71ED0460"/>
    <w:rsid w:val="723B1ED3"/>
    <w:rsid w:val="725059EA"/>
    <w:rsid w:val="728A5F3B"/>
    <w:rsid w:val="72927E8A"/>
    <w:rsid w:val="72AD4A14"/>
    <w:rsid w:val="72BA43A6"/>
    <w:rsid w:val="72C611C2"/>
    <w:rsid w:val="72C9D79F"/>
    <w:rsid w:val="72D76DC7"/>
    <w:rsid w:val="72EEA9C4"/>
    <w:rsid w:val="72F22680"/>
    <w:rsid w:val="73058993"/>
    <w:rsid w:val="73105ECC"/>
    <w:rsid w:val="7312634F"/>
    <w:rsid w:val="73356002"/>
    <w:rsid w:val="7341532C"/>
    <w:rsid w:val="73540747"/>
    <w:rsid w:val="735B84E1"/>
    <w:rsid w:val="735F24CF"/>
    <w:rsid w:val="73699CFB"/>
    <w:rsid w:val="7371EB3D"/>
    <w:rsid w:val="737619A2"/>
    <w:rsid w:val="7380E4D1"/>
    <w:rsid w:val="73823334"/>
    <w:rsid w:val="7391DAD4"/>
    <w:rsid w:val="739C5ED5"/>
    <w:rsid w:val="73A5F4AF"/>
    <w:rsid w:val="73B0D862"/>
    <w:rsid w:val="73BE16C8"/>
    <w:rsid w:val="73EA77E6"/>
    <w:rsid w:val="73FFC824"/>
    <w:rsid w:val="74080C43"/>
    <w:rsid w:val="740D8929"/>
    <w:rsid w:val="7414C458"/>
    <w:rsid w:val="7422F12C"/>
    <w:rsid w:val="74363456"/>
    <w:rsid w:val="743A3118"/>
    <w:rsid w:val="7441F8BE"/>
    <w:rsid w:val="7445544A"/>
    <w:rsid w:val="7448474E"/>
    <w:rsid w:val="7449E82E"/>
    <w:rsid w:val="745B0175"/>
    <w:rsid w:val="74868E8D"/>
    <w:rsid w:val="7491EAB2"/>
    <w:rsid w:val="7494F413"/>
    <w:rsid w:val="74D69428"/>
    <w:rsid w:val="74D6EEAE"/>
    <w:rsid w:val="74EC1E8B"/>
    <w:rsid w:val="7509E679"/>
    <w:rsid w:val="7526A106"/>
    <w:rsid w:val="75290D47"/>
    <w:rsid w:val="752B7F44"/>
    <w:rsid w:val="75407A35"/>
    <w:rsid w:val="754C6DAB"/>
    <w:rsid w:val="754E41F2"/>
    <w:rsid w:val="7560BD80"/>
    <w:rsid w:val="756785B2"/>
    <w:rsid w:val="7589F32D"/>
    <w:rsid w:val="758AB775"/>
    <w:rsid w:val="75B9FE56"/>
    <w:rsid w:val="75C5FDF5"/>
    <w:rsid w:val="75CE1367"/>
    <w:rsid w:val="75D4DC7D"/>
    <w:rsid w:val="75F39E9A"/>
    <w:rsid w:val="76065BC1"/>
    <w:rsid w:val="760D63FD"/>
    <w:rsid w:val="761B6C2C"/>
    <w:rsid w:val="7624D69A"/>
    <w:rsid w:val="7647CE42"/>
    <w:rsid w:val="764B45E6"/>
    <w:rsid w:val="7655B2B1"/>
    <w:rsid w:val="765D7DC7"/>
    <w:rsid w:val="7668D1FE"/>
    <w:rsid w:val="766D2841"/>
    <w:rsid w:val="767903CA"/>
    <w:rsid w:val="76D8C91B"/>
    <w:rsid w:val="77089D33"/>
    <w:rsid w:val="7751DEB1"/>
    <w:rsid w:val="7757B39F"/>
    <w:rsid w:val="775F0086"/>
    <w:rsid w:val="775F16AB"/>
    <w:rsid w:val="776A25F9"/>
    <w:rsid w:val="7773BCCD"/>
    <w:rsid w:val="7795A6BD"/>
    <w:rsid w:val="77A3927A"/>
    <w:rsid w:val="77AC3B46"/>
    <w:rsid w:val="77C23A02"/>
    <w:rsid w:val="77D8272B"/>
    <w:rsid w:val="77EAABD5"/>
    <w:rsid w:val="77EAC0AF"/>
    <w:rsid w:val="781C8372"/>
    <w:rsid w:val="781E218F"/>
    <w:rsid w:val="782BE369"/>
    <w:rsid w:val="782C0EC3"/>
    <w:rsid w:val="782F9AAA"/>
    <w:rsid w:val="783AB1F8"/>
    <w:rsid w:val="783DEFC5"/>
    <w:rsid w:val="7841981C"/>
    <w:rsid w:val="7845BBB9"/>
    <w:rsid w:val="785C671D"/>
    <w:rsid w:val="78641C27"/>
    <w:rsid w:val="7869CFC5"/>
    <w:rsid w:val="786A5D7B"/>
    <w:rsid w:val="788865E9"/>
    <w:rsid w:val="789A80D7"/>
    <w:rsid w:val="789D0726"/>
    <w:rsid w:val="78AF3D90"/>
    <w:rsid w:val="78B7D273"/>
    <w:rsid w:val="78C1B5DF"/>
    <w:rsid w:val="78D719C8"/>
    <w:rsid w:val="78DEB223"/>
    <w:rsid w:val="78F3B49B"/>
    <w:rsid w:val="78FBF58B"/>
    <w:rsid w:val="79035872"/>
    <w:rsid w:val="790C867A"/>
    <w:rsid w:val="790D0F8E"/>
    <w:rsid w:val="79180B49"/>
    <w:rsid w:val="79212D73"/>
    <w:rsid w:val="792822E8"/>
    <w:rsid w:val="792E69E1"/>
    <w:rsid w:val="7939FD4D"/>
    <w:rsid w:val="7952F3B2"/>
    <w:rsid w:val="79639379"/>
    <w:rsid w:val="79657D21"/>
    <w:rsid w:val="7976C4D5"/>
    <w:rsid w:val="79775ED0"/>
    <w:rsid w:val="79880706"/>
    <w:rsid w:val="7994E414"/>
    <w:rsid w:val="79C0F9C9"/>
    <w:rsid w:val="79DE2B80"/>
    <w:rsid w:val="79FD6659"/>
    <w:rsid w:val="7A05A530"/>
    <w:rsid w:val="7A2C6A26"/>
    <w:rsid w:val="7A2F8345"/>
    <w:rsid w:val="7A3329FA"/>
    <w:rsid w:val="7A381901"/>
    <w:rsid w:val="7A4ADADC"/>
    <w:rsid w:val="7A4C414B"/>
    <w:rsid w:val="7A56E844"/>
    <w:rsid w:val="7A5E1CEE"/>
    <w:rsid w:val="7A7A1AE7"/>
    <w:rsid w:val="7A8784F8"/>
    <w:rsid w:val="7AB10A8D"/>
    <w:rsid w:val="7ABFF56B"/>
    <w:rsid w:val="7AC68FCC"/>
    <w:rsid w:val="7AD8185B"/>
    <w:rsid w:val="7AD859ED"/>
    <w:rsid w:val="7AE83246"/>
    <w:rsid w:val="7AF6D309"/>
    <w:rsid w:val="7AFEBD1D"/>
    <w:rsid w:val="7B06C163"/>
    <w:rsid w:val="7B2DEF36"/>
    <w:rsid w:val="7B3E80FF"/>
    <w:rsid w:val="7B46E5D3"/>
    <w:rsid w:val="7B4DF892"/>
    <w:rsid w:val="7B5177BC"/>
    <w:rsid w:val="7B5A415D"/>
    <w:rsid w:val="7B6892D6"/>
    <w:rsid w:val="7B71B0B7"/>
    <w:rsid w:val="7B84905D"/>
    <w:rsid w:val="7B877CAC"/>
    <w:rsid w:val="7B8E6362"/>
    <w:rsid w:val="7B914F42"/>
    <w:rsid w:val="7B9F188F"/>
    <w:rsid w:val="7BB6F4FD"/>
    <w:rsid w:val="7BB956E8"/>
    <w:rsid w:val="7BBE504F"/>
    <w:rsid w:val="7C39EE0C"/>
    <w:rsid w:val="7C3CCDFE"/>
    <w:rsid w:val="7C492A58"/>
    <w:rsid w:val="7C627947"/>
    <w:rsid w:val="7C6314CA"/>
    <w:rsid w:val="7C72AEFF"/>
    <w:rsid w:val="7C84C661"/>
    <w:rsid w:val="7C875B74"/>
    <w:rsid w:val="7C93F4EE"/>
    <w:rsid w:val="7C987483"/>
    <w:rsid w:val="7C995C6B"/>
    <w:rsid w:val="7CB45637"/>
    <w:rsid w:val="7CB8E8D2"/>
    <w:rsid w:val="7CE03F7A"/>
    <w:rsid w:val="7CE908F2"/>
    <w:rsid w:val="7CEA108F"/>
    <w:rsid w:val="7CEF9789"/>
    <w:rsid w:val="7CF57FE4"/>
    <w:rsid w:val="7D09FBED"/>
    <w:rsid w:val="7D12B4F5"/>
    <w:rsid w:val="7D16AF17"/>
    <w:rsid w:val="7D1D2FE9"/>
    <w:rsid w:val="7D1F8743"/>
    <w:rsid w:val="7D246FA6"/>
    <w:rsid w:val="7D305FA7"/>
    <w:rsid w:val="7D330A04"/>
    <w:rsid w:val="7D438720"/>
    <w:rsid w:val="7D4BF1E6"/>
    <w:rsid w:val="7D5A86F2"/>
    <w:rsid w:val="7D6D9467"/>
    <w:rsid w:val="7D9C03BB"/>
    <w:rsid w:val="7D9DA559"/>
    <w:rsid w:val="7DB9B62C"/>
    <w:rsid w:val="7DC56DFD"/>
    <w:rsid w:val="7DD11667"/>
    <w:rsid w:val="7DE02A15"/>
    <w:rsid w:val="7DEEAE93"/>
    <w:rsid w:val="7DF1BDBF"/>
    <w:rsid w:val="7DF34998"/>
    <w:rsid w:val="7DF684FF"/>
    <w:rsid w:val="7DFAA2F1"/>
    <w:rsid w:val="7E1CF658"/>
    <w:rsid w:val="7E71CA39"/>
    <w:rsid w:val="7E7E91FC"/>
    <w:rsid w:val="7E972316"/>
    <w:rsid w:val="7E9E8739"/>
    <w:rsid w:val="7EB48429"/>
    <w:rsid w:val="7EC7DA38"/>
    <w:rsid w:val="7ECF408B"/>
    <w:rsid w:val="7ED6EF47"/>
    <w:rsid w:val="7EDBD40B"/>
    <w:rsid w:val="7EDD5A18"/>
    <w:rsid w:val="7EE84844"/>
    <w:rsid w:val="7EFE2B22"/>
    <w:rsid w:val="7F0499AD"/>
    <w:rsid w:val="7F0BFB6E"/>
    <w:rsid w:val="7F12DF31"/>
    <w:rsid w:val="7F186CA3"/>
    <w:rsid w:val="7F1D8869"/>
    <w:rsid w:val="7F3B7851"/>
    <w:rsid w:val="7F41BD42"/>
    <w:rsid w:val="7F5665BC"/>
    <w:rsid w:val="7F643BAE"/>
    <w:rsid w:val="7F669F32"/>
    <w:rsid w:val="7F8EADFC"/>
    <w:rsid w:val="7F8EB1F3"/>
    <w:rsid w:val="7F9A119B"/>
    <w:rsid w:val="7FA6DFE4"/>
    <w:rsid w:val="7FD2B9F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438E7C"/>
  <w15:chartTrackingRefBased/>
  <w15:docId w15:val="{FBC27514-17BD-4A5C-8ABD-1B37C47C3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1C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31C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31C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1C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1C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1C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1C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1C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1C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1C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31C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31C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1C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1C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1C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1C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1C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1C40"/>
    <w:rPr>
      <w:rFonts w:eastAsiaTheme="majorEastAsia" w:cstheme="majorBidi"/>
      <w:color w:val="272727" w:themeColor="text1" w:themeTint="D8"/>
    </w:rPr>
  </w:style>
  <w:style w:type="paragraph" w:styleId="Title">
    <w:name w:val="Title"/>
    <w:basedOn w:val="Normal"/>
    <w:next w:val="Normal"/>
    <w:link w:val="TitleChar"/>
    <w:uiPriority w:val="10"/>
    <w:qFormat/>
    <w:rsid w:val="00031C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1C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1C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1C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1C40"/>
    <w:pPr>
      <w:spacing w:before="160"/>
      <w:jc w:val="center"/>
    </w:pPr>
    <w:rPr>
      <w:i/>
      <w:iCs/>
      <w:color w:val="404040" w:themeColor="text1" w:themeTint="BF"/>
    </w:rPr>
  </w:style>
  <w:style w:type="character" w:customStyle="1" w:styleId="QuoteChar">
    <w:name w:val="Quote Char"/>
    <w:basedOn w:val="DefaultParagraphFont"/>
    <w:link w:val="Quote"/>
    <w:uiPriority w:val="29"/>
    <w:rsid w:val="00031C40"/>
    <w:rPr>
      <w:i/>
      <w:iCs/>
      <w:color w:val="404040" w:themeColor="text1" w:themeTint="BF"/>
    </w:rPr>
  </w:style>
  <w:style w:type="paragraph" w:styleId="ListParagraph">
    <w:name w:val="List Paragraph"/>
    <w:basedOn w:val="Normal"/>
    <w:uiPriority w:val="34"/>
    <w:qFormat/>
    <w:rsid w:val="00031C40"/>
    <w:pPr>
      <w:ind w:left="720"/>
      <w:contextualSpacing/>
    </w:pPr>
  </w:style>
  <w:style w:type="character" w:styleId="IntenseEmphasis">
    <w:name w:val="Intense Emphasis"/>
    <w:basedOn w:val="DefaultParagraphFont"/>
    <w:uiPriority w:val="21"/>
    <w:qFormat/>
    <w:rsid w:val="00031C40"/>
    <w:rPr>
      <w:i/>
      <w:iCs/>
      <w:color w:val="0F4761" w:themeColor="accent1" w:themeShade="BF"/>
    </w:rPr>
  </w:style>
  <w:style w:type="paragraph" w:styleId="IntenseQuote">
    <w:name w:val="Intense Quote"/>
    <w:basedOn w:val="Normal"/>
    <w:next w:val="Normal"/>
    <w:link w:val="IntenseQuoteChar"/>
    <w:uiPriority w:val="30"/>
    <w:qFormat/>
    <w:rsid w:val="00031C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1C40"/>
    <w:rPr>
      <w:i/>
      <w:iCs/>
      <w:color w:val="0F4761" w:themeColor="accent1" w:themeShade="BF"/>
    </w:rPr>
  </w:style>
  <w:style w:type="character" w:styleId="IntenseReference">
    <w:name w:val="Intense Reference"/>
    <w:basedOn w:val="DefaultParagraphFont"/>
    <w:uiPriority w:val="32"/>
    <w:qFormat/>
    <w:rsid w:val="00031C40"/>
    <w:rPr>
      <w:b/>
      <w:bCs/>
      <w:smallCaps/>
      <w:color w:val="0F4761" w:themeColor="accent1" w:themeShade="BF"/>
      <w:spacing w:val="5"/>
    </w:rPr>
  </w:style>
  <w:style w:type="character" w:styleId="Hyperlink">
    <w:name w:val="Hyperlink"/>
    <w:basedOn w:val="DefaultParagraphFont"/>
    <w:uiPriority w:val="99"/>
    <w:unhideWhenUsed/>
    <w:rsid w:val="00FD3B10"/>
    <w:rPr>
      <w:color w:val="467886"/>
      <w:u w:val="single"/>
    </w:rPr>
  </w:style>
  <w:style w:type="paragraph" w:styleId="Header">
    <w:name w:val="header"/>
    <w:basedOn w:val="Normal"/>
    <w:link w:val="HeaderChar"/>
    <w:uiPriority w:val="99"/>
    <w:unhideWhenUsed/>
    <w:rsid w:val="00757A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A2B"/>
  </w:style>
  <w:style w:type="paragraph" w:styleId="Footer">
    <w:name w:val="footer"/>
    <w:basedOn w:val="Normal"/>
    <w:link w:val="FooterChar"/>
    <w:uiPriority w:val="99"/>
    <w:unhideWhenUsed/>
    <w:rsid w:val="00757A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A2B"/>
  </w:style>
  <w:style w:type="paragraph" w:styleId="TOCHeading">
    <w:name w:val="TOC Heading"/>
    <w:basedOn w:val="Heading1"/>
    <w:next w:val="Normal"/>
    <w:uiPriority w:val="39"/>
    <w:unhideWhenUsed/>
    <w:qFormat/>
    <w:rsid w:val="005E2291"/>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5E2291"/>
    <w:pPr>
      <w:spacing w:after="100"/>
      <w:ind w:left="240"/>
    </w:pPr>
  </w:style>
  <w:style w:type="paragraph" w:styleId="TOC3">
    <w:name w:val="toc 3"/>
    <w:basedOn w:val="Normal"/>
    <w:next w:val="Normal"/>
    <w:autoRedefine/>
    <w:uiPriority w:val="39"/>
    <w:unhideWhenUsed/>
    <w:rsid w:val="005E2291"/>
    <w:pPr>
      <w:spacing w:after="100"/>
      <w:ind w:left="480"/>
    </w:pPr>
  </w:style>
  <w:style w:type="paragraph" w:styleId="TOC1">
    <w:name w:val="toc 1"/>
    <w:basedOn w:val="Normal"/>
    <w:next w:val="Normal"/>
    <w:autoRedefine/>
    <w:uiPriority w:val="39"/>
    <w:unhideWhenUsed/>
    <w:rsid w:val="005E2291"/>
    <w:pPr>
      <w:spacing w:after="100"/>
    </w:pPr>
  </w:style>
  <w:style w:type="character" w:styleId="UnresolvedMention">
    <w:name w:val="Unresolved Mention"/>
    <w:basedOn w:val="DefaultParagraphFont"/>
    <w:uiPriority w:val="99"/>
    <w:semiHidden/>
    <w:unhideWhenUsed/>
    <w:rsid w:val="00A804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kingsfund.org.uk/insight-and-analysis/reports/year-integrated-care-systems" TargetMode="External"/><Relationship Id="rId26" Type="http://schemas.openxmlformats.org/officeDocument/2006/relationships/hyperlink" Target="https://www.health.org.uk/publications/person-centred-care-made-simple" TargetMode="External"/><Relationship Id="rId39" Type="http://schemas.openxmlformats.org/officeDocument/2006/relationships/hyperlink" Target="https://www.nhs.uk/conditions/osteoarthritis/treatment/" TargetMode="External"/><Relationship Id="rId21" Type="http://schemas.openxmlformats.org/officeDocument/2006/relationships/hyperlink" Target="https://www.health.org.uk/reports-and-analysis/reports/the-nhs-long-term-plan-and-covid-19?gad_source=1&amp;gad_campaignid=1642812643&amp;gbraid=0AAAAADunFmTO8V5TG8YKfrOs1iqzrSTlu&amp;gclid=Cj0KCQjwrJTGBhCbARIsANFBfgsH6x13Z3wr0__XiZKydGIRns-ykRIYEUJCLNGgm9M1-KAKPY7q9iAaAlF-EALw_wcB" TargetMode="External"/><Relationship Id="rId34" Type="http://schemas.openxmlformats.org/officeDocument/2006/relationships/hyperlink" Target="https://onlinelibrary.wiley.com/doi/full/10.1111/j.1524-4733.2010.00757.x" TargetMode="External"/><Relationship Id="rId42" Type="http://schemas.openxmlformats.org/officeDocument/2006/relationships/hyperlink" Target="https://www.england.nhs.uk/2019/01/long-term-plan/" TargetMode="External"/><Relationship Id="rId47" Type="http://schemas.openxmlformats.org/officeDocument/2006/relationships/hyperlink" Target="https://onlinelibrary.wiley.com/doi/abs/10.1002/msc.1361" TargetMode="External"/><Relationship Id="rId50" Type="http://schemas.openxmlformats.org/officeDocument/2006/relationships/hyperlink" Target="https://doi.org/10.1016/j.apmr.2013.08.241" TargetMode="External"/><Relationship Id="rId55" Type="http://schemas.openxmlformats.org/officeDocument/2006/relationships/hyperlink" Target="https://www.sciencedirect.com/science/article/abs/pii/S1934148212000287" TargetMode="Externa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arersuk.org/media/wgsij0bo/carers-ni-state-of-caringfinal.pdf" TargetMode="External"/><Relationship Id="rId29" Type="http://schemas.openxmlformats.org/officeDocument/2006/relationships/hyperlink" Target="https://academic.oup.com/bmb/article-abstract/102/1/79/312052?login=false" TargetMode="External"/><Relationship Id="rId11" Type="http://schemas.openxmlformats.org/officeDocument/2006/relationships/image" Target="media/image1.png"/><Relationship Id="rId24" Type="http://schemas.openxmlformats.org/officeDocument/2006/relationships/hyperlink" Target="https://www.tandfonline.com/doi/abs/10.1080/09638280802051721" TargetMode="External"/><Relationship Id="rId32" Type="http://schemas.openxmlformats.org/officeDocument/2006/relationships/hyperlink" Target="https://link.springer.com/article/10.1186/s13075-023-02996-x" TargetMode="External"/><Relationship Id="rId37" Type="http://schemas.openxmlformats.org/officeDocument/2006/relationships/hyperlink" Target="https://www.nice.org.uk/guidance/cg177" TargetMode="External"/><Relationship Id="rId40" Type="http://schemas.openxmlformats.org/officeDocument/2006/relationships/hyperlink" Target="https://digital.nhs.uk/data-and-information/publications/statistical/health-survey-for-england/2021" TargetMode="External"/><Relationship Id="rId45" Type="http://schemas.openxmlformats.org/officeDocument/2006/relationships/hyperlink" Target="https://www.medrxiv.org/content/10.1101/2024.06.30.24309697v2" TargetMode="External"/><Relationship Id="rId53" Type="http://schemas.openxmlformats.org/officeDocument/2006/relationships/hyperlink" Target="https://pmc.ncbi.nlm.nih.gov/articles/PMC12242706/" TargetMode="External"/><Relationship Id="rId58" Type="http://schemas.openxmlformats.org/officeDocument/2006/relationships/hyperlink" Target="https://www.who.int/news-room/fact-sheets/detail/palliative-care." TargetMode="External"/><Relationship Id="rId5" Type="http://schemas.openxmlformats.org/officeDocument/2006/relationships/numbering" Target="numbering.xml"/><Relationship Id="rId61" Type="http://schemas.openxmlformats.org/officeDocument/2006/relationships/hyperlink" Target="https://doi.org/10.3899/jrheum.150710" TargetMode="External"/><Relationship Id="rId19" Type="http://schemas.openxmlformats.org/officeDocument/2006/relationships/hyperlink" Target="https://doi.org/10.7326/M14-2559" TargetMode="External"/><Relationship Id="rId14" Type="http://schemas.openxmlformats.org/officeDocument/2006/relationships/hyperlink" Target="https://doi.org/10.1097/PSY.0b013e318185c510" TargetMode="External"/><Relationship Id="rId22" Type="http://schemas.openxmlformats.org/officeDocument/2006/relationships/hyperlink" Target="https://doi.org/10.1136/bjsports-2015-095424" TargetMode="External"/><Relationship Id="rId27" Type="http://schemas.openxmlformats.org/officeDocument/2006/relationships/hyperlink" Target="https://doi.org/10.1016/s0140-6736(19)30417-9" TargetMode="External"/><Relationship Id="rId30" Type="http://schemas.openxmlformats.org/officeDocument/2006/relationships/hyperlink" Target="https://doi.org/10.1503/cmaj.140433" TargetMode="External"/><Relationship Id="rId35" Type="http://schemas.openxmlformats.org/officeDocument/2006/relationships/hyperlink" Target="https://doi.org/10.5281/zenodo.6047154." TargetMode="External"/><Relationship Id="rId43" Type="http://schemas.openxmlformats.org/officeDocument/2006/relationships/hyperlink" Target="https://peakhealthphysio.co.uk/osteoarthritis-how-can-you-help-your-pain/" TargetMode="External"/><Relationship Id="rId48" Type="http://schemas.openxmlformats.org/officeDocument/2006/relationships/hyperlink" Target="https://bmjopen.bmj.com/content/13/10/e072462.abstract" TargetMode="External"/><Relationship Id="rId56" Type="http://schemas.openxmlformats.org/officeDocument/2006/relationships/hyperlink" Target="https://www.thelancet.com/journals/lancet/article/PIIS01406736(20)30925-9/fulltext" TargetMode="Externa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kingsfund.org.uk/publications/integrated-care-systems-explained"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kingsfund.org.uk/publications/community-services-assets" TargetMode="External"/><Relationship Id="rId25" Type="http://schemas.openxmlformats.org/officeDocument/2006/relationships/hyperlink" Target="https://www.sciencedirect.com/science/article/pii/S1063458407004037" TargetMode="External"/><Relationship Id="rId33" Type="http://schemas.openxmlformats.org/officeDocument/2006/relationships/hyperlink" Target="https://www.health.org.uk/publications/reports/the-marmot-review-10-years-on" TargetMode="External"/><Relationship Id="rId38" Type="http://schemas.openxmlformats.org/officeDocument/2006/relationships/hyperlink" Target="https://reports.njrcentre.org.uk/" TargetMode="External"/><Relationship Id="rId46" Type="http://schemas.openxmlformats.org/officeDocument/2006/relationships/hyperlink" Target="https://doi.org/10.1093/rheumatology/ket291" TargetMode="External"/><Relationship Id="rId59" Type="http://schemas.openxmlformats.org/officeDocument/2006/relationships/hyperlink" Target="https://www.who.int/news-room/fact-sheets/detail/musculoskeletal-conditions" TargetMode="External"/><Relationship Id="rId20" Type="http://schemas.openxmlformats.org/officeDocument/2006/relationships/hyperlink" Target="https://www.science.org/doi/abs/10.1126/science.847460" TargetMode="External"/><Relationship Id="rId41" Type="http://schemas.openxmlformats.org/officeDocument/2006/relationships/hyperlink" Target="https://www.longtermplan.nhs.uk/" TargetMode="External"/><Relationship Id="rId54" Type="http://schemas.openxmlformats.org/officeDocument/2006/relationships/hyperlink" Target="https://www.medrxiv.org/content/10.1101/2021.10.04.21264485v1"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002/acr.23612" TargetMode="External"/><Relationship Id="rId23" Type="http://schemas.openxmlformats.org/officeDocument/2006/relationships/hyperlink" Target="https://pubmed.ncbi.nlm.nih.gov/32165352/" TargetMode="External"/><Relationship Id="rId28" Type="http://schemas.openxmlformats.org/officeDocument/2006/relationships/hyperlink" Target="https://journals.sagepub.com/doi/abs/10.1177/1054773819858493" TargetMode="External"/><Relationship Id="rId36" Type="http://schemas.openxmlformats.org/officeDocument/2006/relationships/hyperlink" Target="https://doi.org/10.5281/zenodo.6047154" TargetMode="External"/><Relationship Id="rId49" Type="http://schemas.openxmlformats.org/officeDocument/2006/relationships/hyperlink" Target="https://www.sciencedirect.com/science/article/pii/S1063458405001123" TargetMode="External"/><Relationship Id="rId57" Type="http://schemas.openxmlformats.org/officeDocument/2006/relationships/hyperlink" Target="https://apps.who.int/iris/handle/10665/42500" TargetMode="External"/><Relationship Id="rId10" Type="http://schemas.openxmlformats.org/officeDocument/2006/relationships/endnotes" Target="endnotes.xml"/><Relationship Id="rId31" Type="http://schemas.openxmlformats.org/officeDocument/2006/relationships/hyperlink" Target="https://doi.org/10.1093/bmb/lds038" TargetMode="External"/><Relationship Id="rId44" Type="http://schemas.openxmlformats.org/officeDocument/2006/relationships/hyperlink" Target="https://www.gov.uk/government/publications/healthy-ageing-consensus-statement" TargetMode="External"/><Relationship Id="rId52" Type="http://schemas.openxmlformats.org/officeDocument/2006/relationships/hyperlink" Target="https://versusarthritis.org/about-arthritis/data-and-statistics/the-state-of-musculoskeletal-health/" TargetMode="External"/><Relationship Id="rId60" Type="http://schemas.openxmlformats.org/officeDocument/2006/relationships/hyperlink" Target="https://doi.org/10.1136/bjsports-2017-098043" TargetMode="Externa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4" ma:contentTypeDescription="Create a new document." ma:contentTypeScope="" ma:versionID="45afefa3a063e365b889fd1562f139fe">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b315f332d06f04be559a98571ac28ced"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D5D70F-186A-4D1B-9EF1-00091D4776D7}">
  <ds:schemaRefs>
    <ds:schemaRef ds:uri="http://schemas.microsoft.com/sharepoint/v3/contenttype/forms"/>
  </ds:schemaRefs>
</ds:datastoreItem>
</file>

<file path=customXml/itemProps2.xml><?xml version="1.0" encoding="utf-8"?>
<ds:datastoreItem xmlns:ds="http://schemas.openxmlformats.org/officeDocument/2006/customXml" ds:itemID="{92948ECE-B48C-4EA2-AEC3-B7044F885B44}">
  <ds:schemaRefs>
    <ds:schemaRef ds:uri="http://schemas.microsoft.com/office/2006/metadata/properties"/>
    <ds:schemaRef ds:uri="http://schemas.microsoft.com/office/infopath/2007/PartnerControls"/>
    <ds:schemaRef ds:uri="a450a3cc-050d-4aca-8a4e-543025a63de0"/>
  </ds:schemaRefs>
</ds:datastoreItem>
</file>

<file path=customXml/itemProps3.xml><?xml version="1.0" encoding="utf-8"?>
<ds:datastoreItem xmlns:ds="http://schemas.openxmlformats.org/officeDocument/2006/customXml" ds:itemID="{A1B58F45-3914-4BA1-A7B9-E48F16FCA5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C40A12-8079-431E-A778-C7411580D6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25</Pages>
  <Words>7891</Words>
  <Characters>44985</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52771</CharactersWithSpaces>
  <SharedDoc>false</SharedDoc>
  <HLinks>
    <vt:vector size="474" baseType="variant">
      <vt:variant>
        <vt:i4>5373952</vt:i4>
      </vt:variant>
      <vt:variant>
        <vt:i4>327</vt:i4>
      </vt:variant>
      <vt:variant>
        <vt:i4>0</vt:i4>
      </vt:variant>
      <vt:variant>
        <vt:i4>5</vt:i4>
      </vt:variant>
      <vt:variant>
        <vt:lpwstr>https://doi.org/10.3899/jrheum.150710</vt:lpwstr>
      </vt:variant>
      <vt:variant>
        <vt:lpwstr/>
      </vt:variant>
      <vt:variant>
        <vt:i4>2031681</vt:i4>
      </vt:variant>
      <vt:variant>
        <vt:i4>324</vt:i4>
      </vt:variant>
      <vt:variant>
        <vt:i4>0</vt:i4>
      </vt:variant>
      <vt:variant>
        <vt:i4>5</vt:i4>
      </vt:variant>
      <vt:variant>
        <vt:lpwstr>https://doi.org/10.1136/bjsports-2017-098043</vt:lpwstr>
      </vt:variant>
      <vt:variant>
        <vt:lpwstr/>
      </vt:variant>
      <vt:variant>
        <vt:i4>2293798</vt:i4>
      </vt:variant>
      <vt:variant>
        <vt:i4>321</vt:i4>
      </vt:variant>
      <vt:variant>
        <vt:i4>0</vt:i4>
      </vt:variant>
      <vt:variant>
        <vt:i4>5</vt:i4>
      </vt:variant>
      <vt:variant>
        <vt:lpwstr>https://www.who.int/news-room/fact-sheets/detail/musculoskeletal-conditions</vt:lpwstr>
      </vt:variant>
      <vt:variant>
        <vt:lpwstr/>
      </vt:variant>
      <vt:variant>
        <vt:i4>327682</vt:i4>
      </vt:variant>
      <vt:variant>
        <vt:i4>318</vt:i4>
      </vt:variant>
      <vt:variant>
        <vt:i4>0</vt:i4>
      </vt:variant>
      <vt:variant>
        <vt:i4>5</vt:i4>
      </vt:variant>
      <vt:variant>
        <vt:lpwstr>https://www.who.int/news-room/fact-sheets/detail/palliative-care.</vt:lpwstr>
      </vt:variant>
      <vt:variant>
        <vt:lpwstr/>
      </vt:variant>
      <vt:variant>
        <vt:i4>5963799</vt:i4>
      </vt:variant>
      <vt:variant>
        <vt:i4>315</vt:i4>
      </vt:variant>
      <vt:variant>
        <vt:i4>0</vt:i4>
      </vt:variant>
      <vt:variant>
        <vt:i4>5</vt:i4>
      </vt:variant>
      <vt:variant>
        <vt:lpwstr>https://apps.who.int/iris/handle/10665/42500</vt:lpwstr>
      </vt:variant>
      <vt:variant>
        <vt:lpwstr/>
      </vt:variant>
      <vt:variant>
        <vt:i4>4128894</vt:i4>
      </vt:variant>
      <vt:variant>
        <vt:i4>312</vt:i4>
      </vt:variant>
      <vt:variant>
        <vt:i4>0</vt:i4>
      </vt:variant>
      <vt:variant>
        <vt:i4>5</vt:i4>
      </vt:variant>
      <vt:variant>
        <vt:lpwstr>https://www.thelancet.com/journals/lancet/article/PIIS01406736(20)30925-9/fulltext</vt:lpwstr>
      </vt:variant>
      <vt:variant>
        <vt:lpwstr/>
      </vt:variant>
      <vt:variant>
        <vt:i4>2949222</vt:i4>
      </vt:variant>
      <vt:variant>
        <vt:i4>309</vt:i4>
      </vt:variant>
      <vt:variant>
        <vt:i4>0</vt:i4>
      </vt:variant>
      <vt:variant>
        <vt:i4>5</vt:i4>
      </vt:variant>
      <vt:variant>
        <vt:lpwstr>https://www.sciencedirect.com/science/article/abs/pii/S1934148212000287</vt:lpwstr>
      </vt:variant>
      <vt:variant>
        <vt:lpwstr/>
      </vt:variant>
      <vt:variant>
        <vt:i4>5308490</vt:i4>
      </vt:variant>
      <vt:variant>
        <vt:i4>306</vt:i4>
      </vt:variant>
      <vt:variant>
        <vt:i4>0</vt:i4>
      </vt:variant>
      <vt:variant>
        <vt:i4>5</vt:i4>
      </vt:variant>
      <vt:variant>
        <vt:lpwstr>https://www.medrxiv.org/content/10.1101/2021.10.04.21264485v1</vt:lpwstr>
      </vt:variant>
      <vt:variant>
        <vt:lpwstr/>
      </vt:variant>
      <vt:variant>
        <vt:i4>3342372</vt:i4>
      </vt:variant>
      <vt:variant>
        <vt:i4>303</vt:i4>
      </vt:variant>
      <vt:variant>
        <vt:i4>0</vt:i4>
      </vt:variant>
      <vt:variant>
        <vt:i4>5</vt:i4>
      </vt:variant>
      <vt:variant>
        <vt:lpwstr>https://pmc.ncbi.nlm.nih.gov/articles/PMC12242706/</vt:lpwstr>
      </vt:variant>
      <vt:variant>
        <vt:lpwstr/>
      </vt:variant>
      <vt:variant>
        <vt:i4>1245268</vt:i4>
      </vt:variant>
      <vt:variant>
        <vt:i4>300</vt:i4>
      </vt:variant>
      <vt:variant>
        <vt:i4>0</vt:i4>
      </vt:variant>
      <vt:variant>
        <vt:i4>5</vt:i4>
      </vt:variant>
      <vt:variant>
        <vt:lpwstr>https://versusarthritis.org/about-arthritis/data-and-statistics/the-state-of-musculoskeletal-health/</vt:lpwstr>
      </vt:variant>
      <vt:variant>
        <vt:lpwstr/>
      </vt:variant>
      <vt:variant>
        <vt:i4>6619196</vt:i4>
      </vt:variant>
      <vt:variant>
        <vt:i4>297</vt:i4>
      </vt:variant>
      <vt:variant>
        <vt:i4>0</vt:i4>
      </vt:variant>
      <vt:variant>
        <vt:i4>5</vt:i4>
      </vt:variant>
      <vt:variant>
        <vt:lpwstr>https://www.kingsfund.org.uk/publications/integrated-care-systems-explained</vt:lpwstr>
      </vt:variant>
      <vt:variant>
        <vt:lpwstr/>
      </vt:variant>
      <vt:variant>
        <vt:i4>2621501</vt:i4>
      </vt:variant>
      <vt:variant>
        <vt:i4>294</vt:i4>
      </vt:variant>
      <vt:variant>
        <vt:i4>0</vt:i4>
      </vt:variant>
      <vt:variant>
        <vt:i4>5</vt:i4>
      </vt:variant>
      <vt:variant>
        <vt:lpwstr>https://doi.org/10.1016/j.apmr.2013.08.241</vt:lpwstr>
      </vt:variant>
      <vt:variant>
        <vt:lpwstr/>
      </vt:variant>
      <vt:variant>
        <vt:i4>6946937</vt:i4>
      </vt:variant>
      <vt:variant>
        <vt:i4>291</vt:i4>
      </vt:variant>
      <vt:variant>
        <vt:i4>0</vt:i4>
      </vt:variant>
      <vt:variant>
        <vt:i4>5</vt:i4>
      </vt:variant>
      <vt:variant>
        <vt:lpwstr>https://www.sciencedirect.com/science/article/pii/S1063458405001123</vt:lpwstr>
      </vt:variant>
      <vt:variant>
        <vt:lpwstr/>
      </vt:variant>
      <vt:variant>
        <vt:i4>3473461</vt:i4>
      </vt:variant>
      <vt:variant>
        <vt:i4>288</vt:i4>
      </vt:variant>
      <vt:variant>
        <vt:i4>0</vt:i4>
      </vt:variant>
      <vt:variant>
        <vt:i4>5</vt:i4>
      </vt:variant>
      <vt:variant>
        <vt:lpwstr>https://bmjopen.bmj.com/content/13/10/e072462.abstract</vt:lpwstr>
      </vt:variant>
      <vt:variant>
        <vt:lpwstr/>
      </vt:variant>
      <vt:variant>
        <vt:i4>1704028</vt:i4>
      </vt:variant>
      <vt:variant>
        <vt:i4>285</vt:i4>
      </vt:variant>
      <vt:variant>
        <vt:i4>0</vt:i4>
      </vt:variant>
      <vt:variant>
        <vt:i4>5</vt:i4>
      </vt:variant>
      <vt:variant>
        <vt:lpwstr>https://onlinelibrary.wiley.com/doi/abs/10.1002/msc.1361</vt:lpwstr>
      </vt:variant>
      <vt:variant>
        <vt:lpwstr/>
      </vt:variant>
      <vt:variant>
        <vt:i4>3735588</vt:i4>
      </vt:variant>
      <vt:variant>
        <vt:i4>282</vt:i4>
      </vt:variant>
      <vt:variant>
        <vt:i4>0</vt:i4>
      </vt:variant>
      <vt:variant>
        <vt:i4>5</vt:i4>
      </vt:variant>
      <vt:variant>
        <vt:lpwstr>https://doi.org/10.1093/rheumatology/ket291</vt:lpwstr>
      </vt:variant>
      <vt:variant>
        <vt:lpwstr/>
      </vt:variant>
      <vt:variant>
        <vt:i4>6029388</vt:i4>
      </vt:variant>
      <vt:variant>
        <vt:i4>279</vt:i4>
      </vt:variant>
      <vt:variant>
        <vt:i4>0</vt:i4>
      </vt:variant>
      <vt:variant>
        <vt:i4>5</vt:i4>
      </vt:variant>
      <vt:variant>
        <vt:lpwstr>https://www.medrxiv.org/content/10.1101/2024.06.30.24309697v2</vt:lpwstr>
      </vt:variant>
      <vt:variant>
        <vt:lpwstr/>
      </vt:variant>
      <vt:variant>
        <vt:i4>5570579</vt:i4>
      </vt:variant>
      <vt:variant>
        <vt:i4>276</vt:i4>
      </vt:variant>
      <vt:variant>
        <vt:i4>0</vt:i4>
      </vt:variant>
      <vt:variant>
        <vt:i4>5</vt:i4>
      </vt:variant>
      <vt:variant>
        <vt:lpwstr>https://www.gov.uk/government/publications/healthy-ageing-consensus-statement</vt:lpwstr>
      </vt:variant>
      <vt:variant>
        <vt:lpwstr/>
      </vt:variant>
      <vt:variant>
        <vt:i4>1572882</vt:i4>
      </vt:variant>
      <vt:variant>
        <vt:i4>273</vt:i4>
      </vt:variant>
      <vt:variant>
        <vt:i4>0</vt:i4>
      </vt:variant>
      <vt:variant>
        <vt:i4>5</vt:i4>
      </vt:variant>
      <vt:variant>
        <vt:lpwstr>https://peakhealthphysio.co.uk/osteoarthritis-how-can-you-help-your-pain/</vt:lpwstr>
      </vt:variant>
      <vt:variant>
        <vt:lpwstr/>
      </vt:variant>
      <vt:variant>
        <vt:i4>2293815</vt:i4>
      </vt:variant>
      <vt:variant>
        <vt:i4>270</vt:i4>
      </vt:variant>
      <vt:variant>
        <vt:i4>0</vt:i4>
      </vt:variant>
      <vt:variant>
        <vt:i4>5</vt:i4>
      </vt:variant>
      <vt:variant>
        <vt:lpwstr>https://www.england.nhs.uk/2019/01/long-term-plan/</vt:lpwstr>
      </vt:variant>
      <vt:variant>
        <vt:lpwstr/>
      </vt:variant>
      <vt:variant>
        <vt:i4>852054</vt:i4>
      </vt:variant>
      <vt:variant>
        <vt:i4>267</vt:i4>
      </vt:variant>
      <vt:variant>
        <vt:i4>0</vt:i4>
      </vt:variant>
      <vt:variant>
        <vt:i4>5</vt:i4>
      </vt:variant>
      <vt:variant>
        <vt:lpwstr>https://www.longtermplan.nhs.uk/</vt:lpwstr>
      </vt:variant>
      <vt:variant>
        <vt:lpwstr/>
      </vt:variant>
      <vt:variant>
        <vt:i4>8257661</vt:i4>
      </vt:variant>
      <vt:variant>
        <vt:i4>264</vt:i4>
      </vt:variant>
      <vt:variant>
        <vt:i4>0</vt:i4>
      </vt:variant>
      <vt:variant>
        <vt:i4>5</vt:i4>
      </vt:variant>
      <vt:variant>
        <vt:lpwstr>https://digital.nhs.uk/data-and-information/publications/statistical/health-survey-for-england/2021</vt:lpwstr>
      </vt:variant>
      <vt:variant>
        <vt:lpwstr/>
      </vt:variant>
      <vt:variant>
        <vt:i4>2818101</vt:i4>
      </vt:variant>
      <vt:variant>
        <vt:i4>261</vt:i4>
      </vt:variant>
      <vt:variant>
        <vt:i4>0</vt:i4>
      </vt:variant>
      <vt:variant>
        <vt:i4>5</vt:i4>
      </vt:variant>
      <vt:variant>
        <vt:lpwstr>https://www.nhs.uk/conditions/osteoarthritis/treatment/</vt:lpwstr>
      </vt:variant>
      <vt:variant>
        <vt:lpwstr/>
      </vt:variant>
      <vt:variant>
        <vt:i4>5046358</vt:i4>
      </vt:variant>
      <vt:variant>
        <vt:i4>258</vt:i4>
      </vt:variant>
      <vt:variant>
        <vt:i4>0</vt:i4>
      </vt:variant>
      <vt:variant>
        <vt:i4>5</vt:i4>
      </vt:variant>
      <vt:variant>
        <vt:lpwstr>https://reports.njrcentre.org.uk/</vt:lpwstr>
      </vt:variant>
      <vt:variant>
        <vt:lpwstr/>
      </vt:variant>
      <vt:variant>
        <vt:i4>6881319</vt:i4>
      </vt:variant>
      <vt:variant>
        <vt:i4>255</vt:i4>
      </vt:variant>
      <vt:variant>
        <vt:i4>0</vt:i4>
      </vt:variant>
      <vt:variant>
        <vt:i4>5</vt:i4>
      </vt:variant>
      <vt:variant>
        <vt:lpwstr>https://www.nice.org.uk/guidance/cg177</vt:lpwstr>
      </vt:variant>
      <vt:variant>
        <vt:lpwstr/>
      </vt:variant>
      <vt:variant>
        <vt:i4>8192053</vt:i4>
      </vt:variant>
      <vt:variant>
        <vt:i4>252</vt:i4>
      </vt:variant>
      <vt:variant>
        <vt:i4>0</vt:i4>
      </vt:variant>
      <vt:variant>
        <vt:i4>5</vt:i4>
      </vt:variant>
      <vt:variant>
        <vt:lpwstr>https://doi.org/10.5281/zenodo.6047154</vt:lpwstr>
      </vt:variant>
      <vt:variant>
        <vt:lpwstr/>
      </vt:variant>
      <vt:variant>
        <vt:i4>8192053</vt:i4>
      </vt:variant>
      <vt:variant>
        <vt:i4>249</vt:i4>
      </vt:variant>
      <vt:variant>
        <vt:i4>0</vt:i4>
      </vt:variant>
      <vt:variant>
        <vt:i4>5</vt:i4>
      </vt:variant>
      <vt:variant>
        <vt:lpwstr>https://doi.org/10.5281/zenodo.6047154.</vt:lpwstr>
      </vt:variant>
      <vt:variant>
        <vt:lpwstr/>
      </vt:variant>
      <vt:variant>
        <vt:i4>5636182</vt:i4>
      </vt:variant>
      <vt:variant>
        <vt:i4>246</vt:i4>
      </vt:variant>
      <vt:variant>
        <vt:i4>0</vt:i4>
      </vt:variant>
      <vt:variant>
        <vt:i4>5</vt:i4>
      </vt:variant>
      <vt:variant>
        <vt:lpwstr>https://onlinelibrary.wiley.com/doi/full/10.1111/j.1524-4733.2010.00757.x</vt:lpwstr>
      </vt:variant>
      <vt:variant>
        <vt:lpwstr/>
      </vt:variant>
      <vt:variant>
        <vt:i4>1376258</vt:i4>
      </vt:variant>
      <vt:variant>
        <vt:i4>243</vt:i4>
      </vt:variant>
      <vt:variant>
        <vt:i4>0</vt:i4>
      </vt:variant>
      <vt:variant>
        <vt:i4>5</vt:i4>
      </vt:variant>
      <vt:variant>
        <vt:lpwstr>https://www.health.org.uk/publications/reports/the-marmot-review-10-years-on</vt:lpwstr>
      </vt:variant>
      <vt:variant>
        <vt:lpwstr/>
      </vt:variant>
      <vt:variant>
        <vt:i4>4784134</vt:i4>
      </vt:variant>
      <vt:variant>
        <vt:i4>240</vt:i4>
      </vt:variant>
      <vt:variant>
        <vt:i4>0</vt:i4>
      </vt:variant>
      <vt:variant>
        <vt:i4>5</vt:i4>
      </vt:variant>
      <vt:variant>
        <vt:lpwstr>https://link.springer.com/article/10.1186/s13075-023-02996-x</vt:lpwstr>
      </vt:variant>
      <vt:variant>
        <vt:lpwstr/>
      </vt:variant>
      <vt:variant>
        <vt:i4>3407989</vt:i4>
      </vt:variant>
      <vt:variant>
        <vt:i4>237</vt:i4>
      </vt:variant>
      <vt:variant>
        <vt:i4>0</vt:i4>
      </vt:variant>
      <vt:variant>
        <vt:i4>5</vt:i4>
      </vt:variant>
      <vt:variant>
        <vt:lpwstr>https://doi.org/10.1093/bmb/lds038</vt:lpwstr>
      </vt:variant>
      <vt:variant>
        <vt:lpwstr/>
      </vt:variant>
      <vt:variant>
        <vt:i4>2490480</vt:i4>
      </vt:variant>
      <vt:variant>
        <vt:i4>234</vt:i4>
      </vt:variant>
      <vt:variant>
        <vt:i4>0</vt:i4>
      </vt:variant>
      <vt:variant>
        <vt:i4>5</vt:i4>
      </vt:variant>
      <vt:variant>
        <vt:lpwstr>https://doi.org/10.1503/cmaj.140433</vt:lpwstr>
      </vt:variant>
      <vt:variant>
        <vt:lpwstr/>
      </vt:variant>
      <vt:variant>
        <vt:i4>7340124</vt:i4>
      </vt:variant>
      <vt:variant>
        <vt:i4>231</vt:i4>
      </vt:variant>
      <vt:variant>
        <vt:i4>0</vt:i4>
      </vt:variant>
      <vt:variant>
        <vt:i4>5</vt:i4>
      </vt:variant>
      <vt:variant>
        <vt:lpwstr>https://academic.oup.com/bmb/article-abstract/102/1/79/312052?login=false</vt:lpwstr>
      </vt:variant>
      <vt:variant>
        <vt:lpwstr>google_vignette</vt:lpwstr>
      </vt:variant>
      <vt:variant>
        <vt:i4>1572939</vt:i4>
      </vt:variant>
      <vt:variant>
        <vt:i4>228</vt:i4>
      </vt:variant>
      <vt:variant>
        <vt:i4>0</vt:i4>
      </vt:variant>
      <vt:variant>
        <vt:i4>5</vt:i4>
      </vt:variant>
      <vt:variant>
        <vt:lpwstr>https://journals.sagepub.com/doi/abs/10.1177/1054773819858493</vt:lpwstr>
      </vt:variant>
      <vt:variant>
        <vt:lpwstr/>
      </vt:variant>
      <vt:variant>
        <vt:i4>1114179</vt:i4>
      </vt:variant>
      <vt:variant>
        <vt:i4>225</vt:i4>
      </vt:variant>
      <vt:variant>
        <vt:i4>0</vt:i4>
      </vt:variant>
      <vt:variant>
        <vt:i4>5</vt:i4>
      </vt:variant>
      <vt:variant>
        <vt:lpwstr>https://onlinelibrary.wiley.com/doi/abs/10.1002/art.38007</vt:lpwstr>
      </vt:variant>
      <vt:variant>
        <vt:lpwstr/>
      </vt:variant>
      <vt:variant>
        <vt:i4>917514</vt:i4>
      </vt:variant>
      <vt:variant>
        <vt:i4>222</vt:i4>
      </vt:variant>
      <vt:variant>
        <vt:i4>0</vt:i4>
      </vt:variant>
      <vt:variant>
        <vt:i4>5</vt:i4>
      </vt:variant>
      <vt:variant>
        <vt:lpwstr>https://doi.org/10.1016/s0140-6736(19)30417-9</vt:lpwstr>
      </vt:variant>
      <vt:variant>
        <vt:lpwstr/>
      </vt:variant>
      <vt:variant>
        <vt:i4>2883647</vt:i4>
      </vt:variant>
      <vt:variant>
        <vt:i4>219</vt:i4>
      </vt:variant>
      <vt:variant>
        <vt:i4>0</vt:i4>
      </vt:variant>
      <vt:variant>
        <vt:i4>5</vt:i4>
      </vt:variant>
      <vt:variant>
        <vt:lpwstr>https://www.health.org.uk/publications/person-centred-care-made-simple</vt:lpwstr>
      </vt:variant>
      <vt:variant>
        <vt:lpwstr/>
      </vt:variant>
      <vt:variant>
        <vt:i4>7209082</vt:i4>
      </vt:variant>
      <vt:variant>
        <vt:i4>216</vt:i4>
      </vt:variant>
      <vt:variant>
        <vt:i4>0</vt:i4>
      </vt:variant>
      <vt:variant>
        <vt:i4>5</vt:i4>
      </vt:variant>
      <vt:variant>
        <vt:lpwstr>https://www.sciencedirect.com/science/article/pii/S1063458407004037</vt:lpwstr>
      </vt:variant>
      <vt:variant>
        <vt:lpwstr/>
      </vt:variant>
      <vt:variant>
        <vt:i4>6160478</vt:i4>
      </vt:variant>
      <vt:variant>
        <vt:i4>213</vt:i4>
      </vt:variant>
      <vt:variant>
        <vt:i4>0</vt:i4>
      </vt:variant>
      <vt:variant>
        <vt:i4>5</vt:i4>
      </vt:variant>
      <vt:variant>
        <vt:lpwstr>https://www.tandfonline.com/doi/abs/10.1080/09638280802051721</vt:lpwstr>
      </vt:variant>
      <vt:variant>
        <vt:lpwstr/>
      </vt:variant>
      <vt:variant>
        <vt:i4>983045</vt:i4>
      </vt:variant>
      <vt:variant>
        <vt:i4>207</vt:i4>
      </vt:variant>
      <vt:variant>
        <vt:i4>0</vt:i4>
      </vt:variant>
      <vt:variant>
        <vt:i4>5</vt:i4>
      </vt:variant>
      <vt:variant>
        <vt:lpwstr>https://pubmed.ncbi.nlm.nih.gov/32165352/</vt:lpwstr>
      </vt:variant>
      <vt:variant>
        <vt:lpwstr/>
      </vt:variant>
      <vt:variant>
        <vt:i4>1835080</vt:i4>
      </vt:variant>
      <vt:variant>
        <vt:i4>204</vt:i4>
      </vt:variant>
      <vt:variant>
        <vt:i4>0</vt:i4>
      </vt:variant>
      <vt:variant>
        <vt:i4>5</vt:i4>
      </vt:variant>
      <vt:variant>
        <vt:lpwstr>https://doi.org/10.1136/bjsports-2015-095424</vt:lpwstr>
      </vt:variant>
      <vt:variant>
        <vt:lpwstr/>
      </vt:variant>
      <vt:variant>
        <vt:i4>3473517</vt:i4>
      </vt:variant>
      <vt:variant>
        <vt:i4>201</vt:i4>
      </vt:variant>
      <vt:variant>
        <vt:i4>0</vt:i4>
      </vt:variant>
      <vt:variant>
        <vt:i4>5</vt:i4>
      </vt:variant>
      <vt:variant>
        <vt:lpwstr>https://www.health.org.uk/reports-and-analysis/reports/the-nhs-long-term-plan-and-covid-19?gad_source=1&amp;gad_campaignid=1642812643&amp;gbraid=0AAAAADunFmTO8V5TG8YKfrOs1iqzrSTlu&amp;gclid=Cj0KCQjwrJTGBhCbARIsANFBfgsH6x13Z3wr0__XiZKydGIRns-ykRIYEUJCLNGgm9M1-KAKPY7q9iAaAlF-EALw_wcB</vt:lpwstr>
      </vt:variant>
      <vt:variant>
        <vt:lpwstr/>
      </vt:variant>
      <vt:variant>
        <vt:i4>3407990</vt:i4>
      </vt:variant>
      <vt:variant>
        <vt:i4>198</vt:i4>
      </vt:variant>
      <vt:variant>
        <vt:i4>0</vt:i4>
      </vt:variant>
      <vt:variant>
        <vt:i4>5</vt:i4>
      </vt:variant>
      <vt:variant>
        <vt:lpwstr>https://www.science.org/doi/abs/10.1126/science.847460</vt:lpwstr>
      </vt:variant>
      <vt:variant>
        <vt:lpwstr/>
      </vt:variant>
      <vt:variant>
        <vt:i4>458753</vt:i4>
      </vt:variant>
      <vt:variant>
        <vt:i4>195</vt:i4>
      </vt:variant>
      <vt:variant>
        <vt:i4>0</vt:i4>
      </vt:variant>
      <vt:variant>
        <vt:i4>5</vt:i4>
      </vt:variant>
      <vt:variant>
        <vt:lpwstr>https://doi.org/10.7326/M14-2559</vt:lpwstr>
      </vt:variant>
      <vt:variant>
        <vt:lpwstr/>
      </vt:variant>
      <vt:variant>
        <vt:i4>6488181</vt:i4>
      </vt:variant>
      <vt:variant>
        <vt:i4>192</vt:i4>
      </vt:variant>
      <vt:variant>
        <vt:i4>0</vt:i4>
      </vt:variant>
      <vt:variant>
        <vt:i4>5</vt:i4>
      </vt:variant>
      <vt:variant>
        <vt:lpwstr>https://www.kingsfund.org.uk/insight-and-analysis/reports/year-integrated-care-systems</vt:lpwstr>
      </vt:variant>
      <vt:variant>
        <vt:lpwstr/>
      </vt:variant>
      <vt:variant>
        <vt:i4>3473466</vt:i4>
      </vt:variant>
      <vt:variant>
        <vt:i4>189</vt:i4>
      </vt:variant>
      <vt:variant>
        <vt:i4>0</vt:i4>
      </vt:variant>
      <vt:variant>
        <vt:i4>5</vt:i4>
      </vt:variant>
      <vt:variant>
        <vt:lpwstr>https://www.kingsfund.org.uk/publications/community-services-assets</vt:lpwstr>
      </vt:variant>
      <vt:variant>
        <vt:lpwstr/>
      </vt:variant>
      <vt:variant>
        <vt:i4>6619240</vt:i4>
      </vt:variant>
      <vt:variant>
        <vt:i4>186</vt:i4>
      </vt:variant>
      <vt:variant>
        <vt:i4>0</vt:i4>
      </vt:variant>
      <vt:variant>
        <vt:i4>5</vt:i4>
      </vt:variant>
      <vt:variant>
        <vt:lpwstr>https://www.carersuk.org/media/wgsij0bo/carers-ni-state-of-caringfinal.pdf</vt:lpwstr>
      </vt:variant>
      <vt:variant>
        <vt:lpwstr/>
      </vt:variant>
      <vt:variant>
        <vt:i4>6029391</vt:i4>
      </vt:variant>
      <vt:variant>
        <vt:i4>183</vt:i4>
      </vt:variant>
      <vt:variant>
        <vt:i4>0</vt:i4>
      </vt:variant>
      <vt:variant>
        <vt:i4>5</vt:i4>
      </vt:variant>
      <vt:variant>
        <vt:lpwstr>https://doi.org/10.1002/acr.23612</vt:lpwstr>
      </vt:variant>
      <vt:variant>
        <vt:lpwstr/>
      </vt:variant>
      <vt:variant>
        <vt:i4>2621495</vt:i4>
      </vt:variant>
      <vt:variant>
        <vt:i4>180</vt:i4>
      </vt:variant>
      <vt:variant>
        <vt:i4>0</vt:i4>
      </vt:variant>
      <vt:variant>
        <vt:i4>5</vt:i4>
      </vt:variant>
      <vt:variant>
        <vt:lpwstr>https://doi.org/10.1016/j.joca.2019.06.011</vt:lpwstr>
      </vt:variant>
      <vt:variant>
        <vt:lpwstr/>
      </vt:variant>
      <vt:variant>
        <vt:i4>4259846</vt:i4>
      </vt:variant>
      <vt:variant>
        <vt:i4>177</vt:i4>
      </vt:variant>
      <vt:variant>
        <vt:i4>0</vt:i4>
      </vt:variant>
      <vt:variant>
        <vt:i4>5</vt:i4>
      </vt:variant>
      <vt:variant>
        <vt:lpwstr>https://doi.org/10.1097/PSY.0b013e318185c510</vt:lpwstr>
      </vt:variant>
      <vt:variant>
        <vt:lpwstr/>
      </vt:variant>
      <vt:variant>
        <vt:i4>1441844</vt:i4>
      </vt:variant>
      <vt:variant>
        <vt:i4>170</vt:i4>
      </vt:variant>
      <vt:variant>
        <vt:i4>0</vt:i4>
      </vt:variant>
      <vt:variant>
        <vt:i4>5</vt:i4>
      </vt:variant>
      <vt:variant>
        <vt:lpwstr/>
      </vt:variant>
      <vt:variant>
        <vt:lpwstr>_Toc210839514</vt:lpwstr>
      </vt:variant>
      <vt:variant>
        <vt:i4>1441844</vt:i4>
      </vt:variant>
      <vt:variant>
        <vt:i4>164</vt:i4>
      </vt:variant>
      <vt:variant>
        <vt:i4>0</vt:i4>
      </vt:variant>
      <vt:variant>
        <vt:i4>5</vt:i4>
      </vt:variant>
      <vt:variant>
        <vt:lpwstr/>
      </vt:variant>
      <vt:variant>
        <vt:lpwstr>_Toc210839513</vt:lpwstr>
      </vt:variant>
      <vt:variant>
        <vt:i4>1441844</vt:i4>
      </vt:variant>
      <vt:variant>
        <vt:i4>158</vt:i4>
      </vt:variant>
      <vt:variant>
        <vt:i4>0</vt:i4>
      </vt:variant>
      <vt:variant>
        <vt:i4>5</vt:i4>
      </vt:variant>
      <vt:variant>
        <vt:lpwstr/>
      </vt:variant>
      <vt:variant>
        <vt:lpwstr>_Toc210839512</vt:lpwstr>
      </vt:variant>
      <vt:variant>
        <vt:i4>1441844</vt:i4>
      </vt:variant>
      <vt:variant>
        <vt:i4>152</vt:i4>
      </vt:variant>
      <vt:variant>
        <vt:i4>0</vt:i4>
      </vt:variant>
      <vt:variant>
        <vt:i4>5</vt:i4>
      </vt:variant>
      <vt:variant>
        <vt:lpwstr/>
      </vt:variant>
      <vt:variant>
        <vt:lpwstr>_Toc210839511</vt:lpwstr>
      </vt:variant>
      <vt:variant>
        <vt:i4>1441844</vt:i4>
      </vt:variant>
      <vt:variant>
        <vt:i4>146</vt:i4>
      </vt:variant>
      <vt:variant>
        <vt:i4>0</vt:i4>
      </vt:variant>
      <vt:variant>
        <vt:i4>5</vt:i4>
      </vt:variant>
      <vt:variant>
        <vt:lpwstr/>
      </vt:variant>
      <vt:variant>
        <vt:lpwstr>_Toc210839510</vt:lpwstr>
      </vt:variant>
      <vt:variant>
        <vt:i4>1507380</vt:i4>
      </vt:variant>
      <vt:variant>
        <vt:i4>140</vt:i4>
      </vt:variant>
      <vt:variant>
        <vt:i4>0</vt:i4>
      </vt:variant>
      <vt:variant>
        <vt:i4>5</vt:i4>
      </vt:variant>
      <vt:variant>
        <vt:lpwstr/>
      </vt:variant>
      <vt:variant>
        <vt:lpwstr>_Toc210839509</vt:lpwstr>
      </vt:variant>
      <vt:variant>
        <vt:i4>1507380</vt:i4>
      </vt:variant>
      <vt:variant>
        <vt:i4>134</vt:i4>
      </vt:variant>
      <vt:variant>
        <vt:i4>0</vt:i4>
      </vt:variant>
      <vt:variant>
        <vt:i4>5</vt:i4>
      </vt:variant>
      <vt:variant>
        <vt:lpwstr/>
      </vt:variant>
      <vt:variant>
        <vt:lpwstr>_Toc210839508</vt:lpwstr>
      </vt:variant>
      <vt:variant>
        <vt:i4>1507380</vt:i4>
      </vt:variant>
      <vt:variant>
        <vt:i4>128</vt:i4>
      </vt:variant>
      <vt:variant>
        <vt:i4>0</vt:i4>
      </vt:variant>
      <vt:variant>
        <vt:i4>5</vt:i4>
      </vt:variant>
      <vt:variant>
        <vt:lpwstr/>
      </vt:variant>
      <vt:variant>
        <vt:lpwstr>_Toc210839507</vt:lpwstr>
      </vt:variant>
      <vt:variant>
        <vt:i4>1507380</vt:i4>
      </vt:variant>
      <vt:variant>
        <vt:i4>122</vt:i4>
      </vt:variant>
      <vt:variant>
        <vt:i4>0</vt:i4>
      </vt:variant>
      <vt:variant>
        <vt:i4>5</vt:i4>
      </vt:variant>
      <vt:variant>
        <vt:lpwstr/>
      </vt:variant>
      <vt:variant>
        <vt:lpwstr>_Toc210839506</vt:lpwstr>
      </vt:variant>
      <vt:variant>
        <vt:i4>1507380</vt:i4>
      </vt:variant>
      <vt:variant>
        <vt:i4>116</vt:i4>
      </vt:variant>
      <vt:variant>
        <vt:i4>0</vt:i4>
      </vt:variant>
      <vt:variant>
        <vt:i4>5</vt:i4>
      </vt:variant>
      <vt:variant>
        <vt:lpwstr/>
      </vt:variant>
      <vt:variant>
        <vt:lpwstr>_Toc210839505</vt:lpwstr>
      </vt:variant>
      <vt:variant>
        <vt:i4>1507380</vt:i4>
      </vt:variant>
      <vt:variant>
        <vt:i4>110</vt:i4>
      </vt:variant>
      <vt:variant>
        <vt:i4>0</vt:i4>
      </vt:variant>
      <vt:variant>
        <vt:i4>5</vt:i4>
      </vt:variant>
      <vt:variant>
        <vt:lpwstr/>
      </vt:variant>
      <vt:variant>
        <vt:lpwstr>_Toc210839504</vt:lpwstr>
      </vt:variant>
      <vt:variant>
        <vt:i4>1507380</vt:i4>
      </vt:variant>
      <vt:variant>
        <vt:i4>104</vt:i4>
      </vt:variant>
      <vt:variant>
        <vt:i4>0</vt:i4>
      </vt:variant>
      <vt:variant>
        <vt:i4>5</vt:i4>
      </vt:variant>
      <vt:variant>
        <vt:lpwstr/>
      </vt:variant>
      <vt:variant>
        <vt:lpwstr>_Toc210839503</vt:lpwstr>
      </vt:variant>
      <vt:variant>
        <vt:i4>1507380</vt:i4>
      </vt:variant>
      <vt:variant>
        <vt:i4>98</vt:i4>
      </vt:variant>
      <vt:variant>
        <vt:i4>0</vt:i4>
      </vt:variant>
      <vt:variant>
        <vt:i4>5</vt:i4>
      </vt:variant>
      <vt:variant>
        <vt:lpwstr/>
      </vt:variant>
      <vt:variant>
        <vt:lpwstr>_Toc210839502</vt:lpwstr>
      </vt:variant>
      <vt:variant>
        <vt:i4>1507380</vt:i4>
      </vt:variant>
      <vt:variant>
        <vt:i4>92</vt:i4>
      </vt:variant>
      <vt:variant>
        <vt:i4>0</vt:i4>
      </vt:variant>
      <vt:variant>
        <vt:i4>5</vt:i4>
      </vt:variant>
      <vt:variant>
        <vt:lpwstr/>
      </vt:variant>
      <vt:variant>
        <vt:lpwstr>_Toc210839501</vt:lpwstr>
      </vt:variant>
      <vt:variant>
        <vt:i4>1507380</vt:i4>
      </vt:variant>
      <vt:variant>
        <vt:i4>86</vt:i4>
      </vt:variant>
      <vt:variant>
        <vt:i4>0</vt:i4>
      </vt:variant>
      <vt:variant>
        <vt:i4>5</vt:i4>
      </vt:variant>
      <vt:variant>
        <vt:lpwstr/>
      </vt:variant>
      <vt:variant>
        <vt:lpwstr>_Toc210839500</vt:lpwstr>
      </vt:variant>
      <vt:variant>
        <vt:i4>1966133</vt:i4>
      </vt:variant>
      <vt:variant>
        <vt:i4>80</vt:i4>
      </vt:variant>
      <vt:variant>
        <vt:i4>0</vt:i4>
      </vt:variant>
      <vt:variant>
        <vt:i4>5</vt:i4>
      </vt:variant>
      <vt:variant>
        <vt:lpwstr/>
      </vt:variant>
      <vt:variant>
        <vt:lpwstr>_Toc210839499</vt:lpwstr>
      </vt:variant>
      <vt:variant>
        <vt:i4>1966133</vt:i4>
      </vt:variant>
      <vt:variant>
        <vt:i4>74</vt:i4>
      </vt:variant>
      <vt:variant>
        <vt:i4>0</vt:i4>
      </vt:variant>
      <vt:variant>
        <vt:i4>5</vt:i4>
      </vt:variant>
      <vt:variant>
        <vt:lpwstr/>
      </vt:variant>
      <vt:variant>
        <vt:lpwstr>_Toc210839498</vt:lpwstr>
      </vt:variant>
      <vt:variant>
        <vt:i4>1966133</vt:i4>
      </vt:variant>
      <vt:variant>
        <vt:i4>68</vt:i4>
      </vt:variant>
      <vt:variant>
        <vt:i4>0</vt:i4>
      </vt:variant>
      <vt:variant>
        <vt:i4>5</vt:i4>
      </vt:variant>
      <vt:variant>
        <vt:lpwstr/>
      </vt:variant>
      <vt:variant>
        <vt:lpwstr>_Toc210839497</vt:lpwstr>
      </vt:variant>
      <vt:variant>
        <vt:i4>1966133</vt:i4>
      </vt:variant>
      <vt:variant>
        <vt:i4>62</vt:i4>
      </vt:variant>
      <vt:variant>
        <vt:i4>0</vt:i4>
      </vt:variant>
      <vt:variant>
        <vt:i4>5</vt:i4>
      </vt:variant>
      <vt:variant>
        <vt:lpwstr/>
      </vt:variant>
      <vt:variant>
        <vt:lpwstr>_Toc210839496</vt:lpwstr>
      </vt:variant>
      <vt:variant>
        <vt:i4>1966133</vt:i4>
      </vt:variant>
      <vt:variant>
        <vt:i4>56</vt:i4>
      </vt:variant>
      <vt:variant>
        <vt:i4>0</vt:i4>
      </vt:variant>
      <vt:variant>
        <vt:i4>5</vt:i4>
      </vt:variant>
      <vt:variant>
        <vt:lpwstr/>
      </vt:variant>
      <vt:variant>
        <vt:lpwstr>_Toc210839495</vt:lpwstr>
      </vt:variant>
      <vt:variant>
        <vt:i4>1966133</vt:i4>
      </vt:variant>
      <vt:variant>
        <vt:i4>50</vt:i4>
      </vt:variant>
      <vt:variant>
        <vt:i4>0</vt:i4>
      </vt:variant>
      <vt:variant>
        <vt:i4>5</vt:i4>
      </vt:variant>
      <vt:variant>
        <vt:lpwstr/>
      </vt:variant>
      <vt:variant>
        <vt:lpwstr>_Toc210839494</vt:lpwstr>
      </vt:variant>
      <vt:variant>
        <vt:i4>1966133</vt:i4>
      </vt:variant>
      <vt:variant>
        <vt:i4>44</vt:i4>
      </vt:variant>
      <vt:variant>
        <vt:i4>0</vt:i4>
      </vt:variant>
      <vt:variant>
        <vt:i4>5</vt:i4>
      </vt:variant>
      <vt:variant>
        <vt:lpwstr/>
      </vt:variant>
      <vt:variant>
        <vt:lpwstr>_Toc210839493</vt:lpwstr>
      </vt:variant>
      <vt:variant>
        <vt:i4>1966133</vt:i4>
      </vt:variant>
      <vt:variant>
        <vt:i4>38</vt:i4>
      </vt:variant>
      <vt:variant>
        <vt:i4>0</vt:i4>
      </vt:variant>
      <vt:variant>
        <vt:i4>5</vt:i4>
      </vt:variant>
      <vt:variant>
        <vt:lpwstr/>
      </vt:variant>
      <vt:variant>
        <vt:lpwstr>_Toc210839492</vt:lpwstr>
      </vt:variant>
      <vt:variant>
        <vt:i4>1966133</vt:i4>
      </vt:variant>
      <vt:variant>
        <vt:i4>32</vt:i4>
      </vt:variant>
      <vt:variant>
        <vt:i4>0</vt:i4>
      </vt:variant>
      <vt:variant>
        <vt:i4>5</vt:i4>
      </vt:variant>
      <vt:variant>
        <vt:lpwstr/>
      </vt:variant>
      <vt:variant>
        <vt:lpwstr>_Toc210839491</vt:lpwstr>
      </vt:variant>
      <vt:variant>
        <vt:i4>1966133</vt:i4>
      </vt:variant>
      <vt:variant>
        <vt:i4>26</vt:i4>
      </vt:variant>
      <vt:variant>
        <vt:i4>0</vt:i4>
      </vt:variant>
      <vt:variant>
        <vt:i4>5</vt:i4>
      </vt:variant>
      <vt:variant>
        <vt:lpwstr/>
      </vt:variant>
      <vt:variant>
        <vt:lpwstr>_Toc210839490</vt:lpwstr>
      </vt:variant>
      <vt:variant>
        <vt:i4>2031669</vt:i4>
      </vt:variant>
      <vt:variant>
        <vt:i4>20</vt:i4>
      </vt:variant>
      <vt:variant>
        <vt:i4>0</vt:i4>
      </vt:variant>
      <vt:variant>
        <vt:i4>5</vt:i4>
      </vt:variant>
      <vt:variant>
        <vt:lpwstr/>
      </vt:variant>
      <vt:variant>
        <vt:lpwstr>_Toc210839489</vt:lpwstr>
      </vt:variant>
      <vt:variant>
        <vt:i4>2031669</vt:i4>
      </vt:variant>
      <vt:variant>
        <vt:i4>14</vt:i4>
      </vt:variant>
      <vt:variant>
        <vt:i4>0</vt:i4>
      </vt:variant>
      <vt:variant>
        <vt:i4>5</vt:i4>
      </vt:variant>
      <vt:variant>
        <vt:lpwstr/>
      </vt:variant>
      <vt:variant>
        <vt:lpwstr>_Toc210839488</vt:lpwstr>
      </vt:variant>
      <vt:variant>
        <vt:i4>2031669</vt:i4>
      </vt:variant>
      <vt:variant>
        <vt:i4>8</vt:i4>
      </vt:variant>
      <vt:variant>
        <vt:i4>0</vt:i4>
      </vt:variant>
      <vt:variant>
        <vt:i4>5</vt:i4>
      </vt:variant>
      <vt:variant>
        <vt:lpwstr/>
      </vt:variant>
      <vt:variant>
        <vt:lpwstr>_Toc210839487</vt:lpwstr>
      </vt:variant>
      <vt:variant>
        <vt:i4>2031669</vt:i4>
      </vt:variant>
      <vt:variant>
        <vt:i4>2</vt:i4>
      </vt:variant>
      <vt:variant>
        <vt:i4>0</vt:i4>
      </vt:variant>
      <vt:variant>
        <vt:i4>5</vt:i4>
      </vt:variant>
      <vt:variant>
        <vt:lpwstr/>
      </vt:variant>
      <vt:variant>
        <vt:lpwstr>_Toc210839486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Rosena Lucy (2210256)</dc:creator>
  <cp:keywords/>
  <dc:description/>
  <cp:lastModifiedBy>Rosena Lucy (2210256)</cp:lastModifiedBy>
  <cp:revision>13</cp:revision>
  <dcterms:created xsi:type="dcterms:W3CDTF">2025-10-11T07:23:00Z</dcterms:created>
  <dcterms:modified xsi:type="dcterms:W3CDTF">2025-10-11T08:23:00Z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