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797241F" w:rsidR="00D8137B" w:rsidRDefault="32433627" w:rsidP="7336895D">
      <w:r>
        <w:rPr>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Default="7336895D" w:rsidP="7336895D"/>
    <w:p w14:paraId="78777CD6" w14:textId="4B5E931E" w:rsidR="32433627" w:rsidRDefault="32433627" w:rsidP="7336895D">
      <w:pPr>
        <w:rPr>
          <w:rFonts w:ascii="Arial" w:eastAsia="Arial" w:hAnsi="Arial" w:cs="Arial"/>
          <w:b/>
          <w:bCs/>
          <w:sz w:val="32"/>
          <w:szCs w:val="32"/>
        </w:rPr>
      </w:pPr>
      <w:r w:rsidRPr="7336895D">
        <w:rPr>
          <w:rFonts w:ascii="Arial" w:eastAsia="Arial" w:hAnsi="Arial" w:cs="Arial"/>
          <w:b/>
          <w:bCs/>
          <w:sz w:val="32"/>
          <w:szCs w:val="32"/>
        </w:rPr>
        <w:t>BSc Professional Investigation Workbooks</w:t>
      </w:r>
    </w:p>
    <w:p w14:paraId="64E33565" w14:textId="46E09D10" w:rsidR="7336895D" w:rsidRDefault="7336895D" w:rsidP="7336895D">
      <w:pPr>
        <w:rPr>
          <w:rFonts w:ascii="Arial" w:eastAsia="Arial" w:hAnsi="Arial" w:cs="Arial"/>
          <w:sz w:val="32"/>
          <w:szCs w:val="32"/>
        </w:rPr>
      </w:pPr>
    </w:p>
    <w:p w14:paraId="43AF8E42" w14:textId="51AC86D6" w:rsidR="32433627" w:rsidRDefault="32433627"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LEVEL 6 - 40 Credits</w:t>
      </w:r>
    </w:p>
    <w:p w14:paraId="772420AF" w14:textId="50D05E20" w:rsidR="7336895D" w:rsidRDefault="7336895D" w:rsidP="7336895D">
      <w:pPr>
        <w:ind w:right="237"/>
        <w:rPr>
          <w:rFonts w:ascii="Arial" w:eastAsia="Arial" w:hAnsi="Arial" w:cs="Arial"/>
          <w:color w:val="000000" w:themeColor="text1"/>
          <w:sz w:val="32"/>
          <w:szCs w:val="32"/>
        </w:rPr>
      </w:pPr>
    </w:p>
    <w:p w14:paraId="1741DE64" w14:textId="55BD30B3" w:rsidR="32433627" w:rsidRDefault="32433627" w:rsidP="69B3A30A">
      <w:pPr>
        <w:ind w:right="237"/>
        <w:rPr>
          <w:rFonts w:ascii="Arial" w:eastAsia="Arial" w:hAnsi="Arial" w:cs="Arial"/>
          <w:b/>
          <w:bCs/>
          <w:color w:val="000000" w:themeColor="text1"/>
          <w:sz w:val="32"/>
          <w:szCs w:val="32"/>
        </w:rPr>
      </w:pPr>
      <w:r w:rsidRPr="69B3A30A">
        <w:rPr>
          <w:rFonts w:ascii="Arial" w:eastAsia="Arial" w:hAnsi="Arial" w:cs="Arial"/>
          <w:b/>
          <w:bCs/>
          <w:color w:val="000000" w:themeColor="text1"/>
          <w:sz w:val="32"/>
          <w:szCs w:val="32"/>
        </w:rPr>
        <w:t>Workbook title</w:t>
      </w:r>
      <w:r w:rsidR="021C0392" w:rsidRPr="69B3A30A">
        <w:rPr>
          <w:rFonts w:ascii="Arial" w:eastAsia="Arial" w:hAnsi="Arial" w:cs="Arial"/>
          <w:b/>
          <w:bCs/>
          <w:color w:val="000000" w:themeColor="text1"/>
          <w:sz w:val="32"/>
          <w:szCs w:val="32"/>
        </w:rPr>
        <w:t xml:space="preserve">: Competency Based Workbook </w:t>
      </w:r>
      <w:r w:rsidR="6E27A6BC" w:rsidRPr="69B3A30A">
        <w:rPr>
          <w:rFonts w:ascii="Arial" w:eastAsia="Arial" w:hAnsi="Arial" w:cs="Arial"/>
          <w:b/>
          <w:bCs/>
          <w:color w:val="000000" w:themeColor="text1"/>
          <w:sz w:val="32"/>
          <w:szCs w:val="32"/>
        </w:rPr>
        <w:t>2</w:t>
      </w:r>
    </w:p>
    <w:p w14:paraId="6E7A6A33" w14:textId="4F5AAC18" w:rsidR="7336895D" w:rsidRDefault="7336895D" w:rsidP="7336895D">
      <w:pPr>
        <w:ind w:right="237"/>
        <w:rPr>
          <w:rFonts w:ascii="Arial" w:eastAsia="Arial" w:hAnsi="Arial" w:cs="Arial"/>
          <w:b/>
          <w:bCs/>
          <w:color w:val="000000" w:themeColor="text1"/>
          <w:sz w:val="32"/>
          <w:szCs w:val="32"/>
        </w:rPr>
      </w:pPr>
    </w:p>
    <w:p w14:paraId="3A6ED416" w14:textId="3352F1C1"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(SOUTH WALES POLICE AND UWTSD)</w:t>
      </w:r>
    </w:p>
    <w:p w14:paraId="01172258" w14:textId="53985F26" w:rsidR="7336895D" w:rsidRDefault="7336895D" w:rsidP="7336895D">
      <w:pPr>
        <w:ind w:right="237"/>
        <w:rPr>
          <w:rFonts w:ascii="Arial" w:eastAsia="Arial" w:hAnsi="Arial" w:cs="Arial"/>
          <w:b/>
          <w:bCs/>
          <w:color w:val="000000" w:themeColor="text1"/>
          <w:sz w:val="36"/>
          <w:szCs w:val="36"/>
        </w:rPr>
      </w:pPr>
    </w:p>
    <w:p w14:paraId="56F74FD0" w14:textId="3B1D8CFD" w:rsidR="7336895D" w:rsidRDefault="7336895D" w:rsidP="7336895D">
      <w:pPr>
        <w:rPr>
          <w:rFonts w:ascii="Arial" w:eastAsia="Arial" w:hAnsi="Arial" w:cs="Arial"/>
          <w:sz w:val="36"/>
          <w:szCs w:val="36"/>
        </w:rPr>
      </w:pPr>
    </w:p>
    <w:tbl>
      <w:tblPr>
        <w:tblStyle w:val="TableGrid"/>
        <w:tblW w:w="0" w:type="auto"/>
        <w:tblLayout w:type="fixed"/>
        <w:tblLook w:val="06A0" w:firstRow="1" w:lastRow="0" w:firstColumn="1" w:lastColumn="0" w:noHBand="1" w:noVBand="1"/>
      </w:tblPr>
      <w:tblGrid>
        <w:gridCol w:w="9015"/>
      </w:tblGrid>
      <w:tr w:rsidR="7336895D" w14:paraId="5364FEF4" w14:textId="77777777" w:rsidTr="69B3A30A">
        <w:trPr>
          <w:trHeight w:val="2385"/>
        </w:trPr>
        <w:tc>
          <w:tcPr>
            <w:tcW w:w="9015" w:type="dxa"/>
          </w:tcPr>
          <w:p w14:paraId="2BF5B3F1" w14:textId="261C2E32"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 xml:space="preserve">Learner name: </w:t>
            </w:r>
            <w:r w:rsidR="00CB054B">
              <w:rPr>
                <w:rFonts w:ascii="Arial" w:eastAsia="Arial" w:hAnsi="Arial" w:cs="Arial"/>
                <w:b/>
                <w:bCs/>
                <w:color w:val="000000" w:themeColor="text1"/>
                <w:sz w:val="36"/>
                <w:szCs w:val="36"/>
              </w:rPr>
              <w:t>Paul Jones</w:t>
            </w:r>
            <w:r w:rsidR="00D63580">
              <w:rPr>
                <w:rFonts w:ascii="Arial" w:eastAsia="Arial" w:hAnsi="Arial" w:cs="Arial"/>
                <w:b/>
                <w:bCs/>
                <w:color w:val="000000" w:themeColor="text1"/>
                <w:sz w:val="36"/>
                <w:szCs w:val="36"/>
              </w:rPr>
              <w:t xml:space="preserve"> </w:t>
            </w:r>
          </w:p>
          <w:p w14:paraId="5EBB5AA1" w14:textId="0C17428C" w:rsidR="7336895D" w:rsidRDefault="7336895D" w:rsidP="7336895D">
            <w:pPr>
              <w:ind w:right="237"/>
              <w:rPr>
                <w:rFonts w:ascii="Arial" w:eastAsia="Arial" w:hAnsi="Arial" w:cs="Arial"/>
                <w:color w:val="000000" w:themeColor="text1"/>
                <w:sz w:val="36"/>
                <w:szCs w:val="36"/>
              </w:rPr>
            </w:pPr>
          </w:p>
          <w:p w14:paraId="0FA944B7" w14:textId="509FBF71"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Learner’s University Registration Number:</w:t>
            </w:r>
          </w:p>
          <w:p w14:paraId="53C5C38E" w14:textId="6A285A3E" w:rsidR="63BD137B" w:rsidRDefault="00D63580" w:rsidP="7336895D">
            <w:pPr>
              <w:ind w:right="237"/>
              <w:rPr>
                <w:rFonts w:ascii="Arial" w:eastAsia="Arial" w:hAnsi="Arial" w:cs="Arial"/>
                <w:color w:val="000000" w:themeColor="text1"/>
                <w:sz w:val="36"/>
                <w:szCs w:val="36"/>
              </w:rPr>
            </w:pPr>
            <w:r>
              <w:rPr>
                <w:rFonts w:ascii="Arial" w:eastAsia="Arial" w:hAnsi="Arial" w:cs="Arial"/>
                <w:b/>
                <w:bCs/>
                <w:color w:val="000000" w:themeColor="text1"/>
                <w:sz w:val="36"/>
                <w:szCs w:val="36"/>
              </w:rPr>
              <w:t>2114840</w:t>
            </w:r>
          </w:p>
          <w:p w14:paraId="27A16160" w14:textId="3CE21B6D" w:rsidR="7336895D" w:rsidRDefault="7336895D" w:rsidP="69B3A30A">
            <w:pPr>
              <w:rPr>
                <w:rFonts w:ascii="Arial" w:eastAsia="Arial" w:hAnsi="Arial" w:cs="Arial"/>
                <w:b/>
                <w:bCs/>
                <w:color w:val="000000" w:themeColor="text1"/>
                <w:sz w:val="36"/>
                <w:szCs w:val="36"/>
              </w:rPr>
            </w:pPr>
          </w:p>
          <w:p w14:paraId="4AD79C9E" w14:textId="3A4BC3FC" w:rsidR="7336895D" w:rsidRDefault="7336895D" w:rsidP="69B3A30A">
            <w:pPr>
              <w:rPr>
                <w:rFonts w:ascii="Arial" w:eastAsia="Arial" w:hAnsi="Arial" w:cs="Arial"/>
                <w:b/>
                <w:bCs/>
                <w:color w:val="000000" w:themeColor="text1"/>
                <w:sz w:val="36"/>
                <w:szCs w:val="36"/>
              </w:rPr>
            </w:pPr>
          </w:p>
          <w:p w14:paraId="1820B7EB" w14:textId="0E939DD6" w:rsidR="7336895D" w:rsidRDefault="7336895D" w:rsidP="69B3A30A">
            <w:pPr>
              <w:rPr>
                <w:rFonts w:ascii="Arial" w:eastAsia="Arial" w:hAnsi="Arial" w:cs="Arial"/>
                <w:b/>
                <w:bCs/>
                <w:color w:val="000000" w:themeColor="text1"/>
                <w:sz w:val="36"/>
                <w:szCs w:val="36"/>
              </w:rPr>
            </w:pPr>
          </w:p>
        </w:tc>
      </w:tr>
    </w:tbl>
    <w:p w14:paraId="024E0F58" w14:textId="398B655E" w:rsidR="7336895D" w:rsidRDefault="7336895D" w:rsidP="7336895D">
      <w:pPr>
        <w:ind w:right="237"/>
        <w:rPr>
          <w:rFonts w:ascii="Arial" w:eastAsia="Arial" w:hAnsi="Arial" w:cs="Arial"/>
          <w:color w:val="000000" w:themeColor="text1"/>
          <w:sz w:val="32"/>
          <w:szCs w:val="32"/>
        </w:rPr>
      </w:pPr>
    </w:p>
    <w:p w14:paraId="38292130" w14:textId="372B775F"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FACULTY OF BUSINESS AND MANAGEMENT</w:t>
      </w:r>
    </w:p>
    <w:p w14:paraId="3D5DE8C3" w14:textId="5B63EC2B"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PUBLIC SERVICE PROGRAMME</w:t>
      </w:r>
    </w:p>
    <w:p w14:paraId="1FCCF47F" w14:textId="7C0860E7" w:rsidR="7336895D" w:rsidRDefault="7336895D" w:rsidP="7336895D">
      <w:pPr>
        <w:ind w:right="237"/>
        <w:rPr>
          <w:rFonts w:ascii="Arial" w:eastAsia="Arial" w:hAnsi="Arial" w:cs="Arial"/>
          <w:color w:val="000000" w:themeColor="text1"/>
          <w:sz w:val="32"/>
          <w:szCs w:val="32"/>
        </w:rPr>
      </w:pPr>
    </w:p>
    <w:p w14:paraId="71FE781B" w14:textId="7CF0CC15" w:rsidR="63BD137B" w:rsidRDefault="63BD137B" w:rsidP="69B3A30A">
      <w:pPr>
        <w:ind w:right="237"/>
        <w:rPr>
          <w:rFonts w:ascii="Arial" w:eastAsia="Arial" w:hAnsi="Arial" w:cs="Arial"/>
          <w:b/>
          <w:bCs/>
          <w:i/>
          <w:iCs/>
          <w:color w:val="000000" w:themeColor="text1"/>
          <w:sz w:val="32"/>
          <w:szCs w:val="32"/>
        </w:rPr>
      </w:pPr>
      <w:r w:rsidRPr="69B3A30A">
        <w:rPr>
          <w:rFonts w:ascii="Arial" w:eastAsia="Arial" w:hAnsi="Arial" w:cs="Arial"/>
          <w:b/>
          <w:bCs/>
          <w:i/>
          <w:iCs/>
          <w:color w:val="000000" w:themeColor="text1"/>
          <w:sz w:val="32"/>
          <w:szCs w:val="32"/>
        </w:rPr>
        <w:t xml:space="preserve">Module title: </w:t>
      </w:r>
      <w:r w:rsidR="1307522D" w:rsidRPr="69B3A30A">
        <w:rPr>
          <w:rFonts w:ascii="Arial" w:eastAsia="Arial" w:hAnsi="Arial" w:cs="Arial"/>
          <w:b/>
          <w:bCs/>
          <w:i/>
          <w:iCs/>
          <w:color w:val="000000" w:themeColor="text1"/>
          <w:sz w:val="32"/>
          <w:szCs w:val="32"/>
        </w:rPr>
        <w:t>Professional Investigative Practice BMPI6002</w:t>
      </w:r>
    </w:p>
    <w:p w14:paraId="07F7D617" w14:textId="4325D2DC" w:rsidR="7336895D" w:rsidRDefault="7336895D" w:rsidP="7336895D">
      <w:pPr>
        <w:ind w:right="237"/>
        <w:rPr>
          <w:rFonts w:ascii="Arial" w:eastAsia="Arial" w:hAnsi="Arial" w:cs="Arial"/>
          <w:b/>
          <w:bCs/>
          <w:i/>
          <w:iCs/>
          <w:color w:val="000000" w:themeColor="text1"/>
          <w:sz w:val="36"/>
          <w:szCs w:val="36"/>
        </w:rPr>
      </w:pPr>
    </w:p>
    <w:p w14:paraId="0BF94E73" w14:textId="54C0D90E" w:rsidR="7336895D" w:rsidRDefault="7336895D" w:rsidP="7336895D">
      <w:pPr>
        <w:ind w:right="237"/>
        <w:rPr>
          <w:rFonts w:ascii="Arial" w:eastAsia="Arial" w:hAnsi="Arial" w:cs="Arial"/>
          <w:b/>
          <w:bCs/>
          <w:i/>
          <w:iCs/>
          <w:color w:val="000000" w:themeColor="text1"/>
          <w:sz w:val="28"/>
          <w:szCs w:val="28"/>
        </w:rPr>
      </w:pPr>
    </w:p>
    <w:p w14:paraId="1B765CAD" w14:textId="00C8F177" w:rsidR="338C23AF" w:rsidRDefault="338C23AF" w:rsidP="7336895D">
      <w:pPr>
        <w:ind w:right="237"/>
        <w:rPr>
          <w:rFonts w:ascii="Arial" w:eastAsia="Arial" w:hAnsi="Arial" w:cs="Arial"/>
          <w:color w:val="000000" w:themeColor="text1"/>
          <w:sz w:val="28"/>
          <w:szCs w:val="28"/>
        </w:rPr>
      </w:pPr>
      <w:r w:rsidRPr="7336895D">
        <w:rPr>
          <w:rFonts w:ascii="Arial" w:eastAsia="Arial" w:hAnsi="Arial" w:cs="Arial"/>
          <w:b/>
          <w:bCs/>
          <w:color w:val="000000" w:themeColor="text1"/>
          <w:sz w:val="28"/>
          <w:szCs w:val="28"/>
        </w:rPr>
        <w:lastRenderedPageBreak/>
        <w:t>Workbook Guidance</w:t>
      </w:r>
    </w:p>
    <w:p w14:paraId="3164C44B" w14:textId="68F161E0" w:rsidR="7336895D" w:rsidRDefault="7336895D" w:rsidP="7336895D">
      <w:pPr>
        <w:ind w:right="237"/>
        <w:rPr>
          <w:rFonts w:ascii="Arial" w:eastAsia="Arial" w:hAnsi="Arial" w:cs="Arial"/>
          <w:color w:val="000000" w:themeColor="text1"/>
          <w:sz w:val="24"/>
          <w:szCs w:val="24"/>
        </w:rPr>
      </w:pPr>
    </w:p>
    <w:p w14:paraId="52C3943E" w14:textId="202DDED6"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Please read these notes carefully. They provide essential information. The documents you will use in developing your workbook are on the following pages.</w:t>
      </w:r>
    </w:p>
    <w:p w14:paraId="1B94AA1C" w14:textId="0DD71B91" w:rsidR="7336895D" w:rsidRDefault="7336895D" w:rsidP="7336895D">
      <w:pPr>
        <w:ind w:right="237"/>
        <w:rPr>
          <w:rFonts w:ascii="Arial" w:eastAsia="Arial" w:hAnsi="Arial" w:cs="Arial"/>
          <w:color w:val="000000" w:themeColor="text1"/>
          <w:sz w:val="24"/>
          <w:szCs w:val="24"/>
        </w:rPr>
      </w:pPr>
    </w:p>
    <w:p w14:paraId="7D77575A" w14:textId="33FAC102"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What is the workbook for?</w:t>
      </w:r>
    </w:p>
    <w:p w14:paraId="2D1D3C5B" w14:textId="6C623A22" w:rsidR="7336895D" w:rsidRDefault="7336895D" w:rsidP="7336895D">
      <w:pPr>
        <w:ind w:right="237"/>
        <w:jc w:val="both"/>
        <w:rPr>
          <w:rFonts w:ascii="Arial" w:eastAsia="Arial" w:hAnsi="Arial" w:cs="Arial"/>
          <w:color w:val="000000" w:themeColor="text1"/>
          <w:sz w:val="24"/>
          <w:szCs w:val="24"/>
        </w:rPr>
      </w:pPr>
    </w:p>
    <w:p w14:paraId="3418DF4D" w14:textId="2DB8505A"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2ECC5307" w14:textId="1CC5B47F" w:rsidR="7336895D" w:rsidRDefault="7336895D" w:rsidP="7336895D">
      <w:pPr>
        <w:ind w:right="237"/>
        <w:jc w:val="both"/>
        <w:rPr>
          <w:rFonts w:ascii="Arial" w:eastAsia="Arial" w:hAnsi="Arial" w:cs="Arial"/>
          <w:color w:val="000000" w:themeColor="text1"/>
          <w:sz w:val="24"/>
          <w:szCs w:val="24"/>
        </w:rPr>
      </w:pPr>
    </w:p>
    <w:p w14:paraId="1761E850" w14:textId="4F5D9B23"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should the workbook be presented?</w:t>
      </w:r>
    </w:p>
    <w:p w14:paraId="7F11AEE6" w14:textId="433709A8"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4DE008AC" w14:textId="444A9059"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186794B" w14:textId="42FBF83F"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3FB73BB8" w14:textId="715F037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Word count policy</w:t>
      </w:r>
      <w:r w:rsidRPr="7336895D">
        <w:rPr>
          <w:rFonts w:ascii="Arial" w:eastAsia="Arial" w:hAnsi="Arial" w:cs="Arial"/>
          <w:color w:val="000000" w:themeColor="text1"/>
          <w:sz w:val="24"/>
          <w:szCs w:val="24"/>
        </w:rPr>
        <w:t xml:space="preserve"> can be found in chapter 7 of the Academic Quality under section 7.7 (this applies to presenting work above and under the specified word count).  </w:t>
      </w:r>
    </w:p>
    <w:p w14:paraId="17026C7D" w14:textId="1148EC42" w:rsidR="338C23AF" w:rsidRDefault="338C23AF" w:rsidP="7336895D">
      <w:pPr>
        <w:jc w:val="both"/>
        <w:rPr>
          <w:rFonts w:ascii="Arial" w:eastAsia="Arial" w:hAnsi="Arial" w:cs="Arial"/>
          <w:color w:val="0000FF"/>
          <w:sz w:val="24"/>
          <w:szCs w:val="24"/>
        </w:rPr>
      </w:pPr>
      <w:r w:rsidRPr="7336895D">
        <w:rPr>
          <w:rFonts w:ascii="Arial" w:eastAsia="Arial" w:hAnsi="Arial" w:cs="Arial"/>
          <w:color w:val="000000" w:themeColor="text1"/>
          <w:sz w:val="24"/>
          <w:szCs w:val="24"/>
        </w:rPr>
        <w:t>(</w:t>
      </w:r>
      <w:hyperlink r:id="rId8">
        <w:r w:rsidRPr="7336895D">
          <w:rPr>
            <w:rStyle w:val="Hyperlink"/>
            <w:rFonts w:ascii="Arial" w:eastAsia="Arial" w:hAnsi="Arial" w:cs="Arial"/>
            <w:sz w:val="24"/>
            <w:szCs w:val="24"/>
          </w:rPr>
          <w:t>https://www.uwtsd.ac.uk/media/uwtsd-website/content-assets/documents/academic-office/aqh-chapters/chapters---en/Chapter_07_Assessment_Taught_Programmes_Pages_72-79-UPDATED-05-11-2019.pdf</w:t>
        </w:r>
      </w:hyperlink>
      <w:r w:rsidRPr="7336895D">
        <w:rPr>
          <w:rFonts w:ascii="Arial" w:eastAsia="Arial" w:hAnsi="Arial" w:cs="Arial"/>
          <w:color w:val="0000FF"/>
          <w:sz w:val="24"/>
          <w:szCs w:val="24"/>
          <w:u w:val="single"/>
        </w:rPr>
        <w:t xml:space="preserve">) </w:t>
      </w:r>
    </w:p>
    <w:p w14:paraId="270B5ABB" w14:textId="488D538E"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F37D0AC" w14:textId="7F00DADF" w:rsidR="338C23AF" w:rsidRDefault="338C23AF" w:rsidP="69B3A30A">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Reflective practice is a core aspect for your workbooks and although there is a variety of useful resources on Moodle, there is one </w:t>
      </w:r>
      <w:r w:rsidR="7C3FC7FE" w:rsidRPr="69B3A30A">
        <w:rPr>
          <w:rFonts w:ascii="Arial" w:eastAsia="Arial" w:hAnsi="Arial" w:cs="Arial"/>
          <w:color w:val="000000" w:themeColor="text1"/>
          <w:sz w:val="24"/>
          <w:szCs w:val="24"/>
        </w:rPr>
        <w:t>book</w:t>
      </w:r>
      <w:r w:rsidRPr="69B3A30A">
        <w:rPr>
          <w:rFonts w:ascii="Arial" w:eastAsia="Arial" w:hAnsi="Arial" w:cs="Arial"/>
          <w:color w:val="000000" w:themeColor="text1"/>
          <w:sz w:val="24"/>
          <w:szCs w:val="24"/>
        </w:rPr>
        <w:t xml:space="preserve">, that is specifically based on reflective practice in policing, here is a link to one chapter from Selina Copley’s Reflective Practice for Policing Students: </w:t>
      </w:r>
    </w:p>
    <w:p w14:paraId="08B62104" w14:textId="161D17D8" w:rsidR="338C23AF" w:rsidRDefault="008E3C43" w:rsidP="7336895D">
      <w:pPr>
        <w:jc w:val="both"/>
        <w:rPr>
          <w:rFonts w:ascii="Arial" w:eastAsia="Arial" w:hAnsi="Arial" w:cs="Arial"/>
          <w:color w:val="000000" w:themeColor="text1"/>
          <w:sz w:val="24"/>
          <w:szCs w:val="24"/>
        </w:rPr>
      </w:pPr>
      <w:hyperlink r:id="rId9">
        <w:r w:rsidR="338C23AF" w:rsidRPr="7336895D">
          <w:rPr>
            <w:rStyle w:val="Hyperlink"/>
            <w:rFonts w:ascii="Arial" w:eastAsia="Arial" w:hAnsi="Arial" w:cs="Arial"/>
            <w:sz w:val="24"/>
            <w:szCs w:val="24"/>
          </w:rPr>
          <w:t>https://moodle.uwtsd.ac.uk/pluginfile.php/298870/mod_resource/content/1/Reflective%20Practice%20for%20Policing%20Students%20-%20Selina%20Copley%20Chapter5.pdf</w:t>
        </w:r>
      </w:hyperlink>
    </w:p>
    <w:p w14:paraId="376D9A4A" w14:textId="7B6490E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29FDFC31" w14:textId="54FE22B0"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is the workbook assessed?</w:t>
      </w:r>
    </w:p>
    <w:p w14:paraId="5011152D" w14:textId="272C47DA"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069440E1" w14:textId="17319D3C"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lastRenderedPageBreak/>
        <w:t xml:space="preserve">Advice and support about the completion of this workbook is available to you. Please contact Kelly Andrews direct using </w:t>
      </w:r>
      <w:hyperlink r:id="rId10">
        <w:r w:rsidRPr="7336895D">
          <w:rPr>
            <w:rStyle w:val="Hyperlink"/>
            <w:rFonts w:ascii="Arial" w:eastAsia="Arial" w:hAnsi="Arial" w:cs="Arial"/>
            <w:sz w:val="24"/>
            <w:szCs w:val="24"/>
          </w:rPr>
          <w:t>k.andrews@uwtsd.ac.uk</w:t>
        </w:r>
      </w:hyperlink>
      <w:r w:rsidRPr="7336895D">
        <w:rPr>
          <w:rFonts w:ascii="Arial" w:eastAsia="Arial" w:hAnsi="Arial" w:cs="Arial"/>
          <w:color w:val="000000" w:themeColor="text1"/>
          <w:sz w:val="24"/>
          <w:szCs w:val="24"/>
        </w:rPr>
        <w:t xml:space="preserve"> with any questions or queries you may have. </w:t>
      </w:r>
    </w:p>
    <w:p w14:paraId="41EBB47C" w14:textId="1C2E1E16" w:rsidR="338C23AF" w:rsidRDefault="338C23AF" w:rsidP="7336895D">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 </w:t>
      </w:r>
    </w:p>
    <w:p w14:paraId="3EE56CF8" w14:textId="1BEE2673" w:rsidR="338C23AF" w:rsidRDefault="338C23AF" w:rsidP="69B3A30A">
      <w:pPr>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xml:space="preserve">Once submitted your workbook will be assessed and marked independently. You will be provided with individual feedback once the work has been marked. </w:t>
      </w:r>
    </w:p>
    <w:p w14:paraId="79555996" w14:textId="472ED998" w:rsidR="7336895D" w:rsidRDefault="7336895D" w:rsidP="7336895D">
      <w:pPr>
        <w:ind w:right="237"/>
        <w:jc w:val="both"/>
        <w:rPr>
          <w:rFonts w:ascii="Arial" w:eastAsia="Arial" w:hAnsi="Arial" w:cs="Arial"/>
          <w:color w:val="000000" w:themeColor="text1"/>
          <w:sz w:val="24"/>
          <w:szCs w:val="24"/>
        </w:rPr>
      </w:pPr>
    </w:p>
    <w:p w14:paraId="1CA8F66E" w14:textId="2B7446AD"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Confidentiality</w:t>
      </w:r>
    </w:p>
    <w:p w14:paraId="624C3610" w14:textId="02131153" w:rsidR="7336895D" w:rsidRDefault="7336895D" w:rsidP="7336895D">
      <w:pPr>
        <w:ind w:right="237"/>
        <w:jc w:val="both"/>
        <w:rPr>
          <w:rFonts w:ascii="Arial" w:eastAsia="Arial" w:hAnsi="Arial" w:cs="Arial"/>
          <w:color w:val="000000" w:themeColor="text1"/>
          <w:sz w:val="24"/>
          <w:szCs w:val="24"/>
        </w:rPr>
      </w:pPr>
    </w:p>
    <w:p w14:paraId="1AD30EA5" w14:textId="1AD576E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It is important that no individual can be identified either directly or indirectly from the information in the workbook. However, you must:</w:t>
      </w:r>
    </w:p>
    <w:p w14:paraId="588B0FF0" w14:textId="673C9221" w:rsidR="7336895D" w:rsidRDefault="7336895D" w:rsidP="7336895D">
      <w:pPr>
        <w:ind w:right="237"/>
        <w:jc w:val="both"/>
        <w:rPr>
          <w:rFonts w:ascii="Arial" w:eastAsia="Arial" w:hAnsi="Arial" w:cs="Arial"/>
          <w:color w:val="000000" w:themeColor="text1"/>
          <w:sz w:val="24"/>
          <w:szCs w:val="24"/>
        </w:rPr>
      </w:pPr>
    </w:p>
    <w:p w14:paraId="1ADFC5DB" w14:textId="008AF5E7" w:rsidR="78979F44" w:rsidRDefault="78979F44" w:rsidP="7336895D">
      <w:pPr>
        <w:pStyle w:val="ListParagraph"/>
        <w:numPr>
          <w:ilvl w:val="0"/>
          <w:numId w:val="5"/>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adhere to guidance in the Candidate Handbook about confidentiality.</w:t>
      </w:r>
    </w:p>
    <w:p w14:paraId="213F07F0" w14:textId="6575ACA3" w:rsidR="78979F44" w:rsidRDefault="78979F44" w:rsidP="7336895D">
      <w:pPr>
        <w:pStyle w:val="ListParagraph"/>
        <w:numPr>
          <w:ilvl w:val="0"/>
          <w:numId w:val="5"/>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identify individuals including witnesses, victims, or offenders by name.</w:t>
      </w:r>
    </w:p>
    <w:p w14:paraId="29F81CCF" w14:textId="7CFC8D22"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10A7296A"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take personal responsibility for adhering to confidentiality rules. </w:t>
      </w:r>
    </w:p>
    <w:p w14:paraId="25DD461F" w14:textId="662C132D"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include any dates of any incidents or anything that specifically identifies an actual incident.</w:t>
      </w:r>
    </w:p>
    <w:p w14:paraId="7E8B1CB2" w14:textId="14752469" w:rsidR="7336895D" w:rsidRDefault="7336895D" w:rsidP="7336895D">
      <w:pPr>
        <w:ind w:right="237"/>
        <w:jc w:val="both"/>
        <w:rPr>
          <w:rFonts w:ascii="Arial" w:eastAsia="Arial" w:hAnsi="Arial" w:cs="Arial"/>
          <w:color w:val="000000" w:themeColor="text1"/>
          <w:sz w:val="24"/>
          <w:szCs w:val="24"/>
        </w:rPr>
      </w:pPr>
    </w:p>
    <w:p w14:paraId="01571990" w14:textId="786D175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NOTE</w:t>
      </w:r>
    </w:p>
    <w:p w14:paraId="090742B3" w14:textId="757A1186" w:rsidR="7336895D" w:rsidRDefault="7336895D" w:rsidP="7336895D">
      <w:pPr>
        <w:ind w:right="237"/>
        <w:jc w:val="both"/>
        <w:rPr>
          <w:rFonts w:ascii="Arial" w:eastAsia="Arial" w:hAnsi="Arial" w:cs="Arial"/>
          <w:color w:val="000000" w:themeColor="text1"/>
          <w:sz w:val="24"/>
          <w:szCs w:val="24"/>
        </w:rPr>
      </w:pPr>
    </w:p>
    <w:p w14:paraId="665B1972" w14:textId="6F93F15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Your workbook will be submitted electronically via Turnitin on Moodle. Guidance on this is in the Candidate Handbook. </w:t>
      </w:r>
    </w:p>
    <w:p w14:paraId="7EB9B71D" w14:textId="2BE9DCA0" w:rsidR="7336895D" w:rsidRDefault="7336895D" w:rsidP="7336895D">
      <w:pPr>
        <w:ind w:left="360" w:right="237"/>
        <w:jc w:val="both"/>
        <w:rPr>
          <w:rFonts w:ascii="Arial" w:eastAsia="Arial" w:hAnsi="Arial" w:cs="Arial"/>
          <w:color w:val="000000" w:themeColor="text1"/>
          <w:sz w:val="24"/>
          <w:szCs w:val="24"/>
        </w:rPr>
      </w:pPr>
    </w:p>
    <w:p w14:paraId="366B59AD" w14:textId="32E77C1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7F412B4E" w14:textId="3C80DA6A" w:rsidR="7336895D" w:rsidRDefault="7336895D" w:rsidP="7336895D">
      <w:pPr>
        <w:ind w:left="360" w:right="237"/>
        <w:jc w:val="both"/>
        <w:rPr>
          <w:rFonts w:ascii="Arial" w:eastAsia="Arial" w:hAnsi="Arial" w:cs="Arial"/>
          <w:color w:val="000000" w:themeColor="text1"/>
          <w:sz w:val="24"/>
          <w:szCs w:val="24"/>
        </w:rPr>
      </w:pPr>
    </w:p>
    <w:p w14:paraId="1E1EAC82" w14:textId="77F82097" w:rsidR="7336895D" w:rsidRDefault="7336895D" w:rsidP="7336895D">
      <w:pPr>
        <w:ind w:right="237"/>
        <w:jc w:val="both"/>
        <w:rPr>
          <w:rFonts w:ascii="Arial" w:eastAsia="Arial" w:hAnsi="Arial" w:cs="Arial"/>
          <w:color w:val="000000" w:themeColor="text1"/>
          <w:sz w:val="24"/>
          <w:szCs w:val="24"/>
        </w:rPr>
      </w:pPr>
    </w:p>
    <w:p w14:paraId="06157856" w14:textId="3B406502"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Dyslexia and other special circumstances</w:t>
      </w:r>
    </w:p>
    <w:p w14:paraId="3351012F" w14:textId="6CDF6D6C" w:rsidR="7336895D" w:rsidRDefault="7336895D" w:rsidP="7336895D">
      <w:pPr>
        <w:ind w:right="237"/>
        <w:jc w:val="both"/>
        <w:rPr>
          <w:rFonts w:ascii="Arial" w:eastAsia="Arial" w:hAnsi="Arial" w:cs="Arial"/>
          <w:color w:val="000000" w:themeColor="text1"/>
          <w:sz w:val="24"/>
          <w:szCs w:val="24"/>
        </w:rPr>
      </w:pPr>
    </w:p>
    <w:p w14:paraId="4C7E4EAB" w14:textId="60C6466B"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If you have any condition that you feel may affect your ability to deal with any part of the programme, please see the Candidate Handbook for further guidance. The University has a Student Services Unit that may be able to help but </w:t>
      </w:r>
      <w:r w:rsidRPr="7336895D">
        <w:rPr>
          <w:rFonts w:ascii="Arial" w:eastAsia="Arial" w:hAnsi="Arial" w:cs="Arial"/>
          <w:b/>
          <w:bCs/>
          <w:i/>
          <w:iCs/>
          <w:color w:val="000000" w:themeColor="text1"/>
          <w:sz w:val="24"/>
          <w:szCs w:val="24"/>
        </w:rPr>
        <w:t>it is the learner’s individual responsibility to contact them</w:t>
      </w:r>
      <w:r w:rsidRPr="7336895D">
        <w:rPr>
          <w:rFonts w:ascii="Arial" w:eastAsia="Arial" w:hAnsi="Arial" w:cs="Arial"/>
          <w:color w:val="000000" w:themeColor="text1"/>
          <w:sz w:val="24"/>
          <w:szCs w:val="24"/>
        </w:rPr>
        <w:t>.</w:t>
      </w:r>
    </w:p>
    <w:p w14:paraId="560FADE2" w14:textId="4C58098B"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7BBC3611" w14:textId="4416661B" w:rsidR="7336895D" w:rsidRDefault="7336895D" w:rsidP="515A1CF8">
      <w:pPr>
        <w:spacing w:before="120" w:after="0" w:line="240" w:lineRule="auto"/>
        <w:ind w:left="720"/>
        <w:jc w:val="center"/>
        <w:rPr>
          <w:rFonts w:ascii="Arial" w:eastAsia="Arial" w:hAnsi="Arial" w:cs="Arial"/>
          <w:color w:val="000000" w:themeColor="text1"/>
        </w:rPr>
      </w:pPr>
    </w:p>
    <w:p w14:paraId="6D380843" w14:textId="23B29ACB" w:rsidR="78979F44" w:rsidRDefault="78979F44" w:rsidP="515A1CF8">
      <w:pPr>
        <w:jc w:val="center"/>
        <w:rPr>
          <w:rFonts w:ascii="Arial" w:eastAsia="Arial" w:hAnsi="Arial" w:cs="Arial"/>
          <w:b/>
          <w:bCs/>
          <w:sz w:val="28"/>
          <w:szCs w:val="28"/>
        </w:rPr>
      </w:pPr>
      <w:r w:rsidRPr="515A1CF8">
        <w:rPr>
          <w:rFonts w:ascii="Arial" w:eastAsia="Arial" w:hAnsi="Arial" w:cs="Arial"/>
          <w:b/>
          <w:bCs/>
          <w:sz w:val="28"/>
          <w:szCs w:val="28"/>
        </w:rPr>
        <w:t>Contents</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515A1CF8">
        <w:tc>
          <w:tcPr>
            <w:tcW w:w="3005" w:type="dxa"/>
            <w:shd w:val="clear" w:color="auto" w:fill="5B9BD5" w:themeFill="accent5"/>
          </w:tcPr>
          <w:p w14:paraId="142F514F" w14:textId="0EC2728B" w:rsidR="7336895D" w:rsidRDefault="7336895D" w:rsidP="7336895D">
            <w:pPr>
              <w:rPr>
                <w:rFonts w:ascii="Arial" w:eastAsia="Arial" w:hAnsi="Arial" w:cs="Arial"/>
                <w:b/>
                <w:bCs/>
                <w:sz w:val="28"/>
                <w:szCs w:val="28"/>
              </w:rPr>
            </w:pPr>
          </w:p>
        </w:tc>
        <w:tc>
          <w:tcPr>
            <w:tcW w:w="3005" w:type="dxa"/>
            <w:shd w:val="clear" w:color="auto" w:fill="5B9BD5" w:themeFill="accent5"/>
          </w:tcPr>
          <w:p w14:paraId="10754AEF" w14:textId="7CAC970A" w:rsidR="7336895D" w:rsidRDefault="7336895D" w:rsidP="7336895D">
            <w:pPr>
              <w:rPr>
                <w:rFonts w:ascii="Arial" w:eastAsia="Arial" w:hAnsi="Arial" w:cs="Arial"/>
                <w:b/>
                <w:bCs/>
                <w:sz w:val="24"/>
                <w:szCs w:val="24"/>
              </w:rPr>
            </w:pPr>
          </w:p>
        </w:tc>
        <w:tc>
          <w:tcPr>
            <w:tcW w:w="3005" w:type="dxa"/>
            <w:shd w:val="clear" w:color="auto" w:fill="5B9BD5" w:themeFill="accent5"/>
          </w:tcPr>
          <w:p w14:paraId="64484E9C" w14:textId="305A6342"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Word Count</w:t>
            </w:r>
          </w:p>
        </w:tc>
      </w:tr>
      <w:tr w:rsidR="7336895D" w14:paraId="368A386A" w14:textId="77777777" w:rsidTr="515A1CF8">
        <w:tc>
          <w:tcPr>
            <w:tcW w:w="3005" w:type="dxa"/>
          </w:tcPr>
          <w:p w14:paraId="038D7866" w14:textId="523C0D78"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1</w:t>
            </w:r>
          </w:p>
        </w:tc>
        <w:tc>
          <w:tcPr>
            <w:tcW w:w="3005" w:type="dxa"/>
          </w:tcPr>
          <w:p w14:paraId="63372E0A" w14:textId="17867675" w:rsidR="7336895D" w:rsidRDefault="3522A4A6" w:rsidP="515A1CF8">
            <w:pPr>
              <w:rPr>
                <w:rFonts w:ascii="Arial" w:eastAsia="Arial" w:hAnsi="Arial" w:cs="Arial"/>
                <w:b/>
                <w:bCs/>
              </w:rPr>
            </w:pPr>
            <w:r w:rsidRPr="515A1CF8">
              <w:rPr>
                <w:rFonts w:ascii="Arial" w:eastAsia="Arial" w:hAnsi="Arial" w:cs="Arial"/>
                <w:b/>
                <w:bCs/>
              </w:rPr>
              <w:t xml:space="preserve">Information and intelligence gathering </w:t>
            </w:r>
          </w:p>
        </w:tc>
        <w:tc>
          <w:tcPr>
            <w:tcW w:w="3005" w:type="dxa"/>
          </w:tcPr>
          <w:p w14:paraId="34715AAA" w14:textId="46F89F6C" w:rsidR="7336895D" w:rsidRDefault="3522A4A6" w:rsidP="515A1CF8">
            <w:pPr>
              <w:jc w:val="center"/>
              <w:rPr>
                <w:rFonts w:ascii="Arial" w:eastAsia="Arial" w:hAnsi="Arial" w:cs="Arial"/>
                <w:b/>
                <w:bCs/>
              </w:rPr>
            </w:pPr>
            <w:r w:rsidRPr="515A1CF8">
              <w:rPr>
                <w:rFonts w:ascii="Arial" w:eastAsia="Arial" w:hAnsi="Arial" w:cs="Arial"/>
                <w:b/>
                <w:bCs/>
              </w:rPr>
              <w:t>200</w:t>
            </w:r>
            <w:r w:rsidR="43BA3C9D" w:rsidRPr="515A1CF8">
              <w:rPr>
                <w:rFonts w:ascii="Arial" w:eastAsia="Arial" w:hAnsi="Arial" w:cs="Arial"/>
                <w:b/>
                <w:bCs/>
              </w:rPr>
              <w:t>0</w:t>
            </w:r>
          </w:p>
        </w:tc>
      </w:tr>
      <w:tr w:rsidR="7336895D" w14:paraId="23F16150" w14:textId="77777777" w:rsidTr="515A1CF8">
        <w:tc>
          <w:tcPr>
            <w:tcW w:w="3005" w:type="dxa"/>
          </w:tcPr>
          <w:p w14:paraId="7833C05E" w14:textId="21B42D20" w:rsidR="1F9D89F6" w:rsidRDefault="1F9D89F6" w:rsidP="515A1CF8">
            <w:pPr>
              <w:jc w:val="center"/>
              <w:rPr>
                <w:rFonts w:ascii="Arial" w:eastAsia="Arial" w:hAnsi="Arial" w:cs="Arial"/>
                <w:b/>
                <w:bCs/>
              </w:rPr>
            </w:pPr>
            <w:r w:rsidRPr="515A1CF8">
              <w:rPr>
                <w:rFonts w:ascii="Arial" w:eastAsia="Arial" w:hAnsi="Arial" w:cs="Arial"/>
                <w:b/>
                <w:bCs/>
              </w:rPr>
              <w:t>Task 2</w:t>
            </w:r>
          </w:p>
        </w:tc>
        <w:tc>
          <w:tcPr>
            <w:tcW w:w="3005" w:type="dxa"/>
          </w:tcPr>
          <w:p w14:paraId="40041519" w14:textId="4E758F92" w:rsidR="7336895D" w:rsidRDefault="76EFEBAD" w:rsidP="515A1CF8">
            <w:pPr>
              <w:rPr>
                <w:rFonts w:ascii="Arial" w:eastAsia="Arial" w:hAnsi="Arial" w:cs="Arial"/>
                <w:b/>
                <w:bCs/>
              </w:rPr>
            </w:pPr>
            <w:r w:rsidRPr="515A1CF8">
              <w:rPr>
                <w:rFonts w:ascii="Arial" w:eastAsia="Arial" w:hAnsi="Arial" w:cs="Arial"/>
                <w:b/>
                <w:bCs/>
              </w:rPr>
              <w:t>Safeguarding and Risk assessment</w:t>
            </w:r>
          </w:p>
        </w:tc>
        <w:tc>
          <w:tcPr>
            <w:tcW w:w="3005" w:type="dxa"/>
          </w:tcPr>
          <w:p w14:paraId="3F030E0E" w14:textId="1407C65A" w:rsidR="7336895D" w:rsidRDefault="76EFEBAD" w:rsidP="515A1CF8">
            <w:pPr>
              <w:jc w:val="center"/>
              <w:rPr>
                <w:rFonts w:ascii="Arial" w:eastAsia="Arial" w:hAnsi="Arial" w:cs="Arial"/>
                <w:b/>
                <w:bCs/>
              </w:rPr>
            </w:pPr>
            <w:r w:rsidRPr="515A1CF8">
              <w:rPr>
                <w:rFonts w:ascii="Arial" w:eastAsia="Arial" w:hAnsi="Arial" w:cs="Arial"/>
                <w:b/>
                <w:bCs/>
              </w:rPr>
              <w:t>2000</w:t>
            </w:r>
          </w:p>
        </w:tc>
      </w:tr>
      <w:tr w:rsidR="7336895D" w14:paraId="1F88D916" w14:textId="77777777" w:rsidTr="515A1CF8">
        <w:tc>
          <w:tcPr>
            <w:tcW w:w="3005" w:type="dxa"/>
          </w:tcPr>
          <w:p w14:paraId="4DD48D66" w14:textId="72230023"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3</w:t>
            </w:r>
          </w:p>
        </w:tc>
        <w:tc>
          <w:tcPr>
            <w:tcW w:w="3005" w:type="dxa"/>
          </w:tcPr>
          <w:p w14:paraId="1F9DE1DB" w14:textId="044982C3" w:rsidR="7336895D" w:rsidRDefault="7FF28BF6" w:rsidP="515A1CF8">
            <w:pPr>
              <w:rPr>
                <w:rFonts w:ascii="Arial" w:eastAsia="Arial" w:hAnsi="Arial" w:cs="Arial"/>
                <w:b/>
                <w:bCs/>
              </w:rPr>
            </w:pPr>
            <w:r w:rsidRPr="515A1CF8">
              <w:rPr>
                <w:rFonts w:ascii="Arial" w:eastAsia="Arial" w:hAnsi="Arial" w:cs="Arial"/>
                <w:b/>
                <w:bCs/>
              </w:rPr>
              <w:t>Interview and custody processes</w:t>
            </w:r>
          </w:p>
        </w:tc>
        <w:tc>
          <w:tcPr>
            <w:tcW w:w="3005" w:type="dxa"/>
          </w:tcPr>
          <w:p w14:paraId="1460CC8D" w14:textId="6067515F" w:rsidR="7336895D" w:rsidRDefault="522A5F24" w:rsidP="515A1CF8">
            <w:pPr>
              <w:jc w:val="center"/>
              <w:rPr>
                <w:rFonts w:ascii="Arial" w:eastAsia="Arial" w:hAnsi="Arial" w:cs="Arial"/>
                <w:b/>
                <w:bCs/>
              </w:rPr>
            </w:pPr>
            <w:r w:rsidRPr="515A1CF8">
              <w:rPr>
                <w:rFonts w:ascii="Arial" w:eastAsia="Arial" w:hAnsi="Arial" w:cs="Arial"/>
                <w:b/>
                <w:bCs/>
              </w:rPr>
              <w:t>2000</w:t>
            </w:r>
          </w:p>
        </w:tc>
      </w:tr>
      <w:tr w:rsidR="7336895D" w14:paraId="6CA89FA1" w14:textId="77777777" w:rsidTr="515A1CF8">
        <w:tc>
          <w:tcPr>
            <w:tcW w:w="3005" w:type="dxa"/>
          </w:tcPr>
          <w:p w14:paraId="500E68B8" w14:textId="06C51E03"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4</w:t>
            </w:r>
          </w:p>
        </w:tc>
        <w:tc>
          <w:tcPr>
            <w:tcW w:w="3005" w:type="dxa"/>
          </w:tcPr>
          <w:p w14:paraId="588EE43A" w14:textId="54E9B29B" w:rsidR="7336895D" w:rsidRDefault="4CAD43B7" w:rsidP="515A1CF8">
            <w:pPr>
              <w:rPr>
                <w:rFonts w:ascii="Arial" w:eastAsia="Arial" w:hAnsi="Arial" w:cs="Arial"/>
                <w:b/>
                <w:bCs/>
              </w:rPr>
            </w:pPr>
            <w:r w:rsidRPr="515A1CF8">
              <w:rPr>
                <w:rFonts w:ascii="Arial" w:eastAsia="Arial" w:hAnsi="Arial" w:cs="Arial"/>
                <w:b/>
                <w:bCs/>
              </w:rPr>
              <w:t xml:space="preserve">Investigation documentation processes. </w:t>
            </w:r>
          </w:p>
        </w:tc>
        <w:tc>
          <w:tcPr>
            <w:tcW w:w="3005" w:type="dxa"/>
          </w:tcPr>
          <w:p w14:paraId="32C22075" w14:textId="40D67B8E" w:rsidR="7336895D" w:rsidRDefault="4CAD43B7" w:rsidP="515A1CF8">
            <w:pPr>
              <w:spacing w:after="160" w:line="259" w:lineRule="auto"/>
              <w:jc w:val="center"/>
              <w:rPr>
                <w:rFonts w:ascii="Arial" w:eastAsia="Arial" w:hAnsi="Arial" w:cs="Arial"/>
                <w:b/>
                <w:bCs/>
              </w:rPr>
            </w:pPr>
            <w:r w:rsidRPr="515A1CF8">
              <w:rPr>
                <w:rFonts w:ascii="Arial" w:eastAsia="Arial" w:hAnsi="Arial" w:cs="Arial"/>
                <w:b/>
                <w:bCs/>
              </w:rPr>
              <w:t>2000</w:t>
            </w:r>
          </w:p>
        </w:tc>
      </w:tr>
      <w:tr w:rsidR="7336895D" w14:paraId="5FAA5059" w14:textId="77777777" w:rsidTr="515A1CF8">
        <w:tc>
          <w:tcPr>
            <w:tcW w:w="3005" w:type="dxa"/>
          </w:tcPr>
          <w:p w14:paraId="0FFF7DEE" w14:textId="2AF8062F"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Task 5</w:t>
            </w:r>
          </w:p>
          <w:p w14:paraId="6C9EA34F" w14:textId="56F77BB3" w:rsidR="7336895D" w:rsidRDefault="7336895D" w:rsidP="727E3A7D">
            <w:pPr>
              <w:jc w:val="center"/>
              <w:rPr>
                <w:rFonts w:ascii="Arial" w:eastAsia="Arial" w:hAnsi="Arial" w:cs="Arial"/>
                <w:b/>
                <w:bCs/>
                <w:sz w:val="24"/>
                <w:szCs w:val="24"/>
              </w:rPr>
            </w:pPr>
          </w:p>
          <w:p w14:paraId="447FF4D1" w14:textId="2396255B" w:rsidR="7336895D" w:rsidRDefault="7336895D" w:rsidP="727E3A7D">
            <w:pPr>
              <w:jc w:val="center"/>
              <w:rPr>
                <w:rFonts w:ascii="Arial" w:eastAsia="Arial" w:hAnsi="Arial" w:cs="Arial"/>
                <w:b/>
                <w:bCs/>
                <w:sz w:val="24"/>
                <w:szCs w:val="24"/>
              </w:rPr>
            </w:pPr>
          </w:p>
          <w:p w14:paraId="609D83C7" w14:textId="35CBD23D" w:rsidR="7336895D" w:rsidRDefault="7336895D" w:rsidP="727E3A7D">
            <w:pPr>
              <w:jc w:val="center"/>
              <w:rPr>
                <w:rFonts w:ascii="Arial" w:eastAsia="Arial" w:hAnsi="Arial" w:cs="Arial"/>
                <w:b/>
                <w:bCs/>
                <w:sz w:val="24"/>
                <w:szCs w:val="24"/>
              </w:rPr>
            </w:pPr>
          </w:p>
          <w:p w14:paraId="698F2607" w14:textId="4B3FF3C9" w:rsidR="7336895D" w:rsidRDefault="7336895D" w:rsidP="727E3A7D">
            <w:pPr>
              <w:jc w:val="center"/>
              <w:rPr>
                <w:rFonts w:ascii="Arial" w:eastAsia="Arial" w:hAnsi="Arial" w:cs="Arial"/>
                <w:b/>
                <w:bCs/>
                <w:sz w:val="24"/>
                <w:szCs w:val="24"/>
              </w:rPr>
            </w:pPr>
          </w:p>
        </w:tc>
        <w:tc>
          <w:tcPr>
            <w:tcW w:w="3005" w:type="dxa"/>
          </w:tcPr>
          <w:p w14:paraId="3026CA82" w14:textId="04274744" w:rsidR="1F9D89F6" w:rsidRDefault="1F9D89F6" w:rsidP="515A1CF8">
            <w:pPr>
              <w:jc w:val="both"/>
              <w:rPr>
                <w:rFonts w:ascii="Arial" w:eastAsia="Arial" w:hAnsi="Arial" w:cs="Arial"/>
                <w:lang w:val="en-US"/>
              </w:rPr>
            </w:pPr>
            <w:r w:rsidRPr="515A1CF8">
              <w:rPr>
                <w:rFonts w:ascii="Arial" w:eastAsia="Arial" w:hAnsi="Arial" w:cs="Arial"/>
                <w:b/>
                <w:bCs/>
                <w:color w:val="000000" w:themeColor="text1"/>
              </w:rPr>
              <w:t>Personal study/learning plan</w:t>
            </w:r>
          </w:p>
          <w:p w14:paraId="4432633F" w14:textId="71DE49A3" w:rsidR="7336895D" w:rsidRDefault="7336895D" w:rsidP="515A1CF8">
            <w:pPr>
              <w:rPr>
                <w:rFonts w:ascii="Arial" w:eastAsia="Arial" w:hAnsi="Arial" w:cs="Arial"/>
                <w:b/>
                <w:bCs/>
              </w:rPr>
            </w:pPr>
          </w:p>
        </w:tc>
        <w:tc>
          <w:tcPr>
            <w:tcW w:w="3005" w:type="dxa"/>
          </w:tcPr>
          <w:p w14:paraId="76373DB7" w14:textId="016E5C80" w:rsidR="1F9D89F6" w:rsidRDefault="1F9D89F6" w:rsidP="515A1CF8">
            <w:pPr>
              <w:jc w:val="center"/>
              <w:rPr>
                <w:rFonts w:ascii="Arial" w:eastAsia="Arial" w:hAnsi="Arial" w:cs="Arial"/>
                <w:b/>
                <w:bCs/>
              </w:rPr>
            </w:pPr>
            <w:r w:rsidRPr="515A1CF8">
              <w:rPr>
                <w:rFonts w:ascii="Arial" w:eastAsia="Arial" w:hAnsi="Arial" w:cs="Arial"/>
                <w:b/>
                <w:bCs/>
              </w:rPr>
              <w:t>2000</w:t>
            </w:r>
          </w:p>
        </w:tc>
      </w:tr>
      <w:tr w:rsidR="7336895D" w14:paraId="2B7AB660" w14:textId="77777777" w:rsidTr="515A1CF8">
        <w:tc>
          <w:tcPr>
            <w:tcW w:w="3005" w:type="dxa"/>
          </w:tcPr>
          <w:p w14:paraId="161B944D" w14:textId="56EA47D7" w:rsidR="7336895D" w:rsidRDefault="7336895D" w:rsidP="7336895D">
            <w:pPr>
              <w:rPr>
                <w:rFonts w:ascii="Arial" w:eastAsia="Arial" w:hAnsi="Arial" w:cs="Arial"/>
                <w:b/>
                <w:bCs/>
                <w:sz w:val="28"/>
                <w:szCs w:val="28"/>
              </w:rPr>
            </w:pPr>
          </w:p>
        </w:tc>
        <w:tc>
          <w:tcPr>
            <w:tcW w:w="3005" w:type="dxa"/>
          </w:tcPr>
          <w:p w14:paraId="2468FF94" w14:textId="51DC4B62" w:rsidR="1F9D89F6" w:rsidRDefault="1F9D89F6" w:rsidP="727E3A7D">
            <w:pPr>
              <w:jc w:val="center"/>
              <w:rPr>
                <w:rFonts w:ascii="Arial" w:eastAsia="Arial" w:hAnsi="Arial" w:cs="Arial"/>
                <w:b/>
                <w:bCs/>
                <w:color w:val="000000" w:themeColor="text1"/>
                <w:sz w:val="24"/>
                <w:szCs w:val="24"/>
              </w:rPr>
            </w:pPr>
            <w:r w:rsidRPr="727E3A7D">
              <w:rPr>
                <w:rFonts w:ascii="Arial" w:eastAsia="Arial" w:hAnsi="Arial" w:cs="Arial"/>
                <w:b/>
                <w:bCs/>
                <w:color w:val="000000" w:themeColor="text1"/>
                <w:sz w:val="24"/>
                <w:szCs w:val="24"/>
              </w:rPr>
              <w:t>Bibliography</w:t>
            </w:r>
          </w:p>
        </w:tc>
        <w:tc>
          <w:tcPr>
            <w:tcW w:w="3005" w:type="dxa"/>
          </w:tcPr>
          <w:p w14:paraId="336382B5" w14:textId="1A8D32A2" w:rsidR="7336895D" w:rsidRDefault="7336895D" w:rsidP="7336895D">
            <w:pPr>
              <w:rPr>
                <w:rFonts w:ascii="Arial" w:eastAsia="Arial" w:hAnsi="Arial" w:cs="Arial"/>
                <w:b/>
                <w:bCs/>
                <w:sz w:val="24"/>
                <w:szCs w:val="24"/>
              </w:rPr>
            </w:pPr>
          </w:p>
        </w:tc>
      </w:tr>
    </w:tbl>
    <w:p w14:paraId="037229E0" w14:textId="30FF0009" w:rsidR="7336895D" w:rsidRDefault="7336895D" w:rsidP="7336895D">
      <w:pPr>
        <w:rPr>
          <w:rFonts w:ascii="Arial" w:eastAsia="Arial" w:hAnsi="Arial" w:cs="Arial"/>
          <w:b/>
          <w:bCs/>
          <w:sz w:val="28"/>
          <w:szCs w:val="28"/>
        </w:rPr>
      </w:pPr>
    </w:p>
    <w:p w14:paraId="2A8D22EC" w14:textId="28EA3210" w:rsidR="7336895D" w:rsidRDefault="7336895D" w:rsidP="7336895D">
      <w:pPr>
        <w:rPr>
          <w:rFonts w:ascii="Arial" w:eastAsia="Arial" w:hAnsi="Arial" w:cs="Arial"/>
          <w:b/>
          <w:bCs/>
          <w:sz w:val="28"/>
          <w:szCs w:val="28"/>
        </w:rPr>
      </w:pPr>
    </w:p>
    <w:p w14:paraId="4298C1BC" w14:textId="150B9582" w:rsidR="7336895D" w:rsidRDefault="7336895D" w:rsidP="7336895D">
      <w:pPr>
        <w:ind w:left="3600" w:right="107" w:firstLine="720"/>
        <w:jc w:val="both"/>
        <w:rPr>
          <w:rFonts w:ascii="Arial" w:eastAsia="Arial" w:hAnsi="Arial" w:cs="Arial"/>
          <w:b/>
          <w:bCs/>
          <w:color w:val="000000" w:themeColor="text1"/>
          <w:sz w:val="24"/>
          <w:szCs w:val="24"/>
        </w:rPr>
      </w:pPr>
    </w:p>
    <w:p w14:paraId="7D3F1522" w14:textId="78EE0B34" w:rsidR="7336895D" w:rsidRDefault="7336895D" w:rsidP="7336895D">
      <w:pPr>
        <w:ind w:left="3600" w:right="107" w:firstLine="720"/>
        <w:jc w:val="both"/>
        <w:rPr>
          <w:rFonts w:ascii="Arial" w:eastAsia="Arial" w:hAnsi="Arial" w:cs="Arial"/>
          <w:b/>
          <w:bCs/>
          <w:color w:val="000000" w:themeColor="text1"/>
          <w:sz w:val="24"/>
          <w:szCs w:val="24"/>
        </w:rPr>
      </w:pPr>
    </w:p>
    <w:p w14:paraId="188A723A" w14:textId="52D70E67" w:rsidR="727E3A7D" w:rsidRDefault="727E3A7D" w:rsidP="727E3A7D">
      <w:pPr>
        <w:rPr>
          <w:rFonts w:ascii="Arial" w:eastAsia="Arial" w:hAnsi="Arial" w:cs="Arial"/>
          <w:b/>
          <w:bCs/>
          <w:sz w:val="24"/>
          <w:szCs w:val="24"/>
        </w:rPr>
      </w:pPr>
    </w:p>
    <w:p w14:paraId="34843062" w14:textId="56FAD287" w:rsidR="727E3A7D" w:rsidRDefault="727E3A7D" w:rsidP="727E3A7D">
      <w:pPr>
        <w:rPr>
          <w:rFonts w:ascii="Arial" w:eastAsia="Arial" w:hAnsi="Arial" w:cs="Arial"/>
          <w:b/>
          <w:bCs/>
          <w:sz w:val="24"/>
          <w:szCs w:val="24"/>
        </w:rPr>
      </w:pPr>
    </w:p>
    <w:p w14:paraId="5B81185A" w14:textId="3B432C47" w:rsidR="727E3A7D" w:rsidRDefault="727E3A7D" w:rsidP="727E3A7D">
      <w:pPr>
        <w:rPr>
          <w:rFonts w:ascii="Arial" w:eastAsia="Arial" w:hAnsi="Arial" w:cs="Arial"/>
          <w:b/>
          <w:bCs/>
          <w:sz w:val="24"/>
          <w:szCs w:val="24"/>
        </w:rPr>
      </w:pPr>
    </w:p>
    <w:p w14:paraId="1B1971E5" w14:textId="4556C5D8" w:rsidR="727E3A7D" w:rsidRDefault="727E3A7D" w:rsidP="727E3A7D">
      <w:pPr>
        <w:rPr>
          <w:rFonts w:ascii="Arial" w:eastAsia="Arial" w:hAnsi="Arial" w:cs="Arial"/>
          <w:b/>
          <w:bCs/>
          <w:sz w:val="24"/>
          <w:szCs w:val="24"/>
        </w:rPr>
      </w:pPr>
    </w:p>
    <w:p w14:paraId="4DB03199" w14:textId="4A40523F" w:rsidR="727E3A7D" w:rsidRDefault="727E3A7D" w:rsidP="727E3A7D">
      <w:pPr>
        <w:rPr>
          <w:rFonts w:ascii="Arial" w:eastAsia="Arial" w:hAnsi="Arial" w:cs="Arial"/>
          <w:b/>
          <w:bCs/>
          <w:sz w:val="24"/>
          <w:szCs w:val="24"/>
        </w:rPr>
      </w:pPr>
    </w:p>
    <w:p w14:paraId="763D38D9" w14:textId="1307ABDC" w:rsidR="727E3A7D" w:rsidRDefault="727E3A7D" w:rsidP="727E3A7D">
      <w:pPr>
        <w:rPr>
          <w:rFonts w:ascii="Arial" w:eastAsia="Arial" w:hAnsi="Arial" w:cs="Arial"/>
          <w:b/>
          <w:bCs/>
          <w:sz w:val="24"/>
          <w:szCs w:val="24"/>
        </w:rPr>
      </w:pPr>
    </w:p>
    <w:p w14:paraId="42C4A042" w14:textId="0B145901" w:rsidR="727E3A7D" w:rsidRDefault="727E3A7D" w:rsidP="727E3A7D">
      <w:pPr>
        <w:rPr>
          <w:rFonts w:ascii="Arial" w:eastAsia="Arial" w:hAnsi="Arial" w:cs="Arial"/>
          <w:b/>
          <w:bCs/>
          <w:sz w:val="24"/>
          <w:szCs w:val="24"/>
        </w:rPr>
      </w:pPr>
    </w:p>
    <w:p w14:paraId="173E7A2B" w14:textId="65400EB0" w:rsidR="727E3A7D" w:rsidRDefault="727E3A7D" w:rsidP="727E3A7D">
      <w:pPr>
        <w:rPr>
          <w:rFonts w:ascii="Arial" w:eastAsia="Arial" w:hAnsi="Arial" w:cs="Arial"/>
          <w:b/>
          <w:bCs/>
          <w:sz w:val="24"/>
          <w:szCs w:val="24"/>
        </w:rPr>
      </w:pPr>
    </w:p>
    <w:p w14:paraId="05AE11DA" w14:textId="01319218" w:rsidR="727E3A7D" w:rsidRDefault="727E3A7D" w:rsidP="727E3A7D">
      <w:pPr>
        <w:rPr>
          <w:rFonts w:ascii="Arial" w:eastAsia="Arial" w:hAnsi="Arial" w:cs="Arial"/>
          <w:b/>
          <w:bCs/>
          <w:sz w:val="24"/>
          <w:szCs w:val="24"/>
        </w:rPr>
      </w:pPr>
    </w:p>
    <w:p w14:paraId="62F5231B" w14:textId="5D6B4DEA" w:rsidR="010A2EC9" w:rsidRDefault="010A2EC9" w:rsidP="7336895D">
      <w:pPr>
        <w:rPr>
          <w:rFonts w:ascii="Calibri" w:eastAsia="Calibri" w:hAnsi="Calibri" w:cs="Calibri"/>
        </w:rPr>
      </w:pPr>
      <w:r w:rsidRPr="515A1CF8">
        <w:rPr>
          <w:rFonts w:ascii="Arial" w:eastAsia="Arial" w:hAnsi="Arial" w:cs="Arial"/>
          <w:b/>
          <w:bCs/>
          <w:sz w:val="24"/>
          <w:szCs w:val="24"/>
        </w:rPr>
        <w:t xml:space="preserve">Task </w:t>
      </w:r>
      <w:r w:rsidRPr="515A1CF8">
        <w:rPr>
          <w:rFonts w:ascii="Arial" w:eastAsia="Arial" w:hAnsi="Arial" w:cs="Arial"/>
          <w:b/>
          <w:bCs/>
          <w:color w:val="000000" w:themeColor="text1"/>
          <w:sz w:val="24"/>
          <w:szCs w:val="24"/>
        </w:rPr>
        <w:t xml:space="preserve">1: </w:t>
      </w:r>
    </w:p>
    <w:p w14:paraId="0876D802" w14:textId="50410A8F" w:rsidR="727E3A7D" w:rsidRDefault="36ED0FD5"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You must choose a serious and complex investigation in which you played a significant role with the gathering of evidential material. </w:t>
      </w:r>
    </w:p>
    <w:p w14:paraId="1F98BC2F" w14:textId="3FE7CF2F" w:rsidR="727E3A7D" w:rsidRDefault="727E3A7D" w:rsidP="515A1CF8">
      <w:pPr>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7598B4AD" w14:textId="77777777" w:rsidTr="79283025">
        <w:tc>
          <w:tcPr>
            <w:tcW w:w="9015" w:type="dxa"/>
          </w:tcPr>
          <w:p w14:paraId="0754EC58" w14:textId="775FC2FA" w:rsidR="7336895D" w:rsidRDefault="7336895D" w:rsidP="7336895D"/>
          <w:p w14:paraId="51D17758" w14:textId="78D106A6" w:rsidR="7336895D" w:rsidRDefault="0A027A66" w:rsidP="515A1CF8">
            <w:pPr>
              <w:rPr>
                <w:rFonts w:ascii="Arial" w:eastAsia="Arial" w:hAnsi="Arial" w:cs="Arial"/>
                <w:sz w:val="24"/>
                <w:szCs w:val="24"/>
              </w:rPr>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p>
          <w:p w14:paraId="7CAE03A0" w14:textId="08B83F3F" w:rsidR="515A1CF8" w:rsidRDefault="515A1CF8" w:rsidP="515A1CF8">
            <w:pPr>
              <w:rPr>
                <w:rFonts w:ascii="Arial" w:eastAsia="Arial" w:hAnsi="Arial" w:cs="Arial"/>
                <w:color w:val="000000" w:themeColor="text1"/>
                <w:sz w:val="24"/>
                <w:szCs w:val="24"/>
              </w:rPr>
            </w:pPr>
          </w:p>
          <w:p w14:paraId="763D83D5" w14:textId="4463B2B9" w:rsidR="0164F6A5" w:rsidRDefault="0164F6A5"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Evaluate </w:t>
            </w:r>
            <w:r w:rsidRPr="79283025">
              <w:rPr>
                <w:rFonts w:ascii="Arial" w:eastAsia="Arial" w:hAnsi="Arial" w:cs="Arial"/>
                <w:color w:val="000000" w:themeColor="text1"/>
                <w:sz w:val="24"/>
                <w:szCs w:val="24"/>
              </w:rPr>
              <w:t>how you have worked with others (</w:t>
            </w:r>
            <w:r w:rsidR="7EAEC107" w:rsidRPr="79283025">
              <w:rPr>
                <w:rFonts w:ascii="Arial" w:eastAsia="Arial" w:hAnsi="Arial" w:cs="Arial"/>
                <w:color w:val="000000" w:themeColor="text1"/>
                <w:sz w:val="24"/>
                <w:szCs w:val="24"/>
              </w:rPr>
              <w:t>e.g.</w:t>
            </w:r>
            <w:r w:rsidRPr="79283025">
              <w:rPr>
                <w:rFonts w:ascii="Arial" w:eastAsia="Arial" w:hAnsi="Arial" w:cs="Arial"/>
                <w:color w:val="000000" w:themeColor="text1"/>
                <w:sz w:val="24"/>
                <w:szCs w:val="24"/>
              </w:rPr>
              <w:t xml:space="preserve">, investigators, </w:t>
            </w:r>
            <w:proofErr w:type="gramStart"/>
            <w:r w:rsidRPr="79283025">
              <w:rPr>
                <w:rFonts w:ascii="Arial" w:eastAsia="Arial" w:hAnsi="Arial" w:cs="Arial"/>
                <w:color w:val="000000" w:themeColor="text1"/>
                <w:sz w:val="24"/>
                <w:szCs w:val="24"/>
              </w:rPr>
              <w:t>specialists</w:t>
            </w:r>
            <w:proofErr w:type="gramEnd"/>
            <w:r w:rsidRPr="79283025">
              <w:rPr>
                <w:rFonts w:ascii="Arial" w:eastAsia="Arial" w:hAnsi="Arial" w:cs="Arial"/>
                <w:color w:val="000000" w:themeColor="text1"/>
                <w:sz w:val="24"/>
                <w:szCs w:val="24"/>
              </w:rPr>
              <w:t xml:space="preserve"> and managers) to establish and use approp</w:t>
            </w:r>
            <w:r w:rsidR="5AD504FB" w:rsidRPr="79283025">
              <w:rPr>
                <w:rFonts w:ascii="Arial" w:eastAsia="Arial" w:hAnsi="Arial" w:cs="Arial"/>
                <w:color w:val="000000" w:themeColor="text1"/>
                <w:sz w:val="24"/>
                <w:szCs w:val="24"/>
              </w:rPr>
              <w:t xml:space="preserve">riate methods for gathering material. </w:t>
            </w:r>
          </w:p>
          <w:p w14:paraId="2A5CCC9C" w14:textId="2C120F3B" w:rsidR="7336895D" w:rsidRDefault="7336895D" w:rsidP="515A1CF8">
            <w:pPr>
              <w:rPr>
                <w:rFonts w:ascii="Arial" w:eastAsia="Arial" w:hAnsi="Arial" w:cs="Arial"/>
              </w:rPr>
            </w:pPr>
          </w:p>
          <w:p w14:paraId="00A3DFC1" w14:textId="1129976D" w:rsidR="7336895D" w:rsidRDefault="42895FE0" w:rsidP="515A1CF8">
            <w:pPr>
              <w:rPr>
                <w:rFonts w:ascii="Arial" w:eastAsia="Arial" w:hAnsi="Arial" w:cs="Arial"/>
              </w:rPr>
            </w:pPr>
            <w:r w:rsidRPr="79283025">
              <w:rPr>
                <w:rFonts w:ascii="Arial" w:eastAsia="Arial" w:hAnsi="Arial" w:cs="Arial"/>
                <w:b/>
                <w:bCs/>
              </w:rPr>
              <w:t>Assess</w:t>
            </w:r>
            <w:r w:rsidRPr="79283025">
              <w:rPr>
                <w:rFonts w:ascii="Arial" w:eastAsia="Arial" w:hAnsi="Arial" w:cs="Arial"/>
              </w:rPr>
              <w:t xml:space="preserve"> how you have </w:t>
            </w:r>
            <w:r w:rsidR="181D3C55" w:rsidRPr="79283025">
              <w:rPr>
                <w:rFonts w:ascii="Arial" w:eastAsia="Arial" w:hAnsi="Arial" w:cs="Arial"/>
              </w:rPr>
              <w:t>gathered</w:t>
            </w:r>
            <w:r w:rsidRPr="79283025">
              <w:rPr>
                <w:rFonts w:ascii="Arial" w:eastAsia="Arial" w:hAnsi="Arial" w:cs="Arial"/>
              </w:rPr>
              <w:t xml:space="preserve"> </w:t>
            </w:r>
            <w:r w:rsidR="1BF96E37" w:rsidRPr="79283025">
              <w:rPr>
                <w:rFonts w:ascii="Arial" w:eastAsia="Arial" w:hAnsi="Arial" w:cs="Arial"/>
              </w:rPr>
              <w:t>material</w:t>
            </w:r>
            <w:r w:rsidRPr="79283025">
              <w:rPr>
                <w:rFonts w:ascii="Arial" w:eastAsia="Arial" w:hAnsi="Arial" w:cs="Arial"/>
              </w:rPr>
              <w:t xml:space="preserve"> from a range of appropriate sources. C</w:t>
            </w:r>
            <w:r w:rsidR="48EFF644" w:rsidRPr="79283025">
              <w:rPr>
                <w:rFonts w:ascii="Arial" w:eastAsia="Arial" w:hAnsi="Arial" w:cs="Arial"/>
              </w:rPr>
              <w:t xml:space="preserve">onsider how you have recorded and retained evidence in a format </w:t>
            </w:r>
            <w:r w:rsidR="7CC9909C" w:rsidRPr="79283025">
              <w:rPr>
                <w:rFonts w:ascii="Arial" w:eastAsia="Arial" w:hAnsi="Arial" w:cs="Arial"/>
              </w:rPr>
              <w:t xml:space="preserve">in line with policy and procedure. </w:t>
            </w:r>
          </w:p>
          <w:p w14:paraId="675F1B33" w14:textId="21D8656A" w:rsidR="7336895D" w:rsidRDefault="7336895D" w:rsidP="7336895D"/>
          <w:p w14:paraId="3E6715F6" w14:textId="30782BFD" w:rsidR="7336895D" w:rsidRDefault="74F38385" w:rsidP="515A1CF8">
            <w:pPr>
              <w:rPr>
                <w:rFonts w:ascii="Arial" w:eastAsia="Arial" w:hAnsi="Arial" w:cs="Arial"/>
              </w:rPr>
            </w:pPr>
            <w:r w:rsidRPr="79283025">
              <w:rPr>
                <w:rFonts w:ascii="Arial" w:eastAsia="Arial" w:hAnsi="Arial" w:cs="Arial"/>
                <w:b/>
                <w:bCs/>
              </w:rPr>
              <w:t>Describe</w:t>
            </w:r>
            <w:r w:rsidRPr="79283025">
              <w:rPr>
                <w:rFonts w:ascii="Arial" w:eastAsia="Arial" w:hAnsi="Arial" w:cs="Arial"/>
              </w:rPr>
              <w:t xml:space="preserve"> how you have identified and planned your own investigative actions, taking </w:t>
            </w:r>
            <w:r w:rsidR="149FDD07" w:rsidRPr="79283025">
              <w:rPr>
                <w:rFonts w:ascii="Arial" w:eastAsia="Arial" w:hAnsi="Arial" w:cs="Arial"/>
              </w:rPr>
              <w:t>in account</w:t>
            </w:r>
            <w:r w:rsidRPr="79283025">
              <w:rPr>
                <w:rFonts w:ascii="Arial" w:eastAsia="Arial" w:hAnsi="Arial" w:cs="Arial"/>
              </w:rPr>
              <w:t xml:space="preserve"> resources, </w:t>
            </w:r>
            <w:proofErr w:type="gramStart"/>
            <w:r w:rsidR="7964D7A3" w:rsidRPr="79283025">
              <w:rPr>
                <w:rFonts w:ascii="Arial" w:eastAsia="Arial" w:hAnsi="Arial" w:cs="Arial"/>
              </w:rPr>
              <w:t>priorities</w:t>
            </w:r>
            <w:proofErr w:type="gramEnd"/>
            <w:r w:rsidRPr="79283025">
              <w:rPr>
                <w:rFonts w:ascii="Arial" w:eastAsia="Arial" w:hAnsi="Arial" w:cs="Arial"/>
              </w:rPr>
              <w:t xml:space="preserve"> and </w:t>
            </w:r>
            <w:r w:rsidR="09514B01" w:rsidRPr="79283025">
              <w:rPr>
                <w:rFonts w:ascii="Arial" w:eastAsia="Arial" w:hAnsi="Arial" w:cs="Arial"/>
              </w:rPr>
              <w:t>proportionality</w:t>
            </w:r>
            <w:r w:rsidRPr="79283025">
              <w:rPr>
                <w:rFonts w:ascii="Arial" w:eastAsia="Arial" w:hAnsi="Arial" w:cs="Arial"/>
              </w:rPr>
              <w:t xml:space="preserve"> to achieve </w:t>
            </w:r>
            <w:r w:rsidR="63AFFE02" w:rsidRPr="79283025">
              <w:rPr>
                <w:rFonts w:ascii="Arial" w:eastAsia="Arial" w:hAnsi="Arial" w:cs="Arial"/>
              </w:rPr>
              <w:t>investigatory</w:t>
            </w:r>
            <w:r w:rsidR="4E806944" w:rsidRPr="79283025">
              <w:rPr>
                <w:rFonts w:ascii="Arial" w:eastAsia="Arial" w:hAnsi="Arial" w:cs="Arial"/>
              </w:rPr>
              <w:t xml:space="preserve"> objectives. </w:t>
            </w:r>
          </w:p>
          <w:p w14:paraId="4A5988BD" w14:textId="69ED97DF" w:rsidR="7336895D" w:rsidRDefault="7336895D" w:rsidP="7336895D"/>
          <w:p w14:paraId="01B79DB0" w14:textId="09EC329B" w:rsidR="7336895D" w:rsidRDefault="7336895D" w:rsidP="7336895D"/>
          <w:p w14:paraId="52E39293" w14:textId="4C1EC6B2" w:rsidR="7336895D" w:rsidRDefault="51D3E347" w:rsidP="727E3A7D">
            <w:pPr>
              <w:ind w:right="237"/>
              <w:jc w:val="both"/>
              <w:rPr>
                <w:rFonts w:ascii="Calibri" w:eastAsia="Calibri" w:hAnsi="Calibri" w:cs="Calibri"/>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2F7715EC" w14:textId="1135D54F" w:rsidR="7336895D" w:rsidRDefault="7336895D" w:rsidP="7336895D"/>
        </w:tc>
      </w:tr>
    </w:tbl>
    <w:p w14:paraId="6369FF69" w14:textId="20023D75" w:rsidR="7336895D" w:rsidRDefault="7336895D" w:rsidP="7336895D">
      <w:pPr>
        <w:ind w:left="3600" w:right="107" w:firstLine="720"/>
        <w:rPr>
          <w:rFonts w:ascii="Arial" w:eastAsia="Arial" w:hAnsi="Arial" w:cs="Arial"/>
          <w:b/>
          <w:bCs/>
          <w:color w:val="000000" w:themeColor="text1"/>
          <w:sz w:val="24"/>
          <w:szCs w:val="24"/>
        </w:rPr>
      </w:pPr>
    </w:p>
    <w:p w14:paraId="60C3EE1C" w14:textId="77777777" w:rsidR="00A661E7" w:rsidRDefault="00A661E7" w:rsidP="727E3A7D">
      <w:pPr>
        <w:ind w:right="237"/>
        <w:jc w:val="both"/>
        <w:rPr>
          <w:rFonts w:ascii="Arial" w:eastAsia="Arial" w:hAnsi="Arial" w:cs="Arial"/>
          <w:b/>
          <w:bCs/>
          <w:color w:val="000000" w:themeColor="text1"/>
          <w:sz w:val="24"/>
          <w:szCs w:val="24"/>
        </w:rPr>
      </w:pPr>
    </w:p>
    <w:p w14:paraId="638B35D4" w14:textId="53723E11" w:rsidR="7336895D" w:rsidRDefault="5E6D5126" w:rsidP="727E3A7D">
      <w:pPr>
        <w:ind w:right="237"/>
        <w:jc w:val="both"/>
        <w:rPr>
          <w:rFonts w:ascii="Arial" w:eastAsia="Arial" w:hAnsi="Arial" w:cs="Arial"/>
          <w:color w:val="000000" w:themeColor="text1"/>
          <w:sz w:val="24"/>
          <w:szCs w:val="24"/>
        </w:rPr>
      </w:pPr>
      <w:r w:rsidRPr="4651F0B7">
        <w:rPr>
          <w:rFonts w:ascii="Arial" w:eastAsia="Arial" w:hAnsi="Arial" w:cs="Arial"/>
          <w:b/>
          <w:bCs/>
          <w:color w:val="000000" w:themeColor="text1"/>
          <w:sz w:val="24"/>
          <w:szCs w:val="24"/>
        </w:rPr>
        <w:t>ANSWER:</w:t>
      </w:r>
    </w:p>
    <w:p w14:paraId="51C3F615" w14:textId="77777777" w:rsidR="00470E95" w:rsidRPr="00470E95" w:rsidRDefault="00470E95" w:rsidP="00470E95">
      <w:pPr>
        <w:ind w:right="237"/>
        <w:jc w:val="both"/>
        <w:rPr>
          <w:rFonts w:ascii="Arial" w:eastAsia="Arial" w:hAnsi="Arial" w:cs="Arial"/>
          <w:b/>
          <w:bCs/>
          <w:color w:val="000000" w:themeColor="text1"/>
          <w:sz w:val="24"/>
          <w:szCs w:val="24"/>
        </w:rPr>
      </w:pPr>
      <w:r w:rsidRPr="00470E95">
        <w:rPr>
          <w:rFonts w:ascii="Arial" w:eastAsia="Arial" w:hAnsi="Arial" w:cs="Arial"/>
          <w:b/>
          <w:bCs/>
          <w:color w:val="000000" w:themeColor="text1"/>
          <w:sz w:val="24"/>
          <w:szCs w:val="24"/>
        </w:rPr>
        <w:t xml:space="preserve">Give a brief description of the investigation including social and legislative contexts and any relevant cultural, ethnicity and language issues.  </w:t>
      </w:r>
    </w:p>
    <w:p w14:paraId="65C45A2B"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The investigation refers to the murder of an 18-year-old female by an acquaintance, in which the author was the Senior Investigating Officer (SIO). Challenges included the political climate with a renewed drive to implement legislation to reduce violence against women (</w:t>
      </w:r>
      <w:r w:rsidRPr="00470E95">
        <w:rPr>
          <w:rFonts w:ascii="Arial" w:eastAsia="Arial" w:hAnsi="Arial" w:cs="Arial"/>
          <w:i/>
          <w:iCs/>
          <w:color w:val="000000" w:themeColor="text1"/>
          <w:sz w:val="24"/>
          <w:szCs w:val="24"/>
        </w:rPr>
        <w:t>Violence Against Women, Domestic Abuse and Sexual Violence (Wales) Act 2015</w:t>
      </w:r>
      <w:r w:rsidRPr="00470E95">
        <w:rPr>
          <w:rFonts w:ascii="Arial" w:eastAsia="Arial" w:hAnsi="Arial" w:cs="Arial"/>
          <w:color w:val="000000" w:themeColor="text1"/>
          <w:sz w:val="24"/>
          <w:szCs w:val="24"/>
        </w:rPr>
        <w:t xml:space="preserve">) in the wake of high-profile cases such as the murder of Sarah Everard by a serving police officer (BBC, 2021). Public opinions were so strong that investigators had to test the legitimacy of potential witnesses as some touched on the realms of conjecture in their desire to provide evidence in the case. </w:t>
      </w:r>
    </w:p>
    <w:p w14:paraId="38C41BF5"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Further challenges included the community impact from the mechanics of the investigation. The scene was a main thoroughfare into a shopping area one week before Christmas, generating concern from traders, as days went on, that the police presence and ongoing scene management was unnecessary and costing them in lost revenue, with additional financial pressures caused by the Covid 19 pandemic. This frustration overspilled into anger towards police and required </w:t>
      </w:r>
      <w:r w:rsidRPr="00470E95">
        <w:rPr>
          <w:rFonts w:ascii="Arial" w:eastAsia="Arial" w:hAnsi="Arial" w:cs="Arial"/>
          <w:color w:val="000000" w:themeColor="text1"/>
          <w:sz w:val="24"/>
          <w:szCs w:val="24"/>
        </w:rPr>
        <w:lastRenderedPageBreak/>
        <w:t>careful management to strike the right balance between investigative needs and community tension.</w:t>
      </w:r>
    </w:p>
    <w:p w14:paraId="54D30605" w14:textId="77777777" w:rsidR="00470E95" w:rsidRPr="00470E95" w:rsidRDefault="00470E95" w:rsidP="00470E95">
      <w:pPr>
        <w:ind w:right="237"/>
        <w:jc w:val="both"/>
        <w:rPr>
          <w:rFonts w:ascii="Arial" w:eastAsia="Arial" w:hAnsi="Arial" w:cs="Arial"/>
          <w:b/>
          <w:bCs/>
          <w:color w:val="000000" w:themeColor="text1"/>
          <w:sz w:val="24"/>
          <w:szCs w:val="24"/>
        </w:rPr>
      </w:pPr>
      <w:r w:rsidRPr="00470E95">
        <w:rPr>
          <w:rFonts w:ascii="Arial" w:eastAsia="Arial" w:hAnsi="Arial" w:cs="Arial"/>
          <w:b/>
          <w:bCs/>
          <w:color w:val="000000" w:themeColor="text1"/>
          <w:sz w:val="24"/>
          <w:szCs w:val="24"/>
        </w:rPr>
        <w:t xml:space="preserve">Evaluate how you have worked with others (e.g., investigators, </w:t>
      </w:r>
      <w:proofErr w:type="gramStart"/>
      <w:r w:rsidRPr="00470E95">
        <w:rPr>
          <w:rFonts w:ascii="Arial" w:eastAsia="Arial" w:hAnsi="Arial" w:cs="Arial"/>
          <w:b/>
          <w:bCs/>
          <w:color w:val="000000" w:themeColor="text1"/>
          <w:sz w:val="24"/>
          <w:szCs w:val="24"/>
        </w:rPr>
        <w:t>specialists</w:t>
      </w:r>
      <w:proofErr w:type="gramEnd"/>
      <w:r w:rsidRPr="00470E95">
        <w:rPr>
          <w:rFonts w:ascii="Arial" w:eastAsia="Arial" w:hAnsi="Arial" w:cs="Arial"/>
          <w:b/>
          <w:bCs/>
          <w:color w:val="000000" w:themeColor="text1"/>
          <w:sz w:val="24"/>
          <w:szCs w:val="24"/>
        </w:rPr>
        <w:t xml:space="preserve"> and managers) to establish and use appropriate methods for gathering material. </w:t>
      </w:r>
    </w:p>
    <w:p w14:paraId="3E9AE16E"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investigation required structure and a variety of specialists, directed by the SIO, to work towards objectives piecing together the facts surrounding the death and who, if anybody, was responsible. The process of such major investigations has been compared to constructing a jigsaw, but beginning without the pieces, or a picture to work from with potential gaps at the conclusion (O’Neil, 2018). Applying that analogy highlights the importance of the investigation team working together towards a common goal, communicating well, starting with clear parameters and direction from the SIO. Instructions were verbally communicated during briefings supported with written policies made available to staff for reference. The latter being considered as good practice from previous investigations where staff were able to share the rationale and thought processes behind the direction given. This openness assisted in developing staff and provided an opportunity for discussion if other ideas were borne.   </w:t>
      </w:r>
    </w:p>
    <w:p w14:paraId="56C71D37" w14:textId="1EF021BF"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need for a strong team ethos </w:t>
      </w:r>
      <w:r w:rsidR="00011FC5" w:rsidRPr="00470E95">
        <w:rPr>
          <w:rFonts w:ascii="Arial" w:eastAsia="Arial" w:hAnsi="Arial" w:cs="Arial"/>
          <w:color w:val="000000" w:themeColor="text1"/>
          <w:sz w:val="24"/>
          <w:szCs w:val="24"/>
        </w:rPr>
        <w:t>is</w:t>
      </w:r>
      <w:r w:rsidRPr="00470E95">
        <w:rPr>
          <w:rFonts w:ascii="Arial" w:eastAsia="Arial" w:hAnsi="Arial" w:cs="Arial"/>
          <w:color w:val="000000" w:themeColor="text1"/>
          <w:sz w:val="24"/>
          <w:szCs w:val="24"/>
        </w:rPr>
        <w:t xml:space="preserve"> supported by research into the role of the SIO, which found it requires relevant theoretical knowledge, coupled with decision making skills and </w:t>
      </w:r>
      <w:r w:rsidRPr="003B3AA5">
        <w:rPr>
          <w:rFonts w:ascii="Arial" w:eastAsia="Arial" w:hAnsi="Arial" w:cs="Arial"/>
          <w:color w:val="000000" w:themeColor="text1"/>
          <w:sz w:val="24"/>
          <w:szCs w:val="24"/>
          <w:u w:val="single"/>
        </w:rPr>
        <w:t>investigative experience</w:t>
      </w:r>
      <w:r w:rsidRPr="00470E95">
        <w:rPr>
          <w:rFonts w:ascii="Arial" w:eastAsia="Arial" w:hAnsi="Arial" w:cs="Arial"/>
          <w:color w:val="000000" w:themeColor="text1"/>
          <w:sz w:val="24"/>
          <w:szCs w:val="24"/>
        </w:rPr>
        <w:t xml:space="preserve"> with an understanding of how </w:t>
      </w:r>
      <w:r w:rsidRPr="003B3AA5">
        <w:rPr>
          <w:rFonts w:ascii="Arial" w:eastAsia="Arial" w:hAnsi="Arial" w:cs="Arial"/>
          <w:color w:val="000000" w:themeColor="text1"/>
          <w:sz w:val="24"/>
          <w:szCs w:val="24"/>
        </w:rPr>
        <w:t>other disciplines can assist the process, not just superficial familiarity with their methods</w:t>
      </w:r>
      <w:r w:rsidRPr="00470E95">
        <w:rPr>
          <w:rFonts w:ascii="Arial" w:eastAsia="Arial" w:hAnsi="Arial" w:cs="Arial"/>
          <w:color w:val="000000" w:themeColor="text1"/>
          <w:sz w:val="24"/>
          <w:szCs w:val="24"/>
        </w:rPr>
        <w:t xml:space="preserve"> (Donnelly, West, 2019). However, according to </w:t>
      </w:r>
      <w:proofErr w:type="spellStart"/>
      <w:r w:rsidRPr="00470E95">
        <w:rPr>
          <w:rFonts w:ascii="Arial" w:eastAsia="Arial" w:hAnsi="Arial" w:cs="Arial"/>
          <w:color w:val="000000" w:themeColor="text1"/>
          <w:sz w:val="24"/>
          <w:szCs w:val="24"/>
        </w:rPr>
        <w:t>Fahsing</w:t>
      </w:r>
      <w:proofErr w:type="spellEnd"/>
      <w:r w:rsidRPr="00470E95">
        <w:rPr>
          <w:rFonts w:ascii="Arial" w:eastAsia="Arial" w:hAnsi="Arial" w:cs="Arial"/>
          <w:color w:val="000000" w:themeColor="text1"/>
          <w:sz w:val="24"/>
          <w:szCs w:val="24"/>
        </w:rPr>
        <w:t xml:space="preserve"> and Ask, scientifically, the benefits of experience on investigative decision making are undecided (2016). </w:t>
      </w:r>
    </w:p>
    <w:p w14:paraId="2FB8A22B" w14:textId="646828CE"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view of the author is that the key skills of the SIO as decision maker, motivator, and communicator to drive the investigation rely heavily on experience, as referred to in this case. It is also the view that </w:t>
      </w:r>
      <w:r w:rsidR="006D4E47">
        <w:rPr>
          <w:rFonts w:ascii="Arial" w:eastAsia="Arial" w:hAnsi="Arial" w:cs="Arial"/>
          <w:color w:val="000000" w:themeColor="text1"/>
          <w:sz w:val="24"/>
          <w:szCs w:val="24"/>
        </w:rPr>
        <w:t>the</w:t>
      </w:r>
      <w:r w:rsidRPr="00470E95">
        <w:rPr>
          <w:rFonts w:ascii="Arial" w:eastAsia="Arial" w:hAnsi="Arial" w:cs="Arial"/>
          <w:color w:val="000000" w:themeColor="text1"/>
          <w:sz w:val="24"/>
          <w:szCs w:val="24"/>
        </w:rPr>
        <w:t xml:space="preserve"> open approach</w:t>
      </w:r>
      <w:r w:rsidR="00E419DF">
        <w:rPr>
          <w:rFonts w:ascii="Arial" w:eastAsia="Arial" w:hAnsi="Arial" w:cs="Arial"/>
          <w:color w:val="000000" w:themeColor="text1"/>
          <w:sz w:val="24"/>
          <w:szCs w:val="24"/>
        </w:rPr>
        <w:t xml:space="preserve"> adopted</w:t>
      </w:r>
      <w:r w:rsidR="00FA0A6C">
        <w:rPr>
          <w:rFonts w:ascii="Arial" w:eastAsia="Arial" w:hAnsi="Arial" w:cs="Arial"/>
          <w:color w:val="000000" w:themeColor="text1"/>
          <w:sz w:val="24"/>
          <w:szCs w:val="24"/>
        </w:rPr>
        <w:t xml:space="preserve"> did</w:t>
      </w:r>
      <w:r w:rsidRPr="00470E95">
        <w:rPr>
          <w:rFonts w:ascii="Arial" w:eastAsia="Arial" w:hAnsi="Arial" w:cs="Arial"/>
          <w:color w:val="000000" w:themeColor="text1"/>
          <w:sz w:val="24"/>
          <w:szCs w:val="24"/>
        </w:rPr>
        <w:t xml:space="preserve"> not undermine authority but create</w:t>
      </w:r>
      <w:r w:rsidR="00FA0A6C">
        <w:rPr>
          <w:rFonts w:ascii="Arial" w:eastAsia="Arial" w:hAnsi="Arial" w:cs="Arial"/>
          <w:color w:val="000000" w:themeColor="text1"/>
          <w:sz w:val="24"/>
          <w:szCs w:val="24"/>
        </w:rPr>
        <w:t>d</w:t>
      </w:r>
      <w:r w:rsidRPr="00470E95">
        <w:rPr>
          <w:rFonts w:ascii="Arial" w:eastAsia="Arial" w:hAnsi="Arial" w:cs="Arial"/>
          <w:color w:val="000000" w:themeColor="text1"/>
          <w:sz w:val="24"/>
          <w:szCs w:val="24"/>
        </w:rPr>
        <w:t xml:space="preserve"> an environment that encourages a team effort and inclusion of all staff, evidenced through feedback from staff within </w:t>
      </w:r>
      <w:r w:rsidR="00FA0A6C">
        <w:rPr>
          <w:rFonts w:ascii="Arial" w:eastAsia="Arial" w:hAnsi="Arial" w:cs="Arial"/>
          <w:color w:val="000000" w:themeColor="text1"/>
          <w:sz w:val="24"/>
          <w:szCs w:val="24"/>
        </w:rPr>
        <w:t>the</w:t>
      </w:r>
      <w:r w:rsidRPr="00470E95">
        <w:rPr>
          <w:rFonts w:ascii="Arial" w:eastAsia="Arial" w:hAnsi="Arial" w:cs="Arial"/>
          <w:color w:val="000000" w:themeColor="text1"/>
          <w:sz w:val="24"/>
          <w:szCs w:val="24"/>
        </w:rPr>
        <w:t xml:space="preserve"> de-briefs.</w:t>
      </w:r>
    </w:p>
    <w:p w14:paraId="593227A2"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 xml:space="preserve">Practical Application </w:t>
      </w:r>
    </w:p>
    <w:p w14:paraId="74274DC9"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Objectives of a murder investigation are built on foundations known as the five building blocks of a major investigation, as defined by College of Policing (NPCC, 2021). </w:t>
      </w:r>
    </w:p>
    <w:p w14:paraId="22E0135B" w14:textId="77B4B2A5"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Investigative strategies were set around these and appropriate specialists were chosen and briefed by the SIO, setting parameters and clear objectives to locate and gather material relevant to the case, to be managed in accordance with relevant legislation (</w:t>
      </w:r>
      <w:r w:rsidRPr="00470E95">
        <w:rPr>
          <w:rFonts w:ascii="Arial" w:eastAsia="Arial" w:hAnsi="Arial" w:cs="Arial"/>
          <w:i/>
          <w:iCs/>
          <w:color w:val="000000" w:themeColor="text1"/>
          <w:sz w:val="24"/>
          <w:szCs w:val="24"/>
        </w:rPr>
        <w:t>Criminal Procedure and Investigations Act, 1996</w:t>
      </w:r>
      <w:r w:rsidRPr="00470E95">
        <w:rPr>
          <w:rFonts w:ascii="Arial" w:eastAsia="Arial" w:hAnsi="Arial" w:cs="Arial"/>
          <w:color w:val="000000" w:themeColor="text1"/>
          <w:sz w:val="24"/>
          <w:szCs w:val="24"/>
        </w:rPr>
        <w:t>). A further consideration of the SIO being to ensure that staff were fully aware of their responsibilities</w:t>
      </w:r>
      <w:r w:rsidR="00B00B4F">
        <w:rPr>
          <w:rFonts w:ascii="Arial" w:eastAsia="Arial" w:hAnsi="Arial" w:cs="Arial"/>
          <w:color w:val="000000" w:themeColor="text1"/>
          <w:sz w:val="24"/>
          <w:szCs w:val="24"/>
        </w:rPr>
        <w:t xml:space="preserve"> and</w:t>
      </w:r>
      <w:r w:rsidRPr="00470E95">
        <w:rPr>
          <w:rFonts w:ascii="Arial" w:eastAsia="Arial" w:hAnsi="Arial" w:cs="Arial"/>
          <w:color w:val="000000" w:themeColor="text1"/>
          <w:sz w:val="24"/>
          <w:szCs w:val="24"/>
        </w:rPr>
        <w:t xml:space="preserve"> understood the briefing</w:t>
      </w:r>
      <w:r w:rsidR="006C24B0">
        <w:rPr>
          <w:rFonts w:ascii="Arial" w:eastAsia="Arial" w:hAnsi="Arial" w:cs="Arial"/>
          <w:color w:val="000000" w:themeColor="text1"/>
          <w:sz w:val="24"/>
          <w:szCs w:val="24"/>
        </w:rPr>
        <w:t>, with</w:t>
      </w:r>
      <w:r w:rsidRPr="00470E95">
        <w:rPr>
          <w:rFonts w:ascii="Arial" w:eastAsia="Arial" w:hAnsi="Arial" w:cs="Arial"/>
          <w:color w:val="000000" w:themeColor="text1"/>
          <w:sz w:val="24"/>
          <w:szCs w:val="24"/>
        </w:rPr>
        <w:t xml:space="preserve"> appropriate training and experience. It is often the case that little consideration is given to training and experience in the heat of the moment, highlighting the importance of continued CPD to maintain immediate operational readiness.</w:t>
      </w:r>
    </w:p>
    <w:p w14:paraId="09533CF0" w14:textId="424AE93F"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lastRenderedPageBreak/>
        <w:t xml:space="preserve">The following specialist officers were amongst those identified and briefed by the SIO, evidencing the range of the authors knowledge of specialist skills required to progress a complex investigation and interaction with </w:t>
      </w:r>
      <w:r w:rsidR="004F6D79">
        <w:rPr>
          <w:rFonts w:ascii="Arial" w:eastAsia="Arial" w:hAnsi="Arial" w:cs="Arial"/>
          <w:color w:val="000000" w:themeColor="text1"/>
          <w:sz w:val="24"/>
          <w:szCs w:val="24"/>
        </w:rPr>
        <w:t>specialists</w:t>
      </w:r>
      <w:r w:rsidRPr="00470E95">
        <w:rPr>
          <w:rFonts w:ascii="Arial" w:eastAsia="Arial" w:hAnsi="Arial" w:cs="Arial"/>
          <w:color w:val="000000" w:themeColor="text1"/>
          <w:sz w:val="24"/>
          <w:szCs w:val="24"/>
        </w:rPr>
        <w:t>.</w:t>
      </w:r>
    </w:p>
    <w:p w14:paraId="5955837A"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b/>
          <w:bCs/>
          <w:color w:val="000000" w:themeColor="text1"/>
          <w:sz w:val="24"/>
          <w:szCs w:val="24"/>
        </w:rPr>
        <w:t>Office Manager</w:t>
      </w:r>
      <w:r w:rsidRPr="00470E95">
        <w:rPr>
          <w:rFonts w:ascii="Arial" w:eastAsia="Arial" w:hAnsi="Arial" w:cs="Arial"/>
          <w:color w:val="000000" w:themeColor="text1"/>
          <w:sz w:val="24"/>
          <w:szCs w:val="24"/>
        </w:rPr>
        <w:t xml:space="preserve"> – to manage the Major Investigation Room ensuring policies and procedures are adhered to utilising the HOLMES database (NPCC, 2021). </w:t>
      </w:r>
    </w:p>
    <w:p w14:paraId="40A1B351"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b/>
          <w:bCs/>
          <w:color w:val="000000" w:themeColor="text1"/>
          <w:sz w:val="24"/>
          <w:szCs w:val="24"/>
        </w:rPr>
        <w:t xml:space="preserve">Intelligence Manger </w:t>
      </w:r>
      <w:r w:rsidRPr="00470E95">
        <w:rPr>
          <w:rFonts w:ascii="Arial" w:eastAsia="Arial" w:hAnsi="Arial" w:cs="Arial"/>
          <w:color w:val="000000" w:themeColor="text1"/>
          <w:sz w:val="24"/>
          <w:szCs w:val="24"/>
        </w:rPr>
        <w:t xml:space="preserve">– overseeing the management of intelligence generated, defined as information that has been analysed to assess its relevance and reliability (National Crime Agency, 2022). </w:t>
      </w:r>
    </w:p>
    <w:p w14:paraId="1668F5A8"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b/>
          <w:bCs/>
          <w:color w:val="000000" w:themeColor="text1"/>
          <w:sz w:val="24"/>
          <w:szCs w:val="24"/>
        </w:rPr>
        <w:t xml:space="preserve">Covert Manger </w:t>
      </w:r>
      <w:r w:rsidRPr="00470E95">
        <w:rPr>
          <w:rFonts w:ascii="Arial" w:eastAsia="Arial" w:hAnsi="Arial" w:cs="Arial"/>
          <w:color w:val="000000" w:themeColor="text1"/>
          <w:sz w:val="24"/>
          <w:szCs w:val="24"/>
        </w:rPr>
        <w:t>– a specialist in covert policing, applying pro-active tactics to meet SIO objectives and obtain intelligence. Covert policing can be considered controversial as the activity can lead to a breach of human rights (</w:t>
      </w:r>
      <w:r w:rsidRPr="00470E95">
        <w:rPr>
          <w:rFonts w:ascii="Arial" w:eastAsia="Arial" w:hAnsi="Arial" w:cs="Arial"/>
          <w:i/>
          <w:iCs/>
          <w:color w:val="000000" w:themeColor="text1"/>
          <w:sz w:val="24"/>
          <w:szCs w:val="24"/>
        </w:rPr>
        <w:t>Human Rights Act, 1998</w:t>
      </w:r>
      <w:r w:rsidRPr="00470E95">
        <w:rPr>
          <w:rFonts w:ascii="Arial" w:eastAsia="Arial" w:hAnsi="Arial" w:cs="Arial"/>
          <w:color w:val="000000" w:themeColor="text1"/>
          <w:sz w:val="24"/>
          <w:szCs w:val="24"/>
        </w:rPr>
        <w:t>) by public authorities (Home Office, 2018), although legislation allows for this breach providing criteria is met (</w:t>
      </w:r>
      <w:r w:rsidRPr="00470E95">
        <w:rPr>
          <w:rFonts w:ascii="Arial" w:eastAsia="Arial" w:hAnsi="Arial" w:cs="Arial"/>
          <w:i/>
          <w:iCs/>
          <w:color w:val="000000" w:themeColor="text1"/>
          <w:sz w:val="24"/>
          <w:szCs w:val="24"/>
        </w:rPr>
        <w:t>Regulation of Investigatory Powers Act</w:t>
      </w:r>
      <w:r w:rsidRPr="00470E95">
        <w:rPr>
          <w:rFonts w:ascii="Arial" w:eastAsia="Arial" w:hAnsi="Arial" w:cs="Arial"/>
          <w:color w:val="000000" w:themeColor="text1"/>
          <w:sz w:val="24"/>
          <w:szCs w:val="24"/>
        </w:rPr>
        <w:t xml:space="preserve">, 2000). </w:t>
      </w:r>
    </w:p>
    <w:p w14:paraId="53A4EF98"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b/>
          <w:bCs/>
          <w:color w:val="000000" w:themeColor="text1"/>
          <w:sz w:val="24"/>
          <w:szCs w:val="24"/>
        </w:rPr>
        <w:t>Family Liaison Officer</w:t>
      </w:r>
      <w:r w:rsidRPr="00470E95">
        <w:rPr>
          <w:rFonts w:ascii="Arial" w:eastAsia="Arial" w:hAnsi="Arial" w:cs="Arial"/>
          <w:color w:val="000000" w:themeColor="text1"/>
          <w:sz w:val="24"/>
          <w:szCs w:val="24"/>
        </w:rPr>
        <w:t xml:space="preserve"> – enquiring within the family of the deceased to identify possible motives based on lifestyle and associates otherwise unknown, ensuring material gathered is submitted through the major investigation room for analysis (Dyfed-Powys Police, 2010) which includes classification, redaction and marking of material as per legal requirements (</w:t>
      </w:r>
      <w:r w:rsidRPr="00470E95">
        <w:rPr>
          <w:rFonts w:ascii="Arial" w:eastAsia="Arial" w:hAnsi="Arial" w:cs="Arial"/>
          <w:i/>
          <w:iCs/>
          <w:color w:val="000000" w:themeColor="text1"/>
          <w:sz w:val="24"/>
          <w:szCs w:val="24"/>
        </w:rPr>
        <w:t>Data Protection Act, 2018</w:t>
      </w:r>
      <w:r w:rsidRPr="00470E95">
        <w:rPr>
          <w:rFonts w:ascii="Arial" w:eastAsia="Arial" w:hAnsi="Arial" w:cs="Arial"/>
          <w:color w:val="000000" w:themeColor="text1"/>
          <w:sz w:val="24"/>
          <w:szCs w:val="24"/>
        </w:rPr>
        <w:t xml:space="preserve">).  </w:t>
      </w:r>
    </w:p>
    <w:p w14:paraId="79887195" w14:textId="2C62B452"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Whilst the authors role was to set parameters and direct the investigation through detailed briefings and policies, the detailed investigative actions were conducted by specialist staff with autonomy. Trust was placed in individuals who may have been unknown </w:t>
      </w:r>
      <w:r w:rsidR="00D10507">
        <w:rPr>
          <w:rFonts w:ascii="Arial" w:eastAsia="Arial" w:hAnsi="Arial" w:cs="Arial"/>
          <w:color w:val="000000" w:themeColor="text1"/>
          <w:sz w:val="24"/>
          <w:szCs w:val="24"/>
        </w:rPr>
        <w:t>to</w:t>
      </w:r>
      <w:r w:rsidRPr="00470E95">
        <w:rPr>
          <w:rFonts w:ascii="Arial" w:eastAsia="Arial" w:hAnsi="Arial" w:cs="Arial"/>
          <w:color w:val="000000" w:themeColor="text1"/>
          <w:sz w:val="24"/>
          <w:szCs w:val="24"/>
        </w:rPr>
        <w:t xml:space="preserve"> the SIO, but the environment created through the tone used in the briefings and humility intentionally shown by the SIO created a team feeling in search of a common goal. The intention of this style of leadership was to engage officers through emotional intelligence to create a strong bond to keep people motivated and committed throughout a challenging period, a style considered to be successful by Goleman, Boyatzis and McKee (2013). </w:t>
      </w:r>
    </w:p>
    <w:p w14:paraId="027A5965" w14:textId="1C77B7BE"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In parts, this process worked well although some team leaders were briefed individually to maintain a sterile corridor between disciplines</w:t>
      </w:r>
      <w:r w:rsidR="00FF7BD5">
        <w:rPr>
          <w:rFonts w:ascii="Arial" w:eastAsia="Arial" w:hAnsi="Arial" w:cs="Arial"/>
          <w:color w:val="000000" w:themeColor="text1"/>
          <w:sz w:val="24"/>
          <w:szCs w:val="24"/>
        </w:rPr>
        <w:t xml:space="preserve"> and</w:t>
      </w:r>
      <w:r w:rsidRPr="00470E95">
        <w:rPr>
          <w:rFonts w:ascii="Arial" w:eastAsia="Arial" w:hAnsi="Arial" w:cs="Arial"/>
          <w:color w:val="000000" w:themeColor="text1"/>
          <w:sz w:val="24"/>
          <w:szCs w:val="24"/>
        </w:rPr>
        <w:t xml:space="preserve"> reduc</w:t>
      </w:r>
      <w:r w:rsidR="00FF7BD5">
        <w:rPr>
          <w:rFonts w:ascii="Arial" w:eastAsia="Arial" w:hAnsi="Arial" w:cs="Arial"/>
          <w:color w:val="000000" w:themeColor="text1"/>
          <w:sz w:val="24"/>
          <w:szCs w:val="24"/>
        </w:rPr>
        <w:t>e</w:t>
      </w:r>
      <w:r w:rsidR="007C50C9">
        <w:rPr>
          <w:rFonts w:ascii="Arial" w:eastAsia="Arial" w:hAnsi="Arial" w:cs="Arial"/>
          <w:color w:val="000000" w:themeColor="text1"/>
          <w:sz w:val="24"/>
          <w:szCs w:val="24"/>
        </w:rPr>
        <w:t xml:space="preserve"> </w:t>
      </w:r>
      <w:r w:rsidRPr="00470E95">
        <w:rPr>
          <w:rFonts w:ascii="Arial" w:eastAsia="Arial" w:hAnsi="Arial" w:cs="Arial"/>
          <w:color w:val="000000" w:themeColor="text1"/>
          <w:sz w:val="24"/>
          <w:szCs w:val="24"/>
        </w:rPr>
        <w:t>ambiguity of roles. This was time consuming and at times, in fast moving investigations, can lead to loss of information between departments and</w:t>
      </w:r>
      <w:r w:rsidR="007C50C9">
        <w:rPr>
          <w:rFonts w:ascii="Arial" w:eastAsia="Arial" w:hAnsi="Arial" w:cs="Arial"/>
          <w:color w:val="000000" w:themeColor="text1"/>
          <w:sz w:val="24"/>
          <w:szCs w:val="24"/>
        </w:rPr>
        <w:t xml:space="preserve"> </w:t>
      </w:r>
      <w:r w:rsidRPr="00470E95">
        <w:rPr>
          <w:rFonts w:ascii="Arial" w:eastAsia="Arial" w:hAnsi="Arial" w:cs="Arial"/>
          <w:color w:val="000000" w:themeColor="text1"/>
          <w:sz w:val="24"/>
          <w:szCs w:val="24"/>
        </w:rPr>
        <w:t>individuals. Furthermore, individual briefings can lead to an over focus on one area and debates with subject matter experts, which is ideal for long term transformation and learning, but not in time critical situations.</w:t>
      </w:r>
    </w:p>
    <w:p w14:paraId="2AC41956"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Recommendation</w:t>
      </w:r>
    </w:p>
    <w:p w14:paraId="400CC113" w14:textId="55833C68"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At times, a situational leadership style should be considered where a more robust, hierarchical approach can bring clarity in times of confusion (Blanchard, 2011), thus, all Senior Investigating Officers should include leadership refresher training in annual continuous professional development. </w:t>
      </w:r>
    </w:p>
    <w:p w14:paraId="78AC937A" w14:textId="77777777" w:rsidR="00470E95" w:rsidRPr="00470E95" w:rsidRDefault="00470E95" w:rsidP="00D21365">
      <w:pPr>
        <w:ind w:right="237"/>
        <w:rPr>
          <w:rFonts w:ascii="Arial" w:eastAsia="Arial" w:hAnsi="Arial" w:cs="Arial"/>
          <w:b/>
          <w:bCs/>
          <w:color w:val="000000" w:themeColor="text1"/>
          <w:sz w:val="24"/>
          <w:szCs w:val="24"/>
        </w:rPr>
      </w:pPr>
    </w:p>
    <w:p w14:paraId="0FA29C6B" w14:textId="77777777" w:rsidR="00470E95" w:rsidRPr="00470E95" w:rsidRDefault="00470E95" w:rsidP="00470E95">
      <w:pPr>
        <w:ind w:right="237"/>
        <w:jc w:val="both"/>
        <w:rPr>
          <w:rFonts w:ascii="Arial" w:eastAsia="Arial" w:hAnsi="Arial" w:cs="Arial"/>
          <w:b/>
          <w:bCs/>
          <w:color w:val="000000" w:themeColor="text1"/>
          <w:sz w:val="24"/>
          <w:szCs w:val="24"/>
        </w:rPr>
      </w:pPr>
      <w:r w:rsidRPr="00470E95">
        <w:rPr>
          <w:rFonts w:ascii="Arial" w:eastAsia="Arial" w:hAnsi="Arial" w:cs="Arial"/>
          <w:b/>
          <w:bCs/>
          <w:color w:val="000000" w:themeColor="text1"/>
          <w:sz w:val="24"/>
          <w:szCs w:val="24"/>
        </w:rPr>
        <w:lastRenderedPageBreak/>
        <w:t xml:space="preserve">Assess how you have gathered material from a range of appropriate sources. Consider how you have recorded and retained evidence in a format in line with policy and procedure. </w:t>
      </w:r>
    </w:p>
    <w:p w14:paraId="6C577A54"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Exhibits</w:t>
      </w:r>
    </w:p>
    <w:p w14:paraId="72FCD0F7" w14:textId="1FF1878A"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Being a murder investigation with an outdoor scene, there was a likelihood that the material to be gathered would be vast and include witness statements, intelligence reports, digital media files, physical </w:t>
      </w:r>
      <w:r w:rsidR="00CD06CC" w:rsidRPr="00470E95">
        <w:rPr>
          <w:rFonts w:ascii="Arial" w:eastAsia="Arial" w:hAnsi="Arial" w:cs="Arial"/>
          <w:color w:val="000000" w:themeColor="text1"/>
          <w:sz w:val="24"/>
          <w:szCs w:val="24"/>
        </w:rPr>
        <w:t>exhibits,</w:t>
      </w:r>
      <w:r w:rsidRPr="00470E95">
        <w:rPr>
          <w:rFonts w:ascii="Arial" w:eastAsia="Arial" w:hAnsi="Arial" w:cs="Arial"/>
          <w:color w:val="000000" w:themeColor="text1"/>
          <w:sz w:val="24"/>
          <w:szCs w:val="24"/>
        </w:rPr>
        <w:t xml:space="preserve"> and CCTV recordings. A key factor in criminal investigations is the ability to maintain integrity of material, requiring exhibits to be lawfully seized </w:t>
      </w:r>
      <w:r w:rsidR="00A14FC2">
        <w:rPr>
          <w:rFonts w:ascii="Arial" w:eastAsia="Arial" w:hAnsi="Arial" w:cs="Arial"/>
          <w:color w:val="000000" w:themeColor="text1"/>
          <w:sz w:val="24"/>
          <w:szCs w:val="24"/>
        </w:rPr>
        <w:t xml:space="preserve">and </w:t>
      </w:r>
      <w:r w:rsidRPr="00470E95">
        <w:rPr>
          <w:rFonts w:ascii="Arial" w:eastAsia="Arial" w:hAnsi="Arial" w:cs="Arial"/>
          <w:color w:val="000000" w:themeColor="text1"/>
          <w:sz w:val="24"/>
          <w:szCs w:val="24"/>
        </w:rPr>
        <w:t>subject to accurate record keeping and precise handling</w:t>
      </w:r>
      <w:r w:rsidR="00A14FC2">
        <w:rPr>
          <w:rFonts w:ascii="Arial" w:eastAsia="Arial" w:hAnsi="Arial" w:cs="Arial"/>
          <w:color w:val="000000" w:themeColor="text1"/>
          <w:sz w:val="24"/>
          <w:szCs w:val="24"/>
        </w:rPr>
        <w:t xml:space="preserve"> </w:t>
      </w:r>
      <w:r w:rsidR="00A14FC2" w:rsidRPr="00470E95">
        <w:rPr>
          <w:rFonts w:ascii="Arial" w:eastAsia="Arial" w:hAnsi="Arial" w:cs="Arial"/>
          <w:i/>
          <w:iCs/>
          <w:color w:val="000000" w:themeColor="text1"/>
          <w:sz w:val="24"/>
          <w:szCs w:val="24"/>
        </w:rPr>
        <w:t>(Police and Criminal Evidence Act, 1984)</w:t>
      </w:r>
      <w:r w:rsidRPr="00470E95">
        <w:rPr>
          <w:rFonts w:ascii="Arial" w:eastAsia="Arial" w:hAnsi="Arial" w:cs="Arial"/>
          <w:color w:val="000000" w:themeColor="text1"/>
          <w:sz w:val="24"/>
          <w:szCs w:val="24"/>
        </w:rPr>
        <w:t>. Unnecessary handling should be avoided to reduce the risk of cross-contamination that can be devastating to a prosecution case (Monckton-Smith, et al, 2013), form the basis of legal challenges or lead to miscarriages of justice (Gill, 2019).  Furthermore, Home Office research in 2003, which remains relevant in today’s investigations, found exhibit management to be one of six areas of major weakness in homicide investigations (Nicol et al, 2004), compared to research in 2011 that found the main failures related to overall supervision and case management. (</w:t>
      </w:r>
      <w:proofErr w:type="spellStart"/>
      <w:r w:rsidRPr="00470E95">
        <w:rPr>
          <w:rFonts w:ascii="Arial" w:eastAsia="Arial" w:hAnsi="Arial" w:cs="Arial"/>
          <w:color w:val="000000" w:themeColor="text1"/>
          <w:sz w:val="24"/>
          <w:szCs w:val="24"/>
        </w:rPr>
        <w:t>Stelfox</w:t>
      </w:r>
      <w:proofErr w:type="spellEnd"/>
      <w:r w:rsidRPr="00470E95">
        <w:rPr>
          <w:rFonts w:ascii="Arial" w:eastAsia="Arial" w:hAnsi="Arial" w:cs="Arial"/>
          <w:color w:val="000000" w:themeColor="text1"/>
          <w:sz w:val="24"/>
          <w:szCs w:val="24"/>
        </w:rPr>
        <w:t xml:space="preserve">, 2011). Whilst all aspects are valid, the handling of exhibits must be prioritised as all staff can play a part and should be expected to perform basic tasks. This is supported by the authors own experiences of rigorous cross examination during murder trials to cast doubt on the credibility of investigators due to poor accuracy of records. </w:t>
      </w:r>
    </w:p>
    <w:p w14:paraId="67E975A9" w14:textId="7E74DFF1"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To minimise errors and ensure policy and procedures were followed, a dedicated exhibits officer was employed to oversee all aspects of exhibit management under the direction of the SIO, and ensure appropriate professional standards set by the Forensic Science Regulator (2020) were achieved. Use of the HOLMES database also supported management of thousands of exhibits, (</w:t>
      </w:r>
      <w:r w:rsidR="007B18F3">
        <w:rPr>
          <w:rFonts w:ascii="Arial" w:eastAsia="Arial" w:hAnsi="Arial" w:cs="Arial"/>
          <w:color w:val="000000" w:themeColor="text1"/>
          <w:sz w:val="24"/>
          <w:szCs w:val="24"/>
        </w:rPr>
        <w:t>N</w:t>
      </w:r>
      <w:r w:rsidR="008745B0">
        <w:rPr>
          <w:rFonts w:ascii="Arial" w:eastAsia="Arial" w:hAnsi="Arial" w:cs="Arial"/>
          <w:color w:val="000000" w:themeColor="text1"/>
          <w:sz w:val="24"/>
          <w:szCs w:val="24"/>
        </w:rPr>
        <w:t xml:space="preserve">ational </w:t>
      </w:r>
      <w:r w:rsidR="007B18F3">
        <w:rPr>
          <w:rFonts w:ascii="Arial" w:eastAsia="Arial" w:hAnsi="Arial" w:cs="Arial"/>
          <w:color w:val="000000" w:themeColor="text1"/>
          <w:sz w:val="24"/>
          <w:szCs w:val="24"/>
        </w:rPr>
        <w:t>P</w:t>
      </w:r>
      <w:r w:rsidR="008745B0">
        <w:rPr>
          <w:rFonts w:ascii="Arial" w:eastAsia="Arial" w:hAnsi="Arial" w:cs="Arial"/>
          <w:color w:val="000000" w:themeColor="text1"/>
          <w:sz w:val="24"/>
          <w:szCs w:val="24"/>
        </w:rPr>
        <w:t xml:space="preserve">olice Chiefs </w:t>
      </w:r>
      <w:r w:rsidR="007B18F3">
        <w:rPr>
          <w:rFonts w:ascii="Arial" w:eastAsia="Arial" w:hAnsi="Arial" w:cs="Arial"/>
          <w:color w:val="000000" w:themeColor="text1"/>
          <w:sz w:val="24"/>
          <w:szCs w:val="24"/>
        </w:rPr>
        <w:t>C</w:t>
      </w:r>
      <w:r w:rsidR="008745B0">
        <w:rPr>
          <w:rFonts w:ascii="Arial" w:eastAsia="Arial" w:hAnsi="Arial" w:cs="Arial"/>
          <w:color w:val="000000" w:themeColor="text1"/>
          <w:sz w:val="24"/>
          <w:szCs w:val="24"/>
        </w:rPr>
        <w:t>ouncil</w:t>
      </w:r>
      <w:r w:rsidR="007B18F3">
        <w:rPr>
          <w:rFonts w:ascii="Arial" w:eastAsia="Arial" w:hAnsi="Arial" w:cs="Arial"/>
          <w:color w:val="000000" w:themeColor="text1"/>
          <w:sz w:val="24"/>
          <w:szCs w:val="24"/>
        </w:rPr>
        <w:t>, 2021)</w:t>
      </w:r>
      <w:r w:rsidRPr="00470E95">
        <w:rPr>
          <w:rFonts w:ascii="Arial" w:eastAsia="Arial" w:hAnsi="Arial" w:cs="Arial"/>
          <w:color w:val="000000" w:themeColor="text1"/>
          <w:sz w:val="24"/>
          <w:szCs w:val="24"/>
        </w:rPr>
        <w:t xml:space="preserve"> by enabling the creation of auditable electronic records. </w:t>
      </w:r>
    </w:p>
    <w:p w14:paraId="0253BDD3"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exhibits officer’s role was to meet the objectives set by the SIO, ensuring all exhibits were appropriately packaged, labelled, and formerly introduced into the investigation with a written evidential statement from the officer producing the item. This process is resource intensive, however, on this occasion, proven to be effective and efficient as exhibit integrity was not challenged during the trial and specialist knowledge was passed on by the officer. </w:t>
      </w:r>
    </w:p>
    <w:p w14:paraId="61A5EA91"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deployment of a dedicated exhibits officer should be mandated where there are numerous scenes in a case that requires PIP3 oversight. </w:t>
      </w:r>
    </w:p>
    <w:p w14:paraId="3524AF3F"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Intelligence</w:t>
      </w:r>
    </w:p>
    <w:p w14:paraId="5B63C3F3" w14:textId="1E68707B"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Not all material gathered was admissible as evidence. Some amounted to intelligence, obtained </w:t>
      </w:r>
      <w:r w:rsidR="00AD1CA3" w:rsidRPr="00470E95">
        <w:rPr>
          <w:rFonts w:ascii="Arial" w:eastAsia="Arial" w:hAnsi="Arial" w:cs="Arial"/>
          <w:color w:val="000000" w:themeColor="text1"/>
          <w:sz w:val="24"/>
          <w:szCs w:val="24"/>
        </w:rPr>
        <w:t>covertly,</w:t>
      </w:r>
      <w:r w:rsidRPr="00470E95">
        <w:rPr>
          <w:rFonts w:ascii="Arial" w:eastAsia="Arial" w:hAnsi="Arial" w:cs="Arial"/>
          <w:color w:val="000000" w:themeColor="text1"/>
          <w:sz w:val="24"/>
          <w:szCs w:val="24"/>
        </w:rPr>
        <w:t xml:space="preserve"> or provided in confidence, which can be controversial due to the potential impact on the human rights of the subject. In the public sector, due to the impact on public confidence, authority to conduct specific operations gathering intelligence sits at a higher level (Office of Surveillance Commissioners, 2021). Furthermore, the integrity of evidential material obtained through intelligence could be challenged that it has been unfairly obtained and </w:t>
      </w:r>
      <w:r w:rsidRPr="00470E95">
        <w:rPr>
          <w:rFonts w:ascii="Arial" w:eastAsia="Arial" w:hAnsi="Arial" w:cs="Arial"/>
          <w:color w:val="000000" w:themeColor="text1"/>
          <w:sz w:val="24"/>
          <w:szCs w:val="24"/>
        </w:rPr>
        <w:lastRenderedPageBreak/>
        <w:t xml:space="preserve">therefore excluded (Police and Criminal Evidence Act, S78, 1984), or, in the cases of covert human intelligence sources (informants) lives can be put at risk. Due to these risks, a dedicated covert manager was </w:t>
      </w:r>
      <w:r w:rsidR="00B05D3F">
        <w:rPr>
          <w:rFonts w:ascii="Arial" w:eastAsia="Arial" w:hAnsi="Arial" w:cs="Arial"/>
          <w:color w:val="000000" w:themeColor="text1"/>
          <w:sz w:val="24"/>
          <w:szCs w:val="24"/>
        </w:rPr>
        <w:t>assigned</w:t>
      </w:r>
      <w:r w:rsidRPr="00470E95">
        <w:rPr>
          <w:rFonts w:ascii="Arial" w:eastAsia="Arial" w:hAnsi="Arial" w:cs="Arial"/>
          <w:color w:val="000000" w:themeColor="text1"/>
          <w:sz w:val="24"/>
          <w:szCs w:val="24"/>
        </w:rPr>
        <w:t xml:space="preserve"> </w:t>
      </w:r>
      <w:r w:rsidR="00CA5111">
        <w:rPr>
          <w:rFonts w:ascii="Arial" w:eastAsia="Arial" w:hAnsi="Arial" w:cs="Arial"/>
          <w:color w:val="000000" w:themeColor="text1"/>
          <w:sz w:val="24"/>
          <w:szCs w:val="24"/>
        </w:rPr>
        <w:t xml:space="preserve">to the investigation </w:t>
      </w:r>
      <w:r w:rsidRPr="00470E95">
        <w:rPr>
          <w:rFonts w:ascii="Arial" w:eastAsia="Arial" w:hAnsi="Arial" w:cs="Arial"/>
          <w:color w:val="000000" w:themeColor="text1"/>
          <w:sz w:val="24"/>
          <w:szCs w:val="24"/>
        </w:rPr>
        <w:t>as a subject matter expert</w:t>
      </w:r>
      <w:r w:rsidR="00CA5111">
        <w:rPr>
          <w:rFonts w:ascii="Arial" w:eastAsia="Arial" w:hAnsi="Arial" w:cs="Arial"/>
          <w:color w:val="000000" w:themeColor="text1"/>
          <w:sz w:val="24"/>
          <w:szCs w:val="24"/>
        </w:rPr>
        <w:t xml:space="preserve">. </w:t>
      </w:r>
    </w:p>
    <w:p w14:paraId="1D6126BC" w14:textId="208E9E80"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The covert manager utilised appropriate methods to meet SIO objectives, for example, identifying associates to provide background information, with processes to record and manage material to protect sources and tactics by restricting access and dissemination. This was achieved by classifying material in accordance with formal guidance (Cabinet Office, 2018), and physically securing data and recording devices</w:t>
      </w:r>
      <w:r w:rsidR="00E041A8">
        <w:rPr>
          <w:rFonts w:ascii="Arial" w:eastAsia="Arial" w:hAnsi="Arial" w:cs="Arial"/>
          <w:color w:val="000000" w:themeColor="text1"/>
          <w:sz w:val="24"/>
          <w:szCs w:val="24"/>
        </w:rPr>
        <w:t xml:space="preserve"> by</w:t>
      </w:r>
      <w:r w:rsidRPr="00470E95">
        <w:rPr>
          <w:rFonts w:ascii="Arial" w:eastAsia="Arial" w:hAnsi="Arial" w:cs="Arial"/>
          <w:color w:val="000000" w:themeColor="text1"/>
          <w:sz w:val="24"/>
          <w:szCs w:val="24"/>
        </w:rPr>
        <w:t xml:space="preserve"> restricting access to offices storing the material. </w:t>
      </w:r>
    </w:p>
    <w:p w14:paraId="3317AB87" w14:textId="31C0CE9A"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Despite the additional measures in place, it has been argued that the collection of data within law enforcement remains underregulated (</w:t>
      </w:r>
      <w:proofErr w:type="spellStart"/>
      <w:r w:rsidRPr="00470E95">
        <w:rPr>
          <w:rFonts w:ascii="Arial" w:eastAsia="Arial" w:hAnsi="Arial" w:cs="Arial"/>
          <w:color w:val="000000" w:themeColor="text1"/>
          <w:sz w:val="24"/>
          <w:szCs w:val="24"/>
        </w:rPr>
        <w:t>Heydari</w:t>
      </w:r>
      <w:proofErr w:type="spellEnd"/>
      <w:r w:rsidRPr="00470E95">
        <w:rPr>
          <w:rFonts w:ascii="Arial" w:eastAsia="Arial" w:hAnsi="Arial" w:cs="Arial"/>
          <w:color w:val="000000" w:themeColor="text1"/>
          <w:sz w:val="24"/>
          <w:szCs w:val="24"/>
        </w:rPr>
        <w:t>, 2021). However, findings of an audit by the Information Commissioners Office of 14 UK police forces in 2020 – 2021</w:t>
      </w:r>
      <w:r w:rsidR="00B03053">
        <w:rPr>
          <w:rFonts w:ascii="Arial" w:eastAsia="Arial" w:hAnsi="Arial" w:cs="Arial"/>
          <w:color w:val="000000" w:themeColor="text1"/>
          <w:sz w:val="24"/>
          <w:szCs w:val="24"/>
        </w:rPr>
        <w:t xml:space="preserve">, despite </w:t>
      </w:r>
      <w:r w:rsidRPr="00470E95">
        <w:rPr>
          <w:rFonts w:ascii="Arial" w:eastAsia="Arial" w:hAnsi="Arial" w:cs="Arial"/>
          <w:color w:val="000000" w:themeColor="text1"/>
          <w:sz w:val="24"/>
          <w:szCs w:val="24"/>
        </w:rPr>
        <w:t>972 recommendations</w:t>
      </w:r>
      <w:r w:rsidR="00B03053">
        <w:rPr>
          <w:rFonts w:ascii="Arial" w:eastAsia="Arial" w:hAnsi="Arial" w:cs="Arial"/>
          <w:color w:val="000000" w:themeColor="text1"/>
          <w:sz w:val="24"/>
          <w:szCs w:val="24"/>
        </w:rPr>
        <w:t xml:space="preserve">, </w:t>
      </w:r>
      <w:r w:rsidRPr="00470E95">
        <w:rPr>
          <w:rFonts w:ascii="Arial" w:eastAsia="Arial" w:hAnsi="Arial" w:cs="Arial"/>
          <w:color w:val="000000" w:themeColor="text1"/>
          <w:sz w:val="24"/>
          <w:szCs w:val="24"/>
        </w:rPr>
        <w:t>contradict this; although the volume of recommendations does highlight the extent of improvements that could be made to police management of data (Information Commissioners Office, 2021).</w:t>
      </w:r>
    </w:p>
    <w:p w14:paraId="2E1C1A7C" w14:textId="03983595"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The deployment of a dedicated </w:t>
      </w:r>
      <w:r w:rsidR="00E529EC">
        <w:rPr>
          <w:rFonts w:ascii="Arial" w:eastAsia="Arial" w:hAnsi="Arial" w:cs="Arial"/>
          <w:color w:val="000000" w:themeColor="text1"/>
          <w:sz w:val="24"/>
          <w:szCs w:val="24"/>
        </w:rPr>
        <w:t xml:space="preserve">intelligence </w:t>
      </w:r>
      <w:r w:rsidRPr="00470E95">
        <w:rPr>
          <w:rFonts w:ascii="Arial" w:eastAsia="Arial" w:hAnsi="Arial" w:cs="Arial"/>
          <w:color w:val="000000" w:themeColor="text1"/>
          <w:sz w:val="24"/>
          <w:szCs w:val="24"/>
        </w:rPr>
        <w:t xml:space="preserve">manager is critical where covert tactics have been utilised, due to the legal complexities and handling processes of the data. Parts of this case relied heavily on the intelligence </w:t>
      </w:r>
      <w:r w:rsidR="00995580">
        <w:rPr>
          <w:rFonts w:ascii="Arial" w:eastAsia="Arial" w:hAnsi="Arial" w:cs="Arial"/>
          <w:color w:val="000000" w:themeColor="text1"/>
          <w:sz w:val="24"/>
          <w:szCs w:val="24"/>
        </w:rPr>
        <w:t>and worked well</w:t>
      </w:r>
      <w:r w:rsidR="00530237">
        <w:rPr>
          <w:rFonts w:ascii="Arial" w:eastAsia="Arial" w:hAnsi="Arial" w:cs="Arial"/>
          <w:color w:val="000000" w:themeColor="text1"/>
          <w:sz w:val="24"/>
          <w:szCs w:val="24"/>
        </w:rPr>
        <w:t xml:space="preserve"> being overseen by a dedicated manager</w:t>
      </w:r>
      <w:r w:rsidRPr="00470E95">
        <w:rPr>
          <w:rFonts w:ascii="Arial" w:eastAsia="Arial" w:hAnsi="Arial" w:cs="Arial"/>
          <w:color w:val="000000" w:themeColor="text1"/>
          <w:sz w:val="24"/>
          <w:szCs w:val="24"/>
        </w:rPr>
        <w:t>. The training of future intelligence managers should be considered due to the time taken and experience required to get to the required standard</w:t>
      </w:r>
      <w:r w:rsidR="00E529EC">
        <w:rPr>
          <w:rFonts w:ascii="Arial" w:eastAsia="Arial" w:hAnsi="Arial" w:cs="Arial"/>
          <w:color w:val="000000" w:themeColor="text1"/>
          <w:sz w:val="24"/>
          <w:szCs w:val="24"/>
        </w:rPr>
        <w:t xml:space="preserve"> as failure </w:t>
      </w:r>
      <w:r w:rsidRPr="00470E95">
        <w:rPr>
          <w:rFonts w:ascii="Arial" w:eastAsia="Arial" w:hAnsi="Arial" w:cs="Arial"/>
          <w:color w:val="000000" w:themeColor="text1"/>
          <w:sz w:val="24"/>
          <w:szCs w:val="24"/>
        </w:rPr>
        <w:t>to futureproof the role will leave the organisation exposed.</w:t>
      </w:r>
    </w:p>
    <w:p w14:paraId="72EA7C01" w14:textId="77777777" w:rsidR="008031A3" w:rsidRDefault="008031A3" w:rsidP="00470E95">
      <w:pPr>
        <w:ind w:right="237"/>
        <w:jc w:val="both"/>
        <w:rPr>
          <w:rFonts w:ascii="Arial" w:eastAsia="Arial" w:hAnsi="Arial" w:cs="Arial"/>
          <w:b/>
          <w:bCs/>
          <w:color w:val="000000" w:themeColor="text1"/>
          <w:sz w:val="24"/>
          <w:szCs w:val="24"/>
        </w:rPr>
      </w:pPr>
    </w:p>
    <w:p w14:paraId="74A6EA62" w14:textId="7F90D93A" w:rsidR="00470E95" w:rsidRPr="00470E95" w:rsidRDefault="00470E95" w:rsidP="00470E95">
      <w:pPr>
        <w:ind w:right="237"/>
        <w:jc w:val="both"/>
        <w:rPr>
          <w:rFonts w:ascii="Arial" w:eastAsia="Arial" w:hAnsi="Arial" w:cs="Arial"/>
          <w:b/>
          <w:bCs/>
          <w:color w:val="000000" w:themeColor="text1"/>
          <w:sz w:val="24"/>
          <w:szCs w:val="24"/>
        </w:rPr>
      </w:pPr>
      <w:r w:rsidRPr="00470E95">
        <w:rPr>
          <w:rFonts w:ascii="Arial" w:eastAsia="Arial" w:hAnsi="Arial" w:cs="Arial"/>
          <w:b/>
          <w:bCs/>
          <w:color w:val="000000" w:themeColor="text1"/>
          <w:sz w:val="24"/>
          <w:szCs w:val="24"/>
        </w:rPr>
        <w:t xml:space="preserve">Describe how you have identified and planned your own investigative actions, taking in account resources, </w:t>
      </w:r>
      <w:proofErr w:type="gramStart"/>
      <w:r w:rsidRPr="00470E95">
        <w:rPr>
          <w:rFonts w:ascii="Arial" w:eastAsia="Arial" w:hAnsi="Arial" w:cs="Arial"/>
          <w:b/>
          <w:bCs/>
          <w:color w:val="000000" w:themeColor="text1"/>
          <w:sz w:val="24"/>
          <w:szCs w:val="24"/>
        </w:rPr>
        <w:t>priorities</w:t>
      </w:r>
      <w:proofErr w:type="gramEnd"/>
      <w:r w:rsidRPr="00470E95">
        <w:rPr>
          <w:rFonts w:ascii="Arial" w:eastAsia="Arial" w:hAnsi="Arial" w:cs="Arial"/>
          <w:b/>
          <w:bCs/>
          <w:color w:val="000000" w:themeColor="text1"/>
          <w:sz w:val="24"/>
          <w:szCs w:val="24"/>
        </w:rPr>
        <w:t xml:space="preserve"> and proportionality to achieve investigatory objectives.</w:t>
      </w:r>
    </w:p>
    <w:p w14:paraId="427A9A47"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 xml:space="preserve">Investigation Planning </w:t>
      </w:r>
    </w:p>
    <w:p w14:paraId="747D6630"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A successful murder investigation has traditionally been defined as a suspect being identified, charged, and convicted (Brookman, Innes, 2013). However, the meaning has evolved, and investigators must now consider not only evidence to convict a suspect, but reducing further crime, contributing to long term public </w:t>
      </w:r>
      <w:proofErr w:type="gramStart"/>
      <w:r w:rsidRPr="00470E95">
        <w:rPr>
          <w:rFonts w:ascii="Arial" w:eastAsia="Arial" w:hAnsi="Arial" w:cs="Arial"/>
          <w:color w:val="000000" w:themeColor="text1"/>
          <w:sz w:val="24"/>
          <w:szCs w:val="24"/>
        </w:rPr>
        <w:t>protection</w:t>
      </w:r>
      <w:proofErr w:type="gramEnd"/>
      <w:r w:rsidRPr="00470E95">
        <w:rPr>
          <w:rFonts w:ascii="Arial" w:eastAsia="Arial" w:hAnsi="Arial" w:cs="Arial"/>
          <w:color w:val="000000" w:themeColor="text1"/>
          <w:sz w:val="24"/>
          <w:szCs w:val="24"/>
        </w:rPr>
        <w:t xml:space="preserve"> and building confidence in the effectiveness of policing (Barber, 2022). Thus, an initial consideration is the declaration of a critical incident (College of Policing, 2013) enhancing the governance structure when wider community engagement or additional force resources are required. A critical incident was rightly declared on this occasion, providing a structure that allowed the SIO to focus on the investigation. </w:t>
      </w:r>
    </w:p>
    <w:p w14:paraId="09C63BD2"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To guide resources an emphasis was put on fast-track actions during the golden hour; the gathering of evidence that diminishes as time passes (Rose, 2021). Investigators were briefed to gather material around topics linked to the building blocks with parameters in place, such as a relevant time (a timeframe that is of </w:t>
      </w:r>
      <w:r w:rsidRPr="00470E95">
        <w:rPr>
          <w:rFonts w:ascii="Arial" w:eastAsia="Arial" w:hAnsi="Arial" w:cs="Arial"/>
          <w:color w:val="000000" w:themeColor="text1"/>
          <w:sz w:val="24"/>
          <w:szCs w:val="24"/>
        </w:rPr>
        <w:lastRenderedPageBreak/>
        <w:t>interest), ages of individuals sought, boundaries for house-to-house enquiries, routes for CCTV in the area, victim and suspect movements and scope of digital media enquiries. This provided investigators with a clear direction in gathering the facts whilst reducing the risk of overburdening the investigation with irrelevant material.</w:t>
      </w:r>
    </w:p>
    <w:p w14:paraId="14F1AED9"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Developing the case</w:t>
      </w:r>
    </w:p>
    <w:p w14:paraId="16CD8038" w14:textId="4F0AB36C"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Murder investigations require the SIO to distinguish between fact and fiction and set key lines of enquiry to fill the gaps. </w:t>
      </w:r>
      <w:proofErr w:type="spellStart"/>
      <w:r w:rsidRPr="00470E95">
        <w:rPr>
          <w:rFonts w:ascii="Arial" w:eastAsia="Arial" w:hAnsi="Arial" w:cs="Arial"/>
          <w:color w:val="000000" w:themeColor="text1"/>
          <w:sz w:val="24"/>
          <w:szCs w:val="24"/>
        </w:rPr>
        <w:t>Fahsing</w:t>
      </w:r>
      <w:proofErr w:type="spellEnd"/>
      <w:r w:rsidRPr="00470E95">
        <w:rPr>
          <w:rFonts w:ascii="Arial" w:eastAsia="Arial" w:hAnsi="Arial" w:cs="Arial"/>
          <w:color w:val="000000" w:themeColor="text1"/>
          <w:sz w:val="24"/>
          <w:szCs w:val="24"/>
        </w:rPr>
        <w:t xml:space="preserve"> refers to this as thinking like a detective (2021) - identify the known facts, hypothesise the unknown and work through processes to prove or disprove those hypotheses. That way the investigator naturally develops a picture as evidence</w:t>
      </w:r>
      <w:r w:rsidR="000E31BD">
        <w:rPr>
          <w:rFonts w:ascii="Arial" w:eastAsia="Arial" w:hAnsi="Arial" w:cs="Arial"/>
          <w:color w:val="000000" w:themeColor="text1"/>
          <w:sz w:val="24"/>
          <w:szCs w:val="24"/>
        </w:rPr>
        <w:t xml:space="preserve"> is</w:t>
      </w:r>
      <w:r w:rsidRPr="00470E95">
        <w:rPr>
          <w:rFonts w:ascii="Arial" w:eastAsia="Arial" w:hAnsi="Arial" w:cs="Arial"/>
          <w:color w:val="000000" w:themeColor="text1"/>
          <w:sz w:val="24"/>
          <w:szCs w:val="24"/>
        </w:rPr>
        <w:t xml:space="preserve"> gathered through a variety of sources, simultaneously negating undermining causes.</w:t>
      </w:r>
    </w:p>
    <w:p w14:paraId="64BC9F76" w14:textId="3CC20495"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In this case, facts were limited, other than the body of a female being recovered with clothing and personal items nearby,</w:t>
      </w:r>
      <w:r w:rsidR="00011FC5">
        <w:rPr>
          <w:rFonts w:ascii="Arial" w:eastAsia="Arial" w:hAnsi="Arial" w:cs="Arial"/>
          <w:color w:val="000000" w:themeColor="text1"/>
          <w:sz w:val="24"/>
          <w:szCs w:val="24"/>
        </w:rPr>
        <w:t xml:space="preserve"> </w:t>
      </w:r>
      <w:r w:rsidRPr="00470E95">
        <w:rPr>
          <w:rFonts w:ascii="Arial" w:eastAsia="Arial" w:hAnsi="Arial" w:cs="Arial"/>
          <w:color w:val="000000" w:themeColor="text1"/>
          <w:sz w:val="24"/>
          <w:szCs w:val="24"/>
        </w:rPr>
        <w:t xml:space="preserve">requiring a range of investigative strategies, from trawling CCTV, interrogating digital </w:t>
      </w:r>
      <w:r w:rsidR="00011FC5" w:rsidRPr="00470E95">
        <w:rPr>
          <w:rFonts w:ascii="Arial" w:eastAsia="Arial" w:hAnsi="Arial" w:cs="Arial"/>
          <w:color w:val="000000" w:themeColor="text1"/>
          <w:sz w:val="24"/>
          <w:szCs w:val="24"/>
        </w:rPr>
        <w:t>devices,</w:t>
      </w:r>
      <w:r w:rsidRPr="00470E95">
        <w:rPr>
          <w:rFonts w:ascii="Arial" w:eastAsia="Arial" w:hAnsi="Arial" w:cs="Arial"/>
          <w:color w:val="000000" w:themeColor="text1"/>
          <w:sz w:val="24"/>
          <w:szCs w:val="24"/>
        </w:rPr>
        <w:t xml:space="preserve"> and speaking with witnesses. Hypothesis included the death being natural, accidental, or sexually motivated and each worked through until it was not feasible or evidence towards one hypothesis was so strong others could be ruled out.</w:t>
      </w:r>
    </w:p>
    <w:p w14:paraId="333E57C5"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Applying </w:t>
      </w:r>
      <w:proofErr w:type="spellStart"/>
      <w:r w:rsidRPr="00470E95">
        <w:rPr>
          <w:rFonts w:ascii="Arial" w:eastAsia="Arial" w:hAnsi="Arial" w:cs="Arial"/>
          <w:color w:val="000000" w:themeColor="text1"/>
          <w:sz w:val="24"/>
          <w:szCs w:val="24"/>
        </w:rPr>
        <w:t>Bortons</w:t>
      </w:r>
      <w:proofErr w:type="spellEnd"/>
      <w:r w:rsidRPr="00470E95">
        <w:rPr>
          <w:rFonts w:ascii="Arial" w:eastAsia="Arial" w:hAnsi="Arial" w:cs="Arial"/>
          <w:color w:val="000000" w:themeColor="text1"/>
          <w:sz w:val="24"/>
          <w:szCs w:val="24"/>
        </w:rPr>
        <w:t xml:space="preserve"> reflective model (</w:t>
      </w:r>
      <w:proofErr w:type="spellStart"/>
      <w:r w:rsidRPr="00470E95">
        <w:rPr>
          <w:rFonts w:ascii="Arial" w:eastAsia="Arial" w:hAnsi="Arial" w:cs="Arial"/>
          <w:color w:val="000000" w:themeColor="text1"/>
          <w:sz w:val="24"/>
          <w:szCs w:val="24"/>
        </w:rPr>
        <w:t>Borton</w:t>
      </w:r>
      <w:proofErr w:type="spellEnd"/>
      <w:r w:rsidRPr="00470E95">
        <w:rPr>
          <w:rFonts w:ascii="Arial" w:eastAsia="Arial" w:hAnsi="Arial" w:cs="Arial"/>
          <w:color w:val="000000" w:themeColor="text1"/>
          <w:sz w:val="24"/>
          <w:szCs w:val="24"/>
        </w:rPr>
        <w:t>, 1970), hypothesis setting often resurrects as a critical influence in how the investigations progresses, as it was in this case. The hypothesis of a sexual motive led investigators to licensed premises where a suspect was identified through CCTV.</w:t>
      </w:r>
    </w:p>
    <w:p w14:paraId="79B9FB9A" w14:textId="77777777" w:rsidR="00470E95" w:rsidRPr="00470E95" w:rsidRDefault="00470E95" w:rsidP="00D21365">
      <w:pPr>
        <w:ind w:right="237"/>
        <w:rPr>
          <w:rFonts w:ascii="Arial" w:eastAsia="Arial" w:hAnsi="Arial" w:cs="Arial"/>
          <w:color w:val="000000" w:themeColor="text1"/>
          <w:sz w:val="24"/>
          <w:szCs w:val="24"/>
          <w:u w:val="single"/>
        </w:rPr>
      </w:pPr>
      <w:r w:rsidRPr="00470E95">
        <w:rPr>
          <w:rFonts w:ascii="Arial" w:eastAsia="Arial" w:hAnsi="Arial" w:cs="Arial"/>
          <w:color w:val="000000" w:themeColor="text1"/>
          <w:sz w:val="24"/>
          <w:szCs w:val="24"/>
          <w:u w:val="single"/>
        </w:rPr>
        <w:t>Proportionality</w:t>
      </w:r>
    </w:p>
    <w:p w14:paraId="6EF63762"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Murder is defined as serious crime (Police Act, 1997), carries a mandatory term of life imprisonment (Murder ((Abolition of Death Penalty)) Act, 1965), and a public expectation that police will apply appropriate resources and tactics. </w:t>
      </w:r>
    </w:p>
    <w:p w14:paraId="76B78EED" w14:textId="77777777"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However, arguments remain that there are different tiers of the offence and not all offenders should be sentenced to whole life terms, and a range of tariffs could be applied in certain circumstances. (UK Parliament, 2015). </w:t>
      </w:r>
    </w:p>
    <w:p w14:paraId="7AF322B0" w14:textId="19ABB001" w:rsidR="00470E95" w:rsidRPr="00470E95" w:rsidRDefault="00470E95" w:rsidP="00D21365">
      <w:pPr>
        <w:ind w:right="237"/>
        <w:rPr>
          <w:rFonts w:ascii="Arial" w:eastAsia="Arial" w:hAnsi="Arial" w:cs="Arial"/>
          <w:color w:val="000000" w:themeColor="text1"/>
          <w:sz w:val="24"/>
          <w:szCs w:val="24"/>
        </w:rPr>
      </w:pPr>
      <w:r w:rsidRPr="00470E95">
        <w:rPr>
          <w:rFonts w:ascii="Arial" w:eastAsia="Arial" w:hAnsi="Arial" w:cs="Arial"/>
          <w:color w:val="000000" w:themeColor="text1"/>
          <w:sz w:val="24"/>
          <w:szCs w:val="24"/>
        </w:rPr>
        <w:t xml:space="preserve">Either of these arguments </w:t>
      </w:r>
      <w:r w:rsidR="001A58D0">
        <w:rPr>
          <w:rFonts w:ascii="Arial" w:eastAsia="Arial" w:hAnsi="Arial" w:cs="Arial"/>
          <w:color w:val="000000" w:themeColor="text1"/>
          <w:sz w:val="24"/>
          <w:szCs w:val="24"/>
        </w:rPr>
        <w:t>still</w:t>
      </w:r>
      <w:r w:rsidRPr="00470E95">
        <w:rPr>
          <w:rFonts w:ascii="Arial" w:eastAsia="Arial" w:hAnsi="Arial" w:cs="Arial"/>
          <w:color w:val="000000" w:themeColor="text1"/>
          <w:sz w:val="24"/>
          <w:szCs w:val="24"/>
        </w:rPr>
        <w:t xml:space="preserve"> necessitate a thorough investigation requiring specialist resources dedicated to the investigation, although funding is not infinite.  This adds an additional burden for senior investigating officers to ensure the investigation remains an efficient and effective use of public funds. In this case an </w:t>
      </w:r>
      <w:r w:rsidR="009B5669" w:rsidRPr="00470E95">
        <w:rPr>
          <w:rFonts w:ascii="Arial" w:eastAsia="Arial" w:hAnsi="Arial" w:cs="Arial"/>
          <w:color w:val="000000" w:themeColor="text1"/>
          <w:sz w:val="24"/>
          <w:szCs w:val="24"/>
        </w:rPr>
        <w:t>insist</w:t>
      </w:r>
      <w:r w:rsidR="009B5669">
        <w:rPr>
          <w:rFonts w:ascii="Arial" w:eastAsia="Arial" w:hAnsi="Arial" w:cs="Arial"/>
          <w:color w:val="000000" w:themeColor="text1"/>
          <w:sz w:val="24"/>
          <w:szCs w:val="24"/>
        </w:rPr>
        <w:t>e</w:t>
      </w:r>
      <w:r w:rsidR="009B5669" w:rsidRPr="00470E95">
        <w:rPr>
          <w:rFonts w:ascii="Arial" w:eastAsia="Arial" w:hAnsi="Arial" w:cs="Arial"/>
          <w:color w:val="000000" w:themeColor="text1"/>
          <w:sz w:val="24"/>
          <w:szCs w:val="24"/>
        </w:rPr>
        <w:t>nce</w:t>
      </w:r>
      <w:r w:rsidRPr="00470E95">
        <w:rPr>
          <w:rFonts w:ascii="Arial" w:eastAsia="Arial" w:hAnsi="Arial" w:cs="Arial"/>
          <w:color w:val="000000" w:themeColor="text1"/>
          <w:sz w:val="24"/>
          <w:szCs w:val="24"/>
        </w:rPr>
        <w:t xml:space="preserve"> that finances were managed by a separate team re</w:t>
      </w:r>
      <w:r w:rsidR="009B5669">
        <w:rPr>
          <w:rFonts w:ascii="Arial" w:eastAsia="Arial" w:hAnsi="Arial" w:cs="Arial"/>
          <w:color w:val="000000" w:themeColor="text1"/>
          <w:sz w:val="24"/>
          <w:szCs w:val="24"/>
        </w:rPr>
        <w:t>lieved</w:t>
      </w:r>
      <w:r w:rsidRPr="00470E95">
        <w:rPr>
          <w:rFonts w:ascii="Arial" w:eastAsia="Arial" w:hAnsi="Arial" w:cs="Arial"/>
          <w:color w:val="000000" w:themeColor="text1"/>
          <w:sz w:val="24"/>
          <w:szCs w:val="24"/>
        </w:rPr>
        <w:t xml:space="preserve"> the SIO of additional non investigative responsibilities and a recommendation for future cases. </w:t>
      </w:r>
    </w:p>
    <w:p w14:paraId="38634008" w14:textId="77777777" w:rsidR="00470E95" w:rsidRPr="00470E95" w:rsidRDefault="00470E95" w:rsidP="00470E95">
      <w:pPr>
        <w:ind w:right="237"/>
        <w:jc w:val="both"/>
        <w:rPr>
          <w:rFonts w:ascii="Arial" w:eastAsia="Arial" w:hAnsi="Arial" w:cs="Arial"/>
          <w:b/>
          <w:bCs/>
          <w:color w:val="000000" w:themeColor="text1"/>
          <w:sz w:val="24"/>
          <w:szCs w:val="24"/>
        </w:rPr>
      </w:pPr>
      <w:r w:rsidRPr="00470E95">
        <w:rPr>
          <w:rFonts w:ascii="Arial" w:eastAsia="Arial" w:hAnsi="Arial" w:cs="Arial"/>
          <w:b/>
          <w:bCs/>
          <w:color w:val="000000" w:themeColor="text1"/>
          <w:sz w:val="24"/>
          <w:szCs w:val="24"/>
        </w:rPr>
        <w:t>Total 2144 words</w:t>
      </w:r>
    </w:p>
    <w:p w14:paraId="7C622042" w14:textId="5792A381" w:rsidR="00A661E7" w:rsidRDefault="00A661E7" w:rsidP="00821BF0">
      <w:pPr>
        <w:ind w:right="107"/>
        <w:rPr>
          <w:rFonts w:ascii="Arial" w:eastAsia="Arial" w:hAnsi="Arial" w:cs="Arial"/>
          <w:color w:val="000000"/>
          <w:sz w:val="24"/>
          <w:szCs w:val="24"/>
          <w:u w:val="single"/>
        </w:rPr>
      </w:pPr>
    </w:p>
    <w:p w14:paraId="2F9764F4" w14:textId="5E08BD5B" w:rsidR="00A661E7" w:rsidRDefault="00A661E7" w:rsidP="00821BF0">
      <w:pPr>
        <w:ind w:right="107"/>
        <w:rPr>
          <w:rFonts w:ascii="Arial" w:eastAsia="Arial" w:hAnsi="Arial" w:cs="Arial"/>
          <w:color w:val="000000"/>
          <w:sz w:val="24"/>
          <w:szCs w:val="24"/>
          <w:u w:val="single"/>
        </w:rPr>
      </w:pPr>
    </w:p>
    <w:p w14:paraId="1055284C" w14:textId="77777777" w:rsidR="00A661E7" w:rsidRDefault="00A661E7" w:rsidP="00821BF0">
      <w:pPr>
        <w:ind w:right="107"/>
        <w:rPr>
          <w:rFonts w:ascii="Arial" w:eastAsia="Arial" w:hAnsi="Arial" w:cs="Arial"/>
          <w:color w:val="000000"/>
          <w:sz w:val="24"/>
          <w:szCs w:val="24"/>
          <w:u w:val="single"/>
        </w:rPr>
      </w:pPr>
    </w:p>
    <w:p w14:paraId="3CAED569" w14:textId="116575BA" w:rsidR="00821BF0" w:rsidRPr="00A661E7" w:rsidRDefault="00821BF0" w:rsidP="00821BF0">
      <w:pPr>
        <w:ind w:right="107"/>
        <w:rPr>
          <w:rFonts w:ascii="Arial" w:eastAsia="Arial" w:hAnsi="Arial" w:cs="Arial"/>
          <w:color w:val="000000"/>
          <w:sz w:val="24"/>
          <w:szCs w:val="24"/>
          <w:u w:val="single"/>
        </w:rPr>
      </w:pPr>
      <w:r w:rsidRPr="00A661E7">
        <w:rPr>
          <w:rFonts w:ascii="Arial" w:eastAsia="Arial" w:hAnsi="Arial" w:cs="Arial"/>
          <w:color w:val="000000"/>
          <w:sz w:val="24"/>
          <w:szCs w:val="24"/>
          <w:u w:val="single"/>
        </w:rPr>
        <w:lastRenderedPageBreak/>
        <w:t>References</w:t>
      </w:r>
    </w:p>
    <w:p w14:paraId="1A3DFE8E" w14:textId="77777777" w:rsidR="00821BF0" w:rsidRPr="00821BF0" w:rsidRDefault="00821BF0" w:rsidP="00821BF0">
      <w:pPr>
        <w:rPr>
          <w:rFonts w:ascii="Arial" w:eastAsia="Arial" w:hAnsi="Arial" w:cs="Arial"/>
          <w:color w:val="000000"/>
          <w:sz w:val="24"/>
          <w:szCs w:val="24"/>
        </w:rPr>
      </w:pPr>
      <w:r w:rsidRPr="00821BF0">
        <w:rPr>
          <w:rFonts w:ascii="Arial" w:eastAsia="Arial" w:hAnsi="Arial" w:cs="Arial"/>
          <w:color w:val="000000"/>
          <w:sz w:val="24"/>
          <w:szCs w:val="24"/>
        </w:rPr>
        <w:t>Barber, M., (2022) ‘Loss of public confidence in policing a serious problem’</w:t>
      </w:r>
      <w:r w:rsidRPr="00821BF0">
        <w:rPr>
          <w:rFonts w:ascii="Arial" w:eastAsia="Arial" w:hAnsi="Arial" w:cs="Arial"/>
          <w:i/>
          <w:iCs/>
          <w:color w:val="000000"/>
          <w:sz w:val="24"/>
          <w:szCs w:val="24"/>
        </w:rPr>
        <w:t xml:space="preserve">, The Evening Standard, </w:t>
      </w:r>
      <w:r w:rsidRPr="00821BF0">
        <w:rPr>
          <w:rFonts w:ascii="Arial" w:eastAsia="Arial" w:hAnsi="Arial" w:cs="Arial"/>
          <w:color w:val="000000"/>
          <w:sz w:val="24"/>
          <w:szCs w:val="24"/>
        </w:rPr>
        <w:t xml:space="preserve">22 February. Available at: </w:t>
      </w:r>
      <w:hyperlink r:id="rId11" w:history="1">
        <w:r w:rsidRPr="00821BF0">
          <w:rPr>
            <w:rFonts w:ascii="Arial" w:eastAsia="Arial" w:hAnsi="Arial" w:cs="Arial"/>
            <w:color w:val="0563C1"/>
            <w:sz w:val="24"/>
            <w:szCs w:val="24"/>
            <w:u w:val="single"/>
          </w:rPr>
          <w:t>https://www.standard.co.uk/news/uk/police-metropolitan-police-government-met-england-b983980.html</w:t>
        </w:r>
      </w:hyperlink>
      <w:r w:rsidRPr="00821BF0">
        <w:rPr>
          <w:rFonts w:ascii="Arial" w:eastAsia="Arial" w:hAnsi="Arial" w:cs="Arial"/>
          <w:color w:val="000000"/>
          <w:sz w:val="24"/>
          <w:szCs w:val="24"/>
        </w:rPr>
        <w:t xml:space="preserve"> (Accessed: 21 March 2022).</w:t>
      </w:r>
    </w:p>
    <w:p w14:paraId="575B4628" w14:textId="0F988E67" w:rsidR="00821BF0" w:rsidRPr="00821BF0" w:rsidRDefault="00821BF0" w:rsidP="00821BF0">
      <w:pPr>
        <w:rPr>
          <w:rFonts w:ascii="Arial" w:eastAsia="Arial" w:hAnsi="Arial" w:cs="Arial"/>
          <w:color w:val="000000"/>
          <w:sz w:val="24"/>
          <w:szCs w:val="24"/>
        </w:rPr>
      </w:pPr>
      <w:r w:rsidRPr="00821BF0">
        <w:rPr>
          <w:rFonts w:ascii="Arial" w:eastAsia="Arial" w:hAnsi="Arial" w:cs="Arial"/>
          <w:color w:val="000000"/>
          <w:sz w:val="24"/>
          <w:szCs w:val="24"/>
        </w:rPr>
        <w:t xml:space="preserve">BBC News (2021) </w:t>
      </w:r>
      <w:hyperlink r:id="rId12">
        <w:r w:rsidRPr="00821BF0">
          <w:rPr>
            <w:rFonts w:ascii="Arial" w:eastAsia="Arial" w:hAnsi="Arial" w:cs="Arial"/>
            <w:color w:val="0563C1"/>
            <w:sz w:val="24"/>
            <w:szCs w:val="24"/>
            <w:u w:val="single"/>
          </w:rPr>
          <w:t>Sarah Everard murder: Wayne Couzens falsely arrested and handcuffed victim - BBC News</w:t>
        </w:r>
      </w:hyperlink>
      <w:r w:rsidRPr="00821BF0">
        <w:rPr>
          <w:rFonts w:ascii="Arial" w:eastAsia="Arial" w:hAnsi="Arial" w:cs="Arial"/>
          <w:color w:val="000000"/>
          <w:sz w:val="24"/>
          <w:szCs w:val="24"/>
        </w:rPr>
        <w:t xml:space="preserve">  Available at: </w:t>
      </w:r>
      <w:hyperlink r:id="rId13" w:history="1">
        <w:r w:rsidR="00EE5072" w:rsidRPr="00821BF0">
          <w:rPr>
            <w:rStyle w:val="Hyperlink"/>
            <w:rFonts w:ascii="Arial" w:eastAsia="Arial" w:hAnsi="Arial" w:cs="Arial"/>
            <w:sz w:val="24"/>
            <w:szCs w:val="24"/>
          </w:rPr>
          <w:t>https://www.bbc.co.uk/news/uk-england-london-58733714</w:t>
        </w:r>
      </w:hyperlink>
      <w:r w:rsidR="00EE5072">
        <w:rPr>
          <w:rFonts w:ascii="Arial" w:eastAsia="Arial" w:hAnsi="Arial" w:cs="Arial"/>
          <w:color w:val="000000"/>
          <w:sz w:val="24"/>
          <w:szCs w:val="24"/>
        </w:rPr>
        <w:t xml:space="preserve"> </w:t>
      </w:r>
      <w:r w:rsidRPr="00821BF0">
        <w:rPr>
          <w:rFonts w:ascii="Arial" w:eastAsia="Arial" w:hAnsi="Arial" w:cs="Arial"/>
          <w:color w:val="000000"/>
          <w:sz w:val="24"/>
          <w:szCs w:val="24"/>
        </w:rPr>
        <w:t>(Accessed: 13 March 2022).</w:t>
      </w:r>
    </w:p>
    <w:p w14:paraId="639F4BB0"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 xml:space="preserve">Blanchard, K., </w:t>
      </w:r>
      <w:proofErr w:type="spellStart"/>
      <w:r w:rsidRPr="00821BF0">
        <w:rPr>
          <w:rFonts w:ascii="Arial" w:eastAsia="Times New Roman" w:hAnsi="Arial" w:cs="Arial"/>
          <w:sz w:val="24"/>
          <w:szCs w:val="24"/>
          <w:lang w:eastAsia="en-GB"/>
        </w:rPr>
        <w:t>Zigarmim</w:t>
      </w:r>
      <w:proofErr w:type="spellEnd"/>
      <w:r w:rsidRPr="00821BF0">
        <w:rPr>
          <w:rFonts w:ascii="Arial" w:eastAsia="Times New Roman" w:hAnsi="Arial" w:cs="Arial"/>
          <w:sz w:val="24"/>
          <w:szCs w:val="24"/>
          <w:lang w:eastAsia="en-GB"/>
        </w:rPr>
        <w:t xml:space="preserve"> P., </w:t>
      </w:r>
      <w:proofErr w:type="spellStart"/>
      <w:r w:rsidRPr="00821BF0">
        <w:rPr>
          <w:rFonts w:ascii="Arial" w:eastAsia="Times New Roman" w:hAnsi="Arial" w:cs="Arial"/>
          <w:sz w:val="24"/>
          <w:szCs w:val="24"/>
          <w:lang w:eastAsia="en-GB"/>
        </w:rPr>
        <w:t>Zigarmi</w:t>
      </w:r>
      <w:proofErr w:type="spellEnd"/>
      <w:r w:rsidRPr="00821BF0">
        <w:rPr>
          <w:rFonts w:ascii="Arial" w:eastAsia="Times New Roman" w:hAnsi="Arial" w:cs="Arial"/>
          <w:sz w:val="24"/>
          <w:szCs w:val="24"/>
          <w:lang w:eastAsia="en-GB"/>
        </w:rPr>
        <w:t xml:space="preserve">, D., (2011) </w:t>
      </w:r>
      <w:r w:rsidRPr="00821BF0">
        <w:rPr>
          <w:rFonts w:ascii="Arial" w:eastAsia="Times New Roman" w:hAnsi="Arial" w:cs="Arial"/>
          <w:i/>
          <w:iCs/>
          <w:sz w:val="24"/>
          <w:szCs w:val="24"/>
          <w:lang w:eastAsia="en-GB"/>
        </w:rPr>
        <w:t xml:space="preserve">Leadership and the one-minute manager. </w:t>
      </w:r>
      <w:r w:rsidRPr="00821BF0">
        <w:rPr>
          <w:rFonts w:ascii="Arial" w:eastAsia="Times New Roman" w:hAnsi="Arial" w:cs="Arial"/>
          <w:sz w:val="24"/>
          <w:szCs w:val="24"/>
          <w:lang w:eastAsia="en-GB"/>
        </w:rPr>
        <w:t>UK: HarperCollins</w:t>
      </w:r>
    </w:p>
    <w:p w14:paraId="71279300" w14:textId="77777777" w:rsidR="00821BF0" w:rsidRPr="00821BF0" w:rsidRDefault="00821BF0" w:rsidP="00821BF0">
      <w:pPr>
        <w:ind w:right="107"/>
        <w:rPr>
          <w:rFonts w:ascii="Arial" w:eastAsia="Arial" w:hAnsi="Arial" w:cs="Arial"/>
          <w:color w:val="000000"/>
          <w:sz w:val="24"/>
          <w:szCs w:val="24"/>
        </w:rPr>
      </w:pPr>
      <w:proofErr w:type="spellStart"/>
      <w:r w:rsidRPr="00821BF0">
        <w:rPr>
          <w:rFonts w:ascii="Arial" w:eastAsia="Arial" w:hAnsi="Arial" w:cs="Arial"/>
          <w:color w:val="000000"/>
          <w:sz w:val="24"/>
          <w:szCs w:val="24"/>
        </w:rPr>
        <w:t>Borton</w:t>
      </w:r>
      <w:proofErr w:type="spellEnd"/>
      <w:r w:rsidRPr="00821BF0">
        <w:rPr>
          <w:rFonts w:ascii="Arial" w:eastAsia="Arial" w:hAnsi="Arial" w:cs="Arial"/>
          <w:color w:val="000000"/>
          <w:sz w:val="24"/>
          <w:szCs w:val="24"/>
        </w:rPr>
        <w:t>, T. (1970) Reach Touch and Teach, London: Hutchinson cited in Jasper, M. (2003) Beginning Reflective Practice, Cheltenham: Nelson Thornes.</w:t>
      </w:r>
    </w:p>
    <w:p w14:paraId="163F4EB4" w14:textId="6FA57E11" w:rsidR="00821BF0" w:rsidRPr="00821BF0" w:rsidRDefault="00821BF0" w:rsidP="00821BF0">
      <w:pPr>
        <w:ind w:right="107"/>
        <w:rPr>
          <w:rFonts w:ascii="Arial" w:eastAsia="Arial" w:hAnsi="Arial" w:cs="Arial"/>
          <w:i/>
          <w:iCs/>
          <w:color w:val="000000"/>
          <w:sz w:val="24"/>
          <w:szCs w:val="24"/>
        </w:rPr>
      </w:pPr>
      <w:r w:rsidRPr="00821BF0">
        <w:rPr>
          <w:rFonts w:ascii="Arial" w:eastAsia="Arial" w:hAnsi="Arial" w:cs="Arial"/>
          <w:color w:val="000000"/>
          <w:sz w:val="24"/>
          <w:szCs w:val="24"/>
        </w:rPr>
        <w:t xml:space="preserve">Brookman, F., Innes, M., (2013) ‘The problem of success: What is a ‘good’ homicide investigation?’, </w:t>
      </w:r>
      <w:r w:rsidRPr="00821BF0">
        <w:rPr>
          <w:rFonts w:ascii="Arial" w:eastAsia="Arial" w:hAnsi="Arial" w:cs="Arial"/>
          <w:i/>
          <w:iCs/>
          <w:color w:val="000000"/>
          <w:sz w:val="24"/>
          <w:szCs w:val="24"/>
        </w:rPr>
        <w:t xml:space="preserve">Policing and Society, </w:t>
      </w:r>
      <w:r w:rsidRPr="00821BF0">
        <w:rPr>
          <w:rFonts w:ascii="Arial" w:eastAsia="Arial" w:hAnsi="Arial" w:cs="Arial"/>
          <w:color w:val="000000"/>
          <w:sz w:val="24"/>
          <w:szCs w:val="24"/>
        </w:rPr>
        <w:t xml:space="preserve">23:3, Available at: </w:t>
      </w:r>
      <w:hyperlink r:id="rId14" w:history="1">
        <w:r w:rsidRPr="00821BF0">
          <w:rPr>
            <w:rFonts w:ascii="Arial" w:eastAsia="Arial" w:hAnsi="Arial" w:cs="Arial"/>
            <w:color w:val="0563C1"/>
            <w:sz w:val="24"/>
            <w:szCs w:val="24"/>
            <w:u w:val="single"/>
          </w:rPr>
          <w:t>https://www.tandfonline.com/action/showCitFormats?doi=10.1080%2F10439463.2013.771538</w:t>
        </w:r>
      </w:hyperlink>
      <w:r w:rsidRPr="00821BF0">
        <w:rPr>
          <w:rFonts w:ascii="Arial" w:eastAsia="Arial" w:hAnsi="Arial" w:cs="Arial"/>
          <w:color w:val="000000"/>
          <w:sz w:val="24"/>
          <w:szCs w:val="24"/>
        </w:rPr>
        <w:t xml:space="preserve"> (Accessed: 20 March 2022).</w:t>
      </w:r>
    </w:p>
    <w:p w14:paraId="15BB11DB"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 xml:space="preserve">Cabinet Office (2018) </w:t>
      </w:r>
      <w:r w:rsidRPr="00821BF0">
        <w:rPr>
          <w:rFonts w:ascii="Arial" w:eastAsia="Arial" w:hAnsi="Arial" w:cs="Arial"/>
          <w:i/>
          <w:iCs/>
          <w:sz w:val="24"/>
          <w:szCs w:val="24"/>
        </w:rPr>
        <w:t xml:space="preserve">Government Security Classifications. </w:t>
      </w:r>
      <w:r w:rsidRPr="00821BF0">
        <w:rPr>
          <w:rFonts w:ascii="Arial" w:eastAsia="Arial" w:hAnsi="Arial" w:cs="Arial"/>
          <w:sz w:val="24"/>
          <w:szCs w:val="24"/>
        </w:rPr>
        <w:t xml:space="preserve">Available at: </w:t>
      </w:r>
      <w:hyperlink r:id="rId15" w:history="1">
        <w:r w:rsidRPr="00821BF0">
          <w:rPr>
            <w:rFonts w:ascii="Arial" w:eastAsia="Arial" w:hAnsi="Arial" w:cs="Arial"/>
            <w:color w:val="0563C1"/>
            <w:sz w:val="24"/>
            <w:szCs w:val="24"/>
            <w:u w:val="single"/>
          </w:rPr>
          <w:t>https://assets.publishing.service.gov.uk/government/uploads/system/uploads/attachment_data/file/715778/May-2018_Government-Security-Classifications-2.pdf</w:t>
        </w:r>
      </w:hyperlink>
      <w:r w:rsidRPr="00821BF0">
        <w:rPr>
          <w:rFonts w:ascii="Arial" w:eastAsia="Arial" w:hAnsi="Arial" w:cs="Arial"/>
          <w:sz w:val="24"/>
          <w:szCs w:val="24"/>
        </w:rPr>
        <w:t xml:space="preserve"> (Accessed: 19 March 2022).</w:t>
      </w:r>
    </w:p>
    <w:p w14:paraId="44A8B675" w14:textId="00328D52" w:rsidR="00821BF0" w:rsidRPr="00821BF0" w:rsidRDefault="00821BF0" w:rsidP="00821BF0">
      <w:pPr>
        <w:ind w:right="107"/>
        <w:rPr>
          <w:rFonts w:ascii="Arial" w:eastAsia="Arial" w:hAnsi="Arial" w:cs="Arial"/>
          <w:color w:val="000000"/>
          <w:sz w:val="24"/>
          <w:szCs w:val="24"/>
        </w:rPr>
      </w:pPr>
      <w:r w:rsidRPr="00821BF0">
        <w:rPr>
          <w:rFonts w:ascii="Arial" w:eastAsia="Arial" w:hAnsi="Arial" w:cs="Arial"/>
          <w:color w:val="000000"/>
          <w:sz w:val="24"/>
          <w:szCs w:val="24"/>
        </w:rPr>
        <w:t xml:space="preserve">College </w:t>
      </w:r>
      <w:proofErr w:type="gramStart"/>
      <w:r w:rsidRPr="00821BF0">
        <w:rPr>
          <w:rFonts w:ascii="Arial" w:eastAsia="Arial" w:hAnsi="Arial" w:cs="Arial"/>
          <w:color w:val="000000"/>
          <w:sz w:val="24"/>
          <w:szCs w:val="24"/>
        </w:rPr>
        <w:t>Of</w:t>
      </w:r>
      <w:proofErr w:type="gramEnd"/>
      <w:r w:rsidRPr="00821BF0">
        <w:rPr>
          <w:rFonts w:ascii="Arial" w:eastAsia="Arial" w:hAnsi="Arial" w:cs="Arial"/>
          <w:color w:val="000000"/>
          <w:sz w:val="24"/>
          <w:szCs w:val="24"/>
        </w:rPr>
        <w:t xml:space="preserve"> Policing (2013) </w:t>
      </w:r>
      <w:r w:rsidRPr="00821BF0">
        <w:rPr>
          <w:rFonts w:ascii="Arial" w:eastAsia="Arial" w:hAnsi="Arial" w:cs="Arial"/>
          <w:i/>
          <w:iCs/>
          <w:color w:val="000000"/>
          <w:sz w:val="24"/>
          <w:szCs w:val="24"/>
        </w:rPr>
        <w:t>Critical Incident Management</w:t>
      </w:r>
      <w:r w:rsidRPr="00821BF0">
        <w:rPr>
          <w:rFonts w:ascii="Arial" w:eastAsia="Arial" w:hAnsi="Arial" w:cs="Arial"/>
          <w:color w:val="000000"/>
          <w:sz w:val="24"/>
          <w:szCs w:val="24"/>
        </w:rPr>
        <w:t xml:space="preserve">. Available at: </w:t>
      </w:r>
      <w:hyperlink r:id="rId16" w:history="1">
        <w:r w:rsidRPr="00821BF0">
          <w:rPr>
            <w:rFonts w:ascii="Arial" w:eastAsia="Arial" w:hAnsi="Arial" w:cs="Arial"/>
            <w:color w:val="0563C1"/>
            <w:sz w:val="24"/>
            <w:szCs w:val="24"/>
            <w:u w:val="single"/>
          </w:rPr>
          <w:t>https://www.app.college.police.uk/app-content/critical-incident-management/types-of-critical-incident/</w:t>
        </w:r>
      </w:hyperlink>
      <w:r w:rsidRPr="00821BF0">
        <w:rPr>
          <w:rFonts w:ascii="Arial" w:eastAsia="Arial" w:hAnsi="Arial" w:cs="Arial"/>
          <w:color w:val="000000"/>
          <w:sz w:val="24"/>
          <w:szCs w:val="24"/>
        </w:rPr>
        <w:t xml:space="preserve"> (Accessed: 20 </w:t>
      </w:r>
      <w:r w:rsidR="0079745E" w:rsidRPr="00821BF0">
        <w:rPr>
          <w:rFonts w:ascii="Arial" w:eastAsia="Arial" w:hAnsi="Arial" w:cs="Arial"/>
          <w:color w:val="000000"/>
          <w:sz w:val="24"/>
          <w:szCs w:val="24"/>
        </w:rPr>
        <w:t>March</w:t>
      </w:r>
      <w:r w:rsidRPr="00821BF0">
        <w:rPr>
          <w:rFonts w:ascii="Arial" w:eastAsia="Arial" w:hAnsi="Arial" w:cs="Arial"/>
          <w:color w:val="000000"/>
          <w:sz w:val="24"/>
          <w:szCs w:val="24"/>
        </w:rPr>
        <w:t xml:space="preserve"> 2022). </w:t>
      </w:r>
    </w:p>
    <w:p w14:paraId="176C6D50" w14:textId="77777777" w:rsidR="00821BF0" w:rsidRPr="00821BF0" w:rsidRDefault="00821BF0" w:rsidP="00821BF0">
      <w:pPr>
        <w:ind w:right="107"/>
        <w:rPr>
          <w:rFonts w:ascii="Arial" w:eastAsia="Arial" w:hAnsi="Arial" w:cs="Arial"/>
          <w:color w:val="000000"/>
          <w:sz w:val="24"/>
          <w:szCs w:val="24"/>
        </w:rPr>
      </w:pPr>
      <w:r w:rsidRPr="00821BF0">
        <w:rPr>
          <w:rFonts w:ascii="Arial" w:eastAsia="Arial" w:hAnsi="Arial" w:cs="Arial"/>
          <w:color w:val="000000"/>
          <w:sz w:val="24"/>
          <w:szCs w:val="24"/>
        </w:rPr>
        <w:t xml:space="preserve">College </w:t>
      </w:r>
      <w:proofErr w:type="gramStart"/>
      <w:r w:rsidRPr="00821BF0">
        <w:rPr>
          <w:rFonts w:ascii="Arial" w:eastAsia="Arial" w:hAnsi="Arial" w:cs="Arial"/>
          <w:color w:val="000000"/>
          <w:sz w:val="24"/>
          <w:szCs w:val="24"/>
        </w:rPr>
        <w:t>Of</w:t>
      </w:r>
      <w:proofErr w:type="gramEnd"/>
      <w:r w:rsidRPr="00821BF0">
        <w:rPr>
          <w:rFonts w:ascii="Arial" w:eastAsia="Arial" w:hAnsi="Arial" w:cs="Arial"/>
          <w:color w:val="000000"/>
          <w:sz w:val="24"/>
          <w:szCs w:val="24"/>
        </w:rPr>
        <w:t xml:space="preserve"> Policing (2013) </w:t>
      </w:r>
      <w:r w:rsidRPr="00821BF0">
        <w:rPr>
          <w:rFonts w:ascii="Arial" w:eastAsia="Arial" w:hAnsi="Arial" w:cs="Arial"/>
          <w:i/>
          <w:iCs/>
          <w:color w:val="000000"/>
          <w:sz w:val="24"/>
          <w:szCs w:val="24"/>
        </w:rPr>
        <w:t xml:space="preserve">Investigation. </w:t>
      </w:r>
      <w:r w:rsidRPr="00821BF0">
        <w:rPr>
          <w:rFonts w:ascii="Arial" w:eastAsia="Arial" w:hAnsi="Arial" w:cs="Arial"/>
          <w:color w:val="000000"/>
          <w:sz w:val="24"/>
          <w:szCs w:val="24"/>
        </w:rPr>
        <w:t xml:space="preserve"> Available at: </w:t>
      </w:r>
      <w:hyperlink r:id="rId17" w:anchor=":~:text=The%20success%20of%20an%20investigation%20relies%20on%20the,conducted%20with%20integrity%2C%20common%20sense%20and%20sound%20judgement" w:history="1">
        <w:r w:rsidRPr="00821BF0">
          <w:rPr>
            <w:rFonts w:ascii="Arial" w:eastAsia="Arial" w:hAnsi="Arial" w:cs="Arial"/>
            <w:color w:val="0563C1"/>
            <w:sz w:val="24"/>
            <w:szCs w:val="24"/>
            <w:u w:val="single"/>
          </w:rPr>
          <w:t>https://www.app.college.police.uk/app-content/investigations/introduction/#:~:text=The%20success%20of%20an%20investigation%20relies%20on%20the,conducted%20with%20integrity%2C%20common%20sense%20and%20sound%20judgement</w:t>
        </w:r>
      </w:hyperlink>
      <w:r w:rsidRPr="00821BF0">
        <w:rPr>
          <w:rFonts w:ascii="Arial" w:eastAsia="Arial" w:hAnsi="Arial" w:cs="Arial"/>
          <w:color w:val="000000"/>
          <w:sz w:val="24"/>
          <w:szCs w:val="24"/>
        </w:rPr>
        <w:t xml:space="preserve"> (Accessed: 20 March 2022).</w:t>
      </w:r>
    </w:p>
    <w:p w14:paraId="35AA627E" w14:textId="0CFA30BD"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i/>
          <w:iCs/>
          <w:sz w:val="24"/>
          <w:szCs w:val="24"/>
          <w:lang w:eastAsia="en-GB"/>
        </w:rPr>
        <w:t xml:space="preserve">Criminal </w:t>
      </w:r>
      <w:r w:rsidR="00BF3DBE">
        <w:rPr>
          <w:rFonts w:ascii="Arial" w:eastAsia="Times New Roman" w:hAnsi="Arial" w:cs="Arial"/>
          <w:i/>
          <w:iCs/>
          <w:sz w:val="24"/>
          <w:szCs w:val="24"/>
          <w:lang w:eastAsia="en-GB"/>
        </w:rPr>
        <w:t>P</w:t>
      </w:r>
      <w:r w:rsidRPr="00821BF0">
        <w:rPr>
          <w:rFonts w:ascii="Arial" w:eastAsia="Times New Roman" w:hAnsi="Arial" w:cs="Arial"/>
          <w:i/>
          <w:iCs/>
          <w:sz w:val="24"/>
          <w:szCs w:val="24"/>
          <w:lang w:eastAsia="en-GB"/>
        </w:rPr>
        <w:t>rocedure and Investigations Act 1996, S23 (1)</w:t>
      </w:r>
      <w:r w:rsidRPr="00821BF0">
        <w:rPr>
          <w:rFonts w:ascii="Arial" w:eastAsia="Times New Roman" w:hAnsi="Arial" w:cs="Arial"/>
          <w:sz w:val="24"/>
          <w:szCs w:val="24"/>
          <w:lang w:eastAsia="en-GB"/>
        </w:rPr>
        <w:t>, Code of Practice, Revised in accordance with section 25(4) of the Criminal Procedure and Investigations Act 1996.</w:t>
      </w:r>
    </w:p>
    <w:p w14:paraId="649139BD"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i/>
          <w:iCs/>
          <w:sz w:val="24"/>
          <w:szCs w:val="24"/>
          <w:lang w:eastAsia="en-GB"/>
        </w:rPr>
        <w:t>Criminal Procedure and Investigations Act 1996, c.25., </w:t>
      </w:r>
      <w:r w:rsidRPr="00821BF0">
        <w:rPr>
          <w:rFonts w:ascii="Arial" w:eastAsia="Times New Roman" w:hAnsi="Arial" w:cs="Arial"/>
          <w:sz w:val="24"/>
          <w:szCs w:val="24"/>
          <w:lang w:eastAsia="en-GB"/>
        </w:rPr>
        <w:t>Available at: </w:t>
      </w:r>
      <w:hyperlink r:id="rId18" w:tgtFrame="_blank" w:history="1">
        <w:r w:rsidRPr="00821BF0">
          <w:rPr>
            <w:rFonts w:ascii="Arial" w:eastAsia="Times New Roman" w:hAnsi="Arial" w:cs="Arial"/>
            <w:color w:val="0563C1"/>
            <w:sz w:val="24"/>
            <w:szCs w:val="24"/>
            <w:u w:val="single"/>
            <w:lang w:eastAsia="en-GB"/>
          </w:rPr>
          <w:t>Criminal Procedure and Investigations Act 1996 (legislation.gov.uk)</w:t>
        </w:r>
      </w:hyperlink>
      <w:r w:rsidRPr="00821BF0">
        <w:rPr>
          <w:rFonts w:ascii="Arial" w:eastAsia="Times New Roman" w:hAnsi="Arial" w:cs="Arial"/>
          <w:sz w:val="24"/>
          <w:szCs w:val="24"/>
          <w:lang w:eastAsia="en-GB"/>
        </w:rPr>
        <w:t> (Accessed: 01 December 2021). </w:t>
      </w:r>
    </w:p>
    <w:p w14:paraId="3260E9D1"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 xml:space="preserve">Data Protection Act 2018, c.12., Available at: </w:t>
      </w:r>
      <w:hyperlink r:id="rId19" w:history="1">
        <w:r w:rsidRPr="00821BF0">
          <w:rPr>
            <w:rFonts w:ascii="Arial" w:eastAsia="Times New Roman" w:hAnsi="Arial" w:cs="Arial"/>
            <w:color w:val="0563C1"/>
            <w:sz w:val="24"/>
            <w:szCs w:val="24"/>
            <w:u w:val="single"/>
            <w:lang w:eastAsia="en-GB"/>
          </w:rPr>
          <w:t>https://www.legislation.gov.uk/ukpga/2018/12/contents/enacted</w:t>
        </w:r>
      </w:hyperlink>
      <w:r w:rsidRPr="00821BF0">
        <w:rPr>
          <w:rFonts w:ascii="Arial" w:eastAsia="Times New Roman" w:hAnsi="Arial" w:cs="Arial"/>
          <w:sz w:val="24"/>
          <w:szCs w:val="24"/>
          <w:lang w:eastAsia="en-GB"/>
        </w:rPr>
        <w:t xml:space="preserve"> (Accessed: 13 March 2022).</w:t>
      </w:r>
    </w:p>
    <w:p w14:paraId="4AF6CED1"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lastRenderedPageBreak/>
        <w:t xml:space="preserve">Donnelly D., West A. (2019) </w:t>
      </w:r>
      <w:r w:rsidRPr="00821BF0">
        <w:rPr>
          <w:rFonts w:ascii="Arial" w:eastAsia="Arial" w:hAnsi="Arial" w:cs="Arial"/>
          <w:i/>
          <w:iCs/>
          <w:sz w:val="24"/>
          <w:szCs w:val="24"/>
        </w:rPr>
        <w:t>The Task Is Greater Than the Title: Professionalising the Role of the Senior Investigating Officer in Homicide Investigations</w:t>
      </w:r>
      <w:r w:rsidRPr="00821BF0">
        <w:rPr>
          <w:rFonts w:ascii="Arial" w:eastAsia="Arial" w:hAnsi="Arial" w:cs="Arial"/>
          <w:sz w:val="24"/>
          <w:szCs w:val="24"/>
        </w:rPr>
        <w:t xml:space="preserve">. Decision Making in Police Enquiries and Critical Incidents. Palgrave Pivot, London. </w:t>
      </w:r>
    </w:p>
    <w:p w14:paraId="7969043C" w14:textId="10320041"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Dyfed-Powys Police</w:t>
      </w:r>
      <w:r w:rsidR="00AC2634">
        <w:rPr>
          <w:rFonts w:ascii="Arial" w:eastAsia="Times New Roman" w:hAnsi="Arial" w:cs="Arial"/>
          <w:sz w:val="24"/>
          <w:szCs w:val="24"/>
          <w:lang w:eastAsia="en-GB"/>
        </w:rPr>
        <w:t xml:space="preserve"> </w:t>
      </w:r>
      <w:r w:rsidRPr="00821BF0">
        <w:rPr>
          <w:rFonts w:ascii="Arial" w:eastAsia="Times New Roman" w:hAnsi="Arial" w:cs="Arial"/>
          <w:sz w:val="24"/>
          <w:szCs w:val="24"/>
          <w:lang w:eastAsia="en-GB"/>
        </w:rPr>
        <w:t xml:space="preserve">(2010). </w:t>
      </w:r>
      <w:r w:rsidRPr="00821BF0">
        <w:rPr>
          <w:rFonts w:ascii="Arial" w:eastAsia="Times New Roman" w:hAnsi="Arial" w:cs="Arial"/>
          <w:i/>
          <w:iCs/>
          <w:sz w:val="24"/>
          <w:szCs w:val="24"/>
          <w:lang w:eastAsia="en-GB"/>
        </w:rPr>
        <w:t>Family Liaison Policy</w:t>
      </w:r>
      <w:r w:rsidRPr="00821BF0">
        <w:rPr>
          <w:rFonts w:ascii="Arial" w:eastAsia="Times New Roman" w:hAnsi="Arial" w:cs="Arial"/>
          <w:sz w:val="24"/>
          <w:szCs w:val="24"/>
          <w:lang w:eastAsia="en-GB"/>
        </w:rPr>
        <w:t xml:space="preserve">, Unpublished </w:t>
      </w:r>
    </w:p>
    <w:p w14:paraId="4CD4699B"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proofErr w:type="spellStart"/>
      <w:r w:rsidRPr="00821BF0">
        <w:rPr>
          <w:rFonts w:ascii="Arial" w:eastAsia="Times New Roman" w:hAnsi="Arial" w:cs="Arial"/>
          <w:sz w:val="24"/>
          <w:szCs w:val="24"/>
          <w:lang w:eastAsia="en-GB"/>
        </w:rPr>
        <w:t>Fahsing</w:t>
      </w:r>
      <w:proofErr w:type="spellEnd"/>
      <w:r w:rsidRPr="00821BF0">
        <w:rPr>
          <w:rFonts w:ascii="Arial" w:eastAsia="Times New Roman" w:hAnsi="Arial" w:cs="Arial"/>
          <w:sz w:val="24"/>
          <w:szCs w:val="24"/>
          <w:lang w:eastAsia="en-GB"/>
        </w:rPr>
        <w:t xml:space="preserve">, I., (2021). ‘How to Think Like a Detective’, </w:t>
      </w:r>
      <w:r w:rsidRPr="00821BF0">
        <w:rPr>
          <w:rFonts w:ascii="Arial" w:eastAsia="Times New Roman" w:hAnsi="Arial" w:cs="Arial"/>
          <w:i/>
          <w:iCs/>
          <w:sz w:val="24"/>
          <w:szCs w:val="24"/>
          <w:lang w:eastAsia="en-GB"/>
        </w:rPr>
        <w:t>Psyche Magazine</w:t>
      </w:r>
      <w:r w:rsidRPr="00821BF0">
        <w:rPr>
          <w:rFonts w:ascii="Arial" w:eastAsia="Times New Roman" w:hAnsi="Arial" w:cs="Arial"/>
          <w:sz w:val="24"/>
          <w:szCs w:val="24"/>
          <w:lang w:eastAsia="en-GB"/>
        </w:rPr>
        <w:t xml:space="preserve">. Available at: </w:t>
      </w:r>
      <w:hyperlink r:id="rId20" w:history="1">
        <w:r w:rsidRPr="00821BF0">
          <w:rPr>
            <w:rFonts w:ascii="Arial" w:eastAsia="Times New Roman" w:hAnsi="Arial" w:cs="Arial"/>
            <w:color w:val="0000FF"/>
            <w:sz w:val="24"/>
            <w:szCs w:val="24"/>
            <w:u w:val="single"/>
            <w:lang w:eastAsia="en-GB"/>
          </w:rPr>
          <w:t>https://psyche.co/guides/how-to-solve-problems-by-thinking-like-a-detective</w:t>
        </w:r>
      </w:hyperlink>
      <w:r w:rsidRPr="00821BF0">
        <w:rPr>
          <w:rFonts w:ascii="Arial" w:eastAsia="Times New Roman" w:hAnsi="Arial" w:cs="Arial"/>
          <w:sz w:val="24"/>
          <w:szCs w:val="24"/>
          <w:lang w:eastAsia="en-GB"/>
        </w:rPr>
        <w:t xml:space="preserve"> (21 April </w:t>
      </w:r>
      <w:proofErr w:type="gramStart"/>
      <w:r w:rsidRPr="00821BF0">
        <w:rPr>
          <w:rFonts w:ascii="Arial" w:eastAsia="Times New Roman" w:hAnsi="Arial" w:cs="Arial"/>
          <w:sz w:val="24"/>
          <w:szCs w:val="24"/>
          <w:lang w:eastAsia="en-GB"/>
        </w:rPr>
        <w:t>2021)(</w:t>
      </w:r>
      <w:proofErr w:type="gramEnd"/>
      <w:r w:rsidRPr="00821BF0">
        <w:rPr>
          <w:rFonts w:ascii="Arial" w:eastAsia="Times New Roman" w:hAnsi="Arial" w:cs="Arial"/>
          <w:sz w:val="24"/>
          <w:szCs w:val="24"/>
          <w:lang w:eastAsia="en-GB"/>
        </w:rPr>
        <w:t>Accessed 08 March 2022).</w:t>
      </w:r>
    </w:p>
    <w:p w14:paraId="0BE44A3C" w14:textId="57C45902"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proofErr w:type="spellStart"/>
      <w:r w:rsidRPr="00821BF0">
        <w:rPr>
          <w:rFonts w:ascii="Arial" w:eastAsia="Times New Roman" w:hAnsi="Arial" w:cs="Arial"/>
          <w:sz w:val="24"/>
          <w:szCs w:val="24"/>
          <w:lang w:eastAsia="en-GB"/>
        </w:rPr>
        <w:t>Fahsing</w:t>
      </w:r>
      <w:proofErr w:type="spellEnd"/>
      <w:r w:rsidRPr="00821BF0">
        <w:rPr>
          <w:rFonts w:ascii="Arial" w:eastAsia="Times New Roman" w:hAnsi="Arial" w:cs="Arial"/>
          <w:sz w:val="24"/>
          <w:szCs w:val="24"/>
          <w:lang w:eastAsia="en-GB"/>
        </w:rPr>
        <w:t xml:space="preserve">, I., Ask. K., (2016) ‘The making of an expert detective: the role of experience in English and Norwegian police officers’ investigative decision-making’, </w:t>
      </w:r>
      <w:r w:rsidRPr="00821BF0">
        <w:rPr>
          <w:rFonts w:ascii="Arial" w:eastAsia="Times New Roman" w:hAnsi="Arial" w:cs="Arial"/>
          <w:i/>
          <w:iCs/>
          <w:sz w:val="24"/>
          <w:szCs w:val="24"/>
          <w:lang w:eastAsia="en-GB"/>
        </w:rPr>
        <w:t>Psychology, Crime &amp; Law</w:t>
      </w:r>
      <w:r w:rsidRPr="00821BF0">
        <w:rPr>
          <w:rFonts w:ascii="Arial" w:eastAsia="Times New Roman" w:hAnsi="Arial" w:cs="Arial"/>
          <w:sz w:val="24"/>
          <w:szCs w:val="24"/>
          <w:lang w:eastAsia="en-GB"/>
        </w:rPr>
        <w:t xml:space="preserve">, </w:t>
      </w:r>
      <w:r w:rsidRPr="00821BF0">
        <w:rPr>
          <w:rFonts w:ascii="Arial" w:eastAsia="Times New Roman" w:hAnsi="Arial" w:cs="Arial"/>
          <w:i/>
          <w:iCs/>
          <w:sz w:val="24"/>
          <w:szCs w:val="24"/>
          <w:lang w:eastAsia="en-GB"/>
        </w:rPr>
        <w:t>22:3, 203-223</w:t>
      </w:r>
      <w:r w:rsidRPr="00821BF0">
        <w:rPr>
          <w:rFonts w:ascii="Arial" w:eastAsia="Times New Roman" w:hAnsi="Arial" w:cs="Arial"/>
          <w:sz w:val="24"/>
          <w:szCs w:val="24"/>
          <w:lang w:eastAsia="en-GB"/>
        </w:rPr>
        <w:t>, DOI: 10.1080/1068316X.2015.1077249</w:t>
      </w:r>
      <w:r w:rsidR="00962D07">
        <w:rPr>
          <w:rFonts w:ascii="Arial" w:eastAsia="Times New Roman" w:hAnsi="Arial" w:cs="Arial"/>
          <w:sz w:val="24"/>
          <w:szCs w:val="24"/>
          <w:lang w:eastAsia="en-GB"/>
        </w:rPr>
        <w:t xml:space="preserve"> </w:t>
      </w:r>
      <w:r w:rsidRPr="00821BF0">
        <w:rPr>
          <w:rFonts w:ascii="Arial" w:eastAsia="Times New Roman" w:hAnsi="Arial" w:cs="Arial"/>
          <w:sz w:val="24"/>
          <w:szCs w:val="24"/>
          <w:lang w:eastAsia="en-GB"/>
        </w:rPr>
        <w:t>(Accessed: 13 March 2022).</w:t>
      </w:r>
    </w:p>
    <w:p w14:paraId="50009AFD"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 xml:space="preserve">Forensic Service Regulator (2020) </w:t>
      </w:r>
      <w:r w:rsidRPr="00821BF0">
        <w:rPr>
          <w:rFonts w:ascii="Arial" w:eastAsia="Arial" w:hAnsi="Arial" w:cs="Arial"/>
          <w:i/>
          <w:iCs/>
          <w:sz w:val="24"/>
          <w:szCs w:val="24"/>
        </w:rPr>
        <w:t xml:space="preserve">Codes of Practice and Conduct for forensic science providers and practitioners in the Criminal Justice System. </w:t>
      </w:r>
      <w:r w:rsidRPr="00821BF0">
        <w:rPr>
          <w:rFonts w:ascii="Arial" w:eastAsia="Arial" w:hAnsi="Arial" w:cs="Arial"/>
          <w:sz w:val="24"/>
          <w:szCs w:val="24"/>
        </w:rPr>
        <w:t xml:space="preserve">Available at: </w:t>
      </w:r>
      <w:hyperlink r:id="rId21" w:history="1">
        <w:r w:rsidRPr="00821BF0">
          <w:rPr>
            <w:rFonts w:ascii="Arial" w:eastAsia="Arial" w:hAnsi="Arial" w:cs="Arial"/>
            <w:color w:val="0563C1"/>
            <w:sz w:val="24"/>
            <w:szCs w:val="24"/>
            <w:u w:val="single"/>
          </w:rPr>
          <w:t>https://assets.publishing.service.gov.uk/government/uploads/system/uploads/attachment_data/file/880708/Codes_of_Practice_and_Conduct_-_Issue_5.pdf</w:t>
        </w:r>
      </w:hyperlink>
      <w:r w:rsidRPr="00821BF0">
        <w:rPr>
          <w:rFonts w:ascii="Arial" w:eastAsia="Arial" w:hAnsi="Arial" w:cs="Arial"/>
          <w:sz w:val="24"/>
          <w:szCs w:val="24"/>
        </w:rPr>
        <w:t xml:space="preserve"> (Accessed: 16 March 2022).</w:t>
      </w:r>
    </w:p>
    <w:p w14:paraId="30917793" w14:textId="79530D18" w:rsidR="00821BF0" w:rsidRDefault="00821BF0" w:rsidP="00821BF0">
      <w:pPr>
        <w:rPr>
          <w:rFonts w:ascii="Arial" w:eastAsia="Arial" w:hAnsi="Arial" w:cs="Arial"/>
          <w:sz w:val="24"/>
          <w:szCs w:val="24"/>
        </w:rPr>
      </w:pPr>
      <w:r w:rsidRPr="00821BF0">
        <w:rPr>
          <w:rFonts w:ascii="Arial" w:eastAsia="Arial" w:hAnsi="Arial" w:cs="Arial"/>
          <w:sz w:val="24"/>
          <w:szCs w:val="24"/>
        </w:rPr>
        <w:t xml:space="preserve">Gill, P., (2019) ‘DNA Evidence and miscarriages of justice’, </w:t>
      </w:r>
      <w:r w:rsidRPr="00821BF0">
        <w:rPr>
          <w:rFonts w:ascii="Arial" w:eastAsia="Arial" w:hAnsi="Arial" w:cs="Arial"/>
          <w:i/>
          <w:iCs/>
          <w:sz w:val="24"/>
          <w:szCs w:val="24"/>
        </w:rPr>
        <w:t>Forensic Science International</w:t>
      </w:r>
      <w:r w:rsidRPr="00821BF0">
        <w:rPr>
          <w:rFonts w:ascii="Arial" w:eastAsia="Arial" w:hAnsi="Arial" w:cs="Arial"/>
          <w:sz w:val="24"/>
          <w:szCs w:val="24"/>
        </w:rPr>
        <w:t xml:space="preserve">, V 294, Available at: </w:t>
      </w:r>
      <w:hyperlink r:id="rId22" w:history="1">
        <w:r w:rsidRPr="00821BF0">
          <w:rPr>
            <w:rFonts w:ascii="Arial" w:eastAsia="Arial" w:hAnsi="Arial" w:cs="Arial"/>
            <w:color w:val="0563C1"/>
            <w:sz w:val="24"/>
            <w:szCs w:val="24"/>
            <w:u w:val="single"/>
          </w:rPr>
          <w:t>https://www.sciencedirect.com/science/article/pii/S0379073818307436</w:t>
        </w:r>
      </w:hyperlink>
      <w:r w:rsidRPr="00821BF0">
        <w:rPr>
          <w:rFonts w:ascii="Arial" w:eastAsia="Arial" w:hAnsi="Arial" w:cs="Arial"/>
          <w:sz w:val="24"/>
          <w:szCs w:val="24"/>
        </w:rPr>
        <w:t xml:space="preserve"> (Accessed: 19 March 2022).</w:t>
      </w:r>
    </w:p>
    <w:p w14:paraId="2187AF87" w14:textId="77777777" w:rsidR="00BF4FFA" w:rsidRPr="00821BF0" w:rsidRDefault="00BF4FFA" w:rsidP="00BF4FFA">
      <w:pPr>
        <w:rPr>
          <w:rFonts w:ascii="Arial" w:eastAsia="Arial" w:hAnsi="Arial" w:cs="Arial"/>
          <w:sz w:val="24"/>
          <w:szCs w:val="24"/>
        </w:rPr>
      </w:pPr>
      <w:r w:rsidRPr="00821BF0">
        <w:rPr>
          <w:rFonts w:ascii="Arial" w:eastAsia="Arial" w:hAnsi="Arial" w:cs="Arial"/>
          <w:sz w:val="24"/>
          <w:szCs w:val="24"/>
        </w:rPr>
        <w:t>Goleman, D., Boyatzis, R. and McKee, A., (2013) Primal Leadership. Unleashing the Power of Emotional Intelligence. Boston: Havard Business Review Press.</w:t>
      </w:r>
    </w:p>
    <w:p w14:paraId="57A510DA" w14:textId="77777777" w:rsidR="00821BF0" w:rsidRPr="00821BF0" w:rsidRDefault="00821BF0" w:rsidP="00821BF0">
      <w:pPr>
        <w:rPr>
          <w:rFonts w:ascii="Arial" w:eastAsia="Arial" w:hAnsi="Arial" w:cs="Arial"/>
          <w:sz w:val="24"/>
          <w:szCs w:val="24"/>
        </w:rPr>
      </w:pPr>
      <w:proofErr w:type="spellStart"/>
      <w:r w:rsidRPr="00821BF0">
        <w:rPr>
          <w:rFonts w:ascii="Arial" w:eastAsia="Arial" w:hAnsi="Arial" w:cs="Arial"/>
          <w:sz w:val="24"/>
          <w:szCs w:val="24"/>
        </w:rPr>
        <w:t>Heydari</w:t>
      </w:r>
      <w:proofErr w:type="spellEnd"/>
      <w:r w:rsidRPr="00821BF0">
        <w:rPr>
          <w:rFonts w:ascii="Arial" w:eastAsia="Arial" w:hAnsi="Arial" w:cs="Arial"/>
          <w:sz w:val="24"/>
          <w:szCs w:val="24"/>
        </w:rPr>
        <w:t xml:space="preserve">, F., (2021) ‘Understanding Police reliance on Private Data’, </w:t>
      </w:r>
      <w:r w:rsidRPr="00821BF0">
        <w:rPr>
          <w:rFonts w:ascii="Arial" w:eastAsia="Arial" w:hAnsi="Arial" w:cs="Arial"/>
          <w:i/>
          <w:iCs/>
          <w:sz w:val="24"/>
          <w:szCs w:val="24"/>
        </w:rPr>
        <w:t xml:space="preserve">National Security, Technology and Law: Hoover Institute. </w:t>
      </w:r>
      <w:r w:rsidRPr="00821BF0">
        <w:rPr>
          <w:rFonts w:ascii="Arial" w:eastAsia="Arial" w:hAnsi="Arial" w:cs="Arial"/>
          <w:sz w:val="24"/>
          <w:szCs w:val="24"/>
        </w:rPr>
        <w:t xml:space="preserve">Available at: </w:t>
      </w:r>
      <w:hyperlink r:id="rId23" w:history="1">
        <w:r w:rsidRPr="00821BF0">
          <w:rPr>
            <w:rFonts w:ascii="Arial" w:eastAsia="Arial" w:hAnsi="Arial" w:cs="Arial"/>
            <w:color w:val="0563C1"/>
            <w:sz w:val="24"/>
            <w:szCs w:val="24"/>
            <w:u w:val="single"/>
          </w:rPr>
          <w:t>www.hoover.org/sites/default/files/research/docs/heydari_webreadypdf.pdf</w:t>
        </w:r>
      </w:hyperlink>
      <w:r w:rsidRPr="00821BF0">
        <w:rPr>
          <w:rFonts w:ascii="Arial" w:eastAsia="Arial" w:hAnsi="Arial" w:cs="Arial"/>
          <w:sz w:val="24"/>
          <w:szCs w:val="24"/>
        </w:rPr>
        <w:t xml:space="preserve"> (Accessed: 19 March 2022).</w:t>
      </w:r>
    </w:p>
    <w:p w14:paraId="72845BDA"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 xml:space="preserve">Home Office (2018). </w:t>
      </w:r>
      <w:r w:rsidRPr="00821BF0">
        <w:rPr>
          <w:rFonts w:ascii="Arial" w:eastAsia="Times New Roman" w:hAnsi="Arial" w:cs="Arial"/>
          <w:i/>
          <w:iCs/>
          <w:sz w:val="24"/>
          <w:szCs w:val="24"/>
          <w:lang w:eastAsia="en-GB"/>
        </w:rPr>
        <w:t>Covert Surveillance and Property Interference Revised Code of Practice</w:t>
      </w:r>
      <w:r w:rsidRPr="00821BF0">
        <w:rPr>
          <w:rFonts w:ascii="Arial" w:eastAsia="Times New Roman" w:hAnsi="Arial" w:cs="Arial"/>
          <w:sz w:val="24"/>
          <w:szCs w:val="24"/>
          <w:lang w:eastAsia="en-GB"/>
        </w:rPr>
        <w:t xml:space="preserve">. Available at: </w:t>
      </w:r>
      <w:hyperlink r:id="rId24" w:history="1">
        <w:r w:rsidRPr="00821BF0">
          <w:rPr>
            <w:rFonts w:ascii="Arial" w:eastAsia="Times New Roman" w:hAnsi="Arial" w:cs="Arial"/>
            <w:color w:val="0563C1"/>
            <w:sz w:val="24"/>
            <w:szCs w:val="24"/>
            <w:u w:val="single"/>
            <w:lang w:eastAsia="en-GB"/>
          </w:rPr>
          <w:t>https://assets.publishing.service.gov.uk/government/uploads/system/uploads/attachment_data/file/742041/201800802_CSPI_code.pdf</w:t>
        </w:r>
      </w:hyperlink>
      <w:r w:rsidRPr="00821BF0">
        <w:rPr>
          <w:rFonts w:ascii="Arial" w:eastAsia="Times New Roman" w:hAnsi="Arial" w:cs="Arial"/>
          <w:sz w:val="24"/>
          <w:szCs w:val="24"/>
          <w:lang w:eastAsia="en-GB"/>
        </w:rPr>
        <w:t xml:space="preserve"> (Accessed 16 March 2022).</w:t>
      </w:r>
    </w:p>
    <w:p w14:paraId="5AC4A02C"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Home Office (2013). </w:t>
      </w:r>
      <w:r w:rsidRPr="00821BF0">
        <w:rPr>
          <w:rFonts w:ascii="Arial" w:eastAsia="Times New Roman" w:hAnsi="Arial" w:cs="Arial"/>
          <w:i/>
          <w:iCs/>
          <w:sz w:val="24"/>
          <w:szCs w:val="24"/>
          <w:lang w:eastAsia="en-GB"/>
        </w:rPr>
        <w:t>Police and criminal Evidence Act (PACE) 1984 Codes of practice.</w:t>
      </w:r>
      <w:r w:rsidRPr="00821BF0">
        <w:rPr>
          <w:rFonts w:ascii="Arial" w:eastAsia="Times New Roman" w:hAnsi="Arial" w:cs="Arial"/>
          <w:sz w:val="24"/>
          <w:szCs w:val="24"/>
          <w:lang w:eastAsia="en-GB"/>
        </w:rPr>
        <w:t> Available at: </w:t>
      </w:r>
      <w:hyperlink r:id="rId25" w:anchor="overview" w:tgtFrame="_blank" w:history="1">
        <w:r w:rsidRPr="00821BF0">
          <w:rPr>
            <w:rFonts w:ascii="Arial" w:eastAsia="Times New Roman" w:hAnsi="Arial" w:cs="Arial"/>
            <w:color w:val="0563C1"/>
            <w:sz w:val="24"/>
            <w:szCs w:val="24"/>
            <w:u w:val="single"/>
            <w:lang w:eastAsia="en-GB"/>
          </w:rPr>
          <w:t>Police and Criminal Evidence Act 1984 (PACE) codes of practice - GOV.UK (www.gov.uk)</w:t>
        </w:r>
      </w:hyperlink>
      <w:r w:rsidRPr="00821BF0">
        <w:rPr>
          <w:rFonts w:ascii="Arial" w:eastAsia="Times New Roman" w:hAnsi="Arial" w:cs="Arial"/>
          <w:sz w:val="24"/>
          <w:szCs w:val="24"/>
          <w:lang w:eastAsia="en-GB"/>
        </w:rPr>
        <w:t> (Accessed: 06 December 2021). </w:t>
      </w:r>
    </w:p>
    <w:p w14:paraId="44419A11"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 xml:space="preserve">Information Commissioners Office (2021) </w:t>
      </w:r>
      <w:r w:rsidRPr="00821BF0">
        <w:rPr>
          <w:rFonts w:ascii="Arial" w:eastAsia="Arial" w:hAnsi="Arial" w:cs="Arial"/>
          <w:i/>
          <w:iCs/>
          <w:sz w:val="24"/>
          <w:szCs w:val="24"/>
        </w:rPr>
        <w:t>Findings from ICO consensual data protection audits and follow-up audits of police forces.</w:t>
      </w:r>
      <w:r w:rsidRPr="00821BF0">
        <w:rPr>
          <w:rFonts w:ascii="Arial" w:eastAsia="Arial" w:hAnsi="Arial" w:cs="Arial"/>
          <w:sz w:val="24"/>
          <w:szCs w:val="24"/>
        </w:rPr>
        <w:t xml:space="preserve"> Available at: </w:t>
      </w:r>
      <w:hyperlink r:id="rId26" w:history="1">
        <w:r w:rsidRPr="00821BF0">
          <w:rPr>
            <w:rFonts w:ascii="Arial" w:eastAsia="Arial" w:hAnsi="Arial" w:cs="Arial"/>
            <w:color w:val="0563C1"/>
            <w:sz w:val="24"/>
            <w:szCs w:val="24"/>
            <w:u w:val="single"/>
          </w:rPr>
          <w:t>https://ico.org.uk/media/action-weve-taken/audits-and-advisory-visits/2620275/overview-report-police-force-audits-follow-ups-2018-to-2020-final-v1-0.pdf</w:t>
        </w:r>
      </w:hyperlink>
      <w:r w:rsidRPr="00821BF0">
        <w:rPr>
          <w:rFonts w:ascii="Arial" w:eastAsia="Arial" w:hAnsi="Arial" w:cs="Arial"/>
          <w:sz w:val="24"/>
          <w:szCs w:val="24"/>
        </w:rPr>
        <w:t xml:space="preserve"> (Accessed: 19 March 2022).</w:t>
      </w:r>
    </w:p>
    <w:p w14:paraId="23C04F1A" w14:textId="77777777" w:rsidR="00821BF0" w:rsidRPr="00821BF0" w:rsidRDefault="00821BF0" w:rsidP="00821BF0">
      <w:pPr>
        <w:spacing w:before="100" w:beforeAutospacing="1" w:after="0" w:afterAutospacing="1" w:line="240" w:lineRule="auto"/>
        <w:textAlignment w:val="baseline"/>
        <w:rPr>
          <w:rFonts w:ascii="Arial" w:eastAsia="Arial" w:hAnsi="Arial" w:cs="Arial"/>
          <w:sz w:val="24"/>
          <w:szCs w:val="24"/>
        </w:rPr>
      </w:pPr>
      <w:proofErr w:type="spellStart"/>
      <w:r w:rsidRPr="00821BF0">
        <w:rPr>
          <w:rFonts w:ascii="Arial" w:eastAsia="Arial" w:hAnsi="Arial" w:cs="Arial"/>
          <w:sz w:val="24"/>
          <w:szCs w:val="24"/>
        </w:rPr>
        <w:lastRenderedPageBreak/>
        <w:t>Juma’h</w:t>
      </w:r>
      <w:proofErr w:type="spellEnd"/>
      <w:r w:rsidRPr="00821BF0">
        <w:rPr>
          <w:rFonts w:ascii="Arial" w:eastAsia="Arial" w:hAnsi="Arial" w:cs="Arial"/>
          <w:sz w:val="24"/>
          <w:szCs w:val="24"/>
        </w:rPr>
        <w:t xml:space="preserve">, A., </w:t>
      </w:r>
      <w:proofErr w:type="spellStart"/>
      <w:r w:rsidRPr="00821BF0">
        <w:rPr>
          <w:rFonts w:ascii="Arial" w:eastAsia="Arial" w:hAnsi="Arial" w:cs="Arial"/>
          <w:sz w:val="24"/>
          <w:szCs w:val="24"/>
        </w:rPr>
        <w:t>Alnsour</w:t>
      </w:r>
      <w:proofErr w:type="spellEnd"/>
      <w:r w:rsidRPr="00821BF0">
        <w:rPr>
          <w:rFonts w:ascii="Arial" w:eastAsia="Arial" w:hAnsi="Arial" w:cs="Arial"/>
          <w:sz w:val="24"/>
          <w:szCs w:val="24"/>
        </w:rPr>
        <w:t xml:space="preserve">, Y., (2020) ‘The effect of data breaches on company performance’, </w:t>
      </w:r>
      <w:r w:rsidRPr="00821BF0">
        <w:rPr>
          <w:rFonts w:ascii="Arial" w:eastAsia="Arial" w:hAnsi="Arial" w:cs="Arial"/>
          <w:i/>
          <w:iCs/>
          <w:sz w:val="24"/>
          <w:szCs w:val="24"/>
        </w:rPr>
        <w:t>International Journal of Accounting &amp; Information Management, V28, Issue 2.</w:t>
      </w:r>
      <w:r w:rsidRPr="00821BF0">
        <w:rPr>
          <w:rFonts w:ascii="Arial" w:eastAsia="Arial" w:hAnsi="Arial" w:cs="Arial"/>
          <w:sz w:val="24"/>
          <w:szCs w:val="24"/>
        </w:rPr>
        <w:t xml:space="preserve"> Available at: </w:t>
      </w:r>
      <w:hyperlink r:id="rId27" w:history="1">
        <w:r w:rsidRPr="00821BF0">
          <w:rPr>
            <w:rFonts w:ascii="Arial" w:eastAsia="Arial" w:hAnsi="Arial" w:cs="Arial"/>
            <w:color w:val="0563C1"/>
            <w:sz w:val="24"/>
            <w:szCs w:val="24"/>
            <w:u w:val="single"/>
          </w:rPr>
          <w:t>https://www.emerald.com/insight/content/doi/10.1108/IJAIM-01-2019-0006/full/html</w:t>
        </w:r>
      </w:hyperlink>
    </w:p>
    <w:p w14:paraId="23A75284"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Ministry of Justice, (2011). ‘Achieving Best Evidence in Criminal Proceedings. Guidance on interviewing victims and witnesses,’ G</w:t>
      </w:r>
      <w:r w:rsidRPr="00821BF0">
        <w:rPr>
          <w:rFonts w:ascii="Arial" w:eastAsia="Times New Roman" w:hAnsi="Arial" w:cs="Arial"/>
          <w:i/>
          <w:iCs/>
          <w:sz w:val="24"/>
          <w:szCs w:val="24"/>
          <w:lang w:eastAsia="en-GB"/>
        </w:rPr>
        <w:t xml:space="preserve">uidance on using special measures. </w:t>
      </w:r>
      <w:r w:rsidRPr="00821BF0">
        <w:rPr>
          <w:rFonts w:ascii="Arial" w:eastAsia="Times New Roman" w:hAnsi="Arial" w:cs="Arial"/>
          <w:sz w:val="24"/>
          <w:szCs w:val="24"/>
          <w:lang w:eastAsia="en-GB"/>
        </w:rPr>
        <w:t xml:space="preserve">Available at: </w:t>
      </w:r>
      <w:hyperlink r:id="rId28" w:history="1">
        <w:r w:rsidRPr="00821BF0">
          <w:rPr>
            <w:rFonts w:ascii="Arial" w:eastAsia="Times New Roman" w:hAnsi="Arial" w:cs="Arial"/>
            <w:color w:val="0563C1"/>
            <w:sz w:val="24"/>
            <w:szCs w:val="24"/>
            <w:u w:val="single"/>
            <w:lang w:eastAsia="en-GB"/>
          </w:rPr>
          <w:t>Achieving best evidence in criminal proceedings (cps.gov.uk)</w:t>
        </w:r>
      </w:hyperlink>
      <w:r w:rsidRPr="00821BF0">
        <w:rPr>
          <w:rFonts w:ascii="Arial" w:eastAsia="Times New Roman" w:hAnsi="Arial" w:cs="Arial"/>
          <w:i/>
          <w:iCs/>
          <w:sz w:val="24"/>
          <w:szCs w:val="24"/>
          <w:lang w:eastAsia="en-GB"/>
        </w:rPr>
        <w:t xml:space="preserve"> </w:t>
      </w:r>
      <w:r w:rsidRPr="00821BF0">
        <w:rPr>
          <w:rFonts w:ascii="Arial" w:eastAsia="Times New Roman" w:hAnsi="Arial" w:cs="Arial"/>
          <w:sz w:val="24"/>
          <w:szCs w:val="24"/>
          <w:lang w:eastAsia="en-GB"/>
        </w:rPr>
        <w:t>(Accessed 02 March 2022).</w:t>
      </w:r>
    </w:p>
    <w:p w14:paraId="65156306"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Monckton-Smith, J., Adams, T., Adam G., Hart, Webb, J., (2013) ‘Introducing forensic and criminal investigation’ Reference &amp; Research Book News Vol.28(3). Portland: Ringgold, Inc. Sage Publications</w:t>
      </w:r>
    </w:p>
    <w:p w14:paraId="0084CB8E" w14:textId="77777777" w:rsidR="00821BF0" w:rsidRPr="00821BF0" w:rsidRDefault="00821BF0" w:rsidP="00821BF0">
      <w:pPr>
        <w:rPr>
          <w:rFonts w:ascii="Arial" w:eastAsia="Arial" w:hAnsi="Arial" w:cs="Arial"/>
          <w:sz w:val="24"/>
          <w:szCs w:val="24"/>
        </w:rPr>
      </w:pPr>
      <w:r w:rsidRPr="00821BF0">
        <w:rPr>
          <w:rFonts w:ascii="Arial" w:eastAsia="Arial" w:hAnsi="Arial" w:cs="Arial"/>
          <w:i/>
          <w:iCs/>
          <w:sz w:val="24"/>
          <w:szCs w:val="24"/>
        </w:rPr>
        <w:t>Murder (Abolition of Death Penalty) Act 1965, c. 71,</w:t>
      </w:r>
      <w:r w:rsidRPr="00821BF0">
        <w:rPr>
          <w:rFonts w:ascii="Arial" w:eastAsia="Arial" w:hAnsi="Arial" w:cs="Arial"/>
          <w:sz w:val="24"/>
          <w:szCs w:val="24"/>
        </w:rPr>
        <w:t xml:space="preserve"> Available at:</w:t>
      </w:r>
      <w:r w:rsidRPr="00821BF0">
        <w:rPr>
          <w:rFonts w:ascii="Arial" w:eastAsia="Arial" w:hAnsi="Arial" w:cs="Arial"/>
          <w:i/>
          <w:iCs/>
          <w:sz w:val="24"/>
          <w:szCs w:val="24"/>
        </w:rPr>
        <w:t xml:space="preserve"> </w:t>
      </w:r>
      <w:hyperlink r:id="rId29" w:history="1">
        <w:r w:rsidRPr="00821BF0">
          <w:rPr>
            <w:rFonts w:ascii="Arial" w:eastAsia="Arial" w:hAnsi="Arial" w:cs="Arial"/>
            <w:color w:val="0563C1"/>
            <w:sz w:val="24"/>
            <w:szCs w:val="24"/>
            <w:u w:val="single"/>
          </w:rPr>
          <w:t>https://www.legislation.gov.uk/ukpga/1965/71/contents</w:t>
        </w:r>
      </w:hyperlink>
      <w:r w:rsidRPr="00821BF0">
        <w:rPr>
          <w:rFonts w:ascii="Arial" w:eastAsia="Arial" w:hAnsi="Arial" w:cs="Arial"/>
          <w:sz w:val="24"/>
          <w:szCs w:val="24"/>
        </w:rPr>
        <w:t xml:space="preserve"> (Accessed: 20 March 2022).</w:t>
      </w:r>
    </w:p>
    <w:p w14:paraId="0181A90F"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National Crime Agency (2022)</w:t>
      </w:r>
      <w:r w:rsidRPr="00821BF0">
        <w:rPr>
          <w:rFonts w:ascii="Arial" w:eastAsia="Calibri" w:hAnsi="Arial" w:cs="Arial"/>
          <w:sz w:val="24"/>
          <w:szCs w:val="24"/>
        </w:rPr>
        <w:t xml:space="preserve"> </w:t>
      </w:r>
      <w:r w:rsidRPr="00821BF0">
        <w:rPr>
          <w:rFonts w:ascii="Arial" w:eastAsia="Arial" w:hAnsi="Arial" w:cs="Arial"/>
          <w:i/>
          <w:iCs/>
          <w:sz w:val="24"/>
          <w:szCs w:val="24"/>
        </w:rPr>
        <w:t>Intelligence: enhancing the picture of serious organised crime affecting the UK.</w:t>
      </w:r>
      <w:r w:rsidRPr="00821BF0">
        <w:rPr>
          <w:rFonts w:ascii="Arial" w:eastAsia="Arial" w:hAnsi="Arial" w:cs="Arial"/>
          <w:sz w:val="24"/>
          <w:szCs w:val="24"/>
        </w:rPr>
        <w:t xml:space="preserve"> Available at: </w:t>
      </w:r>
      <w:hyperlink r:id="rId30" w:history="1">
        <w:r w:rsidRPr="00821BF0">
          <w:rPr>
            <w:rFonts w:ascii="Arial" w:eastAsia="Arial" w:hAnsi="Arial" w:cs="Arial"/>
            <w:color w:val="0563C1"/>
            <w:sz w:val="24"/>
            <w:szCs w:val="24"/>
            <w:u w:val="single"/>
          </w:rPr>
          <w:t>https://nationalcrimeagency.gov.uk/what-we-do/how-we-work/intelligence-enhancing-the-picture-of-serious-organised-crime-affecting-the-uk</w:t>
        </w:r>
      </w:hyperlink>
      <w:r w:rsidRPr="00821BF0">
        <w:rPr>
          <w:rFonts w:ascii="Arial" w:eastAsia="Arial" w:hAnsi="Arial" w:cs="Arial"/>
          <w:sz w:val="24"/>
          <w:szCs w:val="24"/>
        </w:rPr>
        <w:t xml:space="preserve"> (Accessed: 16 March 2022).</w:t>
      </w:r>
    </w:p>
    <w:p w14:paraId="663F46D7"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 xml:space="preserve">National Police Chiefs Council Homicide Working Group, (2021). </w:t>
      </w:r>
      <w:r w:rsidRPr="00821BF0">
        <w:rPr>
          <w:rFonts w:ascii="Arial" w:eastAsia="Times New Roman" w:hAnsi="Arial" w:cs="Arial"/>
          <w:i/>
          <w:iCs/>
          <w:sz w:val="24"/>
          <w:szCs w:val="24"/>
          <w:lang w:eastAsia="en-GB"/>
        </w:rPr>
        <w:t>Major Crime Investigation Manual</w:t>
      </w:r>
      <w:r w:rsidRPr="00821BF0">
        <w:rPr>
          <w:rFonts w:ascii="Arial" w:eastAsia="Times New Roman" w:hAnsi="Arial" w:cs="Arial"/>
          <w:sz w:val="24"/>
          <w:szCs w:val="24"/>
          <w:lang w:eastAsia="en-GB"/>
        </w:rPr>
        <w:t xml:space="preserve">, Available at: </w:t>
      </w:r>
      <w:hyperlink r:id="rId31" w:history="1">
        <w:r w:rsidRPr="00821BF0">
          <w:rPr>
            <w:rFonts w:ascii="Arial" w:eastAsia="Times New Roman" w:hAnsi="Arial" w:cs="Arial"/>
            <w:color w:val="0000FF"/>
            <w:sz w:val="24"/>
            <w:szCs w:val="24"/>
            <w:u w:val="single"/>
            <w:lang w:eastAsia="en-GB"/>
          </w:rPr>
          <w:t>Major-Crime-Investigation-Manual-Nov-2021.pdf (college.police.uk)</w:t>
        </w:r>
      </w:hyperlink>
      <w:r w:rsidRPr="00821BF0">
        <w:rPr>
          <w:rFonts w:ascii="Arial" w:eastAsia="Times New Roman" w:hAnsi="Arial" w:cs="Arial"/>
          <w:sz w:val="24"/>
          <w:szCs w:val="24"/>
          <w:lang w:eastAsia="en-GB"/>
        </w:rPr>
        <w:t>.(Accessed 02 March 2022).</w:t>
      </w:r>
    </w:p>
    <w:p w14:paraId="248D99C2"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sz w:val="24"/>
          <w:szCs w:val="24"/>
          <w:lang w:eastAsia="en-GB"/>
        </w:rPr>
        <w:t>National Police Chiefs Council Homicide Working Group, (2021). </w:t>
      </w:r>
      <w:r w:rsidRPr="00821BF0">
        <w:rPr>
          <w:rFonts w:ascii="Arial" w:eastAsia="Times New Roman" w:hAnsi="Arial" w:cs="Arial"/>
          <w:i/>
          <w:iCs/>
          <w:sz w:val="24"/>
          <w:szCs w:val="24"/>
          <w:lang w:eastAsia="en-GB"/>
        </w:rPr>
        <w:t>Major Incident Room Standardised Administrative Procedures</w:t>
      </w:r>
      <w:r w:rsidRPr="00821BF0">
        <w:rPr>
          <w:rFonts w:ascii="Arial" w:eastAsia="Times New Roman" w:hAnsi="Arial" w:cs="Arial"/>
          <w:sz w:val="24"/>
          <w:szCs w:val="24"/>
          <w:lang w:eastAsia="en-GB"/>
        </w:rPr>
        <w:t>. Available at: </w:t>
      </w:r>
      <w:hyperlink r:id="rId32" w:tgtFrame="_blank" w:history="1">
        <w:r w:rsidRPr="00821BF0">
          <w:rPr>
            <w:rFonts w:ascii="Arial" w:eastAsia="Times New Roman" w:hAnsi="Arial" w:cs="Arial"/>
            <w:color w:val="0563C1"/>
            <w:sz w:val="24"/>
            <w:szCs w:val="24"/>
            <w:u w:val="single"/>
            <w:lang w:eastAsia="en-GB"/>
          </w:rPr>
          <w:t>MIRSAP_V1_Nov_2021.pdf (college.police.uk)</w:t>
        </w:r>
      </w:hyperlink>
      <w:r w:rsidRPr="00821BF0">
        <w:rPr>
          <w:rFonts w:ascii="Arial" w:eastAsia="Times New Roman" w:hAnsi="Arial" w:cs="Arial"/>
          <w:sz w:val="24"/>
          <w:szCs w:val="24"/>
          <w:lang w:eastAsia="en-GB"/>
        </w:rPr>
        <w:t> (Accessed 02 March 2021).</w:t>
      </w:r>
    </w:p>
    <w:p w14:paraId="67506511"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Nicol, C., Innes, M., Gee, D., Feist, A., (2004) Reviewing murder investigations: an analysis of progress reviews from six police forces. https://www.politieacademie.nl/kennisenonderzoek/kennis/mediatheek/PDF/4106.pdf(Accessed: 19 March 2022).</w:t>
      </w:r>
    </w:p>
    <w:p w14:paraId="124222DB"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 xml:space="preserve">Office of Surveillance Commissioners (2021) </w:t>
      </w:r>
      <w:r w:rsidRPr="00821BF0">
        <w:rPr>
          <w:rFonts w:ascii="Arial" w:eastAsia="Arial" w:hAnsi="Arial" w:cs="Arial"/>
          <w:i/>
          <w:iCs/>
          <w:sz w:val="24"/>
          <w:szCs w:val="24"/>
        </w:rPr>
        <w:t>Procedures and Guidance: Oversight arrangements for covert surveillance and property interference conducted by public authorities and to the activities of relevant sources</w:t>
      </w:r>
      <w:r w:rsidRPr="00821BF0">
        <w:rPr>
          <w:rFonts w:ascii="Arial" w:eastAsia="Arial" w:hAnsi="Arial" w:cs="Arial"/>
          <w:sz w:val="24"/>
          <w:szCs w:val="24"/>
        </w:rPr>
        <w:t xml:space="preserve">. Available at: </w:t>
      </w:r>
      <w:hyperlink r:id="rId33" w:history="1">
        <w:r w:rsidRPr="00821BF0">
          <w:rPr>
            <w:rFonts w:ascii="Arial" w:eastAsia="Arial" w:hAnsi="Arial" w:cs="Arial"/>
            <w:color w:val="0563C1"/>
            <w:sz w:val="24"/>
            <w:szCs w:val="24"/>
            <w:u w:val="single"/>
          </w:rPr>
          <w:t>https://ipco-wpmedia-prod-s3.s3.eu-west-2.amazonaws.com/OSC-PROCEDURES-AND-GUIDANCE.pdf</w:t>
        </w:r>
      </w:hyperlink>
      <w:r w:rsidRPr="00821BF0">
        <w:rPr>
          <w:rFonts w:ascii="Arial" w:eastAsia="Arial" w:hAnsi="Arial" w:cs="Arial"/>
          <w:sz w:val="24"/>
          <w:szCs w:val="24"/>
        </w:rPr>
        <w:t xml:space="preserve"> (Accessed: 20 March 2022).</w:t>
      </w:r>
    </w:p>
    <w:p w14:paraId="0E3FF1B2" w14:textId="77777777" w:rsidR="00821BF0" w:rsidRPr="00821BF0" w:rsidRDefault="00821BF0" w:rsidP="00821BF0">
      <w:pPr>
        <w:rPr>
          <w:rFonts w:ascii="Arial" w:eastAsia="Arial" w:hAnsi="Arial" w:cs="Arial"/>
          <w:sz w:val="24"/>
          <w:szCs w:val="24"/>
        </w:rPr>
      </w:pPr>
      <w:r w:rsidRPr="00821BF0">
        <w:rPr>
          <w:rFonts w:ascii="Arial" w:eastAsia="Arial" w:hAnsi="Arial" w:cs="Arial"/>
          <w:sz w:val="24"/>
          <w:szCs w:val="24"/>
        </w:rPr>
        <w:t xml:space="preserve">O’Neill, M (2018) </w:t>
      </w:r>
      <w:r w:rsidRPr="00821BF0">
        <w:rPr>
          <w:rFonts w:ascii="Arial" w:eastAsia="Arial" w:hAnsi="Arial" w:cs="Arial"/>
          <w:i/>
          <w:iCs/>
          <w:sz w:val="24"/>
          <w:szCs w:val="24"/>
        </w:rPr>
        <w:t>Key Challenges in Criminal Investigation</w:t>
      </w:r>
      <w:r w:rsidRPr="00821BF0">
        <w:rPr>
          <w:rFonts w:ascii="Arial" w:eastAsia="Arial" w:hAnsi="Arial" w:cs="Arial"/>
          <w:sz w:val="24"/>
          <w:szCs w:val="24"/>
        </w:rPr>
        <w:t>, Bristol: Policy Press (for me only</w:t>
      </w:r>
      <w:r w:rsidRPr="00821BF0">
        <w:rPr>
          <w:rFonts w:ascii="Arial" w:eastAsia="Calibri" w:hAnsi="Arial" w:cs="Arial"/>
          <w:sz w:val="24"/>
          <w:szCs w:val="24"/>
        </w:rPr>
        <w:t xml:space="preserve"> </w:t>
      </w:r>
      <w:hyperlink r:id="rId34" w:anchor="v=onepage&amp;q=the%20importance%20of%20police%20briefing%20in%20criminal%20investigation&amp;f=false" w:history="1">
        <w:r w:rsidRPr="00821BF0">
          <w:rPr>
            <w:rFonts w:ascii="Arial" w:eastAsia="Calibri" w:hAnsi="Arial" w:cs="Arial"/>
            <w:color w:val="0000FF"/>
            <w:sz w:val="24"/>
            <w:szCs w:val="24"/>
            <w:u w:val="single"/>
          </w:rPr>
          <w:t>Key Challenges in Criminal Investigation - Martin O'Neill - Google Books</w:t>
        </w:r>
      </w:hyperlink>
      <w:r w:rsidRPr="00821BF0">
        <w:rPr>
          <w:rFonts w:ascii="Arial" w:eastAsia="Calibri" w:hAnsi="Arial" w:cs="Arial"/>
          <w:sz w:val="24"/>
          <w:szCs w:val="24"/>
        </w:rPr>
        <w:t>)</w:t>
      </w:r>
      <w:r w:rsidRPr="00821BF0">
        <w:rPr>
          <w:rFonts w:ascii="Arial" w:eastAsia="Arial" w:hAnsi="Arial" w:cs="Arial"/>
          <w:sz w:val="24"/>
          <w:szCs w:val="24"/>
        </w:rPr>
        <w:t xml:space="preserve"> </w:t>
      </w:r>
    </w:p>
    <w:p w14:paraId="4627EDBD"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i/>
          <w:iCs/>
          <w:sz w:val="24"/>
          <w:szCs w:val="24"/>
          <w:lang w:eastAsia="en-GB"/>
        </w:rPr>
      </w:pPr>
      <w:bookmarkStart w:id="0" w:name="_Hlk98173005"/>
      <w:r w:rsidRPr="00821BF0">
        <w:rPr>
          <w:rFonts w:ascii="Arial" w:eastAsia="Times New Roman" w:hAnsi="Arial" w:cs="Arial"/>
          <w:i/>
          <w:iCs/>
          <w:sz w:val="24"/>
          <w:szCs w:val="24"/>
          <w:lang w:eastAsia="en-GB"/>
        </w:rPr>
        <w:t xml:space="preserve">Police Act 1997, c.50, </w:t>
      </w:r>
      <w:r w:rsidRPr="00821BF0">
        <w:rPr>
          <w:rFonts w:ascii="Arial" w:eastAsia="Times New Roman" w:hAnsi="Arial" w:cs="Arial"/>
          <w:sz w:val="24"/>
          <w:szCs w:val="24"/>
          <w:lang w:eastAsia="en-GB"/>
        </w:rPr>
        <w:t xml:space="preserve">Available at: </w:t>
      </w:r>
      <w:hyperlink r:id="rId35" w:history="1">
        <w:r w:rsidRPr="00821BF0">
          <w:rPr>
            <w:rFonts w:ascii="Arial" w:eastAsia="Times New Roman" w:hAnsi="Arial" w:cs="Arial"/>
            <w:color w:val="0563C1"/>
            <w:sz w:val="24"/>
            <w:szCs w:val="24"/>
            <w:u w:val="single"/>
            <w:lang w:eastAsia="en-GB"/>
          </w:rPr>
          <w:t>https://www.legislation.gov.uk/ukpga/1997/50/section/93</w:t>
        </w:r>
      </w:hyperlink>
      <w:r w:rsidRPr="00821BF0">
        <w:rPr>
          <w:rFonts w:ascii="Arial" w:eastAsia="Times New Roman" w:hAnsi="Arial" w:cs="Arial"/>
          <w:sz w:val="24"/>
          <w:szCs w:val="24"/>
          <w:lang w:eastAsia="en-GB"/>
        </w:rPr>
        <w:t xml:space="preserve"> (Accessed: 14 March 2022).</w:t>
      </w:r>
    </w:p>
    <w:p w14:paraId="04D84EB8" w14:textId="77777777" w:rsidR="00821BF0" w:rsidRPr="00821BF0" w:rsidRDefault="00821BF0" w:rsidP="00821BF0">
      <w:pPr>
        <w:spacing w:before="100" w:beforeAutospacing="1" w:after="0" w:afterAutospacing="1" w:line="240" w:lineRule="auto"/>
        <w:textAlignment w:val="baseline"/>
        <w:rPr>
          <w:rFonts w:ascii="Arial" w:eastAsia="Times New Roman" w:hAnsi="Arial" w:cs="Arial"/>
          <w:sz w:val="24"/>
          <w:szCs w:val="24"/>
          <w:lang w:eastAsia="en-GB"/>
        </w:rPr>
      </w:pPr>
      <w:r w:rsidRPr="00821BF0">
        <w:rPr>
          <w:rFonts w:ascii="Arial" w:eastAsia="Times New Roman" w:hAnsi="Arial" w:cs="Arial"/>
          <w:i/>
          <w:iCs/>
          <w:sz w:val="24"/>
          <w:szCs w:val="24"/>
          <w:lang w:eastAsia="en-GB"/>
        </w:rPr>
        <w:t>Police and Criminal Evidence Act, 1984, c.60, Part 2</w:t>
      </w:r>
      <w:r w:rsidRPr="00821BF0">
        <w:rPr>
          <w:rFonts w:ascii="Arial" w:eastAsia="Times New Roman" w:hAnsi="Arial" w:cs="Arial"/>
          <w:sz w:val="24"/>
          <w:szCs w:val="24"/>
          <w:lang w:eastAsia="en-GB"/>
        </w:rPr>
        <w:t xml:space="preserve">, Available at: </w:t>
      </w:r>
      <w:hyperlink r:id="rId36" w:history="1">
        <w:r w:rsidRPr="00821BF0">
          <w:rPr>
            <w:rFonts w:ascii="Arial" w:eastAsia="Times New Roman" w:hAnsi="Arial" w:cs="Arial"/>
            <w:color w:val="0563C1"/>
            <w:sz w:val="24"/>
            <w:szCs w:val="24"/>
            <w:u w:val="single"/>
            <w:lang w:eastAsia="en-GB"/>
          </w:rPr>
          <w:t>https://www.legislation.gov.uk/ukpga/1984/60/part/II</w:t>
        </w:r>
      </w:hyperlink>
      <w:r w:rsidRPr="00821BF0">
        <w:rPr>
          <w:rFonts w:ascii="Arial" w:eastAsia="Times New Roman" w:hAnsi="Arial" w:cs="Arial"/>
          <w:sz w:val="24"/>
          <w:szCs w:val="24"/>
          <w:lang w:eastAsia="en-GB"/>
        </w:rPr>
        <w:t xml:space="preserve"> (Accessed: 13 March 2022).</w:t>
      </w:r>
    </w:p>
    <w:p w14:paraId="7950A143" w14:textId="77777777" w:rsidR="00821BF0" w:rsidRPr="00821BF0" w:rsidRDefault="00821BF0" w:rsidP="00821BF0">
      <w:pPr>
        <w:rPr>
          <w:rFonts w:ascii="Arial" w:eastAsia="Arial" w:hAnsi="Arial" w:cs="Arial"/>
          <w:sz w:val="24"/>
          <w:szCs w:val="24"/>
        </w:rPr>
      </w:pPr>
      <w:r w:rsidRPr="00821BF0">
        <w:rPr>
          <w:rFonts w:ascii="Arial" w:eastAsia="Arial" w:hAnsi="Arial" w:cs="Arial"/>
          <w:i/>
          <w:iCs/>
          <w:sz w:val="24"/>
          <w:szCs w:val="24"/>
        </w:rPr>
        <w:lastRenderedPageBreak/>
        <w:t>Police and Criminal Evidence Act 1984, c. 60, S. 78</w:t>
      </w:r>
      <w:r w:rsidRPr="00821BF0">
        <w:rPr>
          <w:rFonts w:ascii="Arial" w:eastAsia="Arial" w:hAnsi="Arial" w:cs="Arial"/>
          <w:sz w:val="24"/>
          <w:szCs w:val="24"/>
        </w:rPr>
        <w:t xml:space="preserve">, Available at: </w:t>
      </w:r>
      <w:hyperlink r:id="rId37" w:history="1">
        <w:r w:rsidRPr="00821BF0">
          <w:rPr>
            <w:rFonts w:ascii="Arial" w:eastAsia="Arial" w:hAnsi="Arial" w:cs="Arial"/>
            <w:color w:val="0563C1"/>
            <w:sz w:val="24"/>
            <w:szCs w:val="24"/>
            <w:u w:val="single"/>
          </w:rPr>
          <w:t>https://www.legislation.gov.uk/ukpga/1984/60/section/78</w:t>
        </w:r>
      </w:hyperlink>
      <w:r w:rsidRPr="00821BF0">
        <w:rPr>
          <w:rFonts w:ascii="Arial" w:eastAsia="Arial" w:hAnsi="Arial" w:cs="Arial"/>
          <w:sz w:val="24"/>
          <w:szCs w:val="24"/>
        </w:rPr>
        <w:t xml:space="preserve"> (Accessed: 19 March 2022).</w:t>
      </w:r>
    </w:p>
    <w:p w14:paraId="25477EED" w14:textId="77777777" w:rsidR="00821BF0" w:rsidRPr="00821BF0" w:rsidRDefault="00821BF0" w:rsidP="00821BF0">
      <w:pPr>
        <w:rPr>
          <w:rFonts w:ascii="Arial" w:eastAsia="Calibri" w:hAnsi="Arial" w:cs="Arial"/>
          <w:sz w:val="24"/>
          <w:szCs w:val="24"/>
        </w:rPr>
      </w:pPr>
      <w:r w:rsidRPr="00821BF0">
        <w:rPr>
          <w:rFonts w:ascii="Arial" w:eastAsia="Calibri" w:hAnsi="Arial" w:cs="Arial"/>
          <w:sz w:val="24"/>
          <w:szCs w:val="24"/>
        </w:rPr>
        <w:t xml:space="preserve">Rose, A. (2021). Forensics: The Golden Hour. In: </w:t>
      </w:r>
      <w:proofErr w:type="spellStart"/>
      <w:r w:rsidRPr="00821BF0">
        <w:rPr>
          <w:rFonts w:ascii="Arial" w:eastAsia="Calibri" w:hAnsi="Arial" w:cs="Arial"/>
          <w:sz w:val="24"/>
          <w:szCs w:val="24"/>
        </w:rPr>
        <w:t>Roycroft</w:t>
      </w:r>
      <w:proofErr w:type="spellEnd"/>
      <w:r w:rsidRPr="00821BF0">
        <w:rPr>
          <w:rFonts w:ascii="Arial" w:eastAsia="Calibri" w:hAnsi="Arial" w:cs="Arial"/>
          <w:sz w:val="24"/>
          <w:szCs w:val="24"/>
        </w:rPr>
        <w:t xml:space="preserve">, M., Brine, L. (eds) Modern Police Leadership. Palgrave Macmillan, Cham. Available at: </w:t>
      </w:r>
      <w:hyperlink r:id="rId38" w:history="1">
        <w:r w:rsidRPr="00821BF0">
          <w:rPr>
            <w:rFonts w:ascii="Arial" w:eastAsia="Calibri" w:hAnsi="Arial" w:cs="Arial"/>
            <w:color w:val="0563C1"/>
            <w:sz w:val="24"/>
            <w:szCs w:val="24"/>
            <w:u w:val="single"/>
          </w:rPr>
          <w:t>https://doi.org/10.1007/978-3-030-63930-3_18</w:t>
        </w:r>
      </w:hyperlink>
      <w:r w:rsidRPr="00821BF0">
        <w:rPr>
          <w:rFonts w:ascii="Arial" w:eastAsia="Calibri" w:hAnsi="Arial" w:cs="Arial"/>
          <w:sz w:val="24"/>
          <w:szCs w:val="24"/>
        </w:rPr>
        <w:t xml:space="preserve"> (Accessed: 22 March 2022).</w:t>
      </w:r>
    </w:p>
    <w:p w14:paraId="42DD200A" w14:textId="77777777" w:rsidR="00821BF0" w:rsidRPr="00821BF0" w:rsidRDefault="00821BF0" w:rsidP="00821BF0">
      <w:pPr>
        <w:rPr>
          <w:rFonts w:ascii="Arial" w:eastAsia="Arial" w:hAnsi="Arial" w:cs="Arial"/>
          <w:sz w:val="24"/>
          <w:szCs w:val="24"/>
        </w:rPr>
      </w:pPr>
      <w:proofErr w:type="spellStart"/>
      <w:r w:rsidRPr="00821BF0">
        <w:rPr>
          <w:rFonts w:ascii="Arial" w:eastAsia="Arial" w:hAnsi="Arial" w:cs="Arial"/>
          <w:sz w:val="24"/>
          <w:szCs w:val="24"/>
        </w:rPr>
        <w:t>Stelfox</w:t>
      </w:r>
      <w:proofErr w:type="spellEnd"/>
      <w:r w:rsidRPr="00821BF0">
        <w:rPr>
          <w:rFonts w:ascii="Arial" w:eastAsia="Arial" w:hAnsi="Arial" w:cs="Arial"/>
          <w:sz w:val="24"/>
          <w:szCs w:val="24"/>
        </w:rPr>
        <w:t xml:space="preserve">, P., (2011) ‘Criminal Investigation: Filling the Skills Gap in Leadership, Management, and Supervision’, </w:t>
      </w:r>
      <w:r w:rsidRPr="00821BF0">
        <w:rPr>
          <w:rFonts w:ascii="Arial" w:eastAsia="Arial" w:hAnsi="Arial" w:cs="Arial"/>
          <w:i/>
          <w:iCs/>
          <w:sz w:val="24"/>
          <w:szCs w:val="24"/>
        </w:rPr>
        <w:t>Policing: A Journal of Policy and Practice</w:t>
      </w:r>
      <w:r w:rsidRPr="00821BF0">
        <w:rPr>
          <w:rFonts w:ascii="Arial" w:eastAsia="Arial" w:hAnsi="Arial" w:cs="Arial"/>
          <w:sz w:val="24"/>
          <w:szCs w:val="24"/>
        </w:rPr>
        <w:t xml:space="preserve">, Volume 5, Issue 1, Pp 15–22, Available at:  </w:t>
      </w:r>
      <w:hyperlink r:id="rId39" w:history="1">
        <w:r w:rsidRPr="00821BF0">
          <w:rPr>
            <w:rFonts w:ascii="Arial" w:eastAsia="Arial" w:hAnsi="Arial" w:cs="Arial"/>
            <w:color w:val="0563C1"/>
            <w:sz w:val="24"/>
            <w:szCs w:val="24"/>
            <w:u w:val="single"/>
          </w:rPr>
          <w:t>https://doi.org/10.1093/police/paq055</w:t>
        </w:r>
      </w:hyperlink>
      <w:r w:rsidRPr="00821BF0">
        <w:rPr>
          <w:rFonts w:ascii="Arial" w:eastAsia="Arial" w:hAnsi="Arial" w:cs="Arial"/>
          <w:sz w:val="24"/>
          <w:szCs w:val="24"/>
        </w:rPr>
        <w:t xml:space="preserve"> (Accessed: 16 March 2022).</w:t>
      </w:r>
    </w:p>
    <w:p w14:paraId="38230696" w14:textId="77777777" w:rsidR="00821BF0" w:rsidRPr="00821BF0" w:rsidRDefault="00821BF0" w:rsidP="00821BF0">
      <w:pPr>
        <w:rPr>
          <w:rFonts w:ascii="Arial" w:eastAsia="Arial" w:hAnsi="Arial" w:cs="Arial"/>
          <w:color w:val="000000"/>
          <w:sz w:val="24"/>
          <w:szCs w:val="24"/>
        </w:rPr>
      </w:pPr>
      <w:r w:rsidRPr="00821BF0">
        <w:rPr>
          <w:rFonts w:ascii="Arial" w:eastAsia="Arial" w:hAnsi="Arial" w:cs="Arial"/>
          <w:color w:val="000000"/>
          <w:sz w:val="24"/>
          <w:szCs w:val="24"/>
        </w:rPr>
        <w:t xml:space="preserve">UK Parliament (2015) </w:t>
      </w:r>
      <w:r w:rsidRPr="00821BF0">
        <w:rPr>
          <w:rFonts w:ascii="Arial" w:eastAsia="Arial" w:hAnsi="Arial" w:cs="Arial"/>
          <w:i/>
          <w:iCs/>
          <w:color w:val="000000"/>
          <w:sz w:val="24"/>
          <w:szCs w:val="24"/>
        </w:rPr>
        <w:t>Mandatory life sentences for murder,</w:t>
      </w:r>
      <w:r w:rsidRPr="00821BF0">
        <w:rPr>
          <w:rFonts w:ascii="Arial" w:eastAsia="Arial" w:hAnsi="Arial" w:cs="Arial"/>
          <w:color w:val="000000"/>
          <w:sz w:val="24"/>
          <w:szCs w:val="24"/>
        </w:rPr>
        <w:t xml:space="preserve"> Briefing Paper</w:t>
      </w:r>
      <w:r w:rsidRPr="00821BF0">
        <w:rPr>
          <w:rFonts w:ascii="Arial" w:eastAsia="Arial" w:hAnsi="Arial" w:cs="Arial"/>
          <w:i/>
          <w:iCs/>
          <w:color w:val="000000"/>
          <w:sz w:val="24"/>
          <w:szCs w:val="24"/>
        </w:rPr>
        <w:t xml:space="preserve"> </w:t>
      </w:r>
      <w:r w:rsidRPr="00821BF0">
        <w:rPr>
          <w:rFonts w:ascii="Arial" w:eastAsia="Arial" w:hAnsi="Arial" w:cs="Arial"/>
          <w:color w:val="000000"/>
          <w:sz w:val="24"/>
          <w:szCs w:val="24"/>
        </w:rPr>
        <w:t xml:space="preserve">(No. 3626) Available at: </w:t>
      </w:r>
      <w:hyperlink r:id="rId40" w:history="1">
        <w:r w:rsidRPr="00821BF0">
          <w:rPr>
            <w:rFonts w:ascii="Arial" w:eastAsia="Arial" w:hAnsi="Arial" w:cs="Arial"/>
            <w:color w:val="0563C1"/>
            <w:sz w:val="24"/>
            <w:szCs w:val="24"/>
            <w:u w:val="single"/>
          </w:rPr>
          <w:t>https://researchbriefings.files.parliament.uk/documents/SN03626/SN03626.pdf</w:t>
        </w:r>
      </w:hyperlink>
      <w:r w:rsidRPr="00821BF0">
        <w:rPr>
          <w:rFonts w:ascii="Arial" w:eastAsia="Arial" w:hAnsi="Arial" w:cs="Arial"/>
          <w:color w:val="000000"/>
          <w:sz w:val="24"/>
          <w:szCs w:val="24"/>
        </w:rPr>
        <w:t xml:space="preserve"> (Accessed: 20 March 2022).</w:t>
      </w:r>
    </w:p>
    <w:p w14:paraId="32C071FF" w14:textId="77777777" w:rsidR="00821BF0" w:rsidRPr="00821BF0" w:rsidRDefault="00821BF0" w:rsidP="00821BF0">
      <w:pPr>
        <w:rPr>
          <w:rFonts w:ascii="Arial" w:eastAsia="Arial" w:hAnsi="Arial" w:cs="Arial"/>
          <w:color w:val="000000"/>
          <w:sz w:val="24"/>
          <w:szCs w:val="24"/>
        </w:rPr>
      </w:pPr>
      <w:r w:rsidRPr="00821BF0">
        <w:rPr>
          <w:rFonts w:ascii="Arial" w:eastAsia="Arial" w:hAnsi="Arial" w:cs="Arial"/>
          <w:color w:val="000000"/>
          <w:sz w:val="24"/>
          <w:szCs w:val="24"/>
        </w:rPr>
        <w:t>Violence Against Women, Domestic Abuse and Sexual Violence (Wales) Act 2015</w:t>
      </w:r>
      <w:bookmarkEnd w:id="0"/>
      <w:r w:rsidRPr="00821BF0">
        <w:rPr>
          <w:rFonts w:ascii="Arial" w:eastAsia="Arial" w:hAnsi="Arial" w:cs="Arial"/>
          <w:color w:val="000000"/>
          <w:sz w:val="24"/>
          <w:szCs w:val="24"/>
        </w:rPr>
        <w:t xml:space="preserve">, Available at: </w:t>
      </w:r>
      <w:r w:rsidRPr="00821BF0">
        <w:rPr>
          <w:rFonts w:ascii="Arial" w:eastAsia="Arial" w:hAnsi="Arial" w:cs="Arial"/>
          <w:color w:val="000000"/>
          <w:sz w:val="24"/>
          <w:szCs w:val="24"/>
          <w:u w:val="single"/>
        </w:rPr>
        <w:t>https://www.legislation.gov.uk/anaw/2015/3/contents</w:t>
      </w:r>
      <w:r w:rsidRPr="00821BF0">
        <w:rPr>
          <w:rFonts w:ascii="Arial" w:eastAsia="Arial" w:hAnsi="Arial" w:cs="Arial"/>
          <w:color w:val="000000"/>
          <w:sz w:val="24"/>
          <w:szCs w:val="24"/>
        </w:rPr>
        <w:t xml:space="preserve"> (Accessed: 13 March 2022).</w:t>
      </w:r>
    </w:p>
    <w:p w14:paraId="1BE224BF" w14:textId="77777777" w:rsidR="00821BF0" w:rsidRPr="00821BF0" w:rsidRDefault="00821BF0" w:rsidP="00821BF0">
      <w:pPr>
        <w:rPr>
          <w:rFonts w:ascii="Arial" w:eastAsia="Arial" w:hAnsi="Arial" w:cs="Arial"/>
          <w:sz w:val="24"/>
          <w:szCs w:val="24"/>
        </w:rPr>
      </w:pPr>
    </w:p>
    <w:p w14:paraId="70CB8D0E" w14:textId="4BEF39B6" w:rsidR="00D63580" w:rsidRPr="00506FB8" w:rsidRDefault="00D63580" w:rsidP="4651F0B7">
      <w:pPr>
        <w:ind w:right="237"/>
        <w:jc w:val="both"/>
        <w:rPr>
          <w:rFonts w:ascii="Arial" w:eastAsia="Arial" w:hAnsi="Arial" w:cs="Arial"/>
          <w:color w:val="000000" w:themeColor="text1"/>
          <w:sz w:val="24"/>
          <w:szCs w:val="24"/>
        </w:rPr>
      </w:pPr>
    </w:p>
    <w:p w14:paraId="3385DD0D" w14:textId="317DFEB6" w:rsidR="00D63580" w:rsidRDefault="00D63580" w:rsidP="4651F0B7">
      <w:pPr>
        <w:ind w:right="237"/>
        <w:jc w:val="both"/>
        <w:rPr>
          <w:rFonts w:ascii="Arial" w:eastAsia="Arial" w:hAnsi="Arial" w:cs="Arial"/>
          <w:color w:val="000000" w:themeColor="text1"/>
          <w:sz w:val="24"/>
          <w:szCs w:val="24"/>
        </w:rPr>
      </w:pPr>
    </w:p>
    <w:p w14:paraId="49A14E6E" w14:textId="4C4AA249" w:rsidR="00D63580" w:rsidRDefault="00D63580" w:rsidP="4651F0B7">
      <w:pPr>
        <w:ind w:right="237"/>
        <w:jc w:val="both"/>
        <w:rPr>
          <w:rFonts w:ascii="Arial" w:eastAsia="Arial" w:hAnsi="Arial" w:cs="Arial"/>
          <w:color w:val="000000" w:themeColor="text1"/>
          <w:sz w:val="24"/>
          <w:szCs w:val="24"/>
        </w:rPr>
      </w:pPr>
    </w:p>
    <w:p w14:paraId="66409991" w14:textId="575041B7" w:rsidR="00D63580" w:rsidRDefault="00D63580" w:rsidP="4651F0B7">
      <w:pPr>
        <w:ind w:right="237"/>
        <w:jc w:val="both"/>
        <w:rPr>
          <w:rFonts w:ascii="Arial" w:eastAsia="Arial" w:hAnsi="Arial" w:cs="Arial"/>
          <w:color w:val="000000" w:themeColor="text1"/>
          <w:sz w:val="24"/>
          <w:szCs w:val="24"/>
        </w:rPr>
      </w:pPr>
    </w:p>
    <w:p w14:paraId="3CF5F4DA" w14:textId="42BF3433" w:rsidR="00D63580" w:rsidRDefault="00D63580" w:rsidP="4651F0B7">
      <w:pPr>
        <w:ind w:right="237"/>
        <w:jc w:val="both"/>
        <w:rPr>
          <w:rFonts w:ascii="Arial" w:eastAsia="Arial" w:hAnsi="Arial" w:cs="Arial"/>
          <w:color w:val="000000" w:themeColor="text1"/>
          <w:sz w:val="24"/>
          <w:szCs w:val="24"/>
        </w:rPr>
      </w:pPr>
    </w:p>
    <w:p w14:paraId="3C425CAC" w14:textId="58EA0BA6" w:rsidR="00D63580" w:rsidRDefault="00D63580" w:rsidP="4651F0B7">
      <w:pPr>
        <w:ind w:right="237"/>
        <w:jc w:val="both"/>
        <w:rPr>
          <w:rFonts w:ascii="Arial" w:eastAsia="Arial" w:hAnsi="Arial" w:cs="Arial"/>
          <w:color w:val="000000" w:themeColor="text1"/>
          <w:sz w:val="24"/>
          <w:szCs w:val="24"/>
        </w:rPr>
      </w:pPr>
    </w:p>
    <w:p w14:paraId="25CDBEFD" w14:textId="6124C806" w:rsidR="00D63580" w:rsidRDefault="00D63580" w:rsidP="4651F0B7">
      <w:pPr>
        <w:ind w:right="237"/>
        <w:jc w:val="both"/>
        <w:rPr>
          <w:rFonts w:ascii="Arial" w:eastAsia="Arial" w:hAnsi="Arial" w:cs="Arial"/>
          <w:color w:val="000000" w:themeColor="text1"/>
          <w:sz w:val="24"/>
          <w:szCs w:val="24"/>
        </w:rPr>
      </w:pPr>
    </w:p>
    <w:p w14:paraId="5B1A7F65" w14:textId="6506803E" w:rsidR="00D63580" w:rsidRDefault="00D63580" w:rsidP="4651F0B7">
      <w:pPr>
        <w:ind w:right="237"/>
        <w:jc w:val="both"/>
        <w:rPr>
          <w:rFonts w:ascii="Arial" w:eastAsia="Arial" w:hAnsi="Arial" w:cs="Arial"/>
          <w:color w:val="000000" w:themeColor="text1"/>
          <w:sz w:val="24"/>
          <w:szCs w:val="24"/>
        </w:rPr>
      </w:pPr>
    </w:p>
    <w:p w14:paraId="4572AC74" w14:textId="5B4EC77D" w:rsidR="008031A3" w:rsidRDefault="008031A3" w:rsidP="4651F0B7">
      <w:pPr>
        <w:ind w:right="237"/>
        <w:jc w:val="both"/>
        <w:rPr>
          <w:rFonts w:ascii="Arial" w:eastAsia="Arial" w:hAnsi="Arial" w:cs="Arial"/>
          <w:color w:val="000000" w:themeColor="text1"/>
          <w:sz w:val="24"/>
          <w:szCs w:val="24"/>
        </w:rPr>
      </w:pPr>
    </w:p>
    <w:p w14:paraId="7847EF15" w14:textId="7AABEF50" w:rsidR="008031A3" w:rsidRDefault="008031A3" w:rsidP="4651F0B7">
      <w:pPr>
        <w:ind w:right="237"/>
        <w:jc w:val="both"/>
        <w:rPr>
          <w:rFonts w:ascii="Arial" w:eastAsia="Arial" w:hAnsi="Arial" w:cs="Arial"/>
          <w:color w:val="000000" w:themeColor="text1"/>
          <w:sz w:val="24"/>
          <w:szCs w:val="24"/>
        </w:rPr>
      </w:pPr>
    </w:p>
    <w:p w14:paraId="3108C57A" w14:textId="388CA513" w:rsidR="008031A3" w:rsidRDefault="008031A3" w:rsidP="4651F0B7">
      <w:pPr>
        <w:ind w:right="237"/>
        <w:jc w:val="both"/>
        <w:rPr>
          <w:rFonts w:ascii="Arial" w:eastAsia="Arial" w:hAnsi="Arial" w:cs="Arial"/>
          <w:color w:val="000000" w:themeColor="text1"/>
          <w:sz w:val="24"/>
          <w:szCs w:val="24"/>
        </w:rPr>
      </w:pPr>
    </w:p>
    <w:p w14:paraId="06A595E2" w14:textId="1973B9A0" w:rsidR="008031A3" w:rsidRDefault="008031A3" w:rsidP="4651F0B7">
      <w:pPr>
        <w:ind w:right="237"/>
        <w:jc w:val="both"/>
        <w:rPr>
          <w:rFonts w:ascii="Arial" w:eastAsia="Arial" w:hAnsi="Arial" w:cs="Arial"/>
          <w:color w:val="000000" w:themeColor="text1"/>
          <w:sz w:val="24"/>
          <w:szCs w:val="24"/>
        </w:rPr>
      </w:pPr>
    </w:p>
    <w:p w14:paraId="07A4DD49" w14:textId="5AC9E8CC" w:rsidR="008031A3" w:rsidRDefault="008031A3" w:rsidP="4651F0B7">
      <w:pPr>
        <w:ind w:right="237"/>
        <w:jc w:val="both"/>
        <w:rPr>
          <w:rFonts w:ascii="Arial" w:eastAsia="Arial" w:hAnsi="Arial" w:cs="Arial"/>
          <w:color w:val="000000" w:themeColor="text1"/>
          <w:sz w:val="24"/>
          <w:szCs w:val="24"/>
        </w:rPr>
      </w:pPr>
    </w:p>
    <w:p w14:paraId="0EF4CB8E" w14:textId="6031BA36" w:rsidR="008031A3" w:rsidRDefault="008031A3" w:rsidP="4651F0B7">
      <w:pPr>
        <w:ind w:right="237"/>
        <w:jc w:val="both"/>
        <w:rPr>
          <w:rFonts w:ascii="Arial" w:eastAsia="Arial" w:hAnsi="Arial" w:cs="Arial"/>
          <w:color w:val="000000" w:themeColor="text1"/>
          <w:sz w:val="24"/>
          <w:szCs w:val="24"/>
        </w:rPr>
      </w:pPr>
    </w:p>
    <w:p w14:paraId="6EC18939" w14:textId="5B7C6CF3" w:rsidR="008031A3" w:rsidRDefault="008031A3" w:rsidP="4651F0B7">
      <w:pPr>
        <w:ind w:right="237"/>
        <w:jc w:val="both"/>
        <w:rPr>
          <w:rFonts w:ascii="Arial" w:eastAsia="Arial" w:hAnsi="Arial" w:cs="Arial"/>
          <w:color w:val="000000" w:themeColor="text1"/>
          <w:sz w:val="24"/>
          <w:szCs w:val="24"/>
        </w:rPr>
      </w:pPr>
    </w:p>
    <w:p w14:paraId="4F6C928C" w14:textId="133EF0C2" w:rsidR="00A661E7" w:rsidRDefault="00A661E7" w:rsidP="4651F0B7">
      <w:pPr>
        <w:ind w:right="237"/>
        <w:jc w:val="both"/>
        <w:rPr>
          <w:rFonts w:ascii="Arial" w:eastAsia="Arial" w:hAnsi="Arial" w:cs="Arial"/>
          <w:color w:val="000000" w:themeColor="text1"/>
          <w:sz w:val="24"/>
          <w:szCs w:val="24"/>
        </w:rPr>
      </w:pPr>
    </w:p>
    <w:p w14:paraId="70A70B87" w14:textId="77777777" w:rsidR="00A661E7" w:rsidRDefault="00A661E7" w:rsidP="4651F0B7">
      <w:pPr>
        <w:ind w:right="237"/>
        <w:jc w:val="both"/>
        <w:rPr>
          <w:rFonts w:ascii="Arial" w:eastAsia="Arial" w:hAnsi="Arial" w:cs="Arial"/>
          <w:color w:val="000000" w:themeColor="text1"/>
          <w:sz w:val="24"/>
          <w:szCs w:val="24"/>
        </w:rPr>
      </w:pPr>
    </w:p>
    <w:p w14:paraId="13F4C00A" w14:textId="41BC4015" w:rsidR="010A2EC9" w:rsidRDefault="010A2EC9" w:rsidP="7336895D">
      <w:pPr>
        <w:rPr>
          <w:rFonts w:ascii="Arial" w:eastAsia="Arial" w:hAnsi="Arial" w:cs="Arial"/>
          <w:b/>
          <w:bCs/>
          <w:sz w:val="24"/>
          <w:szCs w:val="24"/>
        </w:rPr>
      </w:pPr>
      <w:r w:rsidRPr="515A1CF8">
        <w:rPr>
          <w:rFonts w:ascii="Arial" w:eastAsia="Arial" w:hAnsi="Arial" w:cs="Arial"/>
          <w:b/>
          <w:bCs/>
          <w:sz w:val="24"/>
          <w:szCs w:val="24"/>
        </w:rPr>
        <w:lastRenderedPageBreak/>
        <w:t xml:space="preserve">Task 2: </w:t>
      </w:r>
    </w:p>
    <w:p w14:paraId="2F03655D" w14:textId="50B7AA50" w:rsidR="7336895D" w:rsidRDefault="7336895D" w:rsidP="515A1CF8">
      <w:pPr>
        <w:rPr>
          <w:rFonts w:ascii="Calibri" w:eastAsia="Calibri" w:hAnsi="Calibri" w:cs="Calibri"/>
          <w:color w:val="000000" w:themeColor="text1"/>
        </w:rPr>
      </w:pPr>
    </w:p>
    <w:p w14:paraId="1D47177A" w14:textId="6ECC25A1" w:rsidR="7336895D" w:rsidRDefault="1EBEE606"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You must choose an investigation in which you played a significant role and reflect upon how you supported victims and or witnesses. </w:t>
      </w:r>
    </w:p>
    <w:p w14:paraId="640CBB2B" w14:textId="4B78C5CE" w:rsidR="7336895D" w:rsidRDefault="7336895D" w:rsidP="7336895D">
      <w:pPr>
        <w:rPr>
          <w:b/>
          <w:bCs/>
        </w:rPr>
      </w:pPr>
    </w:p>
    <w:p w14:paraId="2A30A3F0" w14:textId="386DF2F5" w:rsidR="7336895D" w:rsidRDefault="7336895D" w:rsidP="7336895D">
      <w:pPr>
        <w:rPr>
          <w:b/>
          <w:bCs/>
        </w:rPr>
      </w:pPr>
    </w:p>
    <w:tbl>
      <w:tblPr>
        <w:tblStyle w:val="TableGrid"/>
        <w:tblW w:w="0" w:type="auto"/>
        <w:tblLayout w:type="fixed"/>
        <w:tblLook w:val="06A0" w:firstRow="1" w:lastRow="0" w:firstColumn="1" w:lastColumn="0" w:noHBand="1" w:noVBand="1"/>
      </w:tblPr>
      <w:tblGrid>
        <w:gridCol w:w="9015"/>
      </w:tblGrid>
      <w:tr w:rsidR="7336895D" w14:paraId="377E1D5D" w14:textId="77777777" w:rsidTr="79283025">
        <w:tc>
          <w:tcPr>
            <w:tcW w:w="9015" w:type="dxa"/>
          </w:tcPr>
          <w:p w14:paraId="77EB8991" w14:textId="1C7BACBC" w:rsidR="7336895D" w:rsidRDefault="7336895D" w:rsidP="7336895D">
            <w:pPr>
              <w:rPr>
                <w:rFonts w:ascii="Arial" w:eastAsia="Arial" w:hAnsi="Arial" w:cs="Arial"/>
                <w:b/>
                <w:bCs/>
                <w:color w:val="000000" w:themeColor="text1"/>
                <w:sz w:val="24"/>
                <w:szCs w:val="24"/>
              </w:rPr>
            </w:pPr>
          </w:p>
          <w:p w14:paraId="309EE1A9" w14:textId="28613F84" w:rsidR="7336895D" w:rsidRDefault="7336895D" w:rsidP="7336895D">
            <w:pPr>
              <w:rPr>
                <w:rFonts w:ascii="Arial" w:eastAsia="Arial" w:hAnsi="Arial" w:cs="Arial"/>
                <w:b/>
                <w:bCs/>
                <w:color w:val="000000" w:themeColor="text1"/>
                <w:sz w:val="24"/>
                <w:szCs w:val="24"/>
              </w:rPr>
            </w:pPr>
          </w:p>
          <w:p w14:paraId="44012570" w14:textId="310F5E55" w:rsidR="7336895D" w:rsidRDefault="1EBEE606" w:rsidP="515A1CF8">
            <w:pPr>
              <w:spacing w:line="259" w:lineRule="auto"/>
              <w:ind w:right="237"/>
              <w:jc w:val="both"/>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515A1CF8">
              <w:rPr>
                <w:rFonts w:ascii="Arial" w:eastAsia="Arial" w:hAnsi="Arial" w:cs="Arial"/>
                <w:sz w:val="24"/>
                <w:szCs w:val="24"/>
              </w:rPr>
              <w:t xml:space="preserve"> </w:t>
            </w:r>
          </w:p>
          <w:p w14:paraId="2A0EC8D3" w14:textId="6AF2A5EB" w:rsidR="7336895D" w:rsidRDefault="7336895D" w:rsidP="515A1CF8">
            <w:pPr>
              <w:rPr>
                <w:rFonts w:ascii="Arial" w:eastAsia="Arial" w:hAnsi="Arial" w:cs="Arial"/>
                <w:b/>
                <w:bCs/>
                <w:color w:val="000000" w:themeColor="text1"/>
                <w:sz w:val="24"/>
                <w:szCs w:val="24"/>
              </w:rPr>
            </w:pPr>
          </w:p>
          <w:p w14:paraId="49AF60EB" w14:textId="7E8FD7D8" w:rsidR="1EBEE606" w:rsidRDefault="1EBEE606"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Critically evaluate </w:t>
            </w:r>
            <w:r w:rsidRPr="515A1CF8">
              <w:rPr>
                <w:rFonts w:ascii="Arial" w:eastAsia="Arial" w:hAnsi="Arial" w:cs="Arial"/>
                <w:color w:val="000000" w:themeColor="text1"/>
                <w:sz w:val="24"/>
                <w:szCs w:val="24"/>
              </w:rPr>
              <w:t xml:space="preserve">how you have provided appropriate support for victims during an investigation. Consider the use of </w:t>
            </w:r>
            <w:r w:rsidR="5FC6C293" w:rsidRPr="515A1CF8">
              <w:rPr>
                <w:rFonts w:ascii="Arial" w:eastAsia="Arial" w:hAnsi="Arial" w:cs="Arial"/>
                <w:color w:val="000000" w:themeColor="text1"/>
                <w:sz w:val="24"/>
                <w:szCs w:val="24"/>
              </w:rPr>
              <w:t xml:space="preserve">a victim strategy when required and working with the Victim Care Unit. </w:t>
            </w:r>
          </w:p>
          <w:p w14:paraId="44E0E104" w14:textId="74D7C2CC" w:rsidR="515A1CF8" w:rsidRDefault="515A1CF8" w:rsidP="515A1CF8">
            <w:pPr>
              <w:rPr>
                <w:rFonts w:ascii="Arial" w:eastAsia="Arial" w:hAnsi="Arial" w:cs="Arial"/>
                <w:color w:val="000000" w:themeColor="text1"/>
                <w:sz w:val="24"/>
                <w:szCs w:val="24"/>
              </w:rPr>
            </w:pPr>
          </w:p>
          <w:p w14:paraId="299FE2F7" w14:textId="5EF70B86" w:rsidR="587461C1" w:rsidRDefault="0C3EB9E8"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Examine</w:t>
            </w:r>
            <w:r w:rsidRPr="79283025">
              <w:rPr>
                <w:rFonts w:ascii="Arial" w:eastAsia="Arial" w:hAnsi="Arial" w:cs="Arial"/>
                <w:color w:val="000000" w:themeColor="text1"/>
                <w:sz w:val="24"/>
                <w:szCs w:val="24"/>
              </w:rPr>
              <w:t xml:space="preserve"> the use of appropriate responses to safeguarding concerns and manage</w:t>
            </w:r>
            <w:r w:rsidR="21E64008" w:rsidRPr="79283025">
              <w:rPr>
                <w:rFonts w:ascii="Arial" w:eastAsia="Arial" w:hAnsi="Arial" w:cs="Arial"/>
                <w:color w:val="000000" w:themeColor="text1"/>
                <w:sz w:val="24"/>
                <w:szCs w:val="24"/>
              </w:rPr>
              <w:t>ment</w:t>
            </w:r>
            <w:r w:rsidRPr="79283025">
              <w:rPr>
                <w:rFonts w:ascii="Arial" w:eastAsia="Arial" w:hAnsi="Arial" w:cs="Arial"/>
                <w:color w:val="000000" w:themeColor="text1"/>
                <w:sz w:val="24"/>
                <w:szCs w:val="24"/>
              </w:rPr>
              <w:t xml:space="preserve"> risk in investigations. (</w:t>
            </w:r>
            <w:r w:rsidR="55676C9F" w:rsidRPr="79283025">
              <w:rPr>
                <w:rFonts w:ascii="Arial" w:eastAsia="Arial" w:hAnsi="Arial" w:cs="Arial"/>
                <w:color w:val="000000" w:themeColor="text1"/>
                <w:sz w:val="24"/>
                <w:szCs w:val="24"/>
              </w:rPr>
              <w:t>Examples</w:t>
            </w:r>
            <w:r w:rsidRPr="79283025">
              <w:rPr>
                <w:rFonts w:ascii="Arial" w:eastAsia="Arial" w:hAnsi="Arial" w:cs="Arial"/>
                <w:color w:val="000000" w:themeColor="text1"/>
                <w:sz w:val="24"/>
                <w:szCs w:val="24"/>
              </w:rPr>
              <w:t xml:space="preserve"> inclu</w:t>
            </w:r>
            <w:r w:rsidR="48E74597" w:rsidRPr="79283025">
              <w:rPr>
                <w:rFonts w:ascii="Arial" w:eastAsia="Arial" w:hAnsi="Arial" w:cs="Arial"/>
                <w:color w:val="000000" w:themeColor="text1"/>
                <w:sz w:val="24"/>
                <w:szCs w:val="24"/>
              </w:rPr>
              <w:t>de but not limited to; child abuse, offences against vulnerable adults and domestic abuse).</w:t>
            </w:r>
          </w:p>
          <w:p w14:paraId="6308EF80" w14:textId="244D8081" w:rsidR="7336895D" w:rsidRDefault="7336895D" w:rsidP="515A1CF8">
            <w:pPr>
              <w:rPr>
                <w:rFonts w:ascii="Arial" w:eastAsia="Arial" w:hAnsi="Arial" w:cs="Arial"/>
                <w:b/>
                <w:bCs/>
                <w:color w:val="000000" w:themeColor="text1"/>
                <w:sz w:val="24"/>
                <w:szCs w:val="24"/>
              </w:rPr>
            </w:pPr>
          </w:p>
          <w:p w14:paraId="7CAF4048" w14:textId="6196AD54" w:rsidR="4D1E61E7" w:rsidRDefault="43D73861"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Consider and reflect </w:t>
            </w:r>
            <w:r w:rsidRPr="79283025">
              <w:rPr>
                <w:rFonts w:ascii="Arial" w:eastAsia="Arial" w:hAnsi="Arial" w:cs="Arial"/>
                <w:color w:val="000000" w:themeColor="text1"/>
                <w:sz w:val="24"/>
                <w:szCs w:val="24"/>
              </w:rPr>
              <w:t xml:space="preserve">upon how you have assessed threat, </w:t>
            </w:r>
            <w:proofErr w:type="gramStart"/>
            <w:r w:rsidRPr="79283025">
              <w:rPr>
                <w:rFonts w:ascii="Arial" w:eastAsia="Arial" w:hAnsi="Arial" w:cs="Arial"/>
                <w:color w:val="000000" w:themeColor="text1"/>
                <w:sz w:val="24"/>
                <w:szCs w:val="24"/>
              </w:rPr>
              <w:t>risk</w:t>
            </w:r>
            <w:proofErr w:type="gramEnd"/>
            <w:r w:rsidRPr="79283025">
              <w:rPr>
                <w:rFonts w:ascii="Arial" w:eastAsia="Arial" w:hAnsi="Arial" w:cs="Arial"/>
                <w:color w:val="000000" w:themeColor="text1"/>
                <w:sz w:val="24"/>
                <w:szCs w:val="24"/>
              </w:rPr>
              <w:t xml:space="preserve"> and harm </w:t>
            </w:r>
            <w:r w:rsidR="43DD8830" w:rsidRPr="79283025">
              <w:rPr>
                <w:rFonts w:ascii="Arial" w:eastAsia="Arial" w:hAnsi="Arial" w:cs="Arial"/>
                <w:color w:val="000000" w:themeColor="text1"/>
                <w:sz w:val="24"/>
                <w:szCs w:val="24"/>
              </w:rPr>
              <w:t>to</w:t>
            </w:r>
            <w:r w:rsidRPr="79283025">
              <w:rPr>
                <w:rFonts w:ascii="Arial" w:eastAsia="Arial" w:hAnsi="Arial" w:cs="Arial"/>
                <w:color w:val="000000" w:themeColor="text1"/>
                <w:sz w:val="24"/>
                <w:szCs w:val="24"/>
              </w:rPr>
              <w:t xml:space="preserve"> develop and implement plans and strategies to investigate serious and complex crime</w:t>
            </w:r>
            <w:r w:rsidR="174F78FE" w:rsidRPr="79283025">
              <w:rPr>
                <w:rFonts w:ascii="Arial" w:eastAsia="Arial" w:hAnsi="Arial" w:cs="Arial"/>
                <w:color w:val="000000" w:themeColor="text1"/>
                <w:sz w:val="24"/>
                <w:szCs w:val="24"/>
              </w:rPr>
              <w:t xml:space="preserve">. </w:t>
            </w:r>
          </w:p>
          <w:p w14:paraId="517D5725" w14:textId="763BA0DA" w:rsidR="7336895D" w:rsidRDefault="7336895D" w:rsidP="515A1CF8">
            <w:pPr>
              <w:rPr>
                <w:rFonts w:ascii="Arial" w:eastAsia="Arial" w:hAnsi="Arial" w:cs="Arial"/>
                <w:color w:val="000000" w:themeColor="text1"/>
                <w:sz w:val="24"/>
                <w:szCs w:val="24"/>
              </w:rPr>
            </w:pPr>
          </w:p>
          <w:p w14:paraId="1CBC0A2B" w14:textId="239D33DE" w:rsidR="7336895D" w:rsidRDefault="7336895D" w:rsidP="7336895D">
            <w:pPr>
              <w:rPr>
                <w:rFonts w:ascii="Arial" w:eastAsia="Arial" w:hAnsi="Arial" w:cs="Arial"/>
                <w:b/>
                <w:bCs/>
                <w:color w:val="000000" w:themeColor="text1"/>
                <w:sz w:val="24"/>
                <w:szCs w:val="24"/>
              </w:rPr>
            </w:pPr>
          </w:p>
          <w:p w14:paraId="7F275370" w14:textId="30744283" w:rsidR="7336895D" w:rsidRDefault="7336895D" w:rsidP="7336895D">
            <w:pPr>
              <w:rPr>
                <w:rFonts w:ascii="Arial" w:eastAsia="Arial" w:hAnsi="Arial" w:cs="Arial"/>
                <w:b/>
                <w:bCs/>
                <w:color w:val="000000" w:themeColor="text1"/>
                <w:sz w:val="24"/>
                <w:szCs w:val="24"/>
              </w:rPr>
            </w:pPr>
          </w:p>
          <w:p w14:paraId="22801FC5" w14:textId="5DB6F10F" w:rsidR="7336895D" w:rsidRDefault="7336895D" w:rsidP="7336895D">
            <w:pPr>
              <w:rPr>
                <w:rFonts w:ascii="Arial" w:eastAsia="Arial" w:hAnsi="Arial" w:cs="Arial"/>
                <w:b/>
                <w:bCs/>
                <w:color w:val="000000" w:themeColor="text1"/>
                <w:sz w:val="24"/>
                <w:szCs w:val="24"/>
              </w:rPr>
            </w:pPr>
          </w:p>
          <w:p w14:paraId="79F7C175" w14:textId="7CB3A010" w:rsidR="7336895D" w:rsidRDefault="304A670B" w:rsidP="727E3A7D">
            <w:pPr>
              <w:ind w:right="237"/>
              <w:jc w:val="both"/>
              <w:rPr>
                <w:rFonts w:ascii="Arial" w:eastAsia="Arial" w:hAnsi="Arial" w:cs="Arial"/>
                <w:sz w:val="24"/>
                <w:szCs w:val="24"/>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5C6A6876" w14:textId="7564B3FD" w:rsidR="7336895D" w:rsidRDefault="7336895D" w:rsidP="727E3A7D">
            <w:pPr>
              <w:rPr>
                <w:rFonts w:ascii="Arial" w:eastAsia="Arial" w:hAnsi="Arial" w:cs="Arial"/>
                <w:b/>
                <w:bCs/>
                <w:color w:val="000000" w:themeColor="text1"/>
                <w:sz w:val="24"/>
                <w:szCs w:val="24"/>
              </w:rPr>
            </w:pPr>
          </w:p>
          <w:p w14:paraId="33BEFD48" w14:textId="38C99E96" w:rsidR="7336895D" w:rsidRDefault="7336895D" w:rsidP="7336895D">
            <w:pPr>
              <w:rPr>
                <w:rFonts w:ascii="Arial" w:eastAsia="Arial" w:hAnsi="Arial" w:cs="Arial"/>
                <w:b/>
                <w:bCs/>
                <w:color w:val="000000" w:themeColor="text1"/>
                <w:sz w:val="24"/>
                <w:szCs w:val="24"/>
              </w:rPr>
            </w:pPr>
          </w:p>
        </w:tc>
      </w:tr>
    </w:tbl>
    <w:p w14:paraId="28824CA4" w14:textId="5793308C" w:rsidR="7336895D" w:rsidRDefault="7336895D" w:rsidP="7336895D">
      <w:pPr>
        <w:ind w:left="3600" w:right="107" w:firstLine="720"/>
        <w:jc w:val="both"/>
        <w:rPr>
          <w:rFonts w:ascii="Arial" w:eastAsia="Arial" w:hAnsi="Arial" w:cs="Arial"/>
          <w:b/>
          <w:bCs/>
          <w:color w:val="000000" w:themeColor="text1"/>
          <w:sz w:val="24"/>
          <w:szCs w:val="24"/>
        </w:rPr>
      </w:pPr>
    </w:p>
    <w:p w14:paraId="6468A0CB" w14:textId="5B0A4253" w:rsidR="7336895D" w:rsidRDefault="7336895D" w:rsidP="727E3A7D">
      <w:pPr>
        <w:ind w:right="237"/>
        <w:jc w:val="both"/>
        <w:rPr>
          <w:rFonts w:ascii="Arial" w:eastAsia="Arial" w:hAnsi="Arial" w:cs="Arial"/>
          <w:color w:val="000000" w:themeColor="text1"/>
          <w:sz w:val="24"/>
          <w:szCs w:val="24"/>
        </w:rPr>
      </w:pPr>
    </w:p>
    <w:p w14:paraId="27BFF515" w14:textId="175053D5" w:rsidR="7336895D" w:rsidRDefault="2173DA8E" w:rsidP="727E3A7D">
      <w:pPr>
        <w:ind w:right="237"/>
        <w:jc w:val="both"/>
        <w:rPr>
          <w:rFonts w:ascii="Arial" w:eastAsia="Arial" w:hAnsi="Arial" w:cs="Arial"/>
          <w:color w:val="000000" w:themeColor="text1"/>
          <w:sz w:val="24"/>
          <w:szCs w:val="24"/>
        </w:rPr>
      </w:pPr>
      <w:r w:rsidRPr="727E3A7D">
        <w:rPr>
          <w:rFonts w:ascii="Arial" w:eastAsia="Arial" w:hAnsi="Arial" w:cs="Arial"/>
          <w:b/>
          <w:bCs/>
          <w:color w:val="000000" w:themeColor="text1"/>
          <w:sz w:val="24"/>
          <w:szCs w:val="24"/>
        </w:rPr>
        <w:t>ANSWER:</w:t>
      </w:r>
    </w:p>
    <w:p w14:paraId="7B9F5621" w14:textId="77777777" w:rsidR="00E04853" w:rsidRPr="00E04853" w:rsidRDefault="00E04853" w:rsidP="00E04853">
      <w:pPr>
        <w:ind w:right="237"/>
        <w:jc w:val="both"/>
        <w:rPr>
          <w:rFonts w:ascii="Arial" w:eastAsia="Arial" w:hAnsi="Arial" w:cs="Arial"/>
          <w:b/>
          <w:bCs/>
          <w:sz w:val="24"/>
          <w:szCs w:val="24"/>
        </w:rPr>
      </w:pPr>
      <w:r w:rsidRPr="00E04853">
        <w:rPr>
          <w:rFonts w:ascii="Arial" w:eastAsia="Arial" w:hAnsi="Arial" w:cs="Arial"/>
          <w:b/>
          <w:bCs/>
          <w:sz w:val="24"/>
          <w:szCs w:val="24"/>
        </w:rPr>
        <w:t xml:space="preserve">Give a brief description of the investigation including social and legislative contexts and any relevant cultural, ethnicity and language issues.   </w:t>
      </w:r>
    </w:p>
    <w:p w14:paraId="2AB8307E" w14:textId="77777777" w:rsidR="00E04853" w:rsidRPr="00E04853" w:rsidRDefault="00E04853" w:rsidP="00E04853">
      <w:pPr>
        <w:ind w:right="237"/>
        <w:jc w:val="both"/>
        <w:rPr>
          <w:rFonts w:ascii="Arial" w:eastAsia="Arial" w:hAnsi="Arial" w:cs="Arial"/>
          <w:b/>
          <w:bCs/>
          <w:sz w:val="24"/>
          <w:szCs w:val="24"/>
        </w:rPr>
      </w:pPr>
      <w:r w:rsidRPr="00E04853">
        <w:rPr>
          <w:rFonts w:ascii="Arial" w:eastAsia="Arial" w:hAnsi="Arial" w:cs="Arial"/>
          <w:b/>
          <w:bCs/>
          <w:sz w:val="24"/>
          <w:szCs w:val="24"/>
        </w:rPr>
        <w:t>Background</w:t>
      </w:r>
    </w:p>
    <w:p w14:paraId="77291907" w14:textId="77777777" w:rsidR="00E04853" w:rsidRPr="00E04853" w:rsidRDefault="00E04853" w:rsidP="00E04853">
      <w:pPr>
        <w:ind w:right="237"/>
        <w:jc w:val="both"/>
        <w:rPr>
          <w:rFonts w:ascii="Arial" w:eastAsia="Arial" w:hAnsi="Arial" w:cs="Arial"/>
          <w:sz w:val="24"/>
          <w:szCs w:val="24"/>
        </w:rPr>
      </w:pPr>
      <w:r w:rsidRPr="00E04853">
        <w:rPr>
          <w:rFonts w:ascii="Arial" w:eastAsia="Arial" w:hAnsi="Arial" w:cs="Arial"/>
          <w:sz w:val="24"/>
          <w:szCs w:val="24"/>
        </w:rPr>
        <w:t xml:space="preserve">The case referred to </w:t>
      </w:r>
      <w:proofErr w:type="gramStart"/>
      <w:r w:rsidRPr="00E04853">
        <w:rPr>
          <w:rFonts w:ascii="Arial" w:eastAsia="Arial" w:hAnsi="Arial" w:cs="Arial"/>
          <w:sz w:val="24"/>
          <w:szCs w:val="24"/>
        </w:rPr>
        <w:t>was</w:t>
      </w:r>
      <w:proofErr w:type="gramEnd"/>
      <w:r w:rsidRPr="00E04853">
        <w:rPr>
          <w:rFonts w:ascii="Arial" w:eastAsia="Arial" w:hAnsi="Arial" w:cs="Arial"/>
          <w:sz w:val="24"/>
          <w:szCs w:val="24"/>
        </w:rPr>
        <w:t xml:space="preserve"> a rape investigation for which the author was the senior investigating officer. The victim was a 6-year-old female and the suspect, a 14-year-old male and friend of the victims 12-year-old brother. The victim’s mother had allowed the suspect to “sleep over” which resulted in the rape allegation being made some days later.</w:t>
      </w:r>
    </w:p>
    <w:p w14:paraId="7EB217C7" w14:textId="77777777" w:rsidR="00E04853" w:rsidRPr="00E04853" w:rsidRDefault="00E04853" w:rsidP="00E04853">
      <w:pPr>
        <w:ind w:right="237"/>
        <w:jc w:val="both"/>
        <w:rPr>
          <w:rFonts w:ascii="Arial" w:eastAsia="Arial" w:hAnsi="Arial" w:cs="Arial"/>
          <w:sz w:val="24"/>
          <w:szCs w:val="24"/>
        </w:rPr>
      </w:pPr>
      <w:r w:rsidRPr="00E04853">
        <w:rPr>
          <w:rFonts w:ascii="Arial" w:eastAsia="Arial" w:hAnsi="Arial" w:cs="Arial"/>
          <w:sz w:val="24"/>
          <w:szCs w:val="24"/>
        </w:rPr>
        <w:t>Due to the complex nature of the investigation and ages of the children involved, the challenges were multiple and included the following broad issues.</w:t>
      </w:r>
    </w:p>
    <w:p w14:paraId="11471F69"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lastRenderedPageBreak/>
        <w:t>A young child victim who was unaware of what had happened to her and appropriately capturing her evidence.</w:t>
      </w:r>
    </w:p>
    <w:p w14:paraId="708CCB32"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The impact the case had on the victim’s family, which led to friction between the parents and social withdrawal of the victims 12-year-old sibling in school.</w:t>
      </w:r>
    </w:p>
    <w:p w14:paraId="645C2503"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A 14-year-old suspect who was himself vulnerable with delayed social and educational abilities.</w:t>
      </w:r>
    </w:p>
    <w:p w14:paraId="3E04DB00"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Managing parallel civil proceedings.</w:t>
      </w:r>
    </w:p>
    <w:p w14:paraId="5B5272F4"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Balance of managing the suspect as a victim in his own right.</w:t>
      </w:r>
    </w:p>
    <w:p w14:paraId="0510E052"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Emotional impact on staff investigating the case.</w:t>
      </w:r>
    </w:p>
    <w:p w14:paraId="737A6FEB" w14:textId="77777777" w:rsidR="00E04853" w:rsidRPr="00E04853" w:rsidRDefault="00E04853" w:rsidP="00E04853">
      <w:pPr>
        <w:numPr>
          <w:ilvl w:val="0"/>
          <w:numId w:val="8"/>
        </w:numPr>
        <w:ind w:right="237"/>
        <w:contextualSpacing/>
        <w:jc w:val="both"/>
        <w:rPr>
          <w:rFonts w:ascii="Arial" w:eastAsia="Arial" w:hAnsi="Arial" w:cs="Arial"/>
          <w:sz w:val="24"/>
          <w:szCs w:val="24"/>
        </w:rPr>
      </w:pPr>
      <w:r w:rsidRPr="00E04853">
        <w:rPr>
          <w:rFonts w:ascii="Arial" w:eastAsia="Arial" w:hAnsi="Arial" w:cs="Arial"/>
          <w:sz w:val="24"/>
          <w:szCs w:val="24"/>
        </w:rPr>
        <w:t>Community tension and risk towards the suspect and his family, with the offence being reported in a rural Welsh village, where public knowledge of private affairs was difficult to curtail.</w:t>
      </w:r>
    </w:p>
    <w:p w14:paraId="68DD3264" w14:textId="77777777" w:rsidR="00E04853" w:rsidRDefault="00E04853" w:rsidP="00E04853">
      <w:pPr>
        <w:rPr>
          <w:rFonts w:ascii="Arial" w:eastAsia="Arial" w:hAnsi="Arial" w:cs="Arial"/>
          <w:b/>
          <w:bCs/>
          <w:color w:val="000000"/>
          <w:sz w:val="24"/>
          <w:szCs w:val="24"/>
        </w:rPr>
      </w:pPr>
    </w:p>
    <w:p w14:paraId="03FBFA1E" w14:textId="08E30E42"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 xml:space="preserve">Critically evaluate how you have provided appropriate support for victims during an investigation. Consider the use of a victim strategy when required and working with the Victim Care Unit. </w:t>
      </w:r>
    </w:p>
    <w:p w14:paraId="74B71049" w14:textId="77777777"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Supporting Victims</w:t>
      </w:r>
    </w:p>
    <w:p w14:paraId="2DF8B3FC"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The success of criminal investigations often depends on the ability and willingness of a victim to recall events and remain engaged with the justice process, and they should be treated with dignity and respect (College of Policing, 2013). </w:t>
      </w:r>
    </w:p>
    <w:p w14:paraId="391DA0F1"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Although the interest in victims of crime began in the 1970’s, (Morgan and Zander, 1992) it took until 2021 for the Victims Code of Practice (Ministry of Justice, 2021a), to become a statutory requirement setting out minimum standards of service to victims for all agencies involved in the Criminal Justice System (CJS) (</w:t>
      </w:r>
      <w:r w:rsidRPr="00E04853">
        <w:rPr>
          <w:rFonts w:ascii="Arial" w:eastAsia="Arial" w:hAnsi="Arial" w:cs="Arial"/>
          <w:i/>
          <w:iCs/>
          <w:color w:val="000000"/>
          <w:sz w:val="24"/>
          <w:szCs w:val="24"/>
        </w:rPr>
        <w:t>Domestic Violence, Crime and Victims Act, 2004</w:t>
      </w:r>
      <w:r w:rsidRPr="00E04853">
        <w:rPr>
          <w:rFonts w:ascii="Arial" w:eastAsia="Arial" w:hAnsi="Arial" w:cs="Arial"/>
          <w:color w:val="000000"/>
          <w:sz w:val="24"/>
          <w:szCs w:val="24"/>
        </w:rPr>
        <w:t>). These timescales raise the question as to the true considerations given to victims of crimes until recent times.</w:t>
      </w:r>
    </w:p>
    <w:p w14:paraId="40B40196"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Research indicates that people suffer not only the direct effects of crime, but also the ordeal of dealing with the CJS in the aftermath (Gant, 2013), and in sexual offences, it has also been stated that the impact can be devastating on </w:t>
      </w:r>
      <w:r w:rsidRPr="00E04853">
        <w:rPr>
          <w:rFonts w:ascii="Arial" w:eastAsia="Arial" w:hAnsi="Arial" w:cs="Arial"/>
          <w:b/>
          <w:bCs/>
          <w:color w:val="000000"/>
          <w:sz w:val="24"/>
          <w:szCs w:val="24"/>
        </w:rPr>
        <w:t xml:space="preserve">every aspect </w:t>
      </w:r>
      <w:r w:rsidRPr="00E04853">
        <w:rPr>
          <w:rFonts w:ascii="Arial" w:eastAsia="Arial" w:hAnsi="Arial" w:cs="Arial"/>
          <w:color w:val="000000"/>
          <w:sz w:val="24"/>
          <w:szCs w:val="24"/>
        </w:rPr>
        <w:t xml:space="preserve">of victims lives and make them vulnerable to further episodes of sexual abuse or violence (McMillan, Thomas, 2009). Such victims are therefore entitled to an enhanced service to support them through the process to aid recovery, (Ministry of Justice, 2021b), including the use of specialist services to provide this support. This background was considered at an early stage within this case with the recognition of the impact such an investigation could have, and the need to promote recovery of victims, as a key objective of the victim strategy. </w:t>
      </w:r>
    </w:p>
    <w:p w14:paraId="54ADAEA2"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 xml:space="preserve">Practical implementation </w:t>
      </w:r>
    </w:p>
    <w:p w14:paraId="26116035"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Parents of victims under 18, and witnesses who may have suffered harm, can also be considered as victims (Ministry of Justice, 2021c). In this case, the parents of the 6-year-old victim and her 12-year-old brother were considered as victims, meaning any witness strategy related to them was underpinned by the Victims Codes of Practice. </w:t>
      </w:r>
    </w:p>
    <w:p w14:paraId="03A4A58D" w14:textId="77777777" w:rsidR="00E04853" w:rsidRPr="00E04853" w:rsidRDefault="00E04853" w:rsidP="00E04853">
      <w:pPr>
        <w:rPr>
          <w:rFonts w:ascii="Arial" w:eastAsia="Arial" w:hAnsi="Arial" w:cs="Arial"/>
          <w:i/>
          <w:iCs/>
          <w:color w:val="000000"/>
          <w:sz w:val="24"/>
          <w:szCs w:val="24"/>
        </w:rPr>
      </w:pPr>
      <w:r w:rsidRPr="00E04853">
        <w:rPr>
          <w:rFonts w:ascii="Arial" w:eastAsia="Arial" w:hAnsi="Arial" w:cs="Arial"/>
          <w:color w:val="000000"/>
          <w:sz w:val="24"/>
          <w:szCs w:val="24"/>
        </w:rPr>
        <w:lastRenderedPageBreak/>
        <w:t>With these considerations in mind, a specially trained officer was allocated to the family ensuring consistency, enhancing communication, and maintaining a good level of support, which is believed to increase the likelihood of a victim remaining engaged with the investigation process (Campbell, 2006). The liaison officer was a trained child protection officer, able to understand the added complexities such a crime had on wider families who should not be forgotten in rape recovery therapy (Mio, Foster, 2007), and able to appreciate the added emotional impact of testifying in rape trials (Goodman et al, 1992). The officer was tasked with maintaining contact with the family, obtaining evidential accounts in accordance with Achieving Best Evidence (Ministry of Justice, 2022) and ensuring any specific queries were directed towards the SIO who would be attending statutory child safeguarding proceedings running parallel to the investigation (</w:t>
      </w:r>
      <w:r w:rsidRPr="00E04853">
        <w:rPr>
          <w:rFonts w:ascii="Arial" w:eastAsia="Arial" w:hAnsi="Arial" w:cs="Arial"/>
          <w:i/>
          <w:iCs/>
          <w:color w:val="000000"/>
          <w:sz w:val="24"/>
          <w:szCs w:val="24"/>
        </w:rPr>
        <w:t>Social Services and Well-being (Wales) Act 2014).</w:t>
      </w:r>
    </w:p>
    <w:p w14:paraId="5E6FD2F6"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liaison officer also ensured timely referrals to appropriate support services, which, within Dyfed-Powys Police, is provided by a dedicated commissioned service (</w:t>
      </w:r>
      <w:proofErr w:type="spellStart"/>
      <w:r w:rsidRPr="00E04853">
        <w:rPr>
          <w:rFonts w:ascii="Arial" w:eastAsia="Arial" w:hAnsi="Arial" w:cs="Arial"/>
          <w:color w:val="000000"/>
          <w:sz w:val="24"/>
          <w:szCs w:val="24"/>
        </w:rPr>
        <w:t>Goleudy</w:t>
      </w:r>
      <w:proofErr w:type="spellEnd"/>
      <w:r w:rsidRPr="00E04853">
        <w:rPr>
          <w:rFonts w:ascii="Arial" w:eastAsia="Arial" w:hAnsi="Arial" w:cs="Arial"/>
          <w:color w:val="000000"/>
          <w:sz w:val="24"/>
          <w:szCs w:val="24"/>
        </w:rPr>
        <w:t xml:space="preserve">, 2022), who bring consistency, but were unable to provide a level of specialised service that would be required in the case of child rape, that is so central in their recovery (Hester, Lilley, 2017). Neither do they have the intimate knowledge of investigative processes that could assist the family in their search for answers around the investigation. What they did bring, was oversight and co-ordination of support for the victims as a variety of sources were brought together that could have become problematic had the coordination failed. There are potential consequences of such services as research found that well-intended focus and policies to support sexual offence complainants were perceived amongst professionals involved in prosecuting rape, to have generated unanticipated negative consequences for them, as opposed to improving their experience (Carline, </w:t>
      </w:r>
      <w:proofErr w:type="spellStart"/>
      <w:r w:rsidRPr="00E04853">
        <w:rPr>
          <w:rFonts w:ascii="Arial" w:eastAsia="Arial" w:hAnsi="Arial" w:cs="Arial"/>
          <w:color w:val="000000"/>
          <w:sz w:val="24"/>
          <w:szCs w:val="24"/>
        </w:rPr>
        <w:t>Gunby</w:t>
      </w:r>
      <w:proofErr w:type="spellEnd"/>
      <w:r w:rsidRPr="00E04853">
        <w:rPr>
          <w:rFonts w:ascii="Arial" w:eastAsia="Arial" w:hAnsi="Arial" w:cs="Arial"/>
          <w:color w:val="000000"/>
          <w:sz w:val="24"/>
          <w:szCs w:val="24"/>
        </w:rPr>
        <w:t>, 2016).</w:t>
      </w:r>
    </w:p>
    <w:p w14:paraId="02FCFED0"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Conclusion</w:t>
      </w:r>
    </w:p>
    <w:p w14:paraId="3EC82411"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Victims of serious sexual offences are affected by the crime and the CJS and require specialist support to get through the process. In this case, the victim and witnesses were correctly identified at an early stage and referred to specialist agencies. Furthermore, an appropriately trained officer was allocated to support them through the process ensuring consistency and ongoing support that was crucial in the long term when the enormity of the case was realised. </w:t>
      </w:r>
    </w:p>
    <w:p w14:paraId="27E5DD85" w14:textId="77777777" w:rsidR="00E04853" w:rsidRDefault="00E04853" w:rsidP="00E04853">
      <w:pPr>
        <w:rPr>
          <w:rFonts w:ascii="Arial" w:eastAsia="Arial" w:hAnsi="Arial" w:cs="Arial"/>
          <w:b/>
          <w:bCs/>
          <w:color w:val="000000"/>
          <w:sz w:val="24"/>
          <w:szCs w:val="24"/>
        </w:rPr>
      </w:pPr>
    </w:p>
    <w:p w14:paraId="44D62A75" w14:textId="37B7F95B"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Examine the use of appropriate responses to safeguarding concerns and management risk in investigations. (Examples include but not limited to; child abuse, offences against vulnerable adults and domestic abuse).</w:t>
      </w:r>
    </w:p>
    <w:p w14:paraId="67279E7F" w14:textId="77777777"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Safeguarding</w:t>
      </w:r>
    </w:p>
    <w:p w14:paraId="75F85FBA"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The term safeguarding means the protection of children and adults who could be easily hurt emotionally and physically (Cambridge, 2022). In policing terms, it aligns to the protection of vulnerable persons, defined as “a person who, as a result of their situation or circumstances, are unable to take care of or protect themselves or others from harm or exploitation” (College of Policing, 2018a). This definition widens the </w:t>
      </w:r>
      <w:r w:rsidRPr="00E04853">
        <w:rPr>
          <w:rFonts w:ascii="Arial" w:eastAsia="Arial" w:hAnsi="Arial" w:cs="Arial"/>
          <w:color w:val="000000"/>
          <w:sz w:val="24"/>
          <w:szCs w:val="24"/>
        </w:rPr>
        <w:lastRenderedPageBreak/>
        <w:t>scope of vulnerability and can be applied in many situations, where (in Dyfed-Powys Police) the overarching objectives include working with partners and sharing of information within the parameters of legislation to reduce risk (Dyfed-Powys Police, 2021).</w:t>
      </w:r>
    </w:p>
    <w:p w14:paraId="547D4A7F"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identification of risk amongst vulnerable people in policing has historically been reliant on checklists and tools which were found to lack effectiveness. This led to the introduction of new guidelines for operational officers to assist in recognising and responding to risks. (College of Policing, 2021a) These include, but are not limited to, child abuse, abuse of vulnerable adults, domestic abuse, mental illness, addiction, or homelessness (Asquith et al, 2017) and focuses on knowledge, training, communication, and professional curiosity.</w:t>
      </w:r>
    </w:p>
    <w:p w14:paraId="659FC193"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safeguarding in this case was complex and related to the risk of sexual abuse of children, as well as managing risk posed to the suspect from vigilantism within the community. As the investigation progressed, there was increased public tension aimed at the suspect and his family, which is not unusual within communities when knowledge of such cases becomes known (Logan, Prescott, 2021). In this case, a rural village community would know of the allegations despite efforts of investigators to limit any public knowledge. The risk was mitigated by a community impact assessment and increased police visibility in the area.</w:t>
      </w:r>
    </w:p>
    <w:p w14:paraId="3CD223A2"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safeguarding of the victim began with an immediate referral to a dedicated child protection team within the Local Authority who would organise an initial strategy meeting for key partners to come together and share information (</w:t>
      </w:r>
      <w:r w:rsidRPr="00E04853">
        <w:rPr>
          <w:rFonts w:ascii="Arial" w:eastAsia="Arial" w:hAnsi="Arial" w:cs="Arial"/>
          <w:i/>
          <w:iCs/>
          <w:color w:val="000000"/>
          <w:sz w:val="24"/>
          <w:szCs w:val="24"/>
        </w:rPr>
        <w:t xml:space="preserve">Social Services and Well-being (Wales) Act </w:t>
      </w:r>
      <w:r w:rsidRPr="00E04853">
        <w:rPr>
          <w:rFonts w:ascii="Arial" w:eastAsia="Arial" w:hAnsi="Arial" w:cs="Arial"/>
          <w:color w:val="000000"/>
          <w:sz w:val="24"/>
          <w:szCs w:val="24"/>
        </w:rPr>
        <w:t xml:space="preserve">2014 b). Within this meeting, police outlined the offence under investigation, sharing enough information required to inform other professionals of the key facts and risks involved. Information sharing in child protection cases is crucial, and failures to share can lead to serious harm or death, one of the findings from the Victoria Climbie Inquiry, (Laming, 2003), that led to an overhaul of child protection procedures in the UK and still relevant today, providing the framework to specialist child abuse investigator training. </w:t>
      </w:r>
      <w:proofErr w:type="spellStart"/>
      <w:r w:rsidRPr="00E04853">
        <w:rPr>
          <w:rFonts w:ascii="Arial" w:eastAsia="Arial" w:hAnsi="Arial" w:cs="Arial"/>
          <w:color w:val="000000"/>
          <w:sz w:val="24"/>
          <w:szCs w:val="24"/>
        </w:rPr>
        <w:t>Reder</w:t>
      </w:r>
      <w:proofErr w:type="spellEnd"/>
      <w:r w:rsidRPr="00E04853">
        <w:rPr>
          <w:rFonts w:ascii="Arial" w:eastAsia="Arial" w:hAnsi="Arial" w:cs="Arial"/>
          <w:color w:val="000000"/>
          <w:sz w:val="24"/>
          <w:szCs w:val="24"/>
        </w:rPr>
        <w:t xml:space="preserve"> and Duncan go further in their research, stating that the context within which communications occur also affect how messages are understood (2003), whilst further research suggests that nearly all failures of child safeguarding involve failures in communication between partners (Green, 2018). This suggests that complex child protection cases should be investigated by experienced and trained personnel who are not dissuaded from sharing information through fear of legislation designed to protect personal data (</w:t>
      </w:r>
      <w:r w:rsidRPr="00E04853">
        <w:rPr>
          <w:rFonts w:ascii="Arial" w:eastAsia="Arial" w:hAnsi="Arial" w:cs="Arial"/>
          <w:i/>
          <w:iCs/>
          <w:color w:val="000000"/>
          <w:sz w:val="24"/>
          <w:szCs w:val="24"/>
        </w:rPr>
        <w:t>Data Protection Act</w:t>
      </w:r>
      <w:r w:rsidRPr="00E04853">
        <w:rPr>
          <w:rFonts w:ascii="Arial" w:eastAsia="Arial" w:hAnsi="Arial" w:cs="Arial"/>
          <w:color w:val="000000"/>
          <w:sz w:val="24"/>
          <w:szCs w:val="24"/>
        </w:rPr>
        <w:t>, 2018). Facts that were considered in this case when allocating tasks to individuals to ensure they were confident and competent in their roles.</w:t>
      </w:r>
    </w:p>
    <w:p w14:paraId="64ADC1A9"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Through information sharing, specialist professionals were identified, such as a consultant paediatrician to collect forensic samples from the child victim and promote her ongoing healthcare, as well as a child forensic psychologist to work with the suspect to establish if he posed an imminent risk to any other children and how best to manage that. The process would also explore the circumstances of the children involved to establish any parenting issues, family or environmental factors that could have contributed to the offence and put others at risk (College of Policing, 2013 b) </w:t>
      </w:r>
    </w:p>
    <w:p w14:paraId="78EB58FE"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lastRenderedPageBreak/>
        <w:t xml:space="preserve">To the untrained investigator, the approach to safeguarding can appear to conflict with that of a criminal investigation as information normally only known to the investigation team is openly shared with others not involved in the investigation. </w:t>
      </w:r>
    </w:p>
    <w:p w14:paraId="77C1F7FD"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Recommendation</w:t>
      </w:r>
    </w:p>
    <w:p w14:paraId="67539E84"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The recommendation from this case would be that all senior investigating officers should be exposed to multi agency strategy meetings to appreciate the difference in roles and benefits of professionally sharing information and working together. Repeated reports of failings in information sharing, in reviews into child abuse, strongly supports this to be the critical factor to successful multi agency safeguarding. </w:t>
      </w:r>
    </w:p>
    <w:p w14:paraId="10D91324" w14:textId="77777777" w:rsidR="00E04853" w:rsidRPr="00E04853" w:rsidRDefault="00E04853" w:rsidP="00E04853">
      <w:pPr>
        <w:rPr>
          <w:rFonts w:ascii="Arial" w:eastAsia="Arial" w:hAnsi="Arial" w:cs="Arial"/>
          <w:color w:val="000000"/>
          <w:sz w:val="24"/>
          <w:szCs w:val="24"/>
        </w:rPr>
      </w:pPr>
    </w:p>
    <w:p w14:paraId="72BFF536" w14:textId="77777777"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 xml:space="preserve">Consider and reflect upon how you have assessed threat, </w:t>
      </w:r>
      <w:proofErr w:type="gramStart"/>
      <w:r w:rsidRPr="00E04853">
        <w:rPr>
          <w:rFonts w:ascii="Arial" w:eastAsia="Arial" w:hAnsi="Arial" w:cs="Arial"/>
          <w:b/>
          <w:bCs/>
          <w:color w:val="000000"/>
          <w:sz w:val="24"/>
          <w:szCs w:val="24"/>
        </w:rPr>
        <w:t>risk</w:t>
      </w:r>
      <w:proofErr w:type="gramEnd"/>
      <w:r w:rsidRPr="00E04853">
        <w:rPr>
          <w:rFonts w:ascii="Arial" w:eastAsia="Arial" w:hAnsi="Arial" w:cs="Arial"/>
          <w:b/>
          <w:bCs/>
          <w:color w:val="000000"/>
          <w:sz w:val="24"/>
          <w:szCs w:val="24"/>
        </w:rPr>
        <w:t xml:space="preserve"> and harm to develop and implement plans and strategies to investigate serious and complex crime. </w:t>
      </w:r>
    </w:p>
    <w:p w14:paraId="492F0E1B" w14:textId="77777777"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Reflection</w:t>
      </w:r>
    </w:p>
    <w:p w14:paraId="2D3CF475"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Various reflective models can be applied to review the police response and assist investigators to consider the wider impact on public confidence. </w:t>
      </w:r>
    </w:p>
    <w:p w14:paraId="167AED65"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Gibbs’ (1988) reflective model could be suitable for detailed analysis of the investigation, broken down into specific areas and best suited for specialist teams to explore their area of expertise. </w:t>
      </w:r>
      <w:proofErr w:type="spellStart"/>
      <w:r w:rsidRPr="00E04853">
        <w:rPr>
          <w:rFonts w:ascii="Arial" w:eastAsia="Arial" w:hAnsi="Arial" w:cs="Arial"/>
          <w:color w:val="000000"/>
          <w:sz w:val="24"/>
          <w:szCs w:val="24"/>
        </w:rPr>
        <w:t>Bortons</w:t>
      </w:r>
      <w:proofErr w:type="spellEnd"/>
      <w:r w:rsidRPr="00E04853">
        <w:rPr>
          <w:rFonts w:ascii="Arial" w:eastAsia="Arial" w:hAnsi="Arial" w:cs="Arial"/>
          <w:color w:val="000000"/>
          <w:sz w:val="24"/>
          <w:szCs w:val="24"/>
        </w:rPr>
        <w:t xml:space="preserve"> (1970) three stage model is suitable as an overarching model and is referred to by Copley (2011) as appropriate for use in policing operations. </w:t>
      </w:r>
      <w:proofErr w:type="spellStart"/>
      <w:r w:rsidRPr="00E04853">
        <w:rPr>
          <w:rFonts w:ascii="Arial" w:eastAsia="Arial" w:hAnsi="Arial" w:cs="Arial"/>
          <w:color w:val="000000"/>
          <w:sz w:val="24"/>
          <w:szCs w:val="24"/>
        </w:rPr>
        <w:t>Borton’s</w:t>
      </w:r>
      <w:proofErr w:type="spellEnd"/>
      <w:r w:rsidRPr="00E04853">
        <w:rPr>
          <w:rFonts w:ascii="Arial" w:eastAsia="Arial" w:hAnsi="Arial" w:cs="Arial"/>
          <w:color w:val="000000"/>
          <w:sz w:val="24"/>
          <w:szCs w:val="24"/>
        </w:rPr>
        <w:t xml:space="preserve"> model is preferred in this instance to capture a generic view of the investigation.</w:t>
      </w:r>
    </w:p>
    <w:p w14:paraId="04F1FAB6"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What?</w:t>
      </w:r>
    </w:p>
    <w:p w14:paraId="522BC260"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immediate reaction could be to say that a child was sexually assaulted by another and the policing objective was to locate evidence to convict the suspect. However, reflective questioning focuses the author to consider beyond this, asking what the underlying factors were and what led to the incident occurring, what will the long-term impact be on those involved, what part did I play in the response and what impact did that have?</w:t>
      </w:r>
    </w:p>
    <w:p w14:paraId="73CCC7CB"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case was a serious sexual assault on a child by a child which required a robust policing response to capture evidence in line with golden hour principles (College of Policing, 2022 c), in a manner that was sensitive to the vulnerable persons involved. Appropriate staff were selected based on their availability, skills and abilities and briefed on the SIO objectives to initially capture forensic evidence and witness accounts. The other element of the case was to prevent further harm (from further offending), support victims and their families in their recovery, and safeguard staff from psychological harm.</w:t>
      </w:r>
    </w:p>
    <w:p w14:paraId="1219BEAB" w14:textId="77777777" w:rsidR="00E04853" w:rsidRPr="00E04853" w:rsidRDefault="00E04853" w:rsidP="00E04853">
      <w:pPr>
        <w:rPr>
          <w:rFonts w:ascii="Arial" w:eastAsia="Arial" w:hAnsi="Arial" w:cs="Arial"/>
          <w:color w:val="000000"/>
          <w:sz w:val="24"/>
          <w:szCs w:val="24"/>
          <w:u w:val="single"/>
        </w:rPr>
      </w:pPr>
    </w:p>
    <w:p w14:paraId="00B46CC8"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So what?</w:t>
      </w:r>
    </w:p>
    <w:p w14:paraId="24BDF326"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lastRenderedPageBreak/>
        <w:t>This was a serious crime, and my actions were to ensure an initial policing response was backed up by preventing further harm and establishing the full extent of ongoing risk to victim and suspect. This was based upon prior knowledge that research suggests that 75% of child sex offenders report a history of being victims of sexual abuse (</w:t>
      </w:r>
      <w:proofErr w:type="spellStart"/>
      <w:r w:rsidRPr="00E04853">
        <w:rPr>
          <w:rFonts w:ascii="Arial" w:eastAsia="Arial" w:hAnsi="Arial" w:cs="Arial"/>
          <w:color w:val="000000"/>
          <w:sz w:val="24"/>
          <w:szCs w:val="24"/>
        </w:rPr>
        <w:t>Ogloff</w:t>
      </w:r>
      <w:proofErr w:type="spellEnd"/>
      <w:r w:rsidRPr="00E04853">
        <w:rPr>
          <w:rFonts w:ascii="Arial" w:eastAsia="Arial" w:hAnsi="Arial" w:cs="Arial"/>
          <w:color w:val="000000"/>
          <w:sz w:val="24"/>
          <w:szCs w:val="24"/>
        </w:rPr>
        <w:t xml:space="preserve"> et al, 2012) or that characteristics displayed in sex offences serve as a prediction for future offending (Kahn, Chambers, 1991). Important facts when considering prevention of harm and management of risk. The immediate introduction of partner agencies into the investigation process allowed sharing of information and subject matter experts to develop risk management strategies to run parallel to a criminal investigation. Whilst this process was in accordance with current procedures (Wales Safeguarding Procedures, 2020) the consequences were the unintended impact on the victims’ family’s recovery, due to their perception of the approach. Lack of communication from the SIO led to the family believing that sides had been taken and the suspects needs were considered greater than getting justice for their daughter, with the SIO taking a soft approach. This being a significant lesson in the importance of communication with families of child victims.</w:t>
      </w:r>
    </w:p>
    <w:p w14:paraId="2625BF04" w14:textId="77777777"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Now What?</w:t>
      </w:r>
    </w:p>
    <w:p w14:paraId="111DC300" w14:textId="6A236DF0"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The investigative processes that were followed, aligned to appropriate policies and guidance to capture evidence in serious criminal cases. The operational application and positive outcomes confirmed that the guidance is suitable, and this investigation used as a case study in detective training. </w:t>
      </w:r>
    </w:p>
    <w:p w14:paraId="3DCE9E38"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The individual learning and recommendations would include the need to put a greater emphasis on communication with families of child sex offence victims. Their expectations of the criminal justice may be different to what is achievable and clear communication reduces anxieties they may fear. Furthermore, senior investigating officers should attend multi agency safeguarding meetings to achieve annual CPD due to the need to acknowledge the different challenges facing agencies and reassurance of information sharing during ongoing criminal investigations.</w:t>
      </w:r>
    </w:p>
    <w:p w14:paraId="66FE5D79" w14:textId="5FAFA888" w:rsidR="00E04853" w:rsidRPr="00E04853" w:rsidRDefault="00E04853" w:rsidP="00E04853">
      <w:pPr>
        <w:rPr>
          <w:rFonts w:ascii="Arial" w:eastAsia="Arial" w:hAnsi="Arial" w:cs="Arial"/>
          <w:b/>
          <w:bCs/>
          <w:color w:val="000000"/>
          <w:sz w:val="24"/>
          <w:szCs w:val="24"/>
        </w:rPr>
      </w:pPr>
      <w:r w:rsidRPr="00E04853">
        <w:rPr>
          <w:rFonts w:ascii="Arial" w:eastAsia="Arial" w:hAnsi="Arial" w:cs="Arial"/>
          <w:b/>
          <w:bCs/>
          <w:color w:val="000000"/>
          <w:sz w:val="24"/>
          <w:szCs w:val="24"/>
        </w:rPr>
        <w:t>Total 2051 words</w:t>
      </w:r>
    </w:p>
    <w:p w14:paraId="455B3905" w14:textId="77777777" w:rsidR="00A661E7" w:rsidRDefault="00A661E7" w:rsidP="00E04853">
      <w:pPr>
        <w:rPr>
          <w:rFonts w:ascii="Arial" w:eastAsia="Arial" w:hAnsi="Arial" w:cs="Arial"/>
          <w:color w:val="000000"/>
          <w:sz w:val="24"/>
          <w:szCs w:val="24"/>
          <w:u w:val="single"/>
        </w:rPr>
      </w:pPr>
    </w:p>
    <w:p w14:paraId="3B7F8B0C" w14:textId="0DEC829B" w:rsidR="00E04853" w:rsidRPr="00E04853" w:rsidRDefault="00E04853" w:rsidP="00E04853">
      <w:pPr>
        <w:rPr>
          <w:rFonts w:ascii="Arial" w:eastAsia="Arial" w:hAnsi="Arial" w:cs="Arial"/>
          <w:color w:val="000000"/>
          <w:sz w:val="24"/>
          <w:szCs w:val="24"/>
          <w:u w:val="single"/>
        </w:rPr>
      </w:pPr>
      <w:r w:rsidRPr="00E04853">
        <w:rPr>
          <w:rFonts w:ascii="Arial" w:eastAsia="Arial" w:hAnsi="Arial" w:cs="Arial"/>
          <w:color w:val="000000"/>
          <w:sz w:val="24"/>
          <w:szCs w:val="24"/>
          <w:u w:val="single"/>
        </w:rPr>
        <w:t>References</w:t>
      </w:r>
    </w:p>
    <w:p w14:paraId="313E2DAB"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Asquith, N.L., </w:t>
      </w:r>
      <w:proofErr w:type="spellStart"/>
      <w:r w:rsidRPr="00E04853">
        <w:rPr>
          <w:rFonts w:ascii="Arial" w:eastAsia="Arial" w:hAnsi="Arial" w:cs="Arial"/>
          <w:color w:val="000000"/>
          <w:sz w:val="24"/>
          <w:szCs w:val="24"/>
        </w:rPr>
        <w:t>Bartkowiak</w:t>
      </w:r>
      <w:proofErr w:type="spellEnd"/>
      <w:r w:rsidRPr="00E04853">
        <w:rPr>
          <w:rFonts w:ascii="Arial" w:eastAsia="Arial" w:hAnsi="Arial" w:cs="Arial"/>
          <w:color w:val="000000"/>
          <w:sz w:val="24"/>
          <w:szCs w:val="24"/>
        </w:rPr>
        <w:t xml:space="preserve">-Theron and Roberts </w:t>
      </w:r>
      <w:proofErr w:type="gramStart"/>
      <w:r w:rsidRPr="00E04853">
        <w:rPr>
          <w:rFonts w:ascii="Arial" w:eastAsia="Arial" w:hAnsi="Arial" w:cs="Arial"/>
          <w:color w:val="000000"/>
          <w:sz w:val="24"/>
          <w:szCs w:val="24"/>
        </w:rPr>
        <w:t>K,A.</w:t>
      </w:r>
      <w:proofErr w:type="gramEnd"/>
      <w:r w:rsidRPr="00E04853">
        <w:rPr>
          <w:rFonts w:ascii="Arial" w:eastAsia="Arial" w:hAnsi="Arial" w:cs="Arial"/>
          <w:color w:val="000000"/>
          <w:sz w:val="24"/>
          <w:szCs w:val="24"/>
        </w:rPr>
        <w:t xml:space="preserve"> (2017) </w:t>
      </w:r>
      <w:r w:rsidRPr="00E04853">
        <w:rPr>
          <w:rFonts w:ascii="Arial" w:eastAsia="Arial" w:hAnsi="Arial" w:cs="Arial"/>
          <w:i/>
          <w:iCs/>
          <w:color w:val="000000"/>
          <w:sz w:val="24"/>
          <w:szCs w:val="24"/>
        </w:rPr>
        <w:t>Policing Encounters with Vulnerability.</w:t>
      </w:r>
      <w:r w:rsidRPr="00E04853">
        <w:rPr>
          <w:rFonts w:ascii="Arial" w:eastAsia="Arial" w:hAnsi="Arial" w:cs="Arial"/>
          <w:color w:val="000000"/>
          <w:sz w:val="24"/>
          <w:szCs w:val="24"/>
        </w:rPr>
        <w:t xml:space="preserve"> Tasmania: Palgrave Macmillan.</w:t>
      </w:r>
    </w:p>
    <w:p w14:paraId="396ABA62"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Borton</w:t>
      </w:r>
      <w:proofErr w:type="spellEnd"/>
      <w:r w:rsidRPr="00E04853">
        <w:rPr>
          <w:rFonts w:ascii="Arial" w:eastAsia="Arial" w:hAnsi="Arial" w:cs="Arial"/>
          <w:color w:val="000000"/>
          <w:sz w:val="24"/>
          <w:szCs w:val="24"/>
        </w:rPr>
        <w:t>, T. (1970) Reach Touch and Teach, London: Hutchinson cited in Jasper, M. (2003) Beginning Reflective Practice, Cheltenham: Nelson Thornes.</w:t>
      </w:r>
    </w:p>
    <w:p w14:paraId="4E7D2375"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Cambridge Dictionary (2022) Available at: </w:t>
      </w:r>
      <w:hyperlink r:id="rId41" w:history="1">
        <w:r w:rsidRPr="00E04853">
          <w:rPr>
            <w:rFonts w:ascii="Arial" w:eastAsia="Arial" w:hAnsi="Arial" w:cs="Arial"/>
            <w:color w:val="0563C1"/>
            <w:sz w:val="24"/>
            <w:szCs w:val="24"/>
            <w:u w:val="single"/>
          </w:rPr>
          <w:t>https://dictionary.cambridge.org/dictionary/english/safeguard</w:t>
        </w:r>
      </w:hyperlink>
      <w:r w:rsidRPr="00E04853">
        <w:rPr>
          <w:rFonts w:ascii="Arial" w:eastAsia="Arial" w:hAnsi="Arial" w:cs="Arial"/>
          <w:color w:val="000000"/>
          <w:sz w:val="24"/>
          <w:szCs w:val="24"/>
        </w:rPr>
        <w:t xml:space="preserve"> (Accessed 02 April 2022)</w:t>
      </w:r>
    </w:p>
    <w:p w14:paraId="31C621E3"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Carline A, </w:t>
      </w:r>
      <w:proofErr w:type="spellStart"/>
      <w:r w:rsidRPr="00E04853">
        <w:rPr>
          <w:rFonts w:ascii="Arial" w:eastAsia="Arial" w:hAnsi="Arial" w:cs="Arial"/>
          <w:color w:val="000000"/>
          <w:sz w:val="24"/>
          <w:szCs w:val="24"/>
        </w:rPr>
        <w:t>Gunby</w:t>
      </w:r>
      <w:proofErr w:type="spellEnd"/>
      <w:r w:rsidRPr="00E04853">
        <w:rPr>
          <w:rFonts w:ascii="Arial" w:eastAsia="Arial" w:hAnsi="Arial" w:cs="Arial"/>
          <w:color w:val="000000"/>
          <w:sz w:val="24"/>
          <w:szCs w:val="24"/>
        </w:rPr>
        <w:t xml:space="preserve">, C (2016) Rape Politics, Policies and Practice: Exploring the Tensions and Unanticipated Consequences of Well-Intended Victim-Focused </w:t>
      </w:r>
      <w:r w:rsidRPr="00E04853">
        <w:rPr>
          <w:rFonts w:ascii="Arial" w:eastAsia="Arial" w:hAnsi="Arial" w:cs="Arial"/>
          <w:color w:val="000000"/>
          <w:sz w:val="24"/>
          <w:szCs w:val="24"/>
        </w:rPr>
        <w:lastRenderedPageBreak/>
        <w:t xml:space="preserve">Measures. The Howard Journal of Crime and Justice, 56, 1 Published </w:t>
      </w:r>
      <w:proofErr w:type="gramStart"/>
      <w:r w:rsidRPr="00E04853">
        <w:rPr>
          <w:rFonts w:ascii="Arial" w:eastAsia="Arial" w:hAnsi="Arial" w:cs="Arial"/>
          <w:color w:val="000000"/>
          <w:sz w:val="24"/>
          <w:szCs w:val="24"/>
        </w:rPr>
        <w:t>march</w:t>
      </w:r>
      <w:proofErr w:type="gramEnd"/>
      <w:r w:rsidRPr="00E04853">
        <w:rPr>
          <w:rFonts w:ascii="Arial" w:eastAsia="Arial" w:hAnsi="Arial" w:cs="Arial"/>
          <w:color w:val="000000"/>
          <w:sz w:val="24"/>
          <w:szCs w:val="24"/>
        </w:rPr>
        <w:t xml:space="preserve"> 2017, pp34-52 Available at: </w:t>
      </w:r>
      <w:hyperlink r:id="rId42" w:history="1">
        <w:r w:rsidRPr="00E04853">
          <w:rPr>
            <w:rFonts w:ascii="Arial" w:eastAsia="Arial" w:hAnsi="Arial" w:cs="Arial"/>
            <w:color w:val="0563C1"/>
            <w:sz w:val="24"/>
            <w:szCs w:val="24"/>
            <w:u w:val="single"/>
          </w:rPr>
          <w:t>https://doi.org/10.1111/hojo.12190</w:t>
        </w:r>
      </w:hyperlink>
      <w:r w:rsidRPr="00E04853">
        <w:rPr>
          <w:rFonts w:ascii="Arial" w:eastAsia="Arial" w:hAnsi="Arial" w:cs="Arial"/>
          <w:color w:val="000000"/>
          <w:sz w:val="24"/>
          <w:szCs w:val="24"/>
        </w:rPr>
        <w:t xml:space="preserve"> </w:t>
      </w:r>
    </w:p>
    <w:p w14:paraId="190EC7E6" w14:textId="77777777" w:rsidR="00E04853" w:rsidRPr="00E04853" w:rsidRDefault="00E04853" w:rsidP="00E04853">
      <w:pPr>
        <w:rPr>
          <w:rFonts w:ascii="Arial" w:eastAsia="Arial" w:hAnsi="Arial" w:cs="Arial"/>
          <w:b/>
          <w:bCs/>
          <w:color w:val="000000"/>
          <w:sz w:val="24"/>
          <w:szCs w:val="24"/>
        </w:rPr>
      </w:pPr>
      <w:r w:rsidRPr="00E04853">
        <w:rPr>
          <w:rFonts w:ascii="Arial" w:eastAsia="Arial" w:hAnsi="Arial" w:cs="Arial"/>
          <w:color w:val="000000"/>
          <w:sz w:val="24"/>
          <w:szCs w:val="24"/>
        </w:rPr>
        <w:t xml:space="preserve">Campbell Rebecca, 2006, Sage Journals, Rape Survivors' Experiences With the Legal and Medical Systems: Do Rape Victim Advocates Make a </w:t>
      </w:r>
      <w:proofErr w:type="gramStart"/>
      <w:r w:rsidRPr="00E04853">
        <w:rPr>
          <w:rFonts w:ascii="Arial" w:eastAsia="Arial" w:hAnsi="Arial" w:cs="Arial"/>
          <w:color w:val="000000"/>
          <w:sz w:val="24"/>
          <w:szCs w:val="24"/>
        </w:rPr>
        <w:t>Difference?v</w:t>
      </w:r>
      <w:proofErr w:type="gramEnd"/>
      <w:r w:rsidRPr="00E04853">
        <w:rPr>
          <w:rFonts w:ascii="Arial" w:eastAsia="Arial" w:hAnsi="Arial" w:cs="Arial"/>
          <w:color w:val="000000"/>
          <w:sz w:val="24"/>
          <w:szCs w:val="24"/>
        </w:rPr>
        <w:t>12, 1. 01.01.2006, Michigan State University</w:t>
      </w:r>
    </w:p>
    <w:p w14:paraId="67179280"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T. E. Christodoulides, G. Richardson, F. Graham, P. J. Kennedy &amp; T. P. Kelly * (2005) Risk assessment with adolescent sex offenders, Journal of Sexual Aggression, 11:1, 37-48, DOI: 10.1080/13552600410001697848 (Accessed: 04 April 2022) </w:t>
      </w:r>
    </w:p>
    <w:p w14:paraId="0E5C3170"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Collins, K. and </w:t>
      </w:r>
      <w:proofErr w:type="spellStart"/>
      <w:r w:rsidRPr="00E04853">
        <w:rPr>
          <w:rFonts w:ascii="Arial" w:eastAsia="Arial" w:hAnsi="Arial" w:cs="Arial"/>
          <w:color w:val="000000"/>
          <w:sz w:val="24"/>
          <w:szCs w:val="24"/>
        </w:rPr>
        <w:t>Krahenbuhl</w:t>
      </w:r>
      <w:proofErr w:type="spellEnd"/>
      <w:r w:rsidRPr="00E04853">
        <w:rPr>
          <w:rFonts w:ascii="Arial" w:eastAsia="Arial" w:hAnsi="Arial" w:cs="Arial"/>
          <w:color w:val="000000"/>
          <w:sz w:val="24"/>
          <w:szCs w:val="24"/>
        </w:rPr>
        <w:t>, S. (2020) ‘Registered intermediaries’ assessment of children’s communication: An exploration of aims and processes’, </w:t>
      </w:r>
      <w:r w:rsidRPr="00E04853">
        <w:rPr>
          <w:rFonts w:ascii="Arial" w:eastAsia="Arial" w:hAnsi="Arial" w:cs="Arial"/>
          <w:i/>
          <w:iCs/>
          <w:color w:val="000000"/>
          <w:sz w:val="24"/>
          <w:szCs w:val="24"/>
        </w:rPr>
        <w:t>The International Journal of Evidence &amp; Proof</w:t>
      </w:r>
      <w:r w:rsidRPr="00E04853">
        <w:rPr>
          <w:rFonts w:ascii="Arial" w:eastAsia="Arial" w:hAnsi="Arial" w:cs="Arial"/>
          <w:color w:val="000000"/>
          <w:sz w:val="24"/>
          <w:szCs w:val="24"/>
        </w:rPr>
        <w:t xml:space="preserve">, 24(4), pp. 374–395. </w:t>
      </w:r>
      <w:proofErr w:type="spellStart"/>
      <w:r w:rsidRPr="00E04853">
        <w:rPr>
          <w:rFonts w:ascii="Arial" w:eastAsia="Arial" w:hAnsi="Arial" w:cs="Arial"/>
          <w:color w:val="000000"/>
          <w:sz w:val="24"/>
          <w:szCs w:val="24"/>
        </w:rPr>
        <w:t>doi</w:t>
      </w:r>
      <w:proofErr w:type="spellEnd"/>
      <w:r w:rsidRPr="00E04853">
        <w:rPr>
          <w:rFonts w:ascii="Arial" w:eastAsia="Arial" w:hAnsi="Arial" w:cs="Arial"/>
          <w:color w:val="000000"/>
          <w:sz w:val="24"/>
          <w:szCs w:val="24"/>
        </w:rPr>
        <w:t>: </w:t>
      </w:r>
      <w:hyperlink r:id="rId43" w:history="1">
        <w:r w:rsidRPr="00E04853">
          <w:rPr>
            <w:rFonts w:ascii="Arial" w:eastAsia="Arial" w:hAnsi="Arial" w:cs="Arial"/>
            <w:color w:val="0563C1"/>
            <w:sz w:val="24"/>
            <w:szCs w:val="24"/>
            <w:u w:val="single"/>
          </w:rPr>
          <w:t>10.1177/1365712720952335</w:t>
        </w:r>
      </w:hyperlink>
      <w:r w:rsidRPr="00E04853">
        <w:rPr>
          <w:rFonts w:ascii="Arial" w:eastAsia="Arial" w:hAnsi="Arial" w:cs="Arial"/>
          <w:color w:val="000000"/>
          <w:sz w:val="24"/>
          <w:szCs w:val="24"/>
        </w:rPr>
        <w:t>. (Accessed: 25 March 2022)</w:t>
      </w:r>
    </w:p>
    <w:p w14:paraId="01E14F9C"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College of Policing (2018) Defining vulnerability, Available at: </w:t>
      </w:r>
      <w:hyperlink r:id="rId44" w:history="1">
        <w:r w:rsidRPr="00E04853">
          <w:rPr>
            <w:rFonts w:ascii="Arial" w:eastAsia="Arial" w:hAnsi="Arial" w:cs="Arial"/>
            <w:color w:val="0563C1"/>
            <w:sz w:val="24"/>
            <w:szCs w:val="24"/>
            <w:u w:val="single"/>
          </w:rPr>
          <w:t>NVAP.pdf (npcc.police.uk)</w:t>
        </w:r>
      </w:hyperlink>
      <w:r w:rsidRPr="00E04853">
        <w:rPr>
          <w:rFonts w:ascii="Arial" w:eastAsia="Arial" w:hAnsi="Arial" w:cs="Arial"/>
          <w:color w:val="000000"/>
          <w:sz w:val="24"/>
          <w:szCs w:val="24"/>
        </w:rPr>
        <w:t xml:space="preserve"> (Accessed: 03 April 2022)</w:t>
      </w:r>
    </w:p>
    <w:p w14:paraId="3BB7D6CF"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College of Policing (2021) Recognising and responding to vulnerability-related risks: Guidelines,  Available at </w:t>
      </w:r>
      <w:hyperlink r:id="rId45" w:history="1">
        <w:r w:rsidRPr="00E04853">
          <w:rPr>
            <w:rFonts w:ascii="Arial" w:eastAsia="Arial" w:hAnsi="Arial" w:cs="Arial"/>
            <w:color w:val="0563C1"/>
            <w:sz w:val="24"/>
            <w:szCs w:val="24"/>
            <w:u w:val="single"/>
          </w:rPr>
          <w:t>https://assets.college.police.uk/s3fs-public/2021-11/Recognising-responding-vulnerability-related-risks-guidelines.pdf</w:t>
        </w:r>
      </w:hyperlink>
      <w:r w:rsidRPr="00E04853">
        <w:rPr>
          <w:rFonts w:ascii="Arial" w:eastAsia="Arial" w:hAnsi="Arial" w:cs="Arial"/>
          <w:color w:val="000000"/>
          <w:sz w:val="24"/>
          <w:szCs w:val="24"/>
        </w:rPr>
        <w:t xml:space="preserve">  </w:t>
      </w:r>
    </w:p>
    <w:p w14:paraId="16B89374"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College of Policing (2022) </w:t>
      </w:r>
      <w:hyperlink r:id="rId46" w:history="1">
        <w:r w:rsidRPr="00E04853">
          <w:rPr>
            <w:rFonts w:ascii="Arial" w:eastAsia="Arial" w:hAnsi="Arial" w:cs="Arial"/>
            <w:color w:val="0563C1"/>
            <w:sz w:val="24"/>
            <w:szCs w:val="24"/>
            <w:u w:val="single"/>
          </w:rPr>
          <w:t>Working with victims and witnesses (college.police.uk)</w:t>
        </w:r>
      </w:hyperlink>
      <w:r w:rsidRPr="00E04853">
        <w:rPr>
          <w:rFonts w:ascii="Arial" w:eastAsia="Arial" w:hAnsi="Arial" w:cs="Arial"/>
          <w:color w:val="000000"/>
          <w:sz w:val="24"/>
          <w:szCs w:val="24"/>
        </w:rPr>
        <w:t xml:space="preserve"> Updated 17.03.2022 (Accessed: 02 April 2022)</w:t>
      </w:r>
    </w:p>
    <w:p w14:paraId="41FD81DD" w14:textId="77777777" w:rsidR="00E04853" w:rsidRPr="00E04853" w:rsidRDefault="00E04853" w:rsidP="00E04853">
      <w:pPr>
        <w:rPr>
          <w:rFonts w:ascii="Arial" w:eastAsia="Arial" w:hAnsi="Arial" w:cs="Arial"/>
          <w:color w:val="000000"/>
          <w:sz w:val="24"/>
          <w:szCs w:val="24"/>
        </w:rPr>
      </w:pPr>
      <w:bookmarkStart w:id="1" w:name="_Hlk100940981"/>
      <w:r w:rsidRPr="00E04853">
        <w:rPr>
          <w:rFonts w:ascii="Arial" w:eastAsia="Arial" w:hAnsi="Arial" w:cs="Arial"/>
          <w:color w:val="000000"/>
          <w:sz w:val="24"/>
          <w:szCs w:val="24"/>
        </w:rPr>
        <w:t xml:space="preserve">College of Policing (2022 b) Major Investigations and Public Protection: Staffing and the child abuse investigation unit. Available at: </w:t>
      </w:r>
      <w:hyperlink r:id="rId47" w:anchor="investigation-of-crimes-relating-to-child-abuse" w:history="1">
        <w:r w:rsidRPr="00E04853">
          <w:rPr>
            <w:rFonts w:ascii="Arial" w:eastAsia="Arial" w:hAnsi="Arial" w:cs="Arial"/>
            <w:color w:val="0563C1"/>
            <w:sz w:val="24"/>
            <w:szCs w:val="24"/>
            <w:u w:val="single"/>
          </w:rPr>
          <w:t>Staffing (college.police.uk)</w:t>
        </w:r>
      </w:hyperlink>
      <w:r w:rsidRPr="00E04853">
        <w:rPr>
          <w:rFonts w:ascii="Arial" w:eastAsia="Arial" w:hAnsi="Arial" w:cs="Arial"/>
          <w:color w:val="000000"/>
          <w:sz w:val="24"/>
          <w:szCs w:val="24"/>
        </w:rPr>
        <w:t xml:space="preserve"> (Accessed: 054 April 2022)</w:t>
      </w:r>
    </w:p>
    <w:bookmarkEnd w:id="1"/>
    <w:p w14:paraId="356BC205"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College of Policing (2022 b) Major Investigations and Public Protection: Available at: </w:t>
      </w:r>
      <w:hyperlink r:id="rId48" w:anchor="investigation-of-crimes-relating-to-child-abuse" w:history="1">
        <w:r w:rsidRPr="00E04853">
          <w:rPr>
            <w:rFonts w:ascii="Arial" w:eastAsia="Arial" w:hAnsi="Arial" w:cs="Arial"/>
            <w:color w:val="0563C1"/>
            <w:sz w:val="24"/>
            <w:szCs w:val="24"/>
            <w:u w:val="single"/>
          </w:rPr>
          <w:t>Staffing (college.police.uk)</w:t>
        </w:r>
      </w:hyperlink>
      <w:r w:rsidRPr="00E04853">
        <w:rPr>
          <w:rFonts w:ascii="Arial" w:eastAsia="Arial" w:hAnsi="Arial" w:cs="Arial"/>
          <w:color w:val="000000"/>
          <w:sz w:val="24"/>
          <w:szCs w:val="24"/>
        </w:rPr>
        <w:t xml:space="preserve"> (Accessed: 04 April 2022)</w:t>
      </w:r>
    </w:p>
    <w:p w14:paraId="01FEFF47"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Christopher Steve, The Police Service Can Be a Critical Reflective Practice … If It Wants, </w:t>
      </w:r>
      <w:r w:rsidRPr="00E04853">
        <w:rPr>
          <w:rFonts w:ascii="Arial" w:eastAsia="Arial" w:hAnsi="Arial" w:cs="Arial"/>
          <w:i/>
          <w:iCs/>
          <w:color w:val="000000"/>
          <w:sz w:val="24"/>
          <w:szCs w:val="24"/>
        </w:rPr>
        <w:t>Policing: A Journal of Policy and Practice</w:t>
      </w:r>
      <w:r w:rsidRPr="00E04853">
        <w:rPr>
          <w:rFonts w:ascii="Arial" w:eastAsia="Arial" w:hAnsi="Arial" w:cs="Arial"/>
          <w:color w:val="000000"/>
          <w:sz w:val="24"/>
          <w:szCs w:val="24"/>
        </w:rPr>
        <w:t>, Volume 9, Issue 4, December 2015, Pages 326–339, </w:t>
      </w:r>
      <w:hyperlink r:id="rId49" w:history="1">
        <w:r w:rsidRPr="00E04853">
          <w:rPr>
            <w:rFonts w:ascii="Arial" w:eastAsia="Arial" w:hAnsi="Arial" w:cs="Arial"/>
            <w:color w:val="0563C1"/>
            <w:sz w:val="24"/>
            <w:szCs w:val="24"/>
            <w:u w:val="single"/>
          </w:rPr>
          <w:t>https://doi.org/10.1093/police/pav007</w:t>
        </w:r>
      </w:hyperlink>
    </w:p>
    <w:p w14:paraId="2E9408E2"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Copley, S (2011) </w:t>
      </w:r>
      <w:r w:rsidRPr="00E04853">
        <w:rPr>
          <w:rFonts w:ascii="Arial" w:eastAsia="Arial" w:hAnsi="Arial" w:cs="Arial"/>
          <w:i/>
          <w:iCs/>
          <w:color w:val="000000"/>
          <w:sz w:val="24"/>
          <w:szCs w:val="24"/>
        </w:rPr>
        <w:t xml:space="preserve">Reflective practice for policing students. </w:t>
      </w:r>
      <w:r w:rsidRPr="00E04853">
        <w:rPr>
          <w:rFonts w:ascii="Arial" w:eastAsia="Arial" w:hAnsi="Arial" w:cs="Arial"/>
          <w:color w:val="000000"/>
          <w:sz w:val="24"/>
          <w:szCs w:val="24"/>
        </w:rPr>
        <w:t>Exeter: Learning Matters.</w:t>
      </w:r>
    </w:p>
    <w:p w14:paraId="00258187"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Data Protection Act 2018, c. 12. Available at: </w:t>
      </w:r>
      <w:hyperlink r:id="rId50" w:history="1">
        <w:r w:rsidRPr="00E04853">
          <w:rPr>
            <w:rFonts w:ascii="Arial" w:eastAsia="Arial" w:hAnsi="Arial" w:cs="Arial"/>
            <w:color w:val="0563C1"/>
            <w:sz w:val="24"/>
            <w:szCs w:val="24"/>
            <w:u w:val="single"/>
          </w:rPr>
          <w:t>Data Protection Act 2018 (legislation.gov.uk)</w:t>
        </w:r>
      </w:hyperlink>
      <w:r w:rsidRPr="00E04853">
        <w:rPr>
          <w:rFonts w:ascii="Arial" w:eastAsia="Arial" w:hAnsi="Arial" w:cs="Arial"/>
          <w:color w:val="000000"/>
          <w:sz w:val="24"/>
          <w:szCs w:val="24"/>
        </w:rPr>
        <w:t xml:space="preserve"> (Accessed: 02 April 2022)</w:t>
      </w:r>
    </w:p>
    <w:p w14:paraId="39E6BDBC"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Dyfed-Powys Police (2021) </w:t>
      </w:r>
      <w:r w:rsidRPr="00E04853">
        <w:rPr>
          <w:rFonts w:ascii="Arial" w:eastAsia="Arial" w:hAnsi="Arial" w:cs="Arial"/>
          <w:i/>
          <w:iCs/>
          <w:color w:val="000000"/>
          <w:sz w:val="24"/>
          <w:szCs w:val="24"/>
        </w:rPr>
        <w:t>Vulnerability Policy</w:t>
      </w:r>
      <w:r w:rsidRPr="00E04853">
        <w:rPr>
          <w:rFonts w:ascii="Arial" w:eastAsia="Arial" w:hAnsi="Arial" w:cs="Arial"/>
          <w:color w:val="000000"/>
          <w:sz w:val="24"/>
          <w:szCs w:val="24"/>
        </w:rPr>
        <w:t xml:space="preserve"> </w:t>
      </w:r>
      <w:r w:rsidRPr="00E04853">
        <w:rPr>
          <w:rFonts w:ascii="Arial" w:eastAsia="Arial" w:hAnsi="Arial" w:cs="Arial"/>
          <w:i/>
          <w:iCs/>
          <w:color w:val="000000"/>
          <w:sz w:val="24"/>
          <w:szCs w:val="24"/>
        </w:rPr>
        <w:t>2021.</w:t>
      </w:r>
      <w:r w:rsidRPr="00E04853">
        <w:rPr>
          <w:rFonts w:ascii="Arial" w:eastAsia="Arial" w:hAnsi="Arial" w:cs="Arial"/>
          <w:color w:val="000000"/>
          <w:sz w:val="24"/>
          <w:szCs w:val="24"/>
        </w:rPr>
        <w:t xml:space="preserve"> Available at:</w:t>
      </w:r>
      <w:r w:rsidRPr="00E04853">
        <w:rPr>
          <w:rFonts w:ascii="Calibri" w:eastAsia="Calibri" w:hAnsi="Calibri" w:cs="Times New Roman"/>
        </w:rPr>
        <w:t xml:space="preserve"> </w:t>
      </w:r>
      <w:hyperlink r:id="rId51" w:history="1">
        <w:r w:rsidRPr="00E04853">
          <w:rPr>
            <w:rFonts w:ascii="Arial" w:eastAsia="Arial" w:hAnsi="Arial" w:cs="Arial"/>
            <w:color w:val="0563C1"/>
            <w:sz w:val="24"/>
            <w:szCs w:val="24"/>
            <w:u w:val="single"/>
          </w:rPr>
          <w:t>vulnerability-policy (dyfed-powys.police.uk)</w:t>
        </w:r>
      </w:hyperlink>
      <w:r w:rsidRPr="00E04853">
        <w:rPr>
          <w:rFonts w:ascii="Arial" w:eastAsia="Arial" w:hAnsi="Arial" w:cs="Arial"/>
          <w:color w:val="000000"/>
          <w:sz w:val="24"/>
          <w:szCs w:val="24"/>
        </w:rPr>
        <w:t xml:space="preserve"> (Accessed: 04 April 2022)</w:t>
      </w:r>
    </w:p>
    <w:p w14:paraId="640996C9"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Gibbs G (1988)</w:t>
      </w:r>
      <w:r w:rsidRPr="00E04853">
        <w:rPr>
          <w:rFonts w:ascii="Source Sans Pro" w:eastAsia="Times New Roman" w:hAnsi="Source Sans Pro" w:cs="Times New Roman"/>
          <w:color w:val="333333"/>
          <w:sz w:val="24"/>
          <w:szCs w:val="24"/>
          <w:lang w:eastAsia="en-GB"/>
        </w:rPr>
        <w:t xml:space="preserve"> </w:t>
      </w:r>
      <w:r w:rsidRPr="00E04853">
        <w:rPr>
          <w:rFonts w:ascii="Arial" w:eastAsia="Arial" w:hAnsi="Arial" w:cs="Arial"/>
          <w:color w:val="000000"/>
          <w:sz w:val="24"/>
          <w:szCs w:val="24"/>
        </w:rPr>
        <w:t>Gibbs G (1988). Learning by Doing: A guide to teaching and learning methods. Further Education Unit. Oxford Polytechnic: Oxford.</w:t>
      </w:r>
    </w:p>
    <w:p w14:paraId="5EEA7BCD"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Grant h (2013)</w:t>
      </w:r>
      <w:r w:rsidRPr="00E04853">
        <w:rPr>
          <w:rFonts w:ascii="Calibri" w:eastAsia="Calibri" w:hAnsi="Calibri" w:cs="Times New Roman"/>
        </w:rPr>
        <w:t xml:space="preserve"> </w:t>
      </w:r>
      <w:r w:rsidRPr="00E04853">
        <w:rPr>
          <w:rFonts w:ascii="Arial" w:eastAsia="Arial" w:hAnsi="Arial" w:cs="Arial"/>
          <w:color w:val="000000"/>
          <w:sz w:val="24"/>
          <w:szCs w:val="24"/>
        </w:rPr>
        <w:t>Improving the Code of Practice for Victims of Crime,</w:t>
      </w:r>
      <w:r w:rsidRPr="00E04853">
        <w:rPr>
          <w:rFonts w:ascii="Calibri" w:eastAsia="Calibri" w:hAnsi="Calibri" w:cs="Times New Roman"/>
        </w:rPr>
        <w:t xml:space="preserve"> </w:t>
      </w:r>
      <w:r w:rsidRPr="00E04853">
        <w:rPr>
          <w:rFonts w:ascii="Arial" w:eastAsia="Arial" w:hAnsi="Arial" w:cs="Arial"/>
          <w:color w:val="000000"/>
          <w:sz w:val="24"/>
          <w:szCs w:val="24"/>
        </w:rPr>
        <w:t xml:space="preserve">A consultation produced by the Ministry of Justice. Available at: </w:t>
      </w:r>
      <w:hyperlink r:id="rId52" w:history="1">
        <w:r w:rsidRPr="00E04853">
          <w:rPr>
            <w:rFonts w:ascii="Arial" w:eastAsia="Arial" w:hAnsi="Arial" w:cs="Arial"/>
            <w:color w:val="0563C1"/>
            <w:sz w:val="24"/>
            <w:szCs w:val="24"/>
            <w:u w:val="single"/>
          </w:rPr>
          <w:t>Improving the code of Practice for Victims of Crime (justice.gov.uk)</w:t>
        </w:r>
      </w:hyperlink>
      <w:r w:rsidRPr="00E04853">
        <w:rPr>
          <w:rFonts w:ascii="Arial" w:eastAsia="Arial" w:hAnsi="Arial" w:cs="Arial"/>
          <w:color w:val="000000"/>
          <w:sz w:val="24"/>
          <w:szCs w:val="24"/>
        </w:rPr>
        <w:t xml:space="preserve"> (Accessed: 02 April 2022)</w:t>
      </w:r>
    </w:p>
    <w:p w14:paraId="649C5F0E" w14:textId="77777777" w:rsidR="00E04853" w:rsidRPr="00E04853" w:rsidRDefault="00E04853" w:rsidP="00E04853">
      <w:pPr>
        <w:rPr>
          <w:rFonts w:ascii="Arial" w:eastAsia="Arial" w:hAnsi="Arial" w:cs="Arial"/>
          <w:i/>
          <w:iCs/>
          <w:color w:val="000000"/>
          <w:sz w:val="24"/>
          <w:szCs w:val="24"/>
        </w:rPr>
      </w:pPr>
      <w:r w:rsidRPr="00E04853">
        <w:rPr>
          <w:rFonts w:ascii="Arial" w:eastAsia="Arial" w:hAnsi="Arial" w:cs="Arial"/>
          <w:color w:val="000000"/>
          <w:sz w:val="24"/>
          <w:szCs w:val="24"/>
        </w:rPr>
        <w:lastRenderedPageBreak/>
        <w:t xml:space="preserve">Green P (2019) ‘The role of designated and named professionals in child safeguarding’, </w:t>
      </w:r>
      <w:r w:rsidRPr="00E04853">
        <w:rPr>
          <w:rFonts w:ascii="Arial" w:eastAsia="Arial" w:hAnsi="Arial" w:cs="Arial"/>
          <w:i/>
          <w:iCs/>
          <w:color w:val="000000"/>
          <w:sz w:val="24"/>
          <w:szCs w:val="24"/>
        </w:rPr>
        <w:t>Paediatrics and Child Health,</w:t>
      </w:r>
      <w:r w:rsidRPr="00E04853">
        <w:rPr>
          <w:rFonts w:ascii="Arial" w:eastAsia="Arial" w:hAnsi="Arial" w:cs="Arial"/>
          <w:color w:val="000000"/>
          <w:sz w:val="24"/>
          <w:szCs w:val="24"/>
        </w:rPr>
        <w:t xml:space="preserve"> 29(1), Available at: </w:t>
      </w:r>
      <w:hyperlink r:id="rId53" w:history="1">
        <w:r w:rsidRPr="00E04853">
          <w:rPr>
            <w:rFonts w:ascii="Arial" w:eastAsia="Arial" w:hAnsi="Arial" w:cs="Arial"/>
            <w:color w:val="0563C1"/>
            <w:sz w:val="24"/>
            <w:szCs w:val="24"/>
            <w:u w:val="single"/>
          </w:rPr>
          <w:t>https://doi.org/10.1016/j.paed.2018.11.008</w:t>
        </w:r>
      </w:hyperlink>
      <w:r w:rsidRPr="00E04853">
        <w:rPr>
          <w:rFonts w:ascii="Arial" w:eastAsia="Arial" w:hAnsi="Arial" w:cs="Arial"/>
          <w:color w:val="000000"/>
          <w:sz w:val="24"/>
          <w:szCs w:val="24"/>
        </w:rPr>
        <w:t>. (Accessed: 04 April 2022)</w:t>
      </w:r>
      <w:r w:rsidRPr="00E04853">
        <w:rPr>
          <w:rFonts w:ascii="Arial" w:eastAsia="Arial" w:hAnsi="Arial" w:cs="Arial"/>
          <w:i/>
          <w:iCs/>
          <w:color w:val="000000"/>
          <w:sz w:val="24"/>
          <w:szCs w:val="24"/>
        </w:rPr>
        <w:t xml:space="preserve"> </w:t>
      </w:r>
    </w:p>
    <w:p w14:paraId="5DF79864"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Goleudy</w:t>
      </w:r>
      <w:proofErr w:type="spellEnd"/>
      <w:r w:rsidRPr="00E04853">
        <w:rPr>
          <w:rFonts w:ascii="Arial" w:eastAsia="Arial" w:hAnsi="Arial" w:cs="Arial"/>
          <w:color w:val="000000"/>
          <w:sz w:val="24"/>
          <w:szCs w:val="24"/>
        </w:rPr>
        <w:t xml:space="preserve"> (2022) </w:t>
      </w:r>
      <w:hyperlink r:id="rId54" w:history="1">
        <w:proofErr w:type="spellStart"/>
        <w:r w:rsidRPr="00E04853">
          <w:rPr>
            <w:rFonts w:ascii="Arial" w:eastAsia="Arial" w:hAnsi="Arial" w:cs="Arial"/>
            <w:color w:val="0563C1"/>
            <w:sz w:val="24"/>
            <w:szCs w:val="24"/>
            <w:u w:val="single"/>
          </w:rPr>
          <w:t>Goleudy</w:t>
        </w:r>
        <w:proofErr w:type="spellEnd"/>
        <w:r w:rsidRPr="00E04853">
          <w:rPr>
            <w:rFonts w:ascii="Arial" w:eastAsia="Arial" w:hAnsi="Arial" w:cs="Arial"/>
            <w:color w:val="0563C1"/>
            <w:sz w:val="24"/>
            <w:szCs w:val="24"/>
            <w:u w:val="single"/>
          </w:rPr>
          <w:t xml:space="preserve"> - Support for Victims and Witnesses in Carmarthenshire, </w:t>
        </w:r>
        <w:proofErr w:type="spellStart"/>
        <w:r w:rsidRPr="00E04853">
          <w:rPr>
            <w:rFonts w:ascii="Arial" w:eastAsia="Arial" w:hAnsi="Arial" w:cs="Arial"/>
            <w:color w:val="0563C1"/>
            <w:sz w:val="24"/>
            <w:szCs w:val="24"/>
            <w:u w:val="single"/>
          </w:rPr>
          <w:t>Prembrokeshire</w:t>
        </w:r>
        <w:proofErr w:type="spellEnd"/>
        <w:r w:rsidRPr="00E04853">
          <w:rPr>
            <w:rFonts w:ascii="Arial" w:eastAsia="Arial" w:hAnsi="Arial" w:cs="Arial"/>
            <w:color w:val="0563C1"/>
            <w:sz w:val="24"/>
            <w:szCs w:val="24"/>
            <w:u w:val="single"/>
          </w:rPr>
          <w:t xml:space="preserve">, Ceredigion and Powys - </w:t>
        </w:r>
        <w:proofErr w:type="spellStart"/>
        <w:r w:rsidRPr="00E04853">
          <w:rPr>
            <w:rFonts w:ascii="Arial" w:eastAsia="Arial" w:hAnsi="Arial" w:cs="Arial"/>
            <w:color w:val="0563C1"/>
            <w:sz w:val="24"/>
            <w:szCs w:val="24"/>
            <w:u w:val="single"/>
          </w:rPr>
          <w:t>Goleudy</w:t>
        </w:r>
        <w:proofErr w:type="spellEnd"/>
        <w:r w:rsidRPr="00E04853">
          <w:rPr>
            <w:rFonts w:ascii="Arial" w:eastAsia="Arial" w:hAnsi="Arial" w:cs="Arial"/>
            <w:color w:val="0563C1"/>
            <w:sz w:val="24"/>
            <w:szCs w:val="24"/>
            <w:u w:val="single"/>
          </w:rPr>
          <w:t xml:space="preserve"> (goleudyvictimandwitnessservice.org.uk)</w:t>
        </w:r>
      </w:hyperlink>
      <w:r w:rsidRPr="00E04853">
        <w:rPr>
          <w:rFonts w:ascii="Arial" w:eastAsia="Arial" w:hAnsi="Arial" w:cs="Arial"/>
          <w:color w:val="000000"/>
          <w:sz w:val="24"/>
          <w:szCs w:val="24"/>
        </w:rPr>
        <w:t xml:space="preserve"> (Accessed: 02 April 2022)</w:t>
      </w:r>
    </w:p>
    <w:p w14:paraId="7E9E1B47"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Goodman, Gail S., et al. “Testifying in Criminal Court: Emotional Effects on Child Sexual Assault Victims.” </w:t>
      </w:r>
      <w:r w:rsidRPr="00E04853">
        <w:rPr>
          <w:rFonts w:ascii="Arial" w:eastAsia="Arial" w:hAnsi="Arial" w:cs="Arial"/>
          <w:i/>
          <w:iCs/>
          <w:color w:val="000000"/>
          <w:sz w:val="24"/>
          <w:szCs w:val="24"/>
        </w:rPr>
        <w:t>Monographs of the Society for Research in Child Development</w:t>
      </w:r>
      <w:r w:rsidRPr="00E04853">
        <w:rPr>
          <w:rFonts w:ascii="Arial" w:eastAsia="Arial" w:hAnsi="Arial" w:cs="Arial"/>
          <w:color w:val="000000"/>
          <w:sz w:val="24"/>
          <w:szCs w:val="24"/>
        </w:rPr>
        <w:t xml:space="preserve">, vol. 57, no. 5, [Society for Research in Child Development, Wiley], 1992, pp. </w:t>
      </w:r>
      <w:proofErr w:type="spellStart"/>
      <w:r w:rsidRPr="00E04853">
        <w:rPr>
          <w:rFonts w:ascii="Arial" w:eastAsia="Arial" w:hAnsi="Arial" w:cs="Arial"/>
          <w:color w:val="000000"/>
          <w:sz w:val="24"/>
          <w:szCs w:val="24"/>
        </w:rPr>
        <w:t>i</w:t>
      </w:r>
      <w:proofErr w:type="spellEnd"/>
      <w:r w:rsidRPr="00E04853">
        <w:rPr>
          <w:rFonts w:ascii="Arial" w:eastAsia="Arial" w:hAnsi="Arial" w:cs="Arial"/>
          <w:color w:val="000000"/>
          <w:sz w:val="24"/>
          <w:szCs w:val="24"/>
        </w:rPr>
        <w:t>–159, https://doi.org/10.2307/1166127.</w:t>
      </w:r>
    </w:p>
    <w:p w14:paraId="128962AA"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Hershkowitz</w:t>
      </w:r>
      <w:proofErr w:type="spellEnd"/>
      <w:r w:rsidRPr="00E04853">
        <w:rPr>
          <w:rFonts w:ascii="Arial" w:eastAsia="Arial" w:hAnsi="Arial" w:cs="Arial"/>
          <w:color w:val="000000"/>
          <w:sz w:val="24"/>
          <w:szCs w:val="24"/>
        </w:rPr>
        <w:t xml:space="preserve"> I, Lamb ME, Orbach Y, Katz C, Horowitz D. 2011. The development of communicative and narrative skills among </w:t>
      </w:r>
      <w:proofErr w:type="spellStart"/>
      <w:r w:rsidRPr="00E04853">
        <w:rPr>
          <w:rFonts w:ascii="Arial" w:eastAsia="Arial" w:hAnsi="Arial" w:cs="Arial"/>
          <w:color w:val="000000"/>
          <w:sz w:val="24"/>
          <w:szCs w:val="24"/>
        </w:rPr>
        <w:t>preschoolers</w:t>
      </w:r>
      <w:proofErr w:type="spellEnd"/>
      <w:r w:rsidRPr="00E04853">
        <w:rPr>
          <w:rFonts w:ascii="Arial" w:eastAsia="Arial" w:hAnsi="Arial" w:cs="Arial"/>
          <w:color w:val="000000"/>
          <w:sz w:val="24"/>
          <w:szCs w:val="24"/>
        </w:rPr>
        <w:t>: Lessons from forensic interviews about child abuse. Child Development 83(2): 611–622. DOI: 10.1111/j.1467-8624.</w:t>
      </w:r>
      <w:proofErr w:type="gramStart"/>
      <w:r w:rsidRPr="00E04853">
        <w:rPr>
          <w:rFonts w:ascii="Arial" w:eastAsia="Arial" w:hAnsi="Arial" w:cs="Arial"/>
          <w:color w:val="000000"/>
          <w:sz w:val="24"/>
          <w:szCs w:val="24"/>
        </w:rPr>
        <w:t>2011.01704.x</w:t>
      </w:r>
      <w:proofErr w:type="gramEnd"/>
    </w:p>
    <w:p w14:paraId="143BE5A2" w14:textId="77777777" w:rsidR="00A52C97" w:rsidRPr="00E04853" w:rsidRDefault="00A52C97" w:rsidP="00A52C97">
      <w:pPr>
        <w:rPr>
          <w:rFonts w:ascii="Arial" w:eastAsia="Arial" w:hAnsi="Arial" w:cs="Arial"/>
          <w:color w:val="000000"/>
          <w:sz w:val="24"/>
          <w:szCs w:val="24"/>
        </w:rPr>
      </w:pPr>
      <w:r w:rsidRPr="00E04853">
        <w:rPr>
          <w:rFonts w:ascii="Arial" w:eastAsia="Arial" w:hAnsi="Arial" w:cs="Arial"/>
          <w:color w:val="000000"/>
          <w:sz w:val="24"/>
          <w:szCs w:val="24"/>
        </w:rPr>
        <w:t>Hester, M. and Lilley, S.-J. (2018) ‘More than support to court: Rape victims and specialist sexual violence services’, </w:t>
      </w:r>
      <w:r w:rsidRPr="00E04853">
        <w:rPr>
          <w:rFonts w:ascii="Arial" w:eastAsia="Arial" w:hAnsi="Arial" w:cs="Arial"/>
          <w:i/>
          <w:iCs/>
          <w:color w:val="000000"/>
          <w:sz w:val="24"/>
          <w:szCs w:val="24"/>
        </w:rPr>
        <w:t>International Review of Victimology</w:t>
      </w:r>
      <w:r w:rsidRPr="00E04853">
        <w:rPr>
          <w:rFonts w:ascii="Arial" w:eastAsia="Arial" w:hAnsi="Arial" w:cs="Arial"/>
          <w:color w:val="000000"/>
          <w:sz w:val="24"/>
          <w:szCs w:val="24"/>
        </w:rPr>
        <w:t xml:space="preserve">, 24(3), pp. 313–328. </w:t>
      </w:r>
      <w:proofErr w:type="spellStart"/>
      <w:r w:rsidRPr="00E04853">
        <w:rPr>
          <w:rFonts w:ascii="Arial" w:eastAsia="Arial" w:hAnsi="Arial" w:cs="Arial"/>
          <w:color w:val="000000"/>
          <w:sz w:val="24"/>
          <w:szCs w:val="24"/>
        </w:rPr>
        <w:t>doi</w:t>
      </w:r>
      <w:proofErr w:type="spellEnd"/>
      <w:r w:rsidRPr="00E04853">
        <w:rPr>
          <w:rFonts w:ascii="Arial" w:eastAsia="Arial" w:hAnsi="Arial" w:cs="Arial"/>
          <w:color w:val="000000"/>
          <w:sz w:val="24"/>
          <w:szCs w:val="24"/>
        </w:rPr>
        <w:t>: </w:t>
      </w:r>
      <w:hyperlink r:id="rId55" w:history="1">
        <w:r w:rsidRPr="00E04853">
          <w:rPr>
            <w:rFonts w:ascii="Arial" w:eastAsia="Arial" w:hAnsi="Arial" w:cs="Arial"/>
            <w:color w:val="0563C1"/>
            <w:sz w:val="24"/>
            <w:szCs w:val="24"/>
            <w:u w:val="single"/>
          </w:rPr>
          <w:t>10.1177/0269758017742717</w:t>
        </w:r>
      </w:hyperlink>
      <w:r w:rsidRPr="00E04853">
        <w:rPr>
          <w:rFonts w:ascii="Arial" w:eastAsia="Arial" w:hAnsi="Arial" w:cs="Arial"/>
          <w:color w:val="000000"/>
          <w:sz w:val="24"/>
          <w:szCs w:val="24"/>
        </w:rPr>
        <w:t>. Bristol university</w:t>
      </w:r>
    </w:p>
    <w:p w14:paraId="3B9ACE94"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Kahn, T.J. and Chambers, H.J., (1991) ‘Assessing re-offence risk with juvenile sexual </w:t>
      </w:r>
      <w:proofErr w:type="gramStart"/>
      <w:r w:rsidRPr="00E04853">
        <w:rPr>
          <w:rFonts w:ascii="Arial" w:eastAsia="Arial" w:hAnsi="Arial" w:cs="Arial"/>
          <w:color w:val="000000"/>
          <w:sz w:val="24"/>
          <w:szCs w:val="24"/>
        </w:rPr>
        <w:t>offenders’</w:t>
      </w:r>
      <w:proofErr w:type="gramEnd"/>
      <w:r w:rsidRPr="00E04853">
        <w:rPr>
          <w:rFonts w:ascii="Arial" w:eastAsia="Arial" w:hAnsi="Arial" w:cs="Arial"/>
          <w:color w:val="000000"/>
          <w:sz w:val="24"/>
          <w:szCs w:val="24"/>
        </w:rPr>
        <w:t>. </w:t>
      </w:r>
      <w:r w:rsidRPr="00E04853">
        <w:rPr>
          <w:rFonts w:ascii="Arial" w:eastAsia="Arial" w:hAnsi="Arial" w:cs="Arial"/>
          <w:i/>
          <w:iCs/>
          <w:color w:val="000000"/>
          <w:sz w:val="24"/>
          <w:szCs w:val="24"/>
        </w:rPr>
        <w:t>Child Welfare</w:t>
      </w:r>
      <w:r w:rsidRPr="00E04853">
        <w:rPr>
          <w:rFonts w:ascii="Arial" w:eastAsia="Arial" w:hAnsi="Arial" w:cs="Arial"/>
          <w:color w:val="000000"/>
          <w:sz w:val="24"/>
          <w:szCs w:val="24"/>
        </w:rPr>
        <w:t xml:space="preserve">. Available at: </w:t>
      </w:r>
      <w:hyperlink r:id="rId56" w:history="1">
        <w:r w:rsidRPr="00E04853">
          <w:rPr>
            <w:rFonts w:ascii="Arial" w:eastAsia="Arial" w:hAnsi="Arial" w:cs="Arial"/>
            <w:color w:val="0563C1"/>
            <w:sz w:val="24"/>
            <w:szCs w:val="24"/>
            <w:u w:val="single"/>
          </w:rPr>
          <w:t xml:space="preserve">Assessing </w:t>
        </w:r>
        <w:proofErr w:type="spellStart"/>
        <w:r w:rsidRPr="00E04853">
          <w:rPr>
            <w:rFonts w:ascii="Arial" w:eastAsia="Arial" w:hAnsi="Arial" w:cs="Arial"/>
            <w:color w:val="0563C1"/>
            <w:sz w:val="24"/>
            <w:szCs w:val="24"/>
            <w:u w:val="single"/>
          </w:rPr>
          <w:t>Reoffense</w:t>
        </w:r>
        <w:proofErr w:type="spellEnd"/>
        <w:r w:rsidRPr="00E04853">
          <w:rPr>
            <w:rFonts w:ascii="Arial" w:eastAsia="Arial" w:hAnsi="Arial" w:cs="Arial"/>
            <w:color w:val="0563C1"/>
            <w:sz w:val="24"/>
            <w:szCs w:val="24"/>
            <w:u w:val="single"/>
          </w:rPr>
          <w:t xml:space="preserve"> Risk with Juvenile Sexual Offenders on JSTOR (uwtsd.ac.uk)</w:t>
        </w:r>
      </w:hyperlink>
      <w:r w:rsidRPr="00E04853">
        <w:rPr>
          <w:rFonts w:ascii="Arial" w:eastAsia="Arial" w:hAnsi="Arial" w:cs="Arial"/>
          <w:color w:val="000000"/>
          <w:sz w:val="24"/>
          <w:szCs w:val="24"/>
        </w:rPr>
        <w:t xml:space="preserve"> (Accessed: 04 April 2022) </w:t>
      </w:r>
    </w:p>
    <w:p w14:paraId="48318B80" w14:textId="77777777" w:rsidR="00B82EA5" w:rsidRPr="00E04853" w:rsidRDefault="00B82EA5" w:rsidP="00B82EA5">
      <w:pPr>
        <w:rPr>
          <w:rFonts w:ascii="Arial" w:eastAsia="Arial" w:hAnsi="Arial" w:cs="Arial"/>
          <w:color w:val="000000"/>
          <w:sz w:val="24"/>
          <w:szCs w:val="24"/>
        </w:rPr>
      </w:pPr>
      <w:r w:rsidRPr="00E04853">
        <w:rPr>
          <w:rFonts w:ascii="Arial" w:eastAsia="Arial" w:hAnsi="Arial" w:cs="Arial"/>
          <w:color w:val="000000"/>
          <w:sz w:val="24"/>
          <w:szCs w:val="24"/>
        </w:rPr>
        <w:t xml:space="preserve">Logan, W.A and Prescott J.J (2021) </w:t>
      </w:r>
      <w:r w:rsidRPr="00E04853">
        <w:rPr>
          <w:rFonts w:ascii="Arial" w:eastAsia="Arial" w:hAnsi="Arial" w:cs="Arial"/>
          <w:i/>
          <w:iCs/>
          <w:color w:val="000000"/>
          <w:sz w:val="24"/>
          <w:szCs w:val="24"/>
        </w:rPr>
        <w:t xml:space="preserve">Sex Offender Registration and Community Notification Laws. </w:t>
      </w:r>
      <w:r w:rsidRPr="00E04853">
        <w:rPr>
          <w:rFonts w:ascii="Arial" w:eastAsia="Arial" w:hAnsi="Arial" w:cs="Arial"/>
          <w:color w:val="000000"/>
          <w:sz w:val="24"/>
          <w:szCs w:val="24"/>
        </w:rPr>
        <w:t>Cambridge: Cambridge University Press</w:t>
      </w:r>
    </w:p>
    <w:p w14:paraId="3CF3CDCC"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Lord Laming (2003)</w:t>
      </w:r>
      <w:r w:rsidRPr="00E04853">
        <w:rPr>
          <w:rFonts w:ascii="Arial" w:eastAsia="Arial" w:hAnsi="Arial" w:cs="Arial"/>
          <w:i/>
          <w:iCs/>
          <w:color w:val="000000"/>
          <w:sz w:val="24"/>
          <w:szCs w:val="24"/>
        </w:rPr>
        <w:t xml:space="preserve"> The Victoria Climbie Inquiry: report of an inquiry by Lord Laming. </w:t>
      </w:r>
      <w:r w:rsidRPr="00E04853">
        <w:rPr>
          <w:rFonts w:ascii="Arial" w:eastAsia="Arial" w:hAnsi="Arial" w:cs="Arial"/>
          <w:color w:val="000000"/>
          <w:sz w:val="24"/>
          <w:szCs w:val="24"/>
        </w:rPr>
        <w:t xml:space="preserve">Available at: </w:t>
      </w:r>
      <w:hyperlink r:id="rId57" w:history="1">
        <w:r w:rsidRPr="00E04853">
          <w:rPr>
            <w:rFonts w:ascii="Arial" w:eastAsia="Arial" w:hAnsi="Arial" w:cs="Arial"/>
            <w:color w:val="0563C1"/>
            <w:sz w:val="24"/>
            <w:szCs w:val="24"/>
            <w:u w:val="single"/>
          </w:rPr>
          <w:t xml:space="preserve">The Victoria </w:t>
        </w:r>
        <w:proofErr w:type="spellStart"/>
        <w:r w:rsidRPr="00E04853">
          <w:rPr>
            <w:rFonts w:ascii="Arial" w:eastAsia="Arial" w:hAnsi="Arial" w:cs="Arial"/>
            <w:color w:val="0563C1"/>
            <w:sz w:val="24"/>
            <w:szCs w:val="24"/>
            <w:u w:val="single"/>
          </w:rPr>
          <w:t>ClimbiÃ</w:t>
        </w:r>
        <w:proofErr w:type="spellEnd"/>
        <w:r w:rsidRPr="00E04853">
          <w:rPr>
            <w:rFonts w:ascii="Arial" w:eastAsia="Arial" w:hAnsi="Arial" w:cs="Arial"/>
            <w:color w:val="0563C1"/>
            <w:sz w:val="24"/>
            <w:szCs w:val="24"/>
            <w:u w:val="single"/>
          </w:rPr>
          <w:t>© Inquiry (publishing.service.gov.uk)</w:t>
        </w:r>
      </w:hyperlink>
      <w:r w:rsidRPr="00E04853">
        <w:rPr>
          <w:rFonts w:ascii="Arial" w:eastAsia="Arial" w:hAnsi="Arial" w:cs="Arial"/>
          <w:color w:val="000000"/>
          <w:sz w:val="24"/>
          <w:szCs w:val="24"/>
        </w:rPr>
        <w:t xml:space="preserve"> (Accessed: 03 April 2022)</w:t>
      </w:r>
    </w:p>
    <w:p w14:paraId="69A5B49A" w14:textId="77777777" w:rsidR="00B82EA5" w:rsidRPr="00E04853" w:rsidRDefault="00B82EA5" w:rsidP="00B82EA5">
      <w:pPr>
        <w:rPr>
          <w:rFonts w:ascii="Arial" w:eastAsia="Arial" w:hAnsi="Arial" w:cs="Arial"/>
          <w:color w:val="000000"/>
          <w:sz w:val="24"/>
          <w:szCs w:val="24"/>
        </w:rPr>
      </w:pPr>
      <w:r w:rsidRPr="00E04853">
        <w:rPr>
          <w:rFonts w:ascii="Arial" w:eastAsia="Arial" w:hAnsi="Arial" w:cs="Arial"/>
          <w:color w:val="000000"/>
          <w:sz w:val="24"/>
          <w:szCs w:val="24"/>
        </w:rPr>
        <w:t xml:space="preserve">Marchant, R (2013) How young is too young? The evidence of children under five in the English criminal justice system. Child Abuse Review 22(6), </w:t>
      </w:r>
    </w:p>
    <w:p w14:paraId="56A38D35" w14:textId="77777777" w:rsidR="00A52C97" w:rsidRPr="00E04853" w:rsidRDefault="00A52C97" w:rsidP="00A52C97">
      <w:pPr>
        <w:rPr>
          <w:rFonts w:ascii="Arial" w:eastAsia="Arial" w:hAnsi="Arial" w:cs="Arial"/>
          <w:color w:val="000000"/>
          <w:sz w:val="24"/>
          <w:szCs w:val="24"/>
        </w:rPr>
      </w:pPr>
      <w:r w:rsidRPr="00E04853">
        <w:rPr>
          <w:rFonts w:ascii="Arial" w:eastAsia="Arial" w:hAnsi="Arial" w:cs="Arial"/>
          <w:color w:val="000000"/>
          <w:sz w:val="24"/>
          <w:szCs w:val="24"/>
        </w:rPr>
        <w:t xml:space="preserve">McMillan, L, Thomas, M (2009) Police interviews of rape victims. In: </w:t>
      </w:r>
      <w:proofErr w:type="spellStart"/>
      <w:r w:rsidRPr="00E04853">
        <w:rPr>
          <w:rFonts w:ascii="Arial" w:eastAsia="Arial" w:hAnsi="Arial" w:cs="Arial"/>
          <w:color w:val="000000"/>
          <w:sz w:val="24"/>
          <w:szCs w:val="24"/>
        </w:rPr>
        <w:t>Horvarth</w:t>
      </w:r>
      <w:proofErr w:type="spellEnd"/>
      <w:r w:rsidRPr="00E04853">
        <w:rPr>
          <w:rFonts w:ascii="Arial" w:eastAsia="Arial" w:hAnsi="Arial" w:cs="Arial"/>
          <w:color w:val="000000"/>
          <w:sz w:val="24"/>
          <w:szCs w:val="24"/>
        </w:rPr>
        <w:t>, M, Brown, J (eds) Rape: Challenging Contemporary Thinking. Cullompton, UK: Willan Publishing, pp.255–280.</w:t>
      </w:r>
    </w:p>
    <w:p w14:paraId="51CCB67F" w14:textId="77777777" w:rsidR="00A52C97" w:rsidRPr="00E04853" w:rsidRDefault="00A52C97" w:rsidP="00A52C97">
      <w:pPr>
        <w:rPr>
          <w:rFonts w:ascii="Arial" w:eastAsia="Arial" w:hAnsi="Arial" w:cs="Arial"/>
          <w:color w:val="000000"/>
          <w:sz w:val="24"/>
          <w:szCs w:val="24"/>
        </w:rPr>
      </w:pPr>
      <w:r w:rsidRPr="00E04853">
        <w:rPr>
          <w:rFonts w:ascii="Arial" w:eastAsia="Arial" w:hAnsi="Arial" w:cs="Arial"/>
          <w:color w:val="000000"/>
          <w:sz w:val="24"/>
          <w:szCs w:val="24"/>
        </w:rPr>
        <w:t>McNaughton Nicholls, C, Mitchell, M, Simpson, I. (2012) Attitudes to Sentencing Sexual Offences. London: Sentencing Council.</w:t>
      </w:r>
    </w:p>
    <w:p w14:paraId="3EEC8CFE" w14:textId="58E5252F"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Ministry of Justice a (2021) Available at: </w:t>
      </w:r>
      <w:hyperlink w:history="1">
        <w:r w:rsidRPr="00E04853">
          <w:rPr>
            <w:rFonts w:ascii="Arial" w:eastAsia="Arial" w:hAnsi="Arial" w:cs="Arial"/>
            <w:color w:val="0563C1"/>
            <w:sz w:val="24"/>
            <w:szCs w:val="24"/>
            <w:u w:val="single"/>
          </w:rPr>
          <w:t>Code of Practice for Victims of Crime in England and Wales (Victim's Code) - GOV.UK (www.gov.uk)</w:t>
        </w:r>
      </w:hyperlink>
      <w:r w:rsidRPr="00E04853">
        <w:rPr>
          <w:rFonts w:ascii="Arial" w:eastAsia="Arial" w:hAnsi="Arial" w:cs="Arial"/>
          <w:color w:val="000000"/>
          <w:sz w:val="24"/>
          <w:szCs w:val="24"/>
        </w:rPr>
        <w:t xml:space="preserve"> (Accessed 03 April 2022)</w:t>
      </w:r>
    </w:p>
    <w:p w14:paraId="13E9D421"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Ministry of Justice b (2021) Available at: </w:t>
      </w:r>
      <w:hyperlink w:history="1">
        <w:r w:rsidRPr="00E04853">
          <w:rPr>
            <w:rFonts w:ascii="Arial" w:eastAsia="Arial" w:hAnsi="Arial" w:cs="Arial"/>
            <w:color w:val="0563C1"/>
            <w:sz w:val="24"/>
            <w:szCs w:val="24"/>
            <w:u w:val="single"/>
          </w:rPr>
          <w:t>Code of Practice for Victims of Crime in England and Wales (Victim's Code) - GOV.UK (www.gov.uk)</w:t>
        </w:r>
      </w:hyperlink>
      <w:r w:rsidRPr="00E04853">
        <w:rPr>
          <w:rFonts w:ascii="Arial" w:eastAsia="Arial" w:hAnsi="Arial" w:cs="Arial"/>
          <w:color w:val="000000"/>
          <w:sz w:val="24"/>
          <w:szCs w:val="24"/>
        </w:rPr>
        <w:t xml:space="preserve"> (Accessed 03 April 2022)</w:t>
      </w:r>
    </w:p>
    <w:p w14:paraId="0C7BA007" w14:textId="77777777" w:rsidR="00E04853" w:rsidRPr="00E04853" w:rsidRDefault="00E04853" w:rsidP="00E04853">
      <w:pPr>
        <w:rPr>
          <w:rFonts w:ascii="Arial" w:eastAsia="Arial" w:hAnsi="Arial" w:cs="Arial"/>
          <w:color w:val="000000"/>
          <w:sz w:val="24"/>
          <w:szCs w:val="24"/>
        </w:rPr>
      </w:pPr>
      <w:bookmarkStart w:id="2" w:name="_Hlk99801337"/>
      <w:r w:rsidRPr="00E04853">
        <w:rPr>
          <w:rFonts w:ascii="Arial" w:eastAsia="Arial" w:hAnsi="Arial" w:cs="Arial"/>
          <w:color w:val="000000"/>
          <w:sz w:val="24"/>
          <w:szCs w:val="24"/>
        </w:rPr>
        <w:lastRenderedPageBreak/>
        <w:t xml:space="preserve">Ministry of Justice (2013) The Witness Charter – Standards of care for witnesses in the criminal justice system. Available at: </w:t>
      </w:r>
      <w:hyperlink r:id="rId58" w:history="1">
        <w:r w:rsidRPr="00E04853">
          <w:rPr>
            <w:rFonts w:ascii="Arial" w:eastAsia="Arial" w:hAnsi="Arial" w:cs="Arial"/>
            <w:color w:val="0563C1"/>
            <w:sz w:val="24"/>
            <w:szCs w:val="24"/>
            <w:u w:val="single"/>
          </w:rPr>
          <w:t>The Witness Charter (publishing.service.gov.uk)</w:t>
        </w:r>
      </w:hyperlink>
      <w:r w:rsidRPr="00E04853">
        <w:rPr>
          <w:rFonts w:ascii="Arial" w:eastAsia="Arial" w:hAnsi="Arial" w:cs="Arial"/>
          <w:color w:val="000000"/>
          <w:sz w:val="24"/>
          <w:szCs w:val="24"/>
        </w:rPr>
        <w:t xml:space="preserve"> (Accessed: 02 April 2022)</w:t>
      </w:r>
    </w:p>
    <w:bookmarkEnd w:id="2"/>
    <w:p w14:paraId="61B1694D"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Ministry of Justice (2022) </w:t>
      </w:r>
      <w:r w:rsidRPr="00E04853">
        <w:rPr>
          <w:rFonts w:ascii="Arial" w:eastAsia="Arial" w:hAnsi="Arial" w:cs="Arial"/>
          <w:i/>
          <w:iCs/>
          <w:color w:val="000000"/>
          <w:sz w:val="24"/>
          <w:szCs w:val="24"/>
        </w:rPr>
        <w:t xml:space="preserve">Achieving Best Evidence in Criminal Proceedings: Guidance on Interviewing Victims and Witnesses, and Guidance on Using Special Measures. </w:t>
      </w:r>
      <w:r w:rsidRPr="00E04853">
        <w:rPr>
          <w:rFonts w:ascii="Arial" w:eastAsia="Arial" w:hAnsi="Arial" w:cs="Arial"/>
          <w:color w:val="000000"/>
          <w:sz w:val="24"/>
          <w:szCs w:val="24"/>
        </w:rPr>
        <w:t xml:space="preserve">Available at: </w:t>
      </w:r>
      <w:hyperlink r:id="rId59" w:history="1">
        <w:r w:rsidRPr="00E04853">
          <w:rPr>
            <w:rFonts w:ascii="Arial" w:eastAsia="Arial" w:hAnsi="Arial" w:cs="Arial"/>
            <w:color w:val="0563C1"/>
            <w:sz w:val="24"/>
            <w:szCs w:val="24"/>
            <w:u w:val="single"/>
          </w:rPr>
          <w:t>Achieving Best Evidence in Criminal Proceedings (publishing.service.gov.uk)</w:t>
        </w:r>
      </w:hyperlink>
      <w:r w:rsidRPr="00E04853">
        <w:rPr>
          <w:rFonts w:ascii="Arial" w:eastAsia="Arial" w:hAnsi="Arial" w:cs="Arial"/>
          <w:color w:val="000000"/>
          <w:sz w:val="24"/>
          <w:szCs w:val="24"/>
        </w:rPr>
        <w:t xml:space="preserve"> (Accessed: 27 March 2022)</w:t>
      </w:r>
    </w:p>
    <w:p w14:paraId="64A00B2B" w14:textId="77777777" w:rsidR="00B82EA5" w:rsidRPr="00E04853" w:rsidRDefault="00B82EA5" w:rsidP="00B82EA5">
      <w:pPr>
        <w:rPr>
          <w:rFonts w:ascii="Arial" w:eastAsia="Arial" w:hAnsi="Arial" w:cs="Arial"/>
          <w:color w:val="000000"/>
          <w:sz w:val="24"/>
          <w:szCs w:val="24"/>
        </w:rPr>
      </w:pPr>
      <w:r w:rsidRPr="00E04853">
        <w:rPr>
          <w:rFonts w:ascii="Arial" w:eastAsia="Arial" w:hAnsi="Arial" w:cs="Arial"/>
          <w:color w:val="000000"/>
          <w:sz w:val="24"/>
          <w:szCs w:val="24"/>
        </w:rPr>
        <w:t>Mio, J.S., Foster J.D., (1991) ‘The effects of rape upon victims and families: Implications for a comprehensive family therapy’, </w:t>
      </w:r>
      <w:r w:rsidRPr="00E04853">
        <w:rPr>
          <w:rFonts w:ascii="Arial" w:eastAsia="Arial" w:hAnsi="Arial" w:cs="Arial"/>
          <w:i/>
          <w:iCs/>
          <w:color w:val="000000"/>
          <w:sz w:val="24"/>
          <w:szCs w:val="24"/>
        </w:rPr>
        <w:t>The American Journal of Family Therapy</w:t>
      </w:r>
      <w:r w:rsidRPr="00E04853">
        <w:rPr>
          <w:rFonts w:ascii="Arial" w:eastAsia="Arial" w:hAnsi="Arial" w:cs="Arial"/>
          <w:color w:val="000000"/>
          <w:sz w:val="24"/>
          <w:szCs w:val="24"/>
        </w:rPr>
        <w:t>, 19:2, DOI: </w:t>
      </w:r>
      <w:hyperlink r:id="rId60" w:history="1">
        <w:r w:rsidRPr="00E04853">
          <w:rPr>
            <w:rFonts w:ascii="Arial" w:eastAsia="Arial" w:hAnsi="Arial" w:cs="Arial"/>
            <w:color w:val="0563C1"/>
            <w:sz w:val="24"/>
            <w:szCs w:val="24"/>
            <w:u w:val="single"/>
          </w:rPr>
          <w:t>10.1080/01926189108250844</w:t>
        </w:r>
      </w:hyperlink>
      <w:r w:rsidRPr="00E04853">
        <w:rPr>
          <w:rFonts w:ascii="Arial" w:eastAsia="Arial" w:hAnsi="Arial" w:cs="Arial"/>
          <w:color w:val="000000"/>
          <w:sz w:val="24"/>
          <w:szCs w:val="24"/>
        </w:rPr>
        <w:t xml:space="preserve"> (Accessed: 02 April 2022)</w:t>
      </w:r>
    </w:p>
    <w:p w14:paraId="19C66B80"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Morgan J, Zander L (1992) </w:t>
      </w:r>
      <w:r w:rsidRPr="00E04853">
        <w:rPr>
          <w:rFonts w:ascii="Arial" w:eastAsia="Arial" w:hAnsi="Arial" w:cs="Arial"/>
          <w:i/>
          <w:iCs/>
          <w:color w:val="000000"/>
          <w:sz w:val="24"/>
          <w:szCs w:val="24"/>
        </w:rPr>
        <w:t>Child Victims: Crime, Impact and Criminal Justice.</w:t>
      </w:r>
      <w:r w:rsidRPr="00E04853">
        <w:rPr>
          <w:rFonts w:ascii="Arial" w:eastAsia="Arial" w:hAnsi="Arial" w:cs="Arial"/>
          <w:color w:val="000000"/>
          <w:sz w:val="24"/>
          <w:szCs w:val="24"/>
        </w:rPr>
        <w:t xml:space="preserve"> UK: Clarendon Press.</w:t>
      </w:r>
    </w:p>
    <w:p w14:paraId="6C16D880"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Ogloff</w:t>
      </w:r>
      <w:proofErr w:type="spellEnd"/>
      <w:r w:rsidRPr="00E04853">
        <w:rPr>
          <w:rFonts w:ascii="Arial" w:eastAsia="Arial" w:hAnsi="Arial" w:cs="Arial"/>
          <w:color w:val="000000"/>
          <w:sz w:val="24"/>
          <w:szCs w:val="24"/>
        </w:rPr>
        <w:t xml:space="preserve">, J.R. </w:t>
      </w:r>
      <w:r w:rsidRPr="00E04853">
        <w:rPr>
          <w:rFonts w:ascii="Arial" w:eastAsia="Arial" w:hAnsi="Arial" w:cs="Arial"/>
          <w:i/>
          <w:iCs/>
          <w:color w:val="000000"/>
          <w:sz w:val="24"/>
          <w:szCs w:val="24"/>
        </w:rPr>
        <w:t>et al.</w:t>
      </w:r>
      <w:r w:rsidRPr="00E04853">
        <w:rPr>
          <w:rFonts w:ascii="Arial" w:eastAsia="Arial" w:hAnsi="Arial" w:cs="Arial"/>
          <w:color w:val="000000"/>
          <w:sz w:val="24"/>
          <w:szCs w:val="24"/>
        </w:rPr>
        <w:t xml:space="preserve"> (2012) ‘Child sexual abuse and subsequent offending and victimisation: A </w:t>
      </w:r>
      <w:proofErr w:type="gramStart"/>
      <w:r w:rsidRPr="00E04853">
        <w:rPr>
          <w:rFonts w:ascii="Arial" w:eastAsia="Arial" w:hAnsi="Arial" w:cs="Arial"/>
          <w:color w:val="000000"/>
          <w:sz w:val="24"/>
          <w:szCs w:val="24"/>
        </w:rPr>
        <w:t>45 year</w:t>
      </w:r>
      <w:proofErr w:type="gramEnd"/>
      <w:r w:rsidRPr="00E04853">
        <w:rPr>
          <w:rFonts w:ascii="Arial" w:eastAsia="Arial" w:hAnsi="Arial" w:cs="Arial"/>
          <w:color w:val="000000"/>
          <w:sz w:val="24"/>
          <w:szCs w:val="24"/>
        </w:rPr>
        <w:t xml:space="preserve"> follow-up study’, </w:t>
      </w:r>
      <w:r w:rsidRPr="00E04853">
        <w:rPr>
          <w:rFonts w:ascii="Arial" w:eastAsia="Arial" w:hAnsi="Arial" w:cs="Arial"/>
          <w:i/>
          <w:iCs/>
          <w:color w:val="000000"/>
          <w:sz w:val="24"/>
          <w:szCs w:val="24"/>
        </w:rPr>
        <w:t>Trends and issues in Crime and Criminal Justice</w:t>
      </w:r>
      <w:r w:rsidRPr="00E04853">
        <w:rPr>
          <w:rFonts w:ascii="Arial" w:eastAsia="Arial" w:hAnsi="Arial" w:cs="Arial"/>
          <w:color w:val="000000"/>
          <w:sz w:val="24"/>
          <w:szCs w:val="24"/>
        </w:rPr>
        <w:t xml:space="preserve">, 440, </w:t>
      </w:r>
    </w:p>
    <w:p w14:paraId="437C9FE2"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Prentky</w:t>
      </w:r>
      <w:proofErr w:type="spellEnd"/>
      <w:r w:rsidRPr="00E04853">
        <w:rPr>
          <w:rFonts w:ascii="Arial" w:eastAsia="Arial" w:hAnsi="Arial" w:cs="Arial"/>
          <w:color w:val="000000"/>
          <w:sz w:val="24"/>
          <w:szCs w:val="24"/>
        </w:rPr>
        <w:t xml:space="preserve">, R., Harris, B., Frizzell, K. and Righthand, S., (2000) ‘An actuarial procedure for assessing risk with juvenile sex </w:t>
      </w:r>
      <w:proofErr w:type="gramStart"/>
      <w:r w:rsidRPr="00E04853">
        <w:rPr>
          <w:rFonts w:ascii="Arial" w:eastAsia="Arial" w:hAnsi="Arial" w:cs="Arial"/>
          <w:color w:val="000000"/>
          <w:sz w:val="24"/>
          <w:szCs w:val="24"/>
        </w:rPr>
        <w:t>offenders’</w:t>
      </w:r>
      <w:proofErr w:type="gramEnd"/>
      <w:r w:rsidRPr="00E04853">
        <w:rPr>
          <w:rFonts w:ascii="Arial" w:eastAsia="Arial" w:hAnsi="Arial" w:cs="Arial"/>
          <w:color w:val="000000"/>
          <w:sz w:val="24"/>
          <w:szCs w:val="24"/>
        </w:rPr>
        <w:t>. </w:t>
      </w:r>
      <w:r w:rsidRPr="00E04853">
        <w:rPr>
          <w:rFonts w:ascii="Arial" w:eastAsia="Arial" w:hAnsi="Arial" w:cs="Arial"/>
          <w:i/>
          <w:iCs/>
          <w:color w:val="000000"/>
          <w:sz w:val="24"/>
          <w:szCs w:val="24"/>
        </w:rPr>
        <w:t>Sexual abuse: a journal of research and treatment</w:t>
      </w:r>
      <w:r w:rsidRPr="00E04853">
        <w:rPr>
          <w:rFonts w:ascii="Arial" w:eastAsia="Arial" w:hAnsi="Arial" w:cs="Arial"/>
          <w:color w:val="000000"/>
          <w:sz w:val="24"/>
          <w:szCs w:val="24"/>
        </w:rPr>
        <w:t>, </w:t>
      </w:r>
      <w:r w:rsidRPr="00E04853">
        <w:rPr>
          <w:rFonts w:ascii="Arial" w:eastAsia="Arial" w:hAnsi="Arial" w:cs="Arial"/>
          <w:i/>
          <w:iCs/>
          <w:color w:val="000000"/>
          <w:sz w:val="24"/>
          <w:szCs w:val="24"/>
        </w:rPr>
        <w:t>12</w:t>
      </w:r>
      <w:r w:rsidRPr="00E04853">
        <w:rPr>
          <w:rFonts w:ascii="Arial" w:eastAsia="Arial" w:hAnsi="Arial" w:cs="Arial"/>
          <w:color w:val="000000"/>
          <w:sz w:val="24"/>
          <w:szCs w:val="24"/>
        </w:rPr>
        <w:t xml:space="preserve">(2), Available at: </w:t>
      </w:r>
      <w:hyperlink r:id="rId61" w:history="1">
        <w:r w:rsidRPr="00E04853">
          <w:rPr>
            <w:rFonts w:ascii="Arial" w:eastAsia="Arial" w:hAnsi="Arial" w:cs="Arial"/>
            <w:color w:val="0563C1"/>
            <w:sz w:val="24"/>
            <w:szCs w:val="24"/>
            <w:u w:val="single"/>
          </w:rPr>
          <w:t>An Actuarial Procedure for Assessing Risk with Juvenile Sex Offenders | SpringerLink</w:t>
        </w:r>
      </w:hyperlink>
      <w:r w:rsidRPr="00E04853">
        <w:rPr>
          <w:rFonts w:ascii="Arial" w:eastAsia="Arial" w:hAnsi="Arial" w:cs="Arial"/>
          <w:i/>
          <w:iCs/>
          <w:color w:val="000000"/>
          <w:sz w:val="24"/>
          <w:szCs w:val="24"/>
        </w:rPr>
        <w:t xml:space="preserve"> </w:t>
      </w:r>
    </w:p>
    <w:p w14:paraId="1F0E84D5"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Reder</w:t>
      </w:r>
      <w:proofErr w:type="spellEnd"/>
      <w:r w:rsidRPr="00E04853">
        <w:rPr>
          <w:rFonts w:ascii="Arial" w:eastAsia="Arial" w:hAnsi="Arial" w:cs="Arial"/>
          <w:color w:val="000000"/>
          <w:sz w:val="24"/>
          <w:szCs w:val="24"/>
        </w:rPr>
        <w:t xml:space="preserve">, P and Duncan, S (2003) ‘Understanding Communication in Child Protection Networks’, </w:t>
      </w:r>
      <w:r w:rsidRPr="00E04853">
        <w:rPr>
          <w:rFonts w:ascii="Arial" w:eastAsia="Arial" w:hAnsi="Arial" w:cs="Arial"/>
          <w:i/>
          <w:iCs/>
          <w:color w:val="000000"/>
          <w:sz w:val="24"/>
          <w:szCs w:val="24"/>
        </w:rPr>
        <w:t xml:space="preserve">Child Abuse Review, </w:t>
      </w:r>
      <w:r w:rsidRPr="00E04853">
        <w:rPr>
          <w:rFonts w:ascii="Arial" w:eastAsia="Arial" w:hAnsi="Arial" w:cs="Arial"/>
          <w:color w:val="000000"/>
          <w:sz w:val="24"/>
          <w:szCs w:val="24"/>
        </w:rPr>
        <w:t xml:space="preserve">Available at: </w:t>
      </w:r>
      <w:hyperlink r:id="rId62" w:history="1">
        <w:r w:rsidRPr="00E04853">
          <w:rPr>
            <w:rFonts w:ascii="Arial" w:eastAsia="Arial" w:hAnsi="Arial" w:cs="Arial"/>
            <w:color w:val="0563C1"/>
            <w:sz w:val="24"/>
            <w:szCs w:val="24"/>
            <w:u w:val="single"/>
          </w:rPr>
          <w:t>Understanding communication in child protection networks (wiley.com)</w:t>
        </w:r>
      </w:hyperlink>
      <w:r w:rsidRPr="00E04853">
        <w:rPr>
          <w:rFonts w:ascii="Arial" w:eastAsia="Arial" w:hAnsi="Arial" w:cs="Arial"/>
          <w:color w:val="000000"/>
          <w:sz w:val="24"/>
          <w:szCs w:val="24"/>
        </w:rPr>
        <w:t xml:space="preserve"> (Accessed: 03 April 2022)</w:t>
      </w:r>
    </w:p>
    <w:p w14:paraId="0B0AB028"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Rossmo</w:t>
      </w:r>
      <w:proofErr w:type="spellEnd"/>
      <w:r w:rsidRPr="00E04853">
        <w:rPr>
          <w:rFonts w:ascii="Arial" w:eastAsia="Arial" w:hAnsi="Arial" w:cs="Arial"/>
          <w:color w:val="000000"/>
          <w:sz w:val="24"/>
          <w:szCs w:val="24"/>
        </w:rPr>
        <w:t xml:space="preserve">, </w:t>
      </w:r>
      <w:proofErr w:type="gramStart"/>
      <w:r w:rsidRPr="00E04853">
        <w:rPr>
          <w:rFonts w:ascii="Arial" w:eastAsia="Arial" w:hAnsi="Arial" w:cs="Arial"/>
          <w:color w:val="000000"/>
          <w:sz w:val="24"/>
          <w:szCs w:val="24"/>
        </w:rPr>
        <w:t>D..</w:t>
      </w:r>
      <w:proofErr w:type="gramEnd"/>
      <w:r w:rsidRPr="00E04853">
        <w:rPr>
          <w:rFonts w:ascii="Arial" w:eastAsia="Arial" w:hAnsi="Arial" w:cs="Arial"/>
          <w:color w:val="000000"/>
          <w:sz w:val="24"/>
          <w:szCs w:val="24"/>
        </w:rPr>
        <w:t xml:space="preserve"> (2014). Case rethinking: a protocol for reviewing criminal investigations. </w:t>
      </w:r>
      <w:r w:rsidRPr="00E04853">
        <w:rPr>
          <w:rFonts w:ascii="Arial" w:eastAsia="Arial" w:hAnsi="Arial" w:cs="Arial"/>
          <w:i/>
          <w:iCs/>
          <w:color w:val="000000"/>
          <w:sz w:val="24"/>
          <w:szCs w:val="24"/>
        </w:rPr>
        <w:t>Police Practice and Research.</w:t>
      </w:r>
      <w:r w:rsidRPr="00E04853">
        <w:rPr>
          <w:rFonts w:ascii="Arial" w:eastAsia="Arial" w:hAnsi="Arial" w:cs="Arial"/>
          <w:color w:val="000000"/>
          <w:sz w:val="24"/>
          <w:szCs w:val="24"/>
        </w:rPr>
        <w:t xml:space="preserve"> 17. 1-17. 10.1080/15614263.2014.978320.</w:t>
      </w:r>
    </w:p>
    <w:p w14:paraId="34149AAA" w14:textId="77777777" w:rsidR="00E04853" w:rsidRPr="00E04853" w:rsidRDefault="00E04853" w:rsidP="00E04853">
      <w:pPr>
        <w:rPr>
          <w:rFonts w:ascii="Arial" w:eastAsia="Arial" w:hAnsi="Arial" w:cs="Arial"/>
          <w:color w:val="000000"/>
          <w:sz w:val="24"/>
          <w:szCs w:val="24"/>
        </w:rPr>
      </w:pPr>
      <w:proofErr w:type="spellStart"/>
      <w:r w:rsidRPr="00E04853">
        <w:rPr>
          <w:rFonts w:ascii="Arial" w:eastAsia="Arial" w:hAnsi="Arial" w:cs="Arial"/>
          <w:color w:val="000000"/>
          <w:sz w:val="24"/>
          <w:szCs w:val="24"/>
        </w:rPr>
        <w:t>Schrieber</w:t>
      </w:r>
      <w:proofErr w:type="spellEnd"/>
      <w:r w:rsidRPr="00E04853">
        <w:rPr>
          <w:rFonts w:ascii="Arial" w:eastAsia="Arial" w:hAnsi="Arial" w:cs="Arial"/>
          <w:color w:val="000000"/>
          <w:sz w:val="24"/>
          <w:szCs w:val="24"/>
        </w:rPr>
        <w:t xml:space="preserve"> N, </w:t>
      </w:r>
      <w:proofErr w:type="spellStart"/>
      <w:r w:rsidRPr="00E04853">
        <w:rPr>
          <w:rFonts w:ascii="Arial" w:eastAsia="Arial" w:hAnsi="Arial" w:cs="Arial"/>
          <w:color w:val="000000"/>
          <w:sz w:val="24"/>
          <w:szCs w:val="24"/>
        </w:rPr>
        <w:t>Bellah</w:t>
      </w:r>
      <w:proofErr w:type="spellEnd"/>
      <w:r w:rsidRPr="00E04853">
        <w:rPr>
          <w:rFonts w:ascii="Arial" w:eastAsia="Arial" w:hAnsi="Arial" w:cs="Arial"/>
          <w:color w:val="000000"/>
          <w:sz w:val="24"/>
          <w:szCs w:val="24"/>
        </w:rPr>
        <w:t xml:space="preserve"> L, Martinez Y, McLaurin K, </w:t>
      </w:r>
      <w:proofErr w:type="spellStart"/>
      <w:r w:rsidRPr="00E04853">
        <w:rPr>
          <w:rFonts w:ascii="Arial" w:eastAsia="Arial" w:hAnsi="Arial" w:cs="Arial"/>
          <w:color w:val="000000"/>
          <w:sz w:val="24"/>
          <w:szCs w:val="24"/>
        </w:rPr>
        <w:t>Strok</w:t>
      </w:r>
      <w:proofErr w:type="spellEnd"/>
      <w:r w:rsidRPr="00E04853">
        <w:rPr>
          <w:rFonts w:ascii="Arial" w:eastAsia="Arial" w:hAnsi="Arial" w:cs="Arial"/>
          <w:color w:val="000000"/>
          <w:sz w:val="24"/>
          <w:szCs w:val="24"/>
        </w:rPr>
        <w:t xml:space="preserve"> R, </w:t>
      </w:r>
      <w:proofErr w:type="spellStart"/>
      <w:r w:rsidRPr="00E04853">
        <w:rPr>
          <w:rFonts w:ascii="Arial" w:eastAsia="Arial" w:hAnsi="Arial" w:cs="Arial"/>
          <w:color w:val="000000"/>
          <w:sz w:val="24"/>
          <w:szCs w:val="24"/>
        </w:rPr>
        <w:t>Garven</w:t>
      </w:r>
      <w:proofErr w:type="spellEnd"/>
      <w:r w:rsidRPr="00E04853">
        <w:rPr>
          <w:rFonts w:ascii="Arial" w:eastAsia="Arial" w:hAnsi="Arial" w:cs="Arial"/>
          <w:color w:val="000000"/>
          <w:sz w:val="24"/>
          <w:szCs w:val="24"/>
        </w:rPr>
        <w:t xml:space="preserve"> S, Wood J. 2006. Suggestive interviewing in the McMartin preschool and Kelly Michaels </w:t>
      </w:r>
      <w:proofErr w:type="spellStart"/>
      <w:r w:rsidRPr="00E04853">
        <w:rPr>
          <w:rFonts w:ascii="Arial" w:eastAsia="Arial" w:hAnsi="Arial" w:cs="Arial"/>
          <w:color w:val="000000"/>
          <w:sz w:val="24"/>
          <w:szCs w:val="24"/>
        </w:rPr>
        <w:t>daycare</w:t>
      </w:r>
      <w:proofErr w:type="spellEnd"/>
      <w:r w:rsidRPr="00E04853">
        <w:rPr>
          <w:rFonts w:ascii="Arial" w:eastAsia="Arial" w:hAnsi="Arial" w:cs="Arial"/>
          <w:color w:val="000000"/>
          <w:sz w:val="24"/>
          <w:szCs w:val="24"/>
        </w:rPr>
        <w:t xml:space="preserve"> abuse cases: A case study. Social Influence 1(1): 16–47.</w:t>
      </w:r>
    </w:p>
    <w:p w14:paraId="157E4513" w14:textId="77777777" w:rsidR="00E04853" w:rsidRPr="00E04853" w:rsidRDefault="00E04853" w:rsidP="00E04853">
      <w:pPr>
        <w:rPr>
          <w:rFonts w:ascii="Arial" w:eastAsia="Arial" w:hAnsi="Arial" w:cs="Arial"/>
          <w:color w:val="000000"/>
          <w:sz w:val="24"/>
          <w:szCs w:val="24"/>
        </w:rPr>
      </w:pPr>
      <w:bookmarkStart w:id="3" w:name="_Hlk99910420"/>
      <w:r w:rsidRPr="00E04853">
        <w:rPr>
          <w:rFonts w:ascii="Arial" w:eastAsia="Arial" w:hAnsi="Arial" w:cs="Arial"/>
          <w:color w:val="000000"/>
          <w:sz w:val="24"/>
          <w:szCs w:val="24"/>
        </w:rPr>
        <w:t xml:space="preserve">Social Services and Well-being (Wales) Act, (2014 a) Available at: </w:t>
      </w:r>
      <w:hyperlink r:id="rId63" w:history="1">
        <w:r w:rsidRPr="00E04853">
          <w:rPr>
            <w:rFonts w:ascii="Arial" w:eastAsia="Arial" w:hAnsi="Arial" w:cs="Arial"/>
            <w:color w:val="0563C1"/>
            <w:sz w:val="24"/>
            <w:szCs w:val="24"/>
            <w:u w:val="single"/>
          </w:rPr>
          <w:t>Social Services and Well-being (Wales) Act 2014 (legislation.gov.uk)</w:t>
        </w:r>
      </w:hyperlink>
      <w:r w:rsidRPr="00E04853">
        <w:rPr>
          <w:rFonts w:ascii="Arial" w:eastAsia="Arial" w:hAnsi="Arial" w:cs="Arial"/>
          <w:color w:val="000000"/>
          <w:sz w:val="24"/>
          <w:szCs w:val="24"/>
        </w:rPr>
        <w:t xml:space="preserve"> (Accessed: 02 April 2022) </w:t>
      </w:r>
    </w:p>
    <w:bookmarkEnd w:id="3"/>
    <w:p w14:paraId="282CB129"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Social Services and Well-being (Wales) Act, (2014 b) Available at: </w:t>
      </w:r>
      <w:hyperlink r:id="rId64" w:history="1">
        <w:r w:rsidRPr="00E04853">
          <w:rPr>
            <w:rFonts w:ascii="Arial" w:eastAsia="Arial" w:hAnsi="Arial" w:cs="Arial"/>
            <w:color w:val="0563C1"/>
            <w:sz w:val="24"/>
            <w:szCs w:val="24"/>
            <w:u w:val="single"/>
          </w:rPr>
          <w:t>Social Services and Well-being (Wales) Act 2014 (legislation.gov.uk)</w:t>
        </w:r>
      </w:hyperlink>
      <w:r w:rsidRPr="00E04853">
        <w:rPr>
          <w:rFonts w:ascii="Arial" w:eastAsia="Arial" w:hAnsi="Arial" w:cs="Arial"/>
          <w:color w:val="000000"/>
          <w:sz w:val="24"/>
          <w:szCs w:val="24"/>
        </w:rPr>
        <w:t xml:space="preserve"> (Accessed: 02 April 2022) </w:t>
      </w:r>
    </w:p>
    <w:p w14:paraId="559541C4"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Wales Safeguarding Procedures (2020) Available at: </w:t>
      </w:r>
      <w:hyperlink r:id="rId65" w:history="1">
        <w:r w:rsidRPr="00E04853">
          <w:rPr>
            <w:rFonts w:ascii="Arial" w:eastAsia="Arial" w:hAnsi="Arial" w:cs="Arial"/>
            <w:color w:val="0563C1"/>
            <w:sz w:val="24"/>
            <w:szCs w:val="24"/>
            <w:u w:val="single"/>
          </w:rPr>
          <w:t>https://www.safeguarding.wales</w:t>
        </w:r>
      </w:hyperlink>
      <w:r w:rsidRPr="00E04853">
        <w:rPr>
          <w:rFonts w:ascii="Arial" w:eastAsia="Arial" w:hAnsi="Arial" w:cs="Arial"/>
          <w:color w:val="000000"/>
          <w:sz w:val="24"/>
          <w:szCs w:val="24"/>
        </w:rPr>
        <w:t xml:space="preserve"> (Accessed: 28 March 2022)</w:t>
      </w:r>
    </w:p>
    <w:p w14:paraId="5A08EE2B" w14:textId="77777777" w:rsidR="00E04853" w:rsidRPr="00E04853" w:rsidRDefault="00E04853" w:rsidP="00E04853">
      <w:pPr>
        <w:rPr>
          <w:rFonts w:ascii="Arial" w:eastAsia="Arial" w:hAnsi="Arial" w:cs="Arial"/>
          <w:color w:val="000000"/>
          <w:sz w:val="24"/>
          <w:szCs w:val="24"/>
        </w:rPr>
      </w:pPr>
      <w:r w:rsidRPr="00E04853">
        <w:rPr>
          <w:rFonts w:ascii="Arial" w:eastAsia="Arial" w:hAnsi="Arial" w:cs="Arial"/>
          <w:color w:val="000000"/>
          <w:sz w:val="24"/>
          <w:szCs w:val="24"/>
        </w:rPr>
        <w:t xml:space="preserve">Youth Justice and Criminal Evidence Act 1999, c.23. Available at: </w:t>
      </w:r>
      <w:hyperlink r:id="rId66" w:history="1">
        <w:r w:rsidRPr="00E04853">
          <w:rPr>
            <w:rFonts w:ascii="Arial" w:eastAsia="Arial" w:hAnsi="Arial" w:cs="Arial"/>
            <w:color w:val="0563C1"/>
            <w:sz w:val="24"/>
            <w:szCs w:val="24"/>
            <w:u w:val="single"/>
          </w:rPr>
          <w:t>Youth Justice and Criminal Evidence Act 1999 (legislation.gov.uk)</w:t>
        </w:r>
      </w:hyperlink>
      <w:r w:rsidRPr="00E04853">
        <w:rPr>
          <w:rFonts w:ascii="Arial" w:eastAsia="Arial" w:hAnsi="Arial" w:cs="Arial"/>
          <w:color w:val="000000"/>
          <w:sz w:val="24"/>
          <w:szCs w:val="24"/>
        </w:rPr>
        <w:t xml:space="preserve"> (Accessed: 28 March 2022)</w:t>
      </w:r>
    </w:p>
    <w:p w14:paraId="23A5CC07" w14:textId="77777777" w:rsidR="00E04853" w:rsidRPr="00E04853" w:rsidRDefault="00E04853" w:rsidP="00E04853">
      <w:pPr>
        <w:rPr>
          <w:rFonts w:ascii="Calibri" w:eastAsia="Calibri" w:hAnsi="Calibri" w:cs="Times New Roman"/>
        </w:rPr>
      </w:pPr>
    </w:p>
    <w:p w14:paraId="1A07A0AD" w14:textId="4BB140B7" w:rsidR="7336895D" w:rsidRDefault="7336895D" w:rsidP="727E3A7D">
      <w:pPr>
        <w:ind w:right="237"/>
        <w:jc w:val="both"/>
        <w:rPr>
          <w:rFonts w:ascii="Arial" w:eastAsia="Arial" w:hAnsi="Arial" w:cs="Arial"/>
          <w:color w:val="000000" w:themeColor="text1"/>
          <w:sz w:val="24"/>
          <w:szCs w:val="24"/>
        </w:rPr>
      </w:pPr>
    </w:p>
    <w:p w14:paraId="5C716AB8" w14:textId="540CF344" w:rsidR="7336895D" w:rsidRDefault="7336895D" w:rsidP="4651F0B7">
      <w:pPr>
        <w:ind w:right="107"/>
        <w:jc w:val="both"/>
        <w:rPr>
          <w:rFonts w:ascii="Arial" w:eastAsia="Arial" w:hAnsi="Arial" w:cs="Arial"/>
          <w:b/>
          <w:bCs/>
          <w:color w:val="000000" w:themeColor="text1"/>
          <w:sz w:val="24"/>
          <w:szCs w:val="24"/>
        </w:rPr>
      </w:pPr>
    </w:p>
    <w:p w14:paraId="6664E868" w14:textId="0EA2167F" w:rsidR="4AF6DABA" w:rsidRDefault="4AF6DABA" w:rsidP="515A1CF8">
      <w:pPr>
        <w:ind w:right="107"/>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lastRenderedPageBreak/>
        <w:t xml:space="preserve">Task 3: </w:t>
      </w:r>
    </w:p>
    <w:p w14:paraId="11ECD677" w14:textId="62AF53FA" w:rsidR="131953EB" w:rsidRDefault="131953EB"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You must choose a</w:t>
      </w:r>
      <w:r w:rsidR="2C4EA49A" w:rsidRPr="515A1CF8">
        <w:rPr>
          <w:rFonts w:ascii="Arial" w:eastAsia="Arial" w:hAnsi="Arial" w:cs="Arial"/>
          <w:b/>
          <w:bCs/>
          <w:color w:val="000000" w:themeColor="text1"/>
          <w:sz w:val="24"/>
          <w:szCs w:val="24"/>
        </w:rPr>
        <w:t xml:space="preserve"> serious and complex</w:t>
      </w:r>
      <w:r w:rsidRPr="515A1CF8">
        <w:rPr>
          <w:rFonts w:ascii="Arial" w:eastAsia="Arial" w:hAnsi="Arial" w:cs="Arial"/>
          <w:b/>
          <w:bCs/>
          <w:color w:val="000000" w:themeColor="text1"/>
          <w:sz w:val="24"/>
          <w:szCs w:val="24"/>
        </w:rPr>
        <w:t xml:space="preserve"> investigation in which you played a significant role with witnesses</w:t>
      </w:r>
      <w:r w:rsidR="1E611AAB" w:rsidRPr="515A1CF8">
        <w:rPr>
          <w:rFonts w:ascii="Arial" w:eastAsia="Arial" w:hAnsi="Arial" w:cs="Arial"/>
          <w:b/>
          <w:bCs/>
          <w:color w:val="000000" w:themeColor="text1"/>
          <w:sz w:val="24"/>
          <w:szCs w:val="24"/>
        </w:rPr>
        <w:t xml:space="preserve">, </w:t>
      </w:r>
      <w:proofErr w:type="gramStart"/>
      <w:r w:rsidR="1E611AAB" w:rsidRPr="515A1CF8">
        <w:rPr>
          <w:rFonts w:ascii="Arial" w:eastAsia="Arial" w:hAnsi="Arial" w:cs="Arial"/>
          <w:b/>
          <w:bCs/>
          <w:color w:val="000000" w:themeColor="text1"/>
          <w:sz w:val="24"/>
          <w:szCs w:val="24"/>
        </w:rPr>
        <w:t>suspects</w:t>
      </w:r>
      <w:proofErr w:type="gramEnd"/>
      <w:r w:rsidR="1E611AAB" w:rsidRPr="515A1CF8">
        <w:rPr>
          <w:rFonts w:ascii="Arial" w:eastAsia="Arial" w:hAnsi="Arial" w:cs="Arial"/>
          <w:b/>
          <w:bCs/>
          <w:color w:val="000000" w:themeColor="text1"/>
          <w:sz w:val="24"/>
          <w:szCs w:val="24"/>
        </w:rPr>
        <w:t xml:space="preserve"> or victims</w:t>
      </w:r>
      <w:r w:rsidR="01B3FCC5" w:rsidRPr="515A1CF8">
        <w:rPr>
          <w:rFonts w:ascii="Arial" w:eastAsia="Arial" w:hAnsi="Arial" w:cs="Arial"/>
          <w:b/>
          <w:bCs/>
          <w:color w:val="000000" w:themeColor="text1"/>
          <w:sz w:val="24"/>
          <w:szCs w:val="24"/>
        </w:rPr>
        <w:t>.</w:t>
      </w:r>
    </w:p>
    <w:p w14:paraId="17370670" w14:textId="7F3C6D8C" w:rsidR="515A1CF8" w:rsidRDefault="515A1CF8" w:rsidP="515A1CF8">
      <w:pPr>
        <w:ind w:right="107"/>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66F0C074" w14:textId="77777777" w:rsidTr="79283025">
        <w:tc>
          <w:tcPr>
            <w:tcW w:w="9015" w:type="dxa"/>
          </w:tcPr>
          <w:p w14:paraId="4B914903" w14:textId="7C2B39DE" w:rsidR="7336895D" w:rsidRDefault="7336895D" w:rsidP="7336895D">
            <w:pPr>
              <w:rPr>
                <w:rFonts w:ascii="Arial" w:eastAsia="Arial" w:hAnsi="Arial" w:cs="Arial"/>
                <w:b/>
                <w:bCs/>
                <w:color w:val="000000" w:themeColor="text1"/>
                <w:sz w:val="24"/>
                <w:szCs w:val="24"/>
              </w:rPr>
            </w:pPr>
          </w:p>
          <w:p w14:paraId="5C5A628C" w14:textId="310F5E55" w:rsidR="7336895D" w:rsidRDefault="1E611AAB" w:rsidP="515A1CF8">
            <w:pPr>
              <w:spacing w:line="259" w:lineRule="auto"/>
              <w:ind w:right="237"/>
              <w:jc w:val="both"/>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515A1CF8">
              <w:rPr>
                <w:rFonts w:ascii="Arial" w:eastAsia="Arial" w:hAnsi="Arial" w:cs="Arial"/>
                <w:sz w:val="24"/>
                <w:szCs w:val="24"/>
              </w:rPr>
              <w:t xml:space="preserve"> </w:t>
            </w:r>
          </w:p>
          <w:p w14:paraId="2FA7AE7F" w14:textId="1EC2710B" w:rsidR="7336895D" w:rsidRDefault="7336895D" w:rsidP="515A1CF8">
            <w:pPr>
              <w:spacing w:line="259" w:lineRule="auto"/>
              <w:ind w:right="237"/>
              <w:jc w:val="both"/>
              <w:rPr>
                <w:rFonts w:ascii="Arial" w:eastAsia="Arial" w:hAnsi="Arial" w:cs="Arial"/>
                <w:sz w:val="24"/>
                <w:szCs w:val="24"/>
              </w:rPr>
            </w:pPr>
          </w:p>
          <w:p w14:paraId="3D2C74E4" w14:textId="78645C4E" w:rsidR="7336895D" w:rsidRDefault="7336895D" w:rsidP="515A1CF8">
            <w:pPr>
              <w:spacing w:line="259" w:lineRule="auto"/>
              <w:ind w:right="237"/>
              <w:jc w:val="both"/>
              <w:rPr>
                <w:rFonts w:ascii="Arial" w:eastAsia="Arial" w:hAnsi="Arial" w:cs="Arial"/>
                <w:sz w:val="24"/>
                <w:szCs w:val="24"/>
              </w:rPr>
            </w:pPr>
          </w:p>
          <w:p w14:paraId="68A4B315" w14:textId="29CD291F" w:rsidR="7336895D" w:rsidRDefault="493C9ADF" w:rsidP="79283025">
            <w:pPr>
              <w:rPr>
                <w:rFonts w:ascii="Arial" w:eastAsia="Arial" w:hAnsi="Arial" w:cs="Arial"/>
                <w:b/>
                <w:bCs/>
                <w:color w:val="000000" w:themeColor="text1"/>
                <w:sz w:val="24"/>
                <w:szCs w:val="24"/>
              </w:rPr>
            </w:pPr>
            <w:r w:rsidRPr="79283025">
              <w:rPr>
                <w:rFonts w:ascii="Arial" w:eastAsia="Arial" w:hAnsi="Arial" w:cs="Arial"/>
                <w:b/>
                <w:bCs/>
                <w:color w:val="000000" w:themeColor="text1"/>
                <w:sz w:val="24"/>
                <w:szCs w:val="24"/>
              </w:rPr>
              <w:t xml:space="preserve">Critically </w:t>
            </w:r>
            <w:r w:rsidR="603AFBA3" w:rsidRPr="79283025">
              <w:rPr>
                <w:rFonts w:ascii="Arial" w:eastAsia="Arial" w:hAnsi="Arial" w:cs="Arial"/>
                <w:b/>
                <w:bCs/>
                <w:color w:val="000000" w:themeColor="text1"/>
                <w:sz w:val="24"/>
                <w:szCs w:val="24"/>
              </w:rPr>
              <w:t>evaluate</w:t>
            </w:r>
            <w:r w:rsidRPr="79283025">
              <w:rPr>
                <w:rFonts w:ascii="Arial" w:eastAsia="Arial" w:hAnsi="Arial" w:cs="Arial"/>
                <w:b/>
                <w:bCs/>
                <w:color w:val="000000" w:themeColor="text1"/>
                <w:sz w:val="24"/>
                <w:szCs w:val="24"/>
              </w:rPr>
              <w:t xml:space="preserve"> </w:t>
            </w:r>
            <w:r w:rsidRPr="79283025">
              <w:rPr>
                <w:rFonts w:ascii="Arial" w:eastAsia="Arial" w:hAnsi="Arial" w:cs="Arial"/>
                <w:color w:val="000000" w:themeColor="text1"/>
                <w:sz w:val="24"/>
                <w:szCs w:val="24"/>
              </w:rPr>
              <w:t xml:space="preserve">the interview process of witnesses and </w:t>
            </w:r>
            <w:r w:rsidR="36A04A2A" w:rsidRPr="79283025">
              <w:rPr>
                <w:rFonts w:ascii="Arial" w:eastAsia="Arial" w:hAnsi="Arial" w:cs="Arial"/>
                <w:color w:val="000000" w:themeColor="text1"/>
                <w:sz w:val="24"/>
                <w:szCs w:val="24"/>
              </w:rPr>
              <w:t>suspects</w:t>
            </w:r>
            <w:r w:rsidRPr="79283025">
              <w:rPr>
                <w:rFonts w:ascii="Arial" w:eastAsia="Arial" w:hAnsi="Arial" w:cs="Arial"/>
                <w:color w:val="000000" w:themeColor="text1"/>
                <w:sz w:val="24"/>
                <w:szCs w:val="24"/>
              </w:rPr>
              <w:t xml:space="preserve"> and how you have </w:t>
            </w:r>
            <w:r w:rsidR="52849861" w:rsidRPr="79283025">
              <w:rPr>
                <w:rFonts w:ascii="Arial" w:eastAsia="Arial" w:hAnsi="Arial" w:cs="Arial"/>
                <w:color w:val="000000" w:themeColor="text1"/>
                <w:sz w:val="24"/>
                <w:szCs w:val="24"/>
              </w:rPr>
              <w:t>gathered</w:t>
            </w:r>
            <w:r w:rsidRPr="79283025">
              <w:rPr>
                <w:rFonts w:ascii="Arial" w:eastAsia="Arial" w:hAnsi="Arial" w:cs="Arial"/>
                <w:color w:val="000000" w:themeColor="text1"/>
                <w:sz w:val="24"/>
                <w:szCs w:val="24"/>
              </w:rPr>
              <w:t xml:space="preserve"> all required information in relation to the investigation in </w:t>
            </w:r>
            <w:r w:rsidR="34D73CD2" w:rsidRPr="79283025">
              <w:rPr>
                <w:rFonts w:ascii="Arial" w:eastAsia="Arial" w:hAnsi="Arial" w:cs="Arial"/>
                <w:color w:val="000000" w:themeColor="text1"/>
                <w:sz w:val="24"/>
                <w:szCs w:val="24"/>
              </w:rPr>
              <w:t>accordance</w:t>
            </w:r>
            <w:r w:rsidRPr="79283025">
              <w:rPr>
                <w:rFonts w:ascii="Arial" w:eastAsia="Arial" w:hAnsi="Arial" w:cs="Arial"/>
                <w:color w:val="000000" w:themeColor="text1"/>
                <w:sz w:val="24"/>
                <w:szCs w:val="24"/>
              </w:rPr>
              <w:t xml:space="preserve"> with P</w:t>
            </w:r>
            <w:r w:rsidR="571AFF25" w:rsidRPr="79283025">
              <w:rPr>
                <w:rFonts w:ascii="Arial" w:eastAsia="Arial" w:hAnsi="Arial" w:cs="Arial"/>
                <w:color w:val="000000" w:themeColor="text1"/>
                <w:sz w:val="24"/>
                <w:szCs w:val="24"/>
              </w:rPr>
              <w:t xml:space="preserve">IP2 investigative standards. </w:t>
            </w:r>
            <w:r w:rsidR="3715F650" w:rsidRPr="79283025">
              <w:rPr>
                <w:rFonts w:ascii="Arial" w:eastAsia="Arial" w:hAnsi="Arial" w:cs="Arial"/>
                <w:color w:val="000000" w:themeColor="text1"/>
                <w:sz w:val="24"/>
                <w:szCs w:val="24"/>
              </w:rPr>
              <w:t xml:space="preserve">(Consider generating further lines of enquiry where required). </w:t>
            </w:r>
          </w:p>
          <w:p w14:paraId="271C4687" w14:textId="59A344D4" w:rsidR="7336895D" w:rsidRDefault="7336895D" w:rsidP="7336895D">
            <w:pPr>
              <w:rPr>
                <w:rFonts w:ascii="Arial" w:eastAsia="Arial" w:hAnsi="Arial" w:cs="Arial"/>
                <w:b/>
                <w:bCs/>
                <w:color w:val="000000" w:themeColor="text1"/>
                <w:sz w:val="24"/>
                <w:szCs w:val="24"/>
              </w:rPr>
            </w:pPr>
          </w:p>
          <w:p w14:paraId="49577BB7" w14:textId="711C4357" w:rsidR="7336895D" w:rsidRDefault="7336895D" w:rsidP="7336895D">
            <w:pPr>
              <w:rPr>
                <w:rFonts w:ascii="Arial" w:eastAsia="Arial" w:hAnsi="Arial" w:cs="Arial"/>
                <w:b/>
                <w:bCs/>
                <w:color w:val="000000" w:themeColor="text1"/>
                <w:sz w:val="24"/>
                <w:szCs w:val="24"/>
              </w:rPr>
            </w:pPr>
          </w:p>
          <w:p w14:paraId="462E9563" w14:textId="6821C60C" w:rsidR="7336895D" w:rsidRDefault="360EEAD4"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Reflect upon </w:t>
            </w:r>
            <w:r w:rsidRPr="515A1CF8">
              <w:rPr>
                <w:rFonts w:ascii="Arial" w:eastAsia="Arial" w:hAnsi="Arial" w:cs="Arial"/>
                <w:color w:val="000000" w:themeColor="text1"/>
                <w:sz w:val="24"/>
                <w:szCs w:val="24"/>
              </w:rPr>
              <w:t xml:space="preserve">your application of relevant powers to arrest and apprehend where necessary and the use of special warnings when required. </w:t>
            </w:r>
          </w:p>
          <w:p w14:paraId="55587379" w14:textId="5906684B" w:rsidR="7336895D" w:rsidRDefault="7336895D" w:rsidP="7336895D">
            <w:pPr>
              <w:rPr>
                <w:rFonts w:ascii="Arial" w:eastAsia="Arial" w:hAnsi="Arial" w:cs="Arial"/>
                <w:b/>
                <w:bCs/>
                <w:color w:val="000000" w:themeColor="text1"/>
                <w:sz w:val="24"/>
                <w:szCs w:val="24"/>
              </w:rPr>
            </w:pPr>
          </w:p>
          <w:p w14:paraId="07FB6129" w14:textId="6E0D0685" w:rsidR="7336895D" w:rsidRDefault="7336895D" w:rsidP="7336895D">
            <w:pPr>
              <w:rPr>
                <w:rFonts w:ascii="Arial" w:eastAsia="Arial" w:hAnsi="Arial" w:cs="Arial"/>
                <w:b/>
                <w:bCs/>
                <w:color w:val="000000" w:themeColor="text1"/>
                <w:sz w:val="24"/>
                <w:szCs w:val="24"/>
              </w:rPr>
            </w:pPr>
          </w:p>
          <w:p w14:paraId="0896BCC9" w14:textId="5280C6BD" w:rsidR="7336895D" w:rsidRDefault="360EEAD4" w:rsidP="515A1CF8">
            <w:pPr>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t xml:space="preserve">Illustrate </w:t>
            </w:r>
            <w:r w:rsidRPr="515A1CF8">
              <w:rPr>
                <w:rFonts w:ascii="Arial" w:eastAsia="Arial" w:hAnsi="Arial" w:cs="Arial"/>
                <w:color w:val="000000" w:themeColor="text1"/>
                <w:sz w:val="24"/>
                <w:szCs w:val="24"/>
              </w:rPr>
              <w:t>how you have undertaken associated search and custody procedures to protect and safeguard the public in accordance with legalisation and policy.</w:t>
            </w:r>
          </w:p>
          <w:p w14:paraId="7EE609DB" w14:textId="6FDC2839" w:rsidR="7336895D" w:rsidRDefault="7336895D" w:rsidP="515A1CF8">
            <w:pPr>
              <w:rPr>
                <w:rFonts w:ascii="Arial" w:eastAsia="Arial" w:hAnsi="Arial" w:cs="Arial"/>
                <w:b/>
                <w:bCs/>
                <w:color w:val="000000" w:themeColor="text1"/>
                <w:sz w:val="24"/>
                <w:szCs w:val="24"/>
              </w:rPr>
            </w:pPr>
          </w:p>
          <w:p w14:paraId="3CB218F0" w14:textId="0B791342" w:rsidR="7336895D" w:rsidRDefault="23CC4803"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 xml:space="preserve">Analyse </w:t>
            </w:r>
            <w:r w:rsidRPr="515A1CF8">
              <w:rPr>
                <w:rFonts w:ascii="Arial" w:eastAsia="Arial" w:hAnsi="Arial" w:cs="Arial"/>
                <w:color w:val="000000" w:themeColor="text1"/>
                <w:sz w:val="24"/>
                <w:szCs w:val="24"/>
              </w:rPr>
              <w:t xml:space="preserve">your understanding of ethics and values of the service. </w:t>
            </w:r>
          </w:p>
          <w:p w14:paraId="5D1074D9" w14:textId="10262CEB" w:rsidR="7336895D" w:rsidRDefault="7336895D" w:rsidP="515A1CF8">
            <w:pPr>
              <w:rPr>
                <w:rFonts w:ascii="Arial" w:eastAsia="Arial" w:hAnsi="Arial" w:cs="Arial"/>
                <w:b/>
                <w:bCs/>
                <w:color w:val="000000" w:themeColor="text1"/>
                <w:sz w:val="24"/>
                <w:szCs w:val="24"/>
              </w:rPr>
            </w:pPr>
          </w:p>
          <w:p w14:paraId="5E6DB52B" w14:textId="67704545" w:rsidR="515A1CF8" w:rsidRDefault="515A1CF8" w:rsidP="515A1CF8">
            <w:pPr>
              <w:rPr>
                <w:rFonts w:ascii="Arial" w:eastAsia="Arial" w:hAnsi="Arial" w:cs="Arial"/>
                <w:b/>
                <w:bCs/>
                <w:color w:val="000000" w:themeColor="text1"/>
                <w:sz w:val="24"/>
                <w:szCs w:val="24"/>
              </w:rPr>
            </w:pPr>
          </w:p>
          <w:p w14:paraId="62B8D211" w14:textId="5E9B6D57" w:rsidR="7336895D" w:rsidRDefault="7336895D" w:rsidP="7336895D">
            <w:pPr>
              <w:rPr>
                <w:rFonts w:ascii="Arial" w:eastAsia="Arial" w:hAnsi="Arial" w:cs="Arial"/>
                <w:b/>
                <w:bCs/>
                <w:color w:val="000000" w:themeColor="text1"/>
                <w:sz w:val="24"/>
                <w:szCs w:val="24"/>
              </w:rPr>
            </w:pPr>
          </w:p>
          <w:p w14:paraId="7CE49826" w14:textId="698EE564" w:rsidR="7336895D" w:rsidRDefault="7336895D" w:rsidP="7336895D">
            <w:pPr>
              <w:rPr>
                <w:rFonts w:ascii="Arial" w:eastAsia="Arial" w:hAnsi="Arial" w:cs="Arial"/>
                <w:b/>
                <w:bCs/>
                <w:color w:val="000000" w:themeColor="text1"/>
                <w:sz w:val="24"/>
                <w:szCs w:val="24"/>
              </w:rPr>
            </w:pPr>
          </w:p>
          <w:p w14:paraId="0493E09F" w14:textId="76FD0E33" w:rsidR="7336895D" w:rsidRDefault="141362C1" w:rsidP="727E3A7D">
            <w:pPr>
              <w:ind w:right="237"/>
              <w:jc w:val="both"/>
              <w:rPr>
                <w:rFonts w:ascii="Arial" w:eastAsia="Arial" w:hAnsi="Arial" w:cs="Arial"/>
                <w:sz w:val="24"/>
                <w:szCs w:val="24"/>
              </w:rPr>
            </w:pPr>
            <w:r w:rsidRPr="727E3A7D">
              <w:rPr>
                <w:rFonts w:ascii="Arial" w:eastAsia="Arial" w:hAnsi="Arial" w:cs="Arial"/>
                <w:color w:val="000000" w:themeColor="text1"/>
                <w:sz w:val="24"/>
                <w:szCs w:val="24"/>
              </w:rPr>
              <w:t xml:space="preserve">2000 words </w:t>
            </w:r>
            <w:r w:rsidRPr="727E3A7D">
              <w:rPr>
                <w:rFonts w:ascii="Arial" w:eastAsia="Arial" w:hAnsi="Arial" w:cs="Arial"/>
                <w:i/>
                <w:iCs/>
                <w:color w:val="000000" w:themeColor="text1"/>
                <w:sz w:val="24"/>
                <w:szCs w:val="24"/>
              </w:rPr>
              <w:t>(+/- 10%: include your actual word count at the end of each section)</w:t>
            </w:r>
          </w:p>
          <w:p w14:paraId="48890830" w14:textId="7AADAC30" w:rsidR="7336895D" w:rsidRDefault="7336895D" w:rsidP="727E3A7D">
            <w:pPr>
              <w:rPr>
                <w:rFonts w:ascii="Arial" w:eastAsia="Arial" w:hAnsi="Arial" w:cs="Arial"/>
                <w:b/>
                <w:bCs/>
                <w:color w:val="000000" w:themeColor="text1"/>
                <w:sz w:val="24"/>
                <w:szCs w:val="24"/>
              </w:rPr>
            </w:pPr>
          </w:p>
          <w:p w14:paraId="296E3AF7" w14:textId="6DBB3300" w:rsidR="7336895D" w:rsidRDefault="7336895D" w:rsidP="7336895D">
            <w:pPr>
              <w:rPr>
                <w:rFonts w:ascii="Arial" w:eastAsia="Arial" w:hAnsi="Arial" w:cs="Arial"/>
                <w:b/>
                <w:bCs/>
                <w:color w:val="000000" w:themeColor="text1"/>
                <w:sz w:val="24"/>
                <w:szCs w:val="24"/>
              </w:rPr>
            </w:pPr>
          </w:p>
        </w:tc>
      </w:tr>
    </w:tbl>
    <w:p w14:paraId="0ADACAE9" w14:textId="62152FEB" w:rsidR="7336895D" w:rsidRDefault="7336895D" w:rsidP="4651F0B7">
      <w:pPr>
        <w:ind w:right="107"/>
        <w:jc w:val="both"/>
        <w:rPr>
          <w:rFonts w:ascii="Arial" w:eastAsia="Arial" w:hAnsi="Arial" w:cs="Arial"/>
          <w:b/>
          <w:bCs/>
          <w:color w:val="000000" w:themeColor="text1"/>
          <w:sz w:val="24"/>
          <w:szCs w:val="24"/>
        </w:rPr>
      </w:pPr>
    </w:p>
    <w:p w14:paraId="189D3FEE" w14:textId="77777777" w:rsidR="00B82EA5" w:rsidRDefault="00B82EA5" w:rsidP="0046413F">
      <w:pPr>
        <w:ind w:right="107"/>
        <w:jc w:val="both"/>
        <w:rPr>
          <w:rFonts w:ascii="Arial" w:eastAsia="Arial" w:hAnsi="Arial" w:cs="Arial"/>
          <w:b/>
          <w:bCs/>
          <w:color w:val="000000" w:themeColor="text1"/>
          <w:sz w:val="24"/>
          <w:szCs w:val="24"/>
        </w:rPr>
      </w:pPr>
    </w:p>
    <w:p w14:paraId="31866B14" w14:textId="33E5F964" w:rsidR="0046413F" w:rsidRPr="0046413F" w:rsidRDefault="0046413F" w:rsidP="0046413F">
      <w:pPr>
        <w:ind w:right="107"/>
        <w:jc w:val="both"/>
        <w:rPr>
          <w:rFonts w:ascii="Arial" w:eastAsia="Arial" w:hAnsi="Arial" w:cs="Arial"/>
          <w:b/>
          <w:bCs/>
          <w:color w:val="000000" w:themeColor="text1"/>
          <w:sz w:val="24"/>
          <w:szCs w:val="24"/>
        </w:rPr>
      </w:pPr>
      <w:r w:rsidRPr="0046413F">
        <w:rPr>
          <w:rFonts w:ascii="Arial" w:eastAsia="Arial" w:hAnsi="Arial" w:cs="Arial"/>
          <w:b/>
          <w:bCs/>
          <w:color w:val="000000" w:themeColor="text1"/>
          <w:sz w:val="24"/>
          <w:szCs w:val="24"/>
        </w:rPr>
        <w:t>ANSWER:</w:t>
      </w:r>
    </w:p>
    <w:p w14:paraId="4F968467" w14:textId="77777777"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Background</w:t>
      </w:r>
    </w:p>
    <w:p w14:paraId="5C62347D"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investigation was a manslaughter case (</w:t>
      </w:r>
      <w:r w:rsidRPr="00D21365">
        <w:rPr>
          <w:rFonts w:ascii="Arial" w:eastAsia="Arial" w:hAnsi="Arial" w:cs="Arial"/>
          <w:i/>
          <w:iCs/>
          <w:color w:val="000000"/>
          <w:sz w:val="24"/>
          <w:szCs w:val="24"/>
        </w:rPr>
        <w:t>Offences Against the Person Act 1861</w:t>
      </w:r>
      <w:r w:rsidRPr="00D21365">
        <w:rPr>
          <w:rFonts w:ascii="Arial" w:eastAsia="Arial" w:hAnsi="Arial" w:cs="Arial"/>
          <w:color w:val="000000"/>
          <w:sz w:val="24"/>
          <w:szCs w:val="24"/>
        </w:rPr>
        <w:t>)</w:t>
      </w:r>
      <w:r w:rsidRPr="00D21365">
        <w:rPr>
          <w:rFonts w:ascii="Arial" w:eastAsia="Arial" w:hAnsi="Arial" w:cs="Arial"/>
          <w:i/>
          <w:iCs/>
          <w:color w:val="000000"/>
          <w:sz w:val="24"/>
          <w:szCs w:val="24"/>
        </w:rPr>
        <w:t xml:space="preserve"> </w:t>
      </w:r>
      <w:r w:rsidRPr="00D21365">
        <w:rPr>
          <w:rFonts w:ascii="Arial" w:eastAsia="Arial" w:hAnsi="Arial" w:cs="Arial"/>
          <w:color w:val="000000"/>
          <w:sz w:val="24"/>
          <w:szCs w:val="24"/>
        </w:rPr>
        <w:t xml:space="preserve">for which the author was the senior investigating officer. The circumstances being that a road traffic incident escalated into a public order incident and brawl between several individuals, resulting in the death of one male. The cause of death was complicated by pre-existing medical conditions, leading to questions over the treatment and whether that broke the chain of causation between the suspects actions and the death, a key evidential hurdle (R v. Pagett, 1983). Further complications arose from the key witness in the case, who was the deceased’s friend, but the aggressor in the earlier public order incident and therefore criminally </w:t>
      </w:r>
      <w:r w:rsidRPr="00D21365">
        <w:rPr>
          <w:rFonts w:ascii="Arial" w:eastAsia="Arial" w:hAnsi="Arial" w:cs="Arial"/>
          <w:color w:val="000000"/>
          <w:sz w:val="24"/>
          <w:szCs w:val="24"/>
        </w:rPr>
        <w:lastRenderedPageBreak/>
        <w:t xml:space="preserve">liable, raising legal challenges on how to treat the individual and obtain evidential accounts. </w:t>
      </w:r>
    </w:p>
    <w:p w14:paraId="3E848DC8"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Other witnesses were from a minority community and reluctant to speak to police due to previous adverse experiences, with language and cultural barriers to overcome, as well as a child witness who saw the events unfold within meters of where she was sitting. </w:t>
      </w:r>
    </w:p>
    <w:p w14:paraId="7E3FFA7C"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Community tension increased over the level of violence displayed during daylight in a retail area of a large town, where the anger of residents was focused on current policing levels. </w:t>
      </w:r>
    </w:p>
    <w:p w14:paraId="04EB717D" w14:textId="77777777" w:rsidR="00D21365" w:rsidRPr="00D21365" w:rsidRDefault="00D21365" w:rsidP="00D21365">
      <w:pPr>
        <w:rPr>
          <w:rFonts w:ascii="Arial" w:eastAsia="Arial" w:hAnsi="Arial" w:cs="Arial"/>
          <w:color w:val="000000"/>
          <w:sz w:val="24"/>
          <w:szCs w:val="24"/>
        </w:rPr>
      </w:pPr>
    </w:p>
    <w:p w14:paraId="576D6EFF" w14:textId="77777777"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 xml:space="preserve">Critically evaluate the interview process of witnesses and suspects and how you have gathered all required information in relation to the investigation in accordance with PIP2 investigative standards. (Consider generating further lines of enquiry where required). </w:t>
      </w:r>
    </w:p>
    <w:p w14:paraId="1C481B62" w14:textId="2B495CF1"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success of criminal trials rests on the quality of the evidence provided by witnesses to events, who are able and willing to recall details of a situation and present them through rigorous cross examination (College of Policing, 2013). With such a reliance on this recall of events, the question arises, why, until 1992, training for police officers to interview witnesses was unheard of? It was only then that the PEACE model of interviewing was adopted for use within UK policing, which sets out a clear structure for cognitive interviewing that encourages free recall from the interviewee and designed to elicit reliable detail (Griffiths, Milne, 2005). The model is adaptable for suspect and witness interviews to be developed using the following framework.</w:t>
      </w:r>
    </w:p>
    <w:p w14:paraId="154F43EA"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b/>
          <w:bCs/>
          <w:color w:val="000000"/>
          <w:sz w:val="24"/>
          <w:szCs w:val="24"/>
        </w:rPr>
        <w:t>P</w:t>
      </w:r>
      <w:r w:rsidRPr="00D21365">
        <w:rPr>
          <w:rFonts w:ascii="Arial" w:eastAsia="Arial" w:hAnsi="Arial" w:cs="Arial"/>
          <w:color w:val="000000"/>
          <w:sz w:val="24"/>
          <w:szCs w:val="24"/>
        </w:rPr>
        <w:t>lanning and Preparing</w:t>
      </w:r>
    </w:p>
    <w:p w14:paraId="1CED1C2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b/>
          <w:bCs/>
          <w:color w:val="000000"/>
          <w:sz w:val="24"/>
          <w:szCs w:val="24"/>
        </w:rPr>
        <w:t>E</w:t>
      </w:r>
      <w:r w:rsidRPr="00D21365">
        <w:rPr>
          <w:rFonts w:ascii="Arial" w:eastAsia="Arial" w:hAnsi="Arial" w:cs="Arial"/>
          <w:color w:val="000000"/>
          <w:sz w:val="24"/>
          <w:szCs w:val="24"/>
        </w:rPr>
        <w:t>ngaging and explaining</w:t>
      </w:r>
    </w:p>
    <w:p w14:paraId="4F5E148E"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b/>
          <w:bCs/>
          <w:color w:val="000000"/>
          <w:sz w:val="24"/>
          <w:szCs w:val="24"/>
        </w:rPr>
        <w:t>A</w:t>
      </w:r>
      <w:r w:rsidRPr="00D21365">
        <w:rPr>
          <w:rFonts w:ascii="Arial" w:eastAsia="Arial" w:hAnsi="Arial" w:cs="Arial"/>
          <w:color w:val="000000"/>
          <w:sz w:val="24"/>
          <w:szCs w:val="24"/>
        </w:rPr>
        <w:t>ccount, clarification, challenge</w:t>
      </w:r>
    </w:p>
    <w:p w14:paraId="6747663F"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b/>
          <w:bCs/>
          <w:color w:val="000000"/>
          <w:sz w:val="24"/>
          <w:szCs w:val="24"/>
        </w:rPr>
        <w:t>C</w:t>
      </w:r>
      <w:r w:rsidRPr="00D21365">
        <w:rPr>
          <w:rFonts w:ascii="Arial" w:eastAsia="Arial" w:hAnsi="Arial" w:cs="Arial"/>
          <w:color w:val="000000"/>
          <w:sz w:val="24"/>
          <w:szCs w:val="24"/>
        </w:rPr>
        <w:t>losure</w:t>
      </w:r>
    </w:p>
    <w:p w14:paraId="392A76D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b/>
          <w:bCs/>
          <w:color w:val="000000"/>
          <w:sz w:val="24"/>
          <w:szCs w:val="24"/>
        </w:rPr>
        <w:t>E</w:t>
      </w:r>
      <w:r w:rsidRPr="00D21365">
        <w:rPr>
          <w:rFonts w:ascii="Arial" w:eastAsia="Arial" w:hAnsi="Arial" w:cs="Arial"/>
          <w:color w:val="000000"/>
          <w:sz w:val="24"/>
          <w:szCs w:val="24"/>
        </w:rPr>
        <w:t>valuation</w:t>
      </w:r>
    </w:p>
    <w:p w14:paraId="2D1E3541"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An evaluation of a training programme of the model in 2016, found that trained interviewers outperformed their untrained counterparts in the areas measured, highlighting the benefits of the model (MacDonald, </w:t>
      </w:r>
      <w:proofErr w:type="gramStart"/>
      <w:r w:rsidRPr="00D21365">
        <w:rPr>
          <w:rFonts w:ascii="Arial" w:eastAsia="Arial" w:hAnsi="Arial" w:cs="Arial"/>
          <w:color w:val="000000"/>
          <w:sz w:val="24"/>
          <w:szCs w:val="24"/>
        </w:rPr>
        <w:t>Snook</w:t>
      </w:r>
      <w:proofErr w:type="gramEnd"/>
      <w:r w:rsidRPr="00D21365">
        <w:rPr>
          <w:rFonts w:ascii="Arial" w:eastAsia="Arial" w:hAnsi="Arial" w:cs="Arial"/>
          <w:color w:val="000000"/>
          <w:sz w:val="24"/>
          <w:szCs w:val="24"/>
        </w:rPr>
        <w:t xml:space="preserve"> and Milne, 2016), although others warn of a need for continued training to maintain skills (Walsh, Milne, 2008). However, in another study in 2021 (Paulo </w:t>
      </w:r>
      <w:r w:rsidRPr="00D21365">
        <w:rPr>
          <w:rFonts w:ascii="Arial" w:eastAsia="Arial" w:hAnsi="Arial" w:cs="Arial"/>
          <w:i/>
          <w:iCs/>
          <w:color w:val="000000"/>
          <w:sz w:val="24"/>
          <w:szCs w:val="24"/>
        </w:rPr>
        <w:t xml:space="preserve">et al., </w:t>
      </w:r>
      <w:r w:rsidRPr="00D21365">
        <w:rPr>
          <w:rFonts w:ascii="Arial" w:eastAsia="Arial" w:hAnsi="Arial" w:cs="Arial"/>
          <w:color w:val="000000"/>
          <w:sz w:val="24"/>
          <w:szCs w:val="24"/>
        </w:rPr>
        <w:t>2021), a further two retrieval strategies to enhance eyewitness memory were tested, based on clustering of information (by categories and locations</w:t>
      </w:r>
      <w:proofErr w:type="gramStart"/>
      <w:r w:rsidRPr="00D21365">
        <w:rPr>
          <w:rFonts w:ascii="Arial" w:eastAsia="Arial" w:hAnsi="Arial" w:cs="Arial"/>
          <w:color w:val="000000"/>
          <w:sz w:val="24"/>
          <w:szCs w:val="24"/>
        </w:rPr>
        <w:t>)</w:t>
      </w:r>
      <w:proofErr w:type="gramEnd"/>
      <w:r w:rsidRPr="00D21365">
        <w:rPr>
          <w:rFonts w:ascii="Arial" w:eastAsia="Arial" w:hAnsi="Arial" w:cs="Arial"/>
          <w:color w:val="000000"/>
          <w:sz w:val="24"/>
          <w:szCs w:val="24"/>
        </w:rPr>
        <w:t xml:space="preserve"> and found recall accuracy from witnesses to be equally high, but the methods easier to teach and may be more effective in situations of numerous scenes or individuals like a public order situation. </w:t>
      </w:r>
    </w:p>
    <w:p w14:paraId="7AEDD0F5"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It is the view of the author that the current PEACE model and free recall within police investigative interviewing is the preferred process as this encourages the interviewee </w:t>
      </w:r>
      <w:r w:rsidRPr="00D21365">
        <w:rPr>
          <w:rFonts w:ascii="Arial" w:eastAsia="Arial" w:hAnsi="Arial" w:cs="Arial"/>
          <w:color w:val="000000"/>
          <w:sz w:val="24"/>
          <w:szCs w:val="24"/>
        </w:rPr>
        <w:lastRenderedPageBreak/>
        <w:t xml:space="preserve">to recall facts with use of open questions, reducing the margin of error from unconscious persuasion from the interviewer. However, the correct categorisation of witness and choice of suitable interviewer is equally important as this ensures the witness can deliver their best possible evidence in a method appropriate to their needs (Ministry of Justice, 2022). The categorisation is done during the Planning and Preparation phase, to ensure the correct process of evidence capture is followed. </w:t>
      </w:r>
    </w:p>
    <w:p w14:paraId="107638C0"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In this case, cognisant of the impact witness interviews would have, a specialist interview advisor was appointed to develop a strategy based on the SIO requirements. These requirements stipulated that witnesses would be assessed and categorised as either vulnerable, intimidated, </w:t>
      </w:r>
      <w:proofErr w:type="gramStart"/>
      <w:r w:rsidRPr="00D21365">
        <w:rPr>
          <w:rFonts w:ascii="Arial" w:eastAsia="Arial" w:hAnsi="Arial" w:cs="Arial"/>
          <w:color w:val="000000"/>
          <w:sz w:val="24"/>
          <w:szCs w:val="24"/>
        </w:rPr>
        <w:t>hostile</w:t>
      </w:r>
      <w:proofErr w:type="gramEnd"/>
      <w:r w:rsidRPr="00D21365">
        <w:rPr>
          <w:rFonts w:ascii="Arial" w:eastAsia="Arial" w:hAnsi="Arial" w:cs="Arial"/>
          <w:color w:val="000000"/>
          <w:sz w:val="24"/>
          <w:szCs w:val="24"/>
        </w:rPr>
        <w:t xml:space="preserve"> or significant based on their individual needs or standing within the enquiry (College of Policing, 2013a) and the method of capture (and skillset of the interviewee) depended on the assessment. For example, a child witness who was likely to have seen most of the incident, was categorised as vulnerable based on her age and therefore entitled to provide her evidence via video recorded facilities (Ministry of Justice, 2013). The impact of this is that a specially trained officer was required to conduct the interview along with an additional officer to monitor the recording equipment. The benefits of supporting that witness and providing the best possible evidence within a case, outweigh the additional demand caused and complies with guidance. </w:t>
      </w:r>
    </w:p>
    <w:p w14:paraId="1BBF8155" w14:textId="77777777"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 xml:space="preserve">Reflect upon your application of relevant powers to arrest and apprehend where necessary and the use of special warnings when required. </w:t>
      </w:r>
    </w:p>
    <w:p w14:paraId="1CD1644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Turning to the suspect interview, further considerations were made, including the decision to arrest the suspect to facilitate the interview process. Applying </w:t>
      </w:r>
      <w:proofErr w:type="spellStart"/>
      <w:r w:rsidRPr="00D21365">
        <w:rPr>
          <w:rFonts w:ascii="Arial" w:eastAsia="Arial" w:hAnsi="Arial" w:cs="Arial"/>
          <w:color w:val="000000"/>
          <w:sz w:val="24"/>
          <w:szCs w:val="24"/>
        </w:rPr>
        <w:t>Borton’s</w:t>
      </w:r>
      <w:proofErr w:type="spellEnd"/>
      <w:r w:rsidRPr="00D21365">
        <w:rPr>
          <w:rFonts w:ascii="Arial" w:eastAsia="Arial" w:hAnsi="Arial" w:cs="Arial"/>
          <w:color w:val="000000"/>
          <w:sz w:val="24"/>
          <w:szCs w:val="24"/>
        </w:rPr>
        <w:t xml:space="preserve"> (1970) three stage model of reflection around the arrest phase enables one to explore the course of action taken, and what learning came from it. </w:t>
      </w:r>
    </w:p>
    <w:p w14:paraId="2801062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u w:val="single"/>
        </w:rPr>
        <w:t>What?</w:t>
      </w:r>
      <w:r w:rsidRPr="00D21365">
        <w:rPr>
          <w:rFonts w:ascii="Arial" w:eastAsia="Arial" w:hAnsi="Arial" w:cs="Arial"/>
          <w:color w:val="000000"/>
          <w:sz w:val="24"/>
          <w:szCs w:val="24"/>
        </w:rPr>
        <w:t xml:space="preserve"> – The investigation related to the death of a person that required a professional and ethical investigation that would stand up to scrutiny at the highest level. The suspect was arrested using legislative policing powers (</w:t>
      </w:r>
      <w:r w:rsidRPr="00D21365">
        <w:rPr>
          <w:rFonts w:ascii="Arial" w:eastAsia="Arial" w:hAnsi="Arial" w:cs="Arial"/>
          <w:i/>
          <w:iCs/>
          <w:color w:val="000000"/>
          <w:sz w:val="24"/>
          <w:szCs w:val="24"/>
        </w:rPr>
        <w:t>Police and Criminal Evidence Act, 1984a</w:t>
      </w:r>
      <w:r w:rsidRPr="00D21365">
        <w:rPr>
          <w:rFonts w:ascii="Arial" w:eastAsia="Arial" w:hAnsi="Arial" w:cs="Arial"/>
          <w:color w:val="000000"/>
          <w:sz w:val="24"/>
          <w:szCs w:val="24"/>
        </w:rPr>
        <w:t>) and kept in custody for the duration of searches (PACE, 1984b) and gaining evidence by way of questioning.</w:t>
      </w:r>
    </w:p>
    <w:p w14:paraId="4A560ADE" w14:textId="6A26D5C2"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u w:val="single"/>
        </w:rPr>
        <w:t>So What?</w:t>
      </w:r>
      <w:r w:rsidRPr="00D21365">
        <w:rPr>
          <w:rFonts w:ascii="Arial" w:eastAsia="Arial" w:hAnsi="Arial" w:cs="Arial"/>
          <w:color w:val="000000"/>
          <w:sz w:val="24"/>
          <w:szCs w:val="24"/>
        </w:rPr>
        <w:t xml:space="preserve"> – An arrest in these circumstances can almost become an automated process due to the seriousness of the incident and takes effort by the senior investigating officer to remain focussed. Successful criminal investigations rely on correct decision making in the face of obstacles including time pressures, absence of detail and public expectations that can affect emotion and debilitate investigator’s ability (Ask and </w:t>
      </w:r>
      <w:proofErr w:type="spellStart"/>
      <w:r w:rsidRPr="00D21365">
        <w:rPr>
          <w:rFonts w:ascii="Arial" w:eastAsia="Arial" w:hAnsi="Arial" w:cs="Arial"/>
          <w:color w:val="000000"/>
          <w:sz w:val="24"/>
          <w:szCs w:val="24"/>
        </w:rPr>
        <w:t>Granhag</w:t>
      </w:r>
      <w:proofErr w:type="spellEnd"/>
      <w:r w:rsidRPr="00D21365">
        <w:rPr>
          <w:rFonts w:ascii="Arial" w:eastAsia="Arial" w:hAnsi="Arial" w:cs="Arial"/>
          <w:color w:val="000000"/>
          <w:sz w:val="24"/>
          <w:szCs w:val="24"/>
        </w:rPr>
        <w:t>, 2006). Therefore, as an investigator, acknowledgement of these emotions encourages one to critically review the situation and articulate a clear strategy, which occurred in this case. An arrest was necessary to trigger other legislative powers required to progress the investigation such as searches of premises (</w:t>
      </w:r>
      <w:r w:rsidRPr="00D21365">
        <w:rPr>
          <w:rFonts w:ascii="Arial" w:eastAsia="Arial" w:hAnsi="Arial" w:cs="Arial"/>
          <w:i/>
          <w:iCs/>
          <w:color w:val="000000"/>
          <w:sz w:val="24"/>
          <w:szCs w:val="24"/>
        </w:rPr>
        <w:t>Police and Criminal Evidence Act 1984b</w:t>
      </w:r>
      <w:r w:rsidRPr="00D21365">
        <w:rPr>
          <w:rFonts w:ascii="Arial" w:eastAsia="Arial" w:hAnsi="Arial" w:cs="Arial"/>
          <w:color w:val="000000"/>
          <w:sz w:val="24"/>
          <w:szCs w:val="24"/>
        </w:rPr>
        <w:t>) for evidence that may link the suspect to the scene and prevent disposal of digital evidence thought to be in existence. Further legislation could also be relied upon during the interview to draw inferences for the presence of marks or objects in the suspects possession in the absence of a satisfactory answer (</w:t>
      </w:r>
      <w:r w:rsidRPr="00D21365">
        <w:rPr>
          <w:rFonts w:ascii="Arial" w:eastAsia="Arial" w:hAnsi="Arial" w:cs="Arial"/>
          <w:i/>
          <w:iCs/>
          <w:color w:val="000000"/>
          <w:sz w:val="24"/>
          <w:szCs w:val="24"/>
        </w:rPr>
        <w:t>Criminal Justice and Public Order Act, 1994</w:t>
      </w:r>
      <w:r w:rsidRPr="00D21365">
        <w:rPr>
          <w:rFonts w:ascii="Arial" w:eastAsia="Arial" w:hAnsi="Arial" w:cs="Arial"/>
          <w:color w:val="000000"/>
          <w:sz w:val="24"/>
          <w:szCs w:val="24"/>
        </w:rPr>
        <w:t xml:space="preserve">). As </w:t>
      </w:r>
      <w:r w:rsidRPr="00D21365">
        <w:rPr>
          <w:rFonts w:ascii="Arial" w:eastAsia="Arial" w:hAnsi="Arial" w:cs="Arial"/>
          <w:color w:val="000000"/>
          <w:sz w:val="24"/>
          <w:szCs w:val="24"/>
        </w:rPr>
        <w:lastRenderedPageBreak/>
        <w:t>well as the potential need to detain the suspect whilst alibi enquiries are conducted at the conclusion of the interview, providing legal requirements for continued detention are still met (</w:t>
      </w:r>
      <w:r w:rsidRPr="00D21365">
        <w:rPr>
          <w:rFonts w:ascii="Arial" w:eastAsia="Arial" w:hAnsi="Arial" w:cs="Arial"/>
          <w:i/>
          <w:iCs/>
          <w:color w:val="000000"/>
          <w:sz w:val="24"/>
          <w:szCs w:val="24"/>
        </w:rPr>
        <w:t>Police and Criminal Evidence Act 1984c)</w:t>
      </w:r>
      <w:r w:rsidRPr="00D21365">
        <w:rPr>
          <w:rFonts w:ascii="Arial" w:eastAsia="Arial" w:hAnsi="Arial" w:cs="Arial"/>
          <w:color w:val="000000"/>
          <w:sz w:val="24"/>
          <w:szCs w:val="24"/>
        </w:rPr>
        <w:t>.</w:t>
      </w:r>
    </w:p>
    <w:p w14:paraId="61EBB46C"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Arguments exist that the interview objective could be met without the need to arrest the suspect by voluntary attendance at an agreed location. Some research suggests that the arrested suspect is interrogated in a more guilt presumptive way than voluntary attendees (Liden, Grans and </w:t>
      </w:r>
      <w:proofErr w:type="spellStart"/>
      <w:r w:rsidRPr="00D21365">
        <w:rPr>
          <w:rFonts w:ascii="Arial" w:eastAsia="Arial" w:hAnsi="Arial" w:cs="Arial"/>
          <w:color w:val="000000"/>
          <w:sz w:val="24"/>
          <w:szCs w:val="24"/>
        </w:rPr>
        <w:t>Juslin</w:t>
      </w:r>
      <w:proofErr w:type="spellEnd"/>
      <w:r w:rsidRPr="00D21365">
        <w:rPr>
          <w:rFonts w:ascii="Arial" w:eastAsia="Arial" w:hAnsi="Arial" w:cs="Arial"/>
          <w:color w:val="000000"/>
          <w:sz w:val="24"/>
          <w:szCs w:val="24"/>
        </w:rPr>
        <w:t xml:space="preserve">, 2018), thus producing an interview that is more likely to be legally challenged. The view of the SIO however, was that dealing with the matter voluntarily was not conducive to the investigation for the wider trigger powers previously stated. A voluntary process could also provide avenues for later challenge if the suspect does not choose to be legally represented, often experienced as voluntary interview is considered less serious and therefore legal representation not sought (Lewis </w:t>
      </w:r>
      <w:proofErr w:type="spellStart"/>
      <w:r w:rsidRPr="00D21365">
        <w:rPr>
          <w:rFonts w:ascii="Arial" w:eastAsia="Arial" w:hAnsi="Arial" w:cs="Arial"/>
          <w:color w:val="000000"/>
          <w:sz w:val="24"/>
          <w:szCs w:val="24"/>
        </w:rPr>
        <w:t>Nedas</w:t>
      </w:r>
      <w:proofErr w:type="spellEnd"/>
      <w:r w:rsidRPr="00D21365">
        <w:rPr>
          <w:rFonts w:ascii="Arial" w:eastAsia="Arial" w:hAnsi="Arial" w:cs="Arial"/>
          <w:color w:val="000000"/>
          <w:sz w:val="24"/>
          <w:szCs w:val="24"/>
        </w:rPr>
        <w:t xml:space="preserve"> Law, 2022). Personal experience within a Crown Court has also provided an insight on how defence teams will infer to juries that police do not take matters seriously if arrests have not been made.</w:t>
      </w:r>
    </w:p>
    <w:p w14:paraId="2A7581E8"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This latter point is not one that can be drawn upon in the decision to arrest, however, serves as a reminder of how easy it is as an investigator to include personal experiences when making what should be an objective decision. </w:t>
      </w:r>
    </w:p>
    <w:p w14:paraId="79055F9E" w14:textId="45DE1A5D"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u w:val="single"/>
        </w:rPr>
        <w:t>Now What?</w:t>
      </w:r>
      <w:r w:rsidRPr="00D21365">
        <w:rPr>
          <w:rFonts w:ascii="Arial" w:eastAsia="Arial" w:hAnsi="Arial" w:cs="Arial"/>
          <w:color w:val="000000"/>
          <w:sz w:val="24"/>
          <w:szCs w:val="24"/>
        </w:rPr>
        <w:t xml:space="preserve"> – During this reflection process, it has become apparent that although my role was the senior investigating officer required to set investigative objectives, key lines of enquiry and parameters, I became complacent in my rationale for the need to arrest the suspect and did not consider the impact of “guilt presumption” during the interview. Neither was it discussed with the interview advisor and whilst the outcome may have remained the same, this avenue of thinking widens the thought process for future investigations. The impact of guilt presumptive interviewing must be considered in all cases and detailed in the decision log of the SIO to rebut any future challenge.  </w:t>
      </w:r>
    </w:p>
    <w:p w14:paraId="18A6450A" w14:textId="77777777" w:rsidR="00B82EA5" w:rsidRDefault="00B82EA5" w:rsidP="00D21365">
      <w:pPr>
        <w:rPr>
          <w:rFonts w:ascii="Arial" w:eastAsia="Arial" w:hAnsi="Arial" w:cs="Arial"/>
          <w:b/>
          <w:bCs/>
          <w:color w:val="000000"/>
          <w:sz w:val="24"/>
          <w:szCs w:val="24"/>
        </w:rPr>
      </w:pPr>
    </w:p>
    <w:p w14:paraId="47374D6A" w14:textId="63AA55B1"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Illustrate how you have undertaken associated search and custody procedures to protect and safeguard the public in accordance with legalisation and policy.</w:t>
      </w:r>
    </w:p>
    <w:p w14:paraId="2FA1C0AA"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case involved what one witness described as “a scene of gratuitous violence”, which sets a tone of what the public think and the wider risks from the suspects, who were prepared to use such violence.</w:t>
      </w:r>
    </w:p>
    <w:p w14:paraId="6B68F57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sworn attestation of the office of constable requires police officers to uphold human rights, keep the peace and prevent all offences against people and property (</w:t>
      </w:r>
      <w:r w:rsidRPr="00D21365">
        <w:rPr>
          <w:rFonts w:ascii="Arial" w:eastAsia="Arial" w:hAnsi="Arial" w:cs="Arial"/>
          <w:i/>
          <w:iCs/>
          <w:color w:val="000000"/>
          <w:sz w:val="24"/>
          <w:szCs w:val="24"/>
        </w:rPr>
        <w:t xml:space="preserve">Police Reform Act 2002) </w:t>
      </w:r>
      <w:r w:rsidRPr="00D21365">
        <w:rPr>
          <w:rFonts w:ascii="Arial" w:eastAsia="Arial" w:hAnsi="Arial" w:cs="Arial"/>
          <w:color w:val="000000"/>
          <w:sz w:val="24"/>
          <w:szCs w:val="24"/>
        </w:rPr>
        <w:t xml:space="preserve">and should be considered as one of the objectives whilst investigating crime. Achieving long term public protection in this case would be supported by removing a potentially dangerous offender from the community and safely rehabilitating them through the justice system. Therefore, further searches to obtain evidence to prove the offence, that could lead to that conviction. </w:t>
      </w:r>
    </w:p>
    <w:p w14:paraId="349E1A3E"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Turning firstly to the safety of staff (and nearby members of the public) at a time of heightened anxiety during arrest, one had to consider the nature of the offence being </w:t>
      </w:r>
      <w:r w:rsidRPr="00D21365">
        <w:rPr>
          <w:rFonts w:ascii="Arial" w:eastAsia="Arial" w:hAnsi="Arial" w:cs="Arial"/>
          <w:color w:val="000000"/>
          <w:sz w:val="24"/>
          <w:szCs w:val="24"/>
        </w:rPr>
        <w:lastRenderedPageBreak/>
        <w:t xml:space="preserve">investigated and the antecedence of the suspect, to assess the risk. UK Government statistics show that in 2020/21, almost 37000 assaults on police officers were recorded, with 292 occurring within Dyfed-Powys Police (Home Office, 2021), thus, all officers are at risk regardless where they work, and safeguarding them must be considered based on the facts and intelligence available at the time. </w:t>
      </w:r>
    </w:p>
    <w:p w14:paraId="30619CF5"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arrest strategy therefore considered the risks and staff were individually briefed, to include that fact that they were fully equipped with personal appointments, fully fit and within date of personal safety training. The suspect was arrested and taken into police custody without incident, where the investigative process continued. Despite showing no resistance, the suspect was placed in handcuffs for the 15-mile journey to prevent escape or harm coming to any of the transferring officers in accordance with legislation (</w:t>
      </w:r>
      <w:r w:rsidRPr="00D21365">
        <w:rPr>
          <w:rFonts w:ascii="Arial" w:eastAsia="Arial" w:hAnsi="Arial" w:cs="Arial"/>
          <w:i/>
          <w:iCs/>
          <w:color w:val="000000"/>
          <w:sz w:val="24"/>
          <w:szCs w:val="24"/>
        </w:rPr>
        <w:t>Criminal Law Act 1967</w:t>
      </w:r>
      <w:r w:rsidRPr="00D21365">
        <w:rPr>
          <w:rFonts w:ascii="Arial" w:eastAsia="Arial" w:hAnsi="Arial" w:cs="Arial"/>
          <w:color w:val="000000"/>
          <w:sz w:val="24"/>
          <w:szCs w:val="24"/>
        </w:rPr>
        <w:t>).</w:t>
      </w:r>
    </w:p>
    <w:p w14:paraId="2BCF3414"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second element of searches related to the seeking and recovery of evidential material that could prove the offence. There were several legislative options available to provide powers of entry and search, (</w:t>
      </w:r>
      <w:r w:rsidRPr="00D21365">
        <w:rPr>
          <w:rFonts w:ascii="Arial" w:eastAsia="Arial" w:hAnsi="Arial" w:cs="Arial"/>
          <w:i/>
          <w:iCs/>
          <w:color w:val="000000"/>
          <w:sz w:val="24"/>
          <w:szCs w:val="24"/>
        </w:rPr>
        <w:t>Police and Criminal Evidence Act, 1984d</w:t>
      </w:r>
      <w:r w:rsidRPr="00D21365">
        <w:rPr>
          <w:rFonts w:ascii="Arial" w:eastAsia="Arial" w:hAnsi="Arial" w:cs="Arial"/>
          <w:color w:val="000000"/>
          <w:sz w:val="24"/>
          <w:szCs w:val="24"/>
        </w:rPr>
        <w:t xml:space="preserve">) one of which granted under S18 of the Act, requiring prior authority of an officer of the rank of inspector or above. The limits of this power require the suspect to be in police custody; </w:t>
      </w:r>
      <w:proofErr w:type="gramStart"/>
      <w:r w:rsidRPr="00D21365">
        <w:rPr>
          <w:rFonts w:ascii="Arial" w:eastAsia="Arial" w:hAnsi="Arial" w:cs="Arial"/>
          <w:color w:val="000000"/>
          <w:sz w:val="24"/>
          <w:szCs w:val="24"/>
        </w:rPr>
        <w:t>thus</w:t>
      </w:r>
      <w:proofErr w:type="gramEnd"/>
      <w:r w:rsidRPr="00D21365">
        <w:rPr>
          <w:rFonts w:ascii="Arial" w:eastAsia="Arial" w:hAnsi="Arial" w:cs="Arial"/>
          <w:color w:val="000000"/>
          <w:sz w:val="24"/>
          <w:szCs w:val="24"/>
        </w:rPr>
        <w:t xml:space="preserve"> in the event of enquiries being conducted at the home address and the suspect not present, no power of entry to search the premises exists. This could lead to the disposal of evidence unless the property is picketed until such time the suspect arrives home and is arrested. </w:t>
      </w:r>
    </w:p>
    <w:p w14:paraId="470DAB46"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A further option, and preferred in this case, was to conduct the arrest enquiries in possession of a search warrant granted by magistrates under S8 of the Act. This provides a power for a justice of the peace to authorise entry and search of premises in the event of indictable offences being committed (PACE, 1984, S8e). The benefits of utilising this piece of legislation provide a power of entry and search regardless of whether the suspect is present or under arrest, it also provides an option of extending the power of entry to additional properties providing certain criteria is met. Therefore, where additional properties are identified, options to destroy evidence are minimised. The danger of this power is the impact on public confidence due to the intrusive nature and risk of abuse of power if overused.</w:t>
      </w:r>
    </w:p>
    <w:p w14:paraId="5CE98418" w14:textId="77777777" w:rsidR="00D21365" w:rsidRPr="00D21365" w:rsidRDefault="00D21365" w:rsidP="00D21365">
      <w:pPr>
        <w:rPr>
          <w:rFonts w:ascii="Arial" w:eastAsia="Arial" w:hAnsi="Arial" w:cs="Arial"/>
          <w:color w:val="000000"/>
          <w:sz w:val="24"/>
          <w:szCs w:val="24"/>
        </w:rPr>
      </w:pPr>
    </w:p>
    <w:p w14:paraId="057D74F3" w14:textId="77777777"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 xml:space="preserve">Analyse your understanding of ethics and values of the service. </w:t>
      </w:r>
    </w:p>
    <w:p w14:paraId="38FC34CB" w14:textId="3F310930"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Policing in the UK relies on public support and recent cases such as that of George Floyd and Sarah Everard remind us of how fragile that relationship is. It is no longer only about whether police officers’ actions are lawful, but rather whether they are ethical (Lewis, 2022). Ethical behaviour means doing the right thing and defines what public service should be (Menzel, 2003), perhaps more relevant in policing as they are one of a very small group of public officials that has the legal power to take a person’s liberty (Moll, 2007)</w:t>
      </w:r>
      <w:r w:rsidR="00291AA4">
        <w:rPr>
          <w:rFonts w:ascii="Arial" w:eastAsia="Arial" w:hAnsi="Arial" w:cs="Arial"/>
          <w:color w:val="000000"/>
          <w:sz w:val="24"/>
          <w:szCs w:val="24"/>
        </w:rPr>
        <w:t>,</w:t>
      </w:r>
      <w:r w:rsidRPr="00D21365">
        <w:rPr>
          <w:rFonts w:ascii="Arial" w:eastAsia="Arial" w:hAnsi="Arial" w:cs="Arial"/>
          <w:color w:val="000000"/>
          <w:sz w:val="24"/>
          <w:szCs w:val="24"/>
        </w:rPr>
        <w:t xml:space="preserve"> often doing this almost completely unsupervised (Cohen, 2021). Whilst this appears to suggest public confidence is low, a recent survey also shows some recognition from the public around what police officers deal with. From more than 2000 members of the public, 68% of respondents stated they </w:t>
      </w:r>
      <w:r w:rsidRPr="00D21365">
        <w:rPr>
          <w:rFonts w:ascii="Arial" w:eastAsia="Arial" w:hAnsi="Arial" w:cs="Arial"/>
          <w:color w:val="000000"/>
          <w:sz w:val="24"/>
          <w:szCs w:val="24"/>
        </w:rPr>
        <w:lastRenderedPageBreak/>
        <w:t xml:space="preserve">wouldn’t want to be in the position of police officers making those decisions (Home Office, 2014). </w:t>
      </w:r>
    </w:p>
    <w:p w14:paraId="3E821129"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Police ethics and values of service seek to maintain that public confidence by underpinning all activities of policing by providing a framework to support officers and staff to do the right thing, at the right time in the right way, particularly in times of uncertainly or ambiguity (College of Policing, 2022a) The Code of Ethics provides an everyday decision-making framework that supports personal responsibility and exercise of professional judgement and the Competence and Values Framework (CVF) outlines beliefs and behaviours we should embrace, focussing on </w:t>
      </w:r>
      <w:r w:rsidRPr="00D21365">
        <w:rPr>
          <w:rFonts w:ascii="Arial" w:eastAsia="Arial" w:hAnsi="Arial" w:cs="Arial"/>
          <w:b/>
          <w:bCs/>
          <w:color w:val="000000"/>
          <w:sz w:val="24"/>
          <w:szCs w:val="24"/>
        </w:rPr>
        <w:t xml:space="preserve">how </w:t>
      </w:r>
      <w:r w:rsidRPr="00D21365">
        <w:rPr>
          <w:rFonts w:ascii="Arial" w:eastAsia="Arial" w:hAnsi="Arial" w:cs="Arial"/>
          <w:color w:val="000000"/>
          <w:sz w:val="24"/>
          <w:szCs w:val="24"/>
        </w:rPr>
        <w:t xml:space="preserve">tasks are achieved not </w:t>
      </w:r>
      <w:r w:rsidRPr="00D21365">
        <w:rPr>
          <w:rFonts w:ascii="Arial" w:eastAsia="Arial" w:hAnsi="Arial" w:cs="Arial"/>
          <w:b/>
          <w:bCs/>
          <w:color w:val="000000"/>
          <w:sz w:val="24"/>
          <w:szCs w:val="24"/>
        </w:rPr>
        <w:t xml:space="preserve">what </w:t>
      </w:r>
      <w:r w:rsidRPr="00D21365">
        <w:rPr>
          <w:rFonts w:ascii="Arial" w:eastAsia="Arial" w:hAnsi="Arial" w:cs="Arial"/>
          <w:color w:val="000000"/>
          <w:sz w:val="24"/>
          <w:szCs w:val="24"/>
        </w:rPr>
        <w:t xml:space="preserve">is achieved (College of Policing, 2022b). </w:t>
      </w:r>
    </w:p>
    <w:p w14:paraId="1ED91B54"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The CVF is made up of four values, which are linked to the code of ethics:</w:t>
      </w:r>
    </w:p>
    <w:p w14:paraId="09FA194B"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Integrity – refers to professionalism, being a role model and building public trust.</w:t>
      </w:r>
    </w:p>
    <w:p w14:paraId="5AA9196D"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Impartiality – refers to acting without prejudice, being fair and consistent, ensuring our actions are evidence based.</w:t>
      </w:r>
    </w:p>
    <w:p w14:paraId="244159DE"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Public Service – refers to </w:t>
      </w:r>
      <w:proofErr w:type="gramStart"/>
      <w:r w:rsidRPr="00D21365">
        <w:rPr>
          <w:rFonts w:ascii="Arial" w:eastAsia="Arial" w:hAnsi="Arial" w:cs="Arial"/>
          <w:color w:val="000000"/>
          <w:sz w:val="24"/>
          <w:szCs w:val="24"/>
        </w:rPr>
        <w:t>acting in the interest of society at all times</w:t>
      </w:r>
      <w:proofErr w:type="gramEnd"/>
      <w:r w:rsidRPr="00D21365">
        <w:rPr>
          <w:rFonts w:ascii="Arial" w:eastAsia="Arial" w:hAnsi="Arial" w:cs="Arial"/>
          <w:color w:val="000000"/>
          <w:sz w:val="24"/>
          <w:szCs w:val="24"/>
        </w:rPr>
        <w:t xml:space="preserve"> and respectful for the needs of different groups.</w:t>
      </w:r>
    </w:p>
    <w:p w14:paraId="7A21695E"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Transparency – we are open and honest in our business with colleagues and public, accepting feedback and respond positively to criticism.</w:t>
      </w:r>
    </w:p>
    <w:p w14:paraId="6ED4458A"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The Code of Ethics sets out the principles and standards of behaviour that ensures the police service will reinforce and support the highest standards, thus improving public confidence. The model is open to interpretation in order that the principles can be adapted to a wide range of scenarios and is not so prescriptive as to become restrictive. </w:t>
      </w:r>
    </w:p>
    <w:p w14:paraId="607CABDA"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In summary, the framework and behaviours set by CVF and Code of Ethics, provides a platform to maintain a professional and ethical service that will stand up to scrutiny.</w:t>
      </w:r>
    </w:p>
    <w:p w14:paraId="229EC875" w14:textId="77777777" w:rsidR="00B82EA5" w:rsidRDefault="00B82EA5" w:rsidP="00D21365">
      <w:pPr>
        <w:rPr>
          <w:rFonts w:ascii="Arial" w:eastAsia="Arial" w:hAnsi="Arial" w:cs="Arial"/>
          <w:b/>
          <w:bCs/>
          <w:color w:val="000000"/>
          <w:sz w:val="24"/>
          <w:szCs w:val="24"/>
        </w:rPr>
      </w:pPr>
    </w:p>
    <w:p w14:paraId="20B299B3" w14:textId="3DB34D07" w:rsidR="00D21365" w:rsidRPr="00D21365" w:rsidRDefault="00D21365" w:rsidP="00D21365">
      <w:pPr>
        <w:rPr>
          <w:rFonts w:ascii="Arial" w:eastAsia="Arial" w:hAnsi="Arial" w:cs="Arial"/>
          <w:b/>
          <w:bCs/>
          <w:color w:val="000000"/>
          <w:sz w:val="24"/>
          <w:szCs w:val="24"/>
        </w:rPr>
      </w:pPr>
      <w:r w:rsidRPr="00D21365">
        <w:rPr>
          <w:rFonts w:ascii="Arial" w:eastAsia="Arial" w:hAnsi="Arial" w:cs="Arial"/>
          <w:b/>
          <w:bCs/>
          <w:color w:val="000000"/>
          <w:sz w:val="24"/>
          <w:szCs w:val="24"/>
        </w:rPr>
        <w:t>TOTAL 2185 words</w:t>
      </w:r>
    </w:p>
    <w:p w14:paraId="5D5F5718" w14:textId="77777777" w:rsidR="00B82EA5" w:rsidRDefault="00B82EA5" w:rsidP="00D21365">
      <w:pPr>
        <w:rPr>
          <w:rFonts w:ascii="Arial" w:eastAsia="Arial" w:hAnsi="Arial" w:cs="Arial"/>
          <w:color w:val="000000"/>
          <w:sz w:val="24"/>
          <w:szCs w:val="24"/>
          <w:u w:val="single"/>
        </w:rPr>
      </w:pPr>
    </w:p>
    <w:p w14:paraId="04D9B22D" w14:textId="36650AE2" w:rsidR="00D21365" w:rsidRPr="00A52989" w:rsidRDefault="00D21365" w:rsidP="00D21365">
      <w:pPr>
        <w:rPr>
          <w:rFonts w:ascii="Arial" w:eastAsia="Arial" w:hAnsi="Arial" w:cs="Arial"/>
          <w:color w:val="000000"/>
          <w:sz w:val="24"/>
          <w:szCs w:val="24"/>
          <w:u w:val="single"/>
        </w:rPr>
      </w:pPr>
      <w:r w:rsidRPr="00A52989">
        <w:rPr>
          <w:rFonts w:ascii="Arial" w:eastAsia="Arial" w:hAnsi="Arial" w:cs="Arial"/>
          <w:color w:val="000000"/>
          <w:sz w:val="24"/>
          <w:szCs w:val="24"/>
          <w:u w:val="single"/>
        </w:rPr>
        <w:t>References</w:t>
      </w:r>
    </w:p>
    <w:p w14:paraId="2E952351"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Ask, K. and </w:t>
      </w:r>
      <w:proofErr w:type="spellStart"/>
      <w:r w:rsidRPr="00D21365">
        <w:rPr>
          <w:rFonts w:ascii="Arial" w:eastAsia="Arial" w:hAnsi="Arial" w:cs="Arial"/>
          <w:color w:val="000000"/>
          <w:sz w:val="24"/>
          <w:szCs w:val="24"/>
        </w:rPr>
        <w:t>Granhag</w:t>
      </w:r>
      <w:proofErr w:type="spellEnd"/>
      <w:r w:rsidRPr="00D21365">
        <w:rPr>
          <w:rFonts w:ascii="Arial" w:eastAsia="Arial" w:hAnsi="Arial" w:cs="Arial"/>
          <w:color w:val="000000"/>
          <w:sz w:val="24"/>
          <w:szCs w:val="24"/>
        </w:rPr>
        <w:t>, P.A. (2006) ‘Hot Cognition in Investigative Judgments: The Differential Influence of Anger and Sadness’, </w:t>
      </w:r>
      <w:r w:rsidRPr="00D21365">
        <w:rPr>
          <w:rFonts w:ascii="Arial" w:eastAsia="Arial" w:hAnsi="Arial" w:cs="Arial"/>
          <w:i/>
          <w:iCs/>
          <w:color w:val="000000"/>
          <w:sz w:val="24"/>
          <w:szCs w:val="24"/>
        </w:rPr>
        <w:t>Law and human behaviour</w:t>
      </w:r>
      <w:r w:rsidRPr="00D21365">
        <w:rPr>
          <w:rFonts w:ascii="Arial" w:eastAsia="Arial" w:hAnsi="Arial" w:cs="Arial"/>
          <w:color w:val="000000"/>
          <w:sz w:val="24"/>
          <w:szCs w:val="24"/>
        </w:rPr>
        <w:t xml:space="preserve">, 31(6): Available at: doi:10.1007/s10979-006-9075-3. (Accessed: 16 April 2022) </w:t>
      </w:r>
    </w:p>
    <w:p w14:paraId="2A78B265" w14:textId="77777777" w:rsidR="00D21365" w:rsidRPr="00D21365" w:rsidRDefault="00D21365" w:rsidP="00D21365">
      <w:pPr>
        <w:rPr>
          <w:rFonts w:ascii="Arial" w:eastAsia="Arial" w:hAnsi="Arial" w:cs="Arial"/>
          <w:color w:val="000000"/>
          <w:sz w:val="24"/>
          <w:szCs w:val="24"/>
        </w:rPr>
      </w:pPr>
      <w:proofErr w:type="spellStart"/>
      <w:r w:rsidRPr="00D21365">
        <w:rPr>
          <w:rFonts w:ascii="Arial" w:eastAsia="Arial" w:hAnsi="Arial" w:cs="Arial"/>
          <w:color w:val="000000"/>
          <w:sz w:val="24"/>
          <w:szCs w:val="24"/>
        </w:rPr>
        <w:t>Borton</w:t>
      </w:r>
      <w:proofErr w:type="spellEnd"/>
      <w:r w:rsidRPr="00D21365">
        <w:rPr>
          <w:rFonts w:ascii="Arial" w:eastAsia="Arial" w:hAnsi="Arial" w:cs="Arial"/>
          <w:color w:val="000000"/>
          <w:sz w:val="24"/>
          <w:szCs w:val="24"/>
        </w:rPr>
        <w:t>, T. (1970) Reach Touch and Teach, London: Hutchinson cited in Jasper, M. (2003) Beginning Reflective Practice, Cheltenham: Nelson Thornes.</w:t>
      </w:r>
    </w:p>
    <w:p w14:paraId="598BF2FF"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Cohen, G. (2021) ‘In Pursuit of Police Ethics: An Analysis of Ethics Content in State-Mandated Basic Police Training Curricula’, </w:t>
      </w:r>
      <w:r w:rsidRPr="00D21365">
        <w:rPr>
          <w:rFonts w:ascii="Arial" w:eastAsia="Arial" w:hAnsi="Arial" w:cs="Arial"/>
          <w:i/>
          <w:iCs/>
          <w:color w:val="000000"/>
          <w:sz w:val="24"/>
          <w:szCs w:val="24"/>
        </w:rPr>
        <w:t>Public integrity</w:t>
      </w:r>
      <w:r w:rsidRPr="00D21365">
        <w:rPr>
          <w:rFonts w:ascii="Arial" w:eastAsia="Arial" w:hAnsi="Arial" w:cs="Arial"/>
          <w:color w:val="000000"/>
          <w:sz w:val="24"/>
          <w:szCs w:val="24"/>
        </w:rPr>
        <w:t>, doi:10.1080/10999922.2021.1933340. (Accessed: 18 April 2022)</w:t>
      </w:r>
    </w:p>
    <w:p w14:paraId="68F60BDB"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lastRenderedPageBreak/>
        <w:t xml:space="preserve">College of Policing (2013a) Approved Professional Practice: Investigation: Working with victims and witnesses, Available at: </w:t>
      </w:r>
      <w:hyperlink r:id="rId67" w:history="1">
        <w:r w:rsidRPr="00D21365">
          <w:rPr>
            <w:rFonts w:ascii="Arial" w:eastAsia="Arial" w:hAnsi="Arial" w:cs="Arial"/>
            <w:color w:val="0563C1"/>
            <w:sz w:val="24"/>
            <w:szCs w:val="24"/>
            <w:u w:val="single"/>
          </w:rPr>
          <w:t>Working with victims and witnesses (college.police.uk)</w:t>
        </w:r>
      </w:hyperlink>
      <w:r w:rsidRPr="00D21365">
        <w:rPr>
          <w:rFonts w:ascii="Arial" w:eastAsia="Arial" w:hAnsi="Arial" w:cs="Arial"/>
          <w:color w:val="000000"/>
          <w:sz w:val="24"/>
          <w:szCs w:val="24"/>
        </w:rPr>
        <w:t xml:space="preserve"> (Accessed: 16 April 2022)</w:t>
      </w:r>
    </w:p>
    <w:p w14:paraId="4231CDFD"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College of Policing (2013b) Approved Professional Practice: Investigation: Working with victims and witnesses, Available at: </w:t>
      </w:r>
      <w:hyperlink r:id="rId68" w:history="1">
        <w:r w:rsidRPr="00D21365">
          <w:rPr>
            <w:rFonts w:ascii="Arial" w:eastAsia="Arial" w:hAnsi="Arial" w:cs="Arial"/>
            <w:color w:val="0563C1"/>
            <w:sz w:val="24"/>
            <w:szCs w:val="24"/>
            <w:u w:val="single"/>
          </w:rPr>
          <w:t>Working with victims and witnesses (college.police.uk)</w:t>
        </w:r>
      </w:hyperlink>
      <w:r w:rsidRPr="00D21365">
        <w:rPr>
          <w:rFonts w:ascii="Arial" w:eastAsia="Arial" w:hAnsi="Arial" w:cs="Arial"/>
          <w:color w:val="000000"/>
          <w:sz w:val="24"/>
          <w:szCs w:val="24"/>
        </w:rPr>
        <w:t xml:space="preserve"> (Accessed: 16 April 2022)</w:t>
      </w:r>
    </w:p>
    <w:p w14:paraId="0BB83F4D"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College of Policing (2022) Competency and Values Framework. Available at: </w:t>
      </w:r>
      <w:hyperlink r:id="rId69" w:history="1">
        <w:r w:rsidRPr="00D21365">
          <w:rPr>
            <w:rFonts w:ascii="Arial" w:eastAsia="Arial" w:hAnsi="Arial" w:cs="Arial"/>
            <w:color w:val="0563C1"/>
            <w:sz w:val="24"/>
            <w:szCs w:val="24"/>
            <w:u w:val="single"/>
          </w:rPr>
          <w:t>Competency and Values - College of Policing</w:t>
        </w:r>
      </w:hyperlink>
      <w:r w:rsidRPr="00D21365">
        <w:rPr>
          <w:rFonts w:ascii="Arial" w:eastAsia="Arial" w:hAnsi="Arial" w:cs="Arial"/>
          <w:color w:val="000000"/>
          <w:sz w:val="24"/>
          <w:szCs w:val="24"/>
        </w:rPr>
        <w:t xml:space="preserve"> (Accessed: 16 April 2022)</w:t>
      </w:r>
    </w:p>
    <w:p w14:paraId="36611F07"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College of Policing (2022) Code of Ethics. Available at: </w:t>
      </w:r>
      <w:hyperlink r:id="rId70" w:history="1">
        <w:r w:rsidRPr="00D21365">
          <w:rPr>
            <w:rFonts w:ascii="Arial" w:eastAsia="Arial" w:hAnsi="Arial" w:cs="Arial"/>
            <w:color w:val="0563C1"/>
            <w:sz w:val="24"/>
            <w:szCs w:val="24"/>
            <w:u w:val="single"/>
          </w:rPr>
          <w:t>Code of Ethics | College of Policing</w:t>
        </w:r>
      </w:hyperlink>
      <w:r w:rsidRPr="00D21365">
        <w:rPr>
          <w:rFonts w:ascii="Arial" w:eastAsia="Arial" w:hAnsi="Arial" w:cs="Arial"/>
          <w:color w:val="000000"/>
          <w:sz w:val="24"/>
          <w:szCs w:val="24"/>
        </w:rPr>
        <w:t xml:space="preserve"> (Accessed: 15 April 2022)</w:t>
      </w:r>
    </w:p>
    <w:p w14:paraId="46F00FE8"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Collins, K. and </w:t>
      </w:r>
      <w:proofErr w:type="spellStart"/>
      <w:r w:rsidRPr="00D21365">
        <w:rPr>
          <w:rFonts w:ascii="Arial" w:eastAsia="Arial" w:hAnsi="Arial" w:cs="Arial"/>
          <w:color w:val="000000"/>
          <w:sz w:val="24"/>
          <w:szCs w:val="24"/>
        </w:rPr>
        <w:t>Krahenbuhl</w:t>
      </w:r>
      <w:proofErr w:type="spellEnd"/>
      <w:r w:rsidRPr="00D21365">
        <w:rPr>
          <w:rFonts w:ascii="Arial" w:eastAsia="Arial" w:hAnsi="Arial" w:cs="Arial"/>
          <w:color w:val="000000"/>
          <w:sz w:val="24"/>
          <w:szCs w:val="24"/>
        </w:rPr>
        <w:t>, S. (2020) ‘Registered intermediaries’ assessment of children’s communication: An exploration of aims and processes’, </w:t>
      </w:r>
      <w:r w:rsidRPr="00D21365">
        <w:rPr>
          <w:rFonts w:ascii="Arial" w:eastAsia="Arial" w:hAnsi="Arial" w:cs="Arial"/>
          <w:i/>
          <w:iCs/>
          <w:color w:val="000000"/>
          <w:sz w:val="24"/>
          <w:szCs w:val="24"/>
        </w:rPr>
        <w:t>The International Journal of Evidence &amp; Proof</w:t>
      </w:r>
      <w:r w:rsidRPr="00D21365">
        <w:rPr>
          <w:rFonts w:ascii="Arial" w:eastAsia="Arial" w:hAnsi="Arial" w:cs="Arial"/>
          <w:color w:val="000000"/>
          <w:sz w:val="24"/>
          <w:szCs w:val="24"/>
        </w:rPr>
        <w:t xml:space="preserve">, 24(4), pp. 374–395. </w:t>
      </w:r>
      <w:proofErr w:type="spellStart"/>
      <w:r w:rsidRPr="00D21365">
        <w:rPr>
          <w:rFonts w:ascii="Arial" w:eastAsia="Arial" w:hAnsi="Arial" w:cs="Arial"/>
          <w:color w:val="000000"/>
          <w:sz w:val="24"/>
          <w:szCs w:val="24"/>
        </w:rPr>
        <w:t>doi</w:t>
      </w:r>
      <w:proofErr w:type="spellEnd"/>
      <w:r w:rsidRPr="00D21365">
        <w:rPr>
          <w:rFonts w:ascii="Arial" w:eastAsia="Arial" w:hAnsi="Arial" w:cs="Arial"/>
          <w:color w:val="000000"/>
          <w:sz w:val="24"/>
          <w:szCs w:val="24"/>
        </w:rPr>
        <w:t>: </w:t>
      </w:r>
      <w:hyperlink r:id="rId71" w:history="1">
        <w:r w:rsidRPr="00D21365">
          <w:rPr>
            <w:rFonts w:ascii="Arial" w:eastAsia="Arial" w:hAnsi="Arial" w:cs="Arial"/>
            <w:color w:val="0563C1"/>
            <w:sz w:val="24"/>
            <w:szCs w:val="24"/>
            <w:u w:val="single"/>
          </w:rPr>
          <w:t>10.1177/1365712720952335</w:t>
        </w:r>
      </w:hyperlink>
      <w:r w:rsidRPr="00D21365">
        <w:rPr>
          <w:rFonts w:ascii="Arial" w:eastAsia="Arial" w:hAnsi="Arial" w:cs="Arial"/>
          <w:color w:val="000000"/>
          <w:sz w:val="24"/>
          <w:szCs w:val="24"/>
        </w:rPr>
        <w:t>. (Accessed: 25 March 2022)</w:t>
      </w:r>
    </w:p>
    <w:p w14:paraId="029F1240"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i/>
          <w:iCs/>
          <w:color w:val="000000"/>
          <w:sz w:val="24"/>
          <w:szCs w:val="24"/>
        </w:rPr>
        <w:t xml:space="preserve">Criminal Justice and Public Order Act 1984, c.33, Section 36 and 37. </w:t>
      </w:r>
      <w:r w:rsidRPr="00D21365">
        <w:rPr>
          <w:rFonts w:ascii="Arial" w:eastAsia="Arial" w:hAnsi="Arial" w:cs="Arial"/>
          <w:color w:val="000000"/>
          <w:sz w:val="24"/>
          <w:szCs w:val="24"/>
        </w:rPr>
        <w:t>Available at:</w:t>
      </w:r>
      <w:r w:rsidRPr="00D21365">
        <w:rPr>
          <w:rFonts w:ascii="Calibri" w:eastAsia="Calibri" w:hAnsi="Calibri" w:cs="Times New Roman"/>
        </w:rPr>
        <w:t xml:space="preserve"> </w:t>
      </w:r>
      <w:hyperlink r:id="rId72" w:history="1">
        <w:r w:rsidRPr="00D21365">
          <w:rPr>
            <w:rFonts w:ascii="Arial" w:eastAsia="Arial" w:hAnsi="Arial" w:cs="Arial"/>
            <w:color w:val="0563C1"/>
            <w:sz w:val="24"/>
            <w:szCs w:val="24"/>
            <w:u w:val="single"/>
          </w:rPr>
          <w:t>Criminal Justice and Public Order Act 1994 (legislation.gov.uk)</w:t>
        </w:r>
      </w:hyperlink>
      <w:r w:rsidRPr="00D21365">
        <w:rPr>
          <w:rFonts w:ascii="Arial" w:eastAsia="Arial" w:hAnsi="Arial" w:cs="Arial"/>
          <w:color w:val="000000"/>
          <w:sz w:val="24"/>
          <w:szCs w:val="24"/>
        </w:rPr>
        <w:t xml:space="preserve"> (Accessed: 16 April 2022)</w:t>
      </w:r>
    </w:p>
    <w:p w14:paraId="0A772315" w14:textId="77777777" w:rsidR="00FA7C2E" w:rsidRPr="00D21365" w:rsidRDefault="00FA7C2E" w:rsidP="00FA7C2E">
      <w:pPr>
        <w:rPr>
          <w:rFonts w:ascii="Arial" w:eastAsia="Arial" w:hAnsi="Arial" w:cs="Arial"/>
          <w:color w:val="000000"/>
          <w:sz w:val="24"/>
          <w:szCs w:val="24"/>
        </w:rPr>
      </w:pPr>
      <w:r w:rsidRPr="00D21365">
        <w:rPr>
          <w:rFonts w:ascii="Arial" w:eastAsia="Arial" w:hAnsi="Arial" w:cs="Arial"/>
          <w:i/>
          <w:iCs/>
          <w:color w:val="000000"/>
          <w:sz w:val="24"/>
          <w:szCs w:val="24"/>
        </w:rPr>
        <w:t>Criminal Law Act 1967, c.58, Part 1, S3.</w:t>
      </w:r>
      <w:r w:rsidRPr="00D21365">
        <w:rPr>
          <w:rFonts w:ascii="Arial" w:eastAsia="Arial" w:hAnsi="Arial" w:cs="Arial"/>
          <w:color w:val="000000"/>
          <w:sz w:val="24"/>
          <w:szCs w:val="24"/>
        </w:rPr>
        <w:t xml:space="preserve"> Available at: </w:t>
      </w:r>
      <w:hyperlink r:id="rId73" w:history="1">
        <w:r w:rsidRPr="00D21365">
          <w:rPr>
            <w:rFonts w:ascii="Arial" w:eastAsia="Arial" w:hAnsi="Arial" w:cs="Arial"/>
            <w:color w:val="0563C1"/>
            <w:sz w:val="24"/>
            <w:szCs w:val="24"/>
            <w:u w:val="single"/>
          </w:rPr>
          <w:t>Criminal Law Act 1967 (legislation.gov.uk)</w:t>
        </w:r>
      </w:hyperlink>
      <w:r w:rsidRPr="00D21365">
        <w:rPr>
          <w:rFonts w:ascii="Arial" w:eastAsia="Arial" w:hAnsi="Arial" w:cs="Arial"/>
          <w:color w:val="000000"/>
          <w:sz w:val="24"/>
          <w:szCs w:val="24"/>
        </w:rPr>
        <w:t xml:space="preserve"> (Accessed: 16 April 2022)</w:t>
      </w:r>
    </w:p>
    <w:p w14:paraId="2B8BC1FF"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Heffernan, W.C., (1982) ‘Two Approaches to Police Ethics’, </w:t>
      </w:r>
      <w:r w:rsidRPr="00D21365">
        <w:rPr>
          <w:rFonts w:ascii="Arial" w:eastAsia="Arial" w:hAnsi="Arial" w:cs="Arial"/>
          <w:i/>
          <w:iCs/>
          <w:color w:val="000000"/>
          <w:sz w:val="24"/>
          <w:szCs w:val="24"/>
        </w:rPr>
        <w:t>Criminal Justice Review,</w:t>
      </w:r>
      <w:r w:rsidRPr="00D21365">
        <w:rPr>
          <w:rFonts w:ascii="Arial" w:eastAsia="Arial" w:hAnsi="Arial" w:cs="Arial"/>
          <w:color w:val="000000"/>
          <w:sz w:val="24"/>
          <w:szCs w:val="24"/>
        </w:rPr>
        <w:t xml:space="preserve"> 7(1). Available at:</w:t>
      </w:r>
      <w:r w:rsidRPr="00D21365">
        <w:rPr>
          <w:rFonts w:ascii="Arial" w:eastAsia="Calibri" w:hAnsi="Arial" w:cs="Arial"/>
          <w:color w:val="333333"/>
          <w:sz w:val="21"/>
          <w:szCs w:val="21"/>
          <w:shd w:val="clear" w:color="auto" w:fill="FFFFFF"/>
        </w:rPr>
        <w:t xml:space="preserve"> </w:t>
      </w:r>
      <w:proofErr w:type="spellStart"/>
      <w:r w:rsidRPr="00D21365">
        <w:rPr>
          <w:rFonts w:ascii="Arial" w:eastAsia="Arial" w:hAnsi="Arial" w:cs="Arial"/>
          <w:color w:val="000000"/>
          <w:sz w:val="24"/>
          <w:szCs w:val="24"/>
        </w:rPr>
        <w:t>doi</w:t>
      </w:r>
      <w:proofErr w:type="spellEnd"/>
      <w:r w:rsidRPr="00D21365">
        <w:rPr>
          <w:rFonts w:ascii="Arial" w:eastAsia="Arial" w:hAnsi="Arial" w:cs="Arial"/>
          <w:color w:val="000000"/>
          <w:sz w:val="24"/>
          <w:szCs w:val="24"/>
        </w:rPr>
        <w:t>: </w:t>
      </w:r>
      <w:hyperlink r:id="rId74" w:history="1">
        <w:r w:rsidRPr="00D21365">
          <w:rPr>
            <w:rFonts w:ascii="Arial" w:eastAsia="Arial" w:hAnsi="Arial" w:cs="Arial"/>
            <w:color w:val="0563C1"/>
            <w:sz w:val="24"/>
            <w:szCs w:val="24"/>
            <w:u w:val="single"/>
          </w:rPr>
          <w:t>10.1177/073401688200700109</w:t>
        </w:r>
      </w:hyperlink>
      <w:r w:rsidRPr="00D21365">
        <w:rPr>
          <w:rFonts w:ascii="Arial" w:eastAsia="Arial" w:hAnsi="Arial" w:cs="Arial"/>
          <w:color w:val="000000"/>
          <w:sz w:val="24"/>
          <w:szCs w:val="24"/>
        </w:rPr>
        <w:t>. (Accessed: 16 April 2022)</w:t>
      </w:r>
    </w:p>
    <w:p w14:paraId="2B9E1594" w14:textId="77777777" w:rsidR="00D21365" w:rsidRPr="00D21365" w:rsidRDefault="00D21365" w:rsidP="00D21365">
      <w:pPr>
        <w:rPr>
          <w:rFonts w:ascii="Arial" w:eastAsia="Arial" w:hAnsi="Arial" w:cs="Arial"/>
          <w:color w:val="000000"/>
          <w:sz w:val="24"/>
          <w:szCs w:val="24"/>
        </w:rPr>
      </w:pPr>
      <w:proofErr w:type="spellStart"/>
      <w:r w:rsidRPr="00D21365">
        <w:rPr>
          <w:rFonts w:ascii="Arial" w:eastAsia="Arial" w:hAnsi="Arial" w:cs="Arial"/>
          <w:color w:val="000000"/>
          <w:sz w:val="24"/>
          <w:szCs w:val="24"/>
        </w:rPr>
        <w:t>Hershkowitz</w:t>
      </w:r>
      <w:proofErr w:type="spellEnd"/>
      <w:r w:rsidRPr="00D21365">
        <w:rPr>
          <w:rFonts w:ascii="Arial" w:eastAsia="Arial" w:hAnsi="Arial" w:cs="Arial"/>
          <w:color w:val="000000"/>
          <w:sz w:val="24"/>
          <w:szCs w:val="24"/>
        </w:rPr>
        <w:t xml:space="preserve"> I, Lamb ME, Orbach Y, Katz C, Horowitz D. (2011) The development of communicative and narrative skills among </w:t>
      </w:r>
      <w:proofErr w:type="spellStart"/>
      <w:r w:rsidRPr="00D21365">
        <w:rPr>
          <w:rFonts w:ascii="Arial" w:eastAsia="Arial" w:hAnsi="Arial" w:cs="Arial"/>
          <w:color w:val="000000"/>
          <w:sz w:val="24"/>
          <w:szCs w:val="24"/>
        </w:rPr>
        <w:t>preschoolers</w:t>
      </w:r>
      <w:proofErr w:type="spellEnd"/>
      <w:r w:rsidRPr="00D21365">
        <w:rPr>
          <w:rFonts w:ascii="Arial" w:eastAsia="Arial" w:hAnsi="Arial" w:cs="Arial"/>
          <w:color w:val="000000"/>
          <w:sz w:val="24"/>
          <w:szCs w:val="24"/>
        </w:rPr>
        <w:t>: Lessons from forensic interviews about child abuse. Child Development 83(2): 611–622. DOI: 10.1111/j.1467-8624.</w:t>
      </w:r>
      <w:proofErr w:type="gramStart"/>
      <w:r w:rsidRPr="00D21365">
        <w:rPr>
          <w:rFonts w:ascii="Arial" w:eastAsia="Arial" w:hAnsi="Arial" w:cs="Arial"/>
          <w:color w:val="000000"/>
          <w:sz w:val="24"/>
          <w:szCs w:val="24"/>
        </w:rPr>
        <w:t>2011.01704.x</w:t>
      </w:r>
      <w:proofErr w:type="gramEnd"/>
    </w:p>
    <w:p w14:paraId="6AAE933F"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Home Office (2014) </w:t>
      </w:r>
      <w:r w:rsidRPr="00D21365">
        <w:rPr>
          <w:rFonts w:ascii="Arial" w:eastAsia="Arial" w:hAnsi="Arial" w:cs="Arial"/>
          <w:i/>
          <w:iCs/>
          <w:color w:val="000000"/>
          <w:sz w:val="24"/>
          <w:szCs w:val="24"/>
        </w:rPr>
        <w:t xml:space="preserve">News Story: Code of Ethics launched. </w:t>
      </w:r>
      <w:r w:rsidRPr="00D21365">
        <w:rPr>
          <w:rFonts w:ascii="Arial" w:eastAsia="Arial" w:hAnsi="Arial" w:cs="Arial"/>
          <w:color w:val="000000"/>
          <w:sz w:val="24"/>
          <w:szCs w:val="24"/>
        </w:rPr>
        <w:t xml:space="preserve">Available at: </w:t>
      </w:r>
      <w:hyperlink r:id="rId75" w:history="1">
        <w:r w:rsidRPr="00D21365">
          <w:rPr>
            <w:rFonts w:ascii="Arial" w:eastAsia="Arial" w:hAnsi="Arial" w:cs="Arial"/>
            <w:color w:val="0563C1"/>
            <w:sz w:val="24"/>
            <w:szCs w:val="24"/>
            <w:u w:val="single"/>
          </w:rPr>
          <w:t>Code of Ethics launched - GOV.UK (www.gov.uk)</w:t>
        </w:r>
      </w:hyperlink>
      <w:r w:rsidRPr="00D21365">
        <w:rPr>
          <w:rFonts w:ascii="Arial" w:eastAsia="Arial" w:hAnsi="Arial" w:cs="Arial"/>
          <w:color w:val="000000"/>
          <w:sz w:val="24"/>
          <w:szCs w:val="24"/>
        </w:rPr>
        <w:t xml:space="preserve"> (Accessed: 18 April 2022)</w:t>
      </w:r>
    </w:p>
    <w:p w14:paraId="4653D8D7"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Home Office (2021) Statistics on the number of police officers assaulted in the year ending March 2021, </w:t>
      </w:r>
      <w:proofErr w:type="gramStart"/>
      <w:r w:rsidRPr="00D21365">
        <w:rPr>
          <w:rFonts w:ascii="Arial" w:eastAsia="Arial" w:hAnsi="Arial" w:cs="Arial"/>
          <w:color w:val="000000"/>
          <w:sz w:val="24"/>
          <w:szCs w:val="24"/>
        </w:rPr>
        <w:t>England</w:t>
      </w:r>
      <w:proofErr w:type="gramEnd"/>
      <w:r w:rsidRPr="00D21365">
        <w:rPr>
          <w:rFonts w:ascii="Arial" w:eastAsia="Arial" w:hAnsi="Arial" w:cs="Arial"/>
          <w:color w:val="000000"/>
          <w:sz w:val="24"/>
          <w:szCs w:val="24"/>
        </w:rPr>
        <w:t xml:space="preserve"> and Wales. Updated 30 March 2022. Available at:</w:t>
      </w:r>
      <w:r w:rsidRPr="00D21365">
        <w:rPr>
          <w:rFonts w:ascii="Calibri" w:eastAsia="Calibri" w:hAnsi="Calibri" w:cs="Times New Roman"/>
        </w:rPr>
        <w:t xml:space="preserve"> </w:t>
      </w:r>
      <w:hyperlink r:id="rId76" w:history="1">
        <w:r w:rsidRPr="00D21365">
          <w:rPr>
            <w:rFonts w:ascii="Arial" w:eastAsia="Arial" w:hAnsi="Arial" w:cs="Arial"/>
            <w:color w:val="0563C1"/>
            <w:sz w:val="24"/>
            <w:szCs w:val="24"/>
            <w:u w:val="single"/>
          </w:rPr>
          <w:t>Annex: Statistics on the number of police officers assaulted in the year ending March 2021, England and Wales - GOV.UK (www.gov.uk)</w:t>
        </w:r>
      </w:hyperlink>
      <w:r w:rsidRPr="00D21365">
        <w:rPr>
          <w:rFonts w:ascii="Arial" w:eastAsia="Arial" w:hAnsi="Arial" w:cs="Arial"/>
          <w:color w:val="000000"/>
          <w:sz w:val="24"/>
          <w:szCs w:val="24"/>
        </w:rPr>
        <w:t xml:space="preserve"> (Accessed: 16 April 2022) </w:t>
      </w:r>
    </w:p>
    <w:p w14:paraId="19B27ABD"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Lewis </w:t>
      </w:r>
      <w:proofErr w:type="spellStart"/>
      <w:r w:rsidRPr="00D21365">
        <w:rPr>
          <w:rFonts w:ascii="Arial" w:eastAsia="Arial" w:hAnsi="Arial" w:cs="Arial"/>
          <w:color w:val="000000"/>
          <w:sz w:val="24"/>
          <w:szCs w:val="24"/>
        </w:rPr>
        <w:t>Nedas</w:t>
      </w:r>
      <w:proofErr w:type="spellEnd"/>
      <w:r w:rsidRPr="00D21365">
        <w:rPr>
          <w:rFonts w:ascii="Arial" w:eastAsia="Arial" w:hAnsi="Arial" w:cs="Arial"/>
          <w:color w:val="000000"/>
          <w:sz w:val="24"/>
          <w:szCs w:val="24"/>
        </w:rPr>
        <w:t xml:space="preserve"> Law (2022)</w:t>
      </w:r>
      <w:r w:rsidRPr="00D21365">
        <w:rPr>
          <w:rFonts w:ascii="Arial" w:eastAsia="Arial" w:hAnsi="Arial" w:cs="Arial"/>
          <w:i/>
          <w:iCs/>
          <w:color w:val="000000"/>
          <w:sz w:val="24"/>
          <w:szCs w:val="24"/>
        </w:rPr>
        <w:t xml:space="preserve"> Beware, a voluntary police interview is not a cosy chat with the authorities </w:t>
      </w:r>
      <w:r w:rsidRPr="00D21365">
        <w:rPr>
          <w:rFonts w:ascii="Arial" w:eastAsia="Arial" w:hAnsi="Arial" w:cs="Arial"/>
          <w:color w:val="000000"/>
          <w:sz w:val="24"/>
          <w:szCs w:val="24"/>
        </w:rPr>
        <w:t xml:space="preserve">[Blog] Available at: </w:t>
      </w:r>
      <w:hyperlink r:id="rId77" w:history="1">
        <w:r w:rsidRPr="00D21365">
          <w:rPr>
            <w:rFonts w:ascii="Arial" w:eastAsia="Arial" w:hAnsi="Arial" w:cs="Arial"/>
            <w:color w:val="0563C1"/>
            <w:sz w:val="24"/>
            <w:szCs w:val="24"/>
            <w:u w:val="single"/>
          </w:rPr>
          <w:t>https://lewisnedas.co.uk/newsroom/blog/criminal-litigation/beware-a-voluntary-police-interview-is-not-a-cosy-chat-with-the-authorities.html</w:t>
        </w:r>
      </w:hyperlink>
      <w:r w:rsidRPr="00D21365">
        <w:rPr>
          <w:rFonts w:ascii="Arial" w:eastAsia="Arial" w:hAnsi="Arial" w:cs="Arial"/>
          <w:color w:val="000000"/>
          <w:sz w:val="24"/>
          <w:szCs w:val="24"/>
        </w:rPr>
        <w:t xml:space="preserve"> (Accessed: 16 April 2022)</w:t>
      </w:r>
    </w:p>
    <w:p w14:paraId="6F1B54D6" w14:textId="13D2E27B"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Lewis, </w:t>
      </w:r>
      <w:proofErr w:type="spellStart"/>
      <w:r w:rsidR="00CF77E7">
        <w:rPr>
          <w:rFonts w:ascii="Arial" w:eastAsia="Arial" w:hAnsi="Arial" w:cs="Arial"/>
          <w:color w:val="000000"/>
          <w:sz w:val="24"/>
          <w:szCs w:val="24"/>
        </w:rPr>
        <w:t>Dr.</w:t>
      </w:r>
      <w:proofErr w:type="spellEnd"/>
      <w:r w:rsidR="00CF77E7">
        <w:rPr>
          <w:rFonts w:ascii="Arial" w:eastAsia="Arial" w:hAnsi="Arial" w:cs="Arial"/>
          <w:color w:val="000000"/>
          <w:sz w:val="24"/>
          <w:szCs w:val="24"/>
        </w:rPr>
        <w:t xml:space="preserve"> </w:t>
      </w:r>
      <w:r w:rsidRPr="00D21365">
        <w:rPr>
          <w:rFonts w:ascii="Arial" w:eastAsia="Arial" w:hAnsi="Arial" w:cs="Arial"/>
          <w:color w:val="000000"/>
          <w:sz w:val="24"/>
          <w:szCs w:val="24"/>
        </w:rPr>
        <w:t xml:space="preserve">R (2022) ‘Police Ethics’, </w:t>
      </w:r>
      <w:r w:rsidRPr="00D21365">
        <w:rPr>
          <w:rFonts w:ascii="Arial" w:eastAsia="Arial" w:hAnsi="Arial" w:cs="Arial"/>
          <w:i/>
          <w:iCs/>
          <w:color w:val="000000"/>
          <w:sz w:val="24"/>
          <w:szCs w:val="24"/>
        </w:rPr>
        <w:t>The Journal of Intelligence, Conflict, and Warfare, 4(3)</w:t>
      </w:r>
      <w:r w:rsidRPr="00D21365">
        <w:rPr>
          <w:rFonts w:ascii="Arial" w:eastAsia="Arial" w:hAnsi="Arial" w:cs="Arial"/>
          <w:color w:val="000000"/>
          <w:sz w:val="24"/>
          <w:szCs w:val="24"/>
        </w:rPr>
        <w:t xml:space="preserve">. Available at: </w:t>
      </w:r>
      <w:hyperlink r:id="rId78" w:history="1">
        <w:r w:rsidRPr="00D21365">
          <w:rPr>
            <w:rFonts w:ascii="Arial" w:eastAsia="Arial" w:hAnsi="Arial" w:cs="Arial"/>
            <w:color w:val="0563C1"/>
            <w:sz w:val="24"/>
            <w:szCs w:val="24"/>
            <w:u w:val="single"/>
          </w:rPr>
          <w:t>https://doi.org/10.21810/jicw.v4i3.4165</w:t>
        </w:r>
      </w:hyperlink>
      <w:r w:rsidRPr="00D21365">
        <w:rPr>
          <w:rFonts w:ascii="Arial" w:eastAsia="Arial" w:hAnsi="Arial" w:cs="Arial"/>
          <w:color w:val="000000"/>
          <w:sz w:val="24"/>
          <w:szCs w:val="24"/>
        </w:rPr>
        <w:t xml:space="preserve"> (Accessed: 16 April 2022)</w:t>
      </w:r>
    </w:p>
    <w:p w14:paraId="06928E15" w14:textId="77777777" w:rsidR="00D21365" w:rsidRPr="00D21365" w:rsidRDefault="00D21365" w:rsidP="00D21365">
      <w:pPr>
        <w:rPr>
          <w:rFonts w:ascii="Arial" w:eastAsia="Arial" w:hAnsi="Arial" w:cs="Arial"/>
          <w:color w:val="000000"/>
          <w:sz w:val="24"/>
          <w:szCs w:val="24"/>
        </w:rPr>
      </w:pPr>
      <w:proofErr w:type="spellStart"/>
      <w:r w:rsidRPr="00D21365">
        <w:rPr>
          <w:rFonts w:ascii="Arial" w:eastAsia="Arial" w:hAnsi="Arial" w:cs="Arial"/>
          <w:color w:val="000000"/>
          <w:sz w:val="24"/>
          <w:szCs w:val="24"/>
        </w:rPr>
        <w:t>Lidén</w:t>
      </w:r>
      <w:proofErr w:type="spellEnd"/>
      <w:r w:rsidRPr="00D21365">
        <w:rPr>
          <w:rFonts w:ascii="Arial" w:eastAsia="Arial" w:hAnsi="Arial" w:cs="Arial"/>
          <w:color w:val="000000"/>
          <w:sz w:val="24"/>
          <w:szCs w:val="24"/>
        </w:rPr>
        <w:t xml:space="preserve">, M., </w:t>
      </w:r>
      <w:proofErr w:type="spellStart"/>
      <w:r w:rsidRPr="00D21365">
        <w:rPr>
          <w:rFonts w:ascii="Arial" w:eastAsia="Arial" w:hAnsi="Arial" w:cs="Arial"/>
          <w:color w:val="000000"/>
          <w:sz w:val="24"/>
          <w:szCs w:val="24"/>
        </w:rPr>
        <w:t>Gräns</w:t>
      </w:r>
      <w:proofErr w:type="spellEnd"/>
      <w:r w:rsidRPr="00D21365">
        <w:rPr>
          <w:rFonts w:ascii="Arial" w:eastAsia="Arial" w:hAnsi="Arial" w:cs="Arial"/>
          <w:color w:val="000000"/>
          <w:sz w:val="24"/>
          <w:szCs w:val="24"/>
        </w:rPr>
        <w:t xml:space="preserve">, M., and </w:t>
      </w:r>
      <w:proofErr w:type="spellStart"/>
      <w:r w:rsidRPr="00D21365">
        <w:rPr>
          <w:rFonts w:ascii="Arial" w:eastAsia="Arial" w:hAnsi="Arial" w:cs="Arial"/>
          <w:color w:val="000000"/>
          <w:sz w:val="24"/>
          <w:szCs w:val="24"/>
        </w:rPr>
        <w:t>Juslin</w:t>
      </w:r>
      <w:proofErr w:type="spellEnd"/>
      <w:r w:rsidRPr="00D21365">
        <w:rPr>
          <w:rFonts w:ascii="Arial" w:eastAsia="Arial" w:hAnsi="Arial" w:cs="Arial"/>
          <w:color w:val="000000"/>
          <w:sz w:val="24"/>
          <w:szCs w:val="24"/>
        </w:rPr>
        <w:t xml:space="preserve">, P. (2018) ‘The presumption of guilt in suspect interrogations: Apprehension as a trigger of confirmation bias and debiasing </w:t>
      </w:r>
      <w:proofErr w:type="gramStart"/>
      <w:r w:rsidRPr="00D21365">
        <w:rPr>
          <w:rFonts w:ascii="Arial" w:eastAsia="Arial" w:hAnsi="Arial" w:cs="Arial"/>
          <w:color w:val="000000"/>
          <w:sz w:val="24"/>
          <w:szCs w:val="24"/>
        </w:rPr>
        <w:lastRenderedPageBreak/>
        <w:t>techniques’</w:t>
      </w:r>
      <w:proofErr w:type="gramEnd"/>
      <w:r w:rsidRPr="00D21365">
        <w:rPr>
          <w:rFonts w:ascii="Arial" w:eastAsia="Arial" w:hAnsi="Arial" w:cs="Arial"/>
          <w:color w:val="000000"/>
          <w:sz w:val="24"/>
          <w:szCs w:val="24"/>
        </w:rPr>
        <w:t>. </w:t>
      </w:r>
      <w:r w:rsidRPr="00D21365">
        <w:rPr>
          <w:rFonts w:ascii="Arial" w:eastAsia="Arial" w:hAnsi="Arial" w:cs="Arial"/>
          <w:i/>
          <w:iCs/>
          <w:color w:val="000000"/>
          <w:sz w:val="24"/>
          <w:szCs w:val="24"/>
        </w:rPr>
        <w:t>Law and Human Behaviour, 42</w:t>
      </w:r>
      <w:r w:rsidRPr="00D21365">
        <w:rPr>
          <w:rFonts w:ascii="Arial" w:eastAsia="Arial" w:hAnsi="Arial" w:cs="Arial"/>
          <w:color w:val="000000"/>
          <w:sz w:val="24"/>
          <w:szCs w:val="24"/>
        </w:rPr>
        <w:t>(4), Available at: </w:t>
      </w:r>
      <w:hyperlink r:id="rId79" w:tgtFrame="_blank" w:history="1">
        <w:r w:rsidRPr="00D21365">
          <w:rPr>
            <w:rFonts w:ascii="Arial" w:eastAsia="Arial" w:hAnsi="Arial" w:cs="Arial"/>
            <w:color w:val="0563C1"/>
            <w:sz w:val="24"/>
            <w:szCs w:val="24"/>
            <w:u w:val="single"/>
          </w:rPr>
          <w:t>https://doi.org/10.1037/lhb0000287</w:t>
        </w:r>
      </w:hyperlink>
      <w:r w:rsidRPr="00D21365">
        <w:rPr>
          <w:rFonts w:ascii="Arial" w:eastAsia="Arial" w:hAnsi="Arial" w:cs="Arial"/>
          <w:color w:val="000000"/>
          <w:sz w:val="24"/>
          <w:szCs w:val="24"/>
        </w:rPr>
        <w:t xml:space="preserve"> (Accessed: 16 April 2022)</w:t>
      </w:r>
    </w:p>
    <w:p w14:paraId="3F616451"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MacDonald, S., Snook, B. and Milne, R. (2016) ‘Witness Interview Training: </w:t>
      </w:r>
      <w:proofErr w:type="gramStart"/>
      <w:r w:rsidRPr="00D21365">
        <w:rPr>
          <w:rFonts w:ascii="Arial" w:eastAsia="Arial" w:hAnsi="Arial" w:cs="Arial"/>
          <w:color w:val="000000"/>
          <w:sz w:val="24"/>
          <w:szCs w:val="24"/>
        </w:rPr>
        <w:t>a</w:t>
      </w:r>
      <w:proofErr w:type="gramEnd"/>
      <w:r w:rsidRPr="00D21365">
        <w:rPr>
          <w:rFonts w:ascii="Arial" w:eastAsia="Arial" w:hAnsi="Arial" w:cs="Arial"/>
          <w:color w:val="000000"/>
          <w:sz w:val="24"/>
          <w:szCs w:val="24"/>
        </w:rPr>
        <w:t xml:space="preserve"> Field Evaluation’, </w:t>
      </w:r>
      <w:r w:rsidRPr="00D21365">
        <w:rPr>
          <w:rFonts w:ascii="Arial" w:eastAsia="Arial" w:hAnsi="Arial" w:cs="Arial"/>
          <w:i/>
          <w:iCs/>
          <w:color w:val="000000"/>
          <w:sz w:val="24"/>
          <w:szCs w:val="24"/>
        </w:rPr>
        <w:t>Journal of police and criminal psychology</w:t>
      </w:r>
      <w:r w:rsidRPr="00D21365">
        <w:rPr>
          <w:rFonts w:ascii="Arial" w:eastAsia="Arial" w:hAnsi="Arial" w:cs="Arial"/>
          <w:color w:val="000000"/>
          <w:sz w:val="24"/>
          <w:szCs w:val="24"/>
        </w:rPr>
        <w:t>, 32(1), doi:10.1007/s11896-016-9197-6. (Accessed: 13 April 2022)</w:t>
      </w:r>
    </w:p>
    <w:p w14:paraId="1652431B"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Marchant, R (2013) How young is too young? The evidence of children under five in the English criminal justice system. Child Abuse Review 22(6), </w:t>
      </w:r>
    </w:p>
    <w:p w14:paraId="6CE527D1"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Menzel, D.C (2003) ‘Public administration as a profession: Where do body and soul reside?’. </w:t>
      </w:r>
      <w:r w:rsidRPr="00D21365">
        <w:rPr>
          <w:rFonts w:ascii="Arial" w:eastAsia="Arial" w:hAnsi="Arial" w:cs="Arial"/>
          <w:i/>
          <w:iCs/>
          <w:color w:val="000000"/>
          <w:sz w:val="24"/>
          <w:szCs w:val="24"/>
        </w:rPr>
        <w:t xml:space="preserve">Public Integrity, </w:t>
      </w:r>
      <w:r w:rsidRPr="00D21365">
        <w:rPr>
          <w:rFonts w:ascii="Arial" w:eastAsia="Arial" w:hAnsi="Arial" w:cs="Arial"/>
          <w:color w:val="000000"/>
          <w:sz w:val="24"/>
          <w:szCs w:val="24"/>
        </w:rPr>
        <w:t xml:space="preserve">5(3) Available at: </w:t>
      </w:r>
      <w:hyperlink r:id="rId80" w:history="1">
        <w:r w:rsidRPr="00D21365">
          <w:rPr>
            <w:rFonts w:ascii="Arial" w:eastAsia="Arial" w:hAnsi="Arial" w:cs="Arial"/>
            <w:color w:val="0563C1"/>
            <w:sz w:val="24"/>
            <w:szCs w:val="24"/>
            <w:u w:val="single"/>
          </w:rPr>
          <w:t>https://doi-org.ezproxy.uwtsd.ac.uk/10.1080/15580989.2003.11770949</w:t>
        </w:r>
      </w:hyperlink>
      <w:r w:rsidRPr="00D21365">
        <w:rPr>
          <w:rFonts w:ascii="Arial" w:eastAsia="Arial" w:hAnsi="Arial" w:cs="Arial"/>
          <w:color w:val="000000"/>
          <w:sz w:val="24"/>
          <w:szCs w:val="24"/>
        </w:rPr>
        <w:t xml:space="preserve"> (Accessed: 17 April 2022)</w:t>
      </w:r>
    </w:p>
    <w:p w14:paraId="2E3561EE"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Ministry of Justice (2013) The Witness Charter – Standards of care for witnesses in the criminal justice system. Available at: </w:t>
      </w:r>
      <w:hyperlink r:id="rId81" w:history="1">
        <w:r w:rsidRPr="00D21365">
          <w:rPr>
            <w:rFonts w:ascii="Arial" w:eastAsia="Arial" w:hAnsi="Arial" w:cs="Arial"/>
            <w:color w:val="0563C1"/>
            <w:sz w:val="24"/>
            <w:szCs w:val="24"/>
            <w:u w:val="single"/>
          </w:rPr>
          <w:t>The Witness Charter (publishing.service.gov.uk)</w:t>
        </w:r>
      </w:hyperlink>
      <w:r w:rsidRPr="00D21365">
        <w:rPr>
          <w:rFonts w:ascii="Arial" w:eastAsia="Arial" w:hAnsi="Arial" w:cs="Arial"/>
          <w:color w:val="000000"/>
          <w:sz w:val="24"/>
          <w:szCs w:val="24"/>
        </w:rPr>
        <w:t xml:space="preserve"> (Accessed: 02 April 2022)</w:t>
      </w:r>
    </w:p>
    <w:p w14:paraId="50FABB9B"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Ministry of Justice (2022) </w:t>
      </w:r>
      <w:r w:rsidRPr="00D21365">
        <w:rPr>
          <w:rFonts w:ascii="Arial" w:eastAsia="Arial" w:hAnsi="Arial" w:cs="Arial"/>
          <w:i/>
          <w:iCs/>
          <w:color w:val="000000"/>
          <w:sz w:val="24"/>
          <w:szCs w:val="24"/>
        </w:rPr>
        <w:t xml:space="preserve">Achieving Best Evidence in Criminal Proceedings: Guidance on Interviewing Victims and Witnesses, and Guidance on Using Special Measures. </w:t>
      </w:r>
      <w:r w:rsidRPr="00D21365">
        <w:rPr>
          <w:rFonts w:ascii="Arial" w:eastAsia="Arial" w:hAnsi="Arial" w:cs="Arial"/>
          <w:color w:val="000000"/>
          <w:sz w:val="24"/>
          <w:szCs w:val="24"/>
        </w:rPr>
        <w:t xml:space="preserve">Available at: </w:t>
      </w:r>
      <w:hyperlink r:id="rId82" w:history="1">
        <w:r w:rsidRPr="00D21365">
          <w:rPr>
            <w:rFonts w:ascii="Arial" w:eastAsia="Arial" w:hAnsi="Arial" w:cs="Arial"/>
            <w:color w:val="0563C1"/>
            <w:sz w:val="24"/>
            <w:szCs w:val="24"/>
            <w:u w:val="single"/>
          </w:rPr>
          <w:t>Achieving Best Evidence in Criminal Proceedings (publishing.service.gov.uk)</w:t>
        </w:r>
      </w:hyperlink>
      <w:r w:rsidRPr="00D21365">
        <w:rPr>
          <w:rFonts w:ascii="Arial" w:eastAsia="Arial" w:hAnsi="Arial" w:cs="Arial"/>
          <w:color w:val="000000"/>
          <w:sz w:val="24"/>
          <w:szCs w:val="24"/>
        </w:rPr>
        <w:t xml:space="preserve"> (Accessed: 27 March 2022)</w:t>
      </w:r>
    </w:p>
    <w:p w14:paraId="07F7BBA5"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i/>
          <w:iCs/>
          <w:color w:val="000000"/>
          <w:sz w:val="24"/>
          <w:szCs w:val="24"/>
        </w:rPr>
        <w:t xml:space="preserve">Offences Against the Person Act 1861, c.100. </w:t>
      </w:r>
      <w:r w:rsidRPr="00D21365">
        <w:rPr>
          <w:rFonts w:ascii="Arial" w:eastAsia="Arial" w:hAnsi="Arial" w:cs="Arial"/>
          <w:color w:val="000000"/>
          <w:sz w:val="24"/>
          <w:szCs w:val="24"/>
        </w:rPr>
        <w:t>Available at:</w:t>
      </w:r>
      <w:r w:rsidRPr="00D21365">
        <w:rPr>
          <w:rFonts w:ascii="Calibri" w:eastAsia="Calibri" w:hAnsi="Calibri" w:cs="Times New Roman"/>
        </w:rPr>
        <w:t xml:space="preserve"> </w:t>
      </w:r>
      <w:hyperlink r:id="rId83" w:history="1">
        <w:r w:rsidRPr="00D21365">
          <w:rPr>
            <w:rFonts w:ascii="Arial" w:eastAsia="Arial" w:hAnsi="Arial" w:cs="Arial"/>
            <w:color w:val="0563C1"/>
            <w:sz w:val="24"/>
            <w:szCs w:val="24"/>
            <w:u w:val="single"/>
          </w:rPr>
          <w:t>Offences Against the Person Act 1861 (legislation.gov.uk)</w:t>
        </w:r>
      </w:hyperlink>
      <w:r w:rsidRPr="00D21365">
        <w:rPr>
          <w:rFonts w:ascii="Arial" w:eastAsia="Arial" w:hAnsi="Arial" w:cs="Arial"/>
          <w:color w:val="000000"/>
          <w:sz w:val="24"/>
          <w:szCs w:val="24"/>
        </w:rPr>
        <w:t xml:space="preserve"> (Accessed: 16 April 2022)</w:t>
      </w:r>
    </w:p>
    <w:p w14:paraId="76C84B45" w14:textId="7A2CE062" w:rsidR="0010566C" w:rsidRPr="00D21365" w:rsidRDefault="00BC08A9" w:rsidP="0010566C">
      <w:pPr>
        <w:rPr>
          <w:rFonts w:ascii="Arial" w:eastAsia="Arial" w:hAnsi="Arial" w:cs="Arial"/>
          <w:color w:val="000000"/>
          <w:sz w:val="24"/>
          <w:szCs w:val="24"/>
        </w:rPr>
      </w:pPr>
      <w:r>
        <w:rPr>
          <w:rFonts w:ascii="Arial" w:eastAsia="Arial" w:hAnsi="Arial" w:cs="Arial"/>
          <w:i/>
          <w:iCs/>
          <w:color w:val="000000"/>
          <w:sz w:val="24"/>
          <w:szCs w:val="24"/>
        </w:rPr>
        <w:t>‘</w:t>
      </w:r>
      <w:r w:rsidR="0010566C" w:rsidRPr="00D21365">
        <w:rPr>
          <w:rFonts w:ascii="Arial" w:eastAsia="Arial" w:hAnsi="Arial" w:cs="Arial"/>
          <w:i/>
          <w:iCs/>
          <w:color w:val="000000"/>
          <w:sz w:val="24"/>
          <w:szCs w:val="24"/>
        </w:rPr>
        <w:t>R v Pagett</w:t>
      </w:r>
      <w:r>
        <w:rPr>
          <w:rFonts w:ascii="Arial" w:eastAsia="Arial" w:hAnsi="Arial" w:cs="Arial"/>
          <w:i/>
          <w:iCs/>
          <w:color w:val="000000"/>
          <w:sz w:val="24"/>
          <w:szCs w:val="24"/>
        </w:rPr>
        <w:t>’</w:t>
      </w:r>
      <w:r w:rsidR="0010566C" w:rsidRPr="00D21365">
        <w:rPr>
          <w:rFonts w:ascii="Arial" w:eastAsia="Arial" w:hAnsi="Arial" w:cs="Arial"/>
          <w:color w:val="000000"/>
          <w:sz w:val="24"/>
          <w:szCs w:val="24"/>
        </w:rPr>
        <w:t xml:space="preserve"> (1983) </w:t>
      </w:r>
      <w:r w:rsidR="0010566C" w:rsidRPr="00D21365">
        <w:rPr>
          <w:rFonts w:ascii="Arial" w:eastAsia="Arial" w:hAnsi="Arial" w:cs="Arial"/>
          <w:i/>
          <w:iCs/>
          <w:color w:val="000000"/>
          <w:sz w:val="24"/>
          <w:szCs w:val="24"/>
        </w:rPr>
        <w:t>76 Cr App</w:t>
      </w:r>
      <w:r w:rsidR="00504D34">
        <w:rPr>
          <w:rFonts w:ascii="Arial" w:eastAsia="Arial" w:hAnsi="Arial" w:cs="Arial"/>
          <w:color w:val="000000"/>
          <w:sz w:val="24"/>
          <w:szCs w:val="24"/>
        </w:rPr>
        <w:t>,</w:t>
      </w:r>
      <w:r w:rsidR="0010566C" w:rsidRPr="00D21365">
        <w:rPr>
          <w:rFonts w:ascii="Arial" w:eastAsia="Arial" w:hAnsi="Arial" w:cs="Arial"/>
          <w:color w:val="000000"/>
          <w:sz w:val="24"/>
          <w:szCs w:val="24"/>
        </w:rPr>
        <w:t xml:space="preserve"> R 279</w:t>
      </w:r>
    </w:p>
    <w:p w14:paraId="45E65AB2"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i/>
          <w:iCs/>
          <w:color w:val="000000"/>
          <w:sz w:val="24"/>
          <w:szCs w:val="24"/>
        </w:rPr>
        <w:t>Police Reform Act 2002, c.30.</w:t>
      </w:r>
      <w:r w:rsidRPr="00D21365">
        <w:rPr>
          <w:rFonts w:ascii="Arial" w:eastAsia="Arial" w:hAnsi="Arial" w:cs="Arial"/>
          <w:color w:val="000000"/>
          <w:sz w:val="24"/>
          <w:szCs w:val="24"/>
        </w:rPr>
        <w:t xml:space="preserve"> Available at: </w:t>
      </w:r>
      <w:hyperlink r:id="rId84" w:history="1">
        <w:r w:rsidRPr="00D21365">
          <w:rPr>
            <w:rFonts w:ascii="Arial" w:eastAsia="Arial" w:hAnsi="Arial" w:cs="Arial"/>
            <w:color w:val="0563C1"/>
            <w:sz w:val="24"/>
            <w:szCs w:val="24"/>
            <w:u w:val="single"/>
          </w:rPr>
          <w:t>Police Reform Act 2002 (legislation.gov.uk)</w:t>
        </w:r>
      </w:hyperlink>
      <w:r w:rsidRPr="00D21365">
        <w:rPr>
          <w:rFonts w:ascii="Arial" w:eastAsia="Arial" w:hAnsi="Arial" w:cs="Arial"/>
          <w:color w:val="000000"/>
          <w:sz w:val="24"/>
          <w:szCs w:val="24"/>
        </w:rPr>
        <w:t xml:space="preserve"> (Accessed: 16 April 2022)</w:t>
      </w:r>
    </w:p>
    <w:p w14:paraId="31322985"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i/>
          <w:iCs/>
          <w:color w:val="000000"/>
          <w:sz w:val="24"/>
          <w:szCs w:val="24"/>
        </w:rPr>
        <w:t xml:space="preserve">Police and Criminal Evidence Act 1984 b, C.60., Part 2. </w:t>
      </w:r>
      <w:r w:rsidRPr="00D21365">
        <w:rPr>
          <w:rFonts w:ascii="Arial" w:eastAsia="Arial" w:hAnsi="Arial" w:cs="Arial"/>
          <w:color w:val="000000"/>
          <w:sz w:val="24"/>
          <w:szCs w:val="24"/>
        </w:rPr>
        <w:t xml:space="preserve">Available at: </w:t>
      </w:r>
      <w:hyperlink r:id="rId85" w:history="1">
        <w:r w:rsidRPr="00D21365">
          <w:rPr>
            <w:rFonts w:ascii="Arial" w:eastAsia="Arial" w:hAnsi="Arial" w:cs="Arial"/>
            <w:color w:val="0563C1"/>
            <w:sz w:val="24"/>
            <w:szCs w:val="24"/>
            <w:u w:val="single"/>
          </w:rPr>
          <w:t>Police and Criminal Evidence Act 1984 (legislation.gov.uk)</w:t>
        </w:r>
      </w:hyperlink>
      <w:r w:rsidRPr="00D21365">
        <w:rPr>
          <w:rFonts w:ascii="Arial" w:eastAsia="Arial" w:hAnsi="Arial" w:cs="Arial"/>
          <w:color w:val="000000"/>
          <w:sz w:val="24"/>
          <w:szCs w:val="24"/>
        </w:rPr>
        <w:t xml:space="preserve"> (Accessed: 16 April 2022)</w:t>
      </w:r>
    </w:p>
    <w:p w14:paraId="6C6F9866"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i/>
          <w:iCs/>
          <w:color w:val="000000"/>
          <w:sz w:val="24"/>
          <w:szCs w:val="24"/>
        </w:rPr>
        <w:t xml:space="preserve">Police and Criminal Evidence Act 1984 c, c.60, Part 4. </w:t>
      </w:r>
      <w:r w:rsidRPr="00D21365">
        <w:rPr>
          <w:rFonts w:ascii="Arial" w:eastAsia="Arial" w:hAnsi="Arial" w:cs="Arial"/>
          <w:color w:val="000000"/>
          <w:sz w:val="24"/>
          <w:szCs w:val="24"/>
        </w:rPr>
        <w:t xml:space="preserve">Available at: </w:t>
      </w:r>
      <w:hyperlink r:id="rId86" w:history="1">
        <w:r w:rsidRPr="00D21365">
          <w:rPr>
            <w:rFonts w:ascii="Arial" w:eastAsia="Arial" w:hAnsi="Arial" w:cs="Arial"/>
            <w:color w:val="0563C1"/>
            <w:sz w:val="24"/>
            <w:szCs w:val="24"/>
            <w:u w:val="single"/>
          </w:rPr>
          <w:t>Police and Criminal Evidence Act 1984 (legislation.gov.uk)</w:t>
        </w:r>
      </w:hyperlink>
      <w:r w:rsidRPr="00D21365">
        <w:rPr>
          <w:rFonts w:ascii="Arial" w:eastAsia="Arial" w:hAnsi="Arial" w:cs="Arial"/>
          <w:color w:val="000000"/>
          <w:sz w:val="24"/>
          <w:szCs w:val="24"/>
        </w:rPr>
        <w:t xml:space="preserve"> (Accessed: 16 April 2022)</w:t>
      </w:r>
    </w:p>
    <w:p w14:paraId="10366D08" w14:textId="77777777" w:rsidR="00D21365" w:rsidRPr="00D21365" w:rsidRDefault="00D21365" w:rsidP="00D21365">
      <w:pPr>
        <w:rPr>
          <w:rFonts w:ascii="Arial" w:eastAsia="Arial" w:hAnsi="Arial" w:cs="Arial"/>
          <w:color w:val="000000"/>
          <w:sz w:val="24"/>
          <w:szCs w:val="24"/>
        </w:rPr>
      </w:pPr>
      <w:proofErr w:type="spellStart"/>
      <w:r w:rsidRPr="00D21365">
        <w:rPr>
          <w:rFonts w:ascii="Arial" w:eastAsia="Arial" w:hAnsi="Arial" w:cs="Arial"/>
          <w:color w:val="000000"/>
          <w:sz w:val="24"/>
          <w:szCs w:val="24"/>
        </w:rPr>
        <w:t>Schrieber</w:t>
      </w:r>
      <w:proofErr w:type="spellEnd"/>
      <w:r w:rsidRPr="00D21365">
        <w:rPr>
          <w:rFonts w:ascii="Arial" w:eastAsia="Arial" w:hAnsi="Arial" w:cs="Arial"/>
          <w:color w:val="000000"/>
          <w:sz w:val="24"/>
          <w:szCs w:val="24"/>
        </w:rPr>
        <w:t xml:space="preserve"> N, </w:t>
      </w:r>
      <w:proofErr w:type="spellStart"/>
      <w:r w:rsidRPr="00D21365">
        <w:rPr>
          <w:rFonts w:ascii="Arial" w:eastAsia="Arial" w:hAnsi="Arial" w:cs="Arial"/>
          <w:color w:val="000000"/>
          <w:sz w:val="24"/>
          <w:szCs w:val="24"/>
        </w:rPr>
        <w:t>Bellah</w:t>
      </w:r>
      <w:proofErr w:type="spellEnd"/>
      <w:r w:rsidRPr="00D21365">
        <w:rPr>
          <w:rFonts w:ascii="Arial" w:eastAsia="Arial" w:hAnsi="Arial" w:cs="Arial"/>
          <w:color w:val="000000"/>
          <w:sz w:val="24"/>
          <w:szCs w:val="24"/>
        </w:rPr>
        <w:t xml:space="preserve"> L, Martinez Y, McLaurin K, </w:t>
      </w:r>
      <w:proofErr w:type="spellStart"/>
      <w:r w:rsidRPr="00D21365">
        <w:rPr>
          <w:rFonts w:ascii="Arial" w:eastAsia="Arial" w:hAnsi="Arial" w:cs="Arial"/>
          <w:color w:val="000000"/>
          <w:sz w:val="24"/>
          <w:szCs w:val="24"/>
        </w:rPr>
        <w:t>Strok</w:t>
      </w:r>
      <w:proofErr w:type="spellEnd"/>
      <w:r w:rsidRPr="00D21365">
        <w:rPr>
          <w:rFonts w:ascii="Arial" w:eastAsia="Arial" w:hAnsi="Arial" w:cs="Arial"/>
          <w:color w:val="000000"/>
          <w:sz w:val="24"/>
          <w:szCs w:val="24"/>
        </w:rPr>
        <w:t xml:space="preserve"> R, </w:t>
      </w:r>
      <w:proofErr w:type="spellStart"/>
      <w:r w:rsidRPr="00D21365">
        <w:rPr>
          <w:rFonts w:ascii="Arial" w:eastAsia="Arial" w:hAnsi="Arial" w:cs="Arial"/>
          <w:color w:val="000000"/>
          <w:sz w:val="24"/>
          <w:szCs w:val="24"/>
        </w:rPr>
        <w:t>Garven</w:t>
      </w:r>
      <w:proofErr w:type="spellEnd"/>
      <w:r w:rsidRPr="00D21365">
        <w:rPr>
          <w:rFonts w:ascii="Arial" w:eastAsia="Arial" w:hAnsi="Arial" w:cs="Arial"/>
          <w:color w:val="000000"/>
          <w:sz w:val="24"/>
          <w:szCs w:val="24"/>
        </w:rPr>
        <w:t xml:space="preserve"> S, Wood J. 2006. Suggestive interviewing in the McMartin preschool and Kelly Michaels </w:t>
      </w:r>
      <w:proofErr w:type="spellStart"/>
      <w:r w:rsidRPr="00D21365">
        <w:rPr>
          <w:rFonts w:ascii="Arial" w:eastAsia="Arial" w:hAnsi="Arial" w:cs="Arial"/>
          <w:color w:val="000000"/>
          <w:sz w:val="24"/>
          <w:szCs w:val="24"/>
        </w:rPr>
        <w:t>daycare</w:t>
      </w:r>
      <w:proofErr w:type="spellEnd"/>
      <w:r w:rsidRPr="00D21365">
        <w:rPr>
          <w:rFonts w:ascii="Arial" w:eastAsia="Arial" w:hAnsi="Arial" w:cs="Arial"/>
          <w:color w:val="000000"/>
          <w:sz w:val="24"/>
          <w:szCs w:val="24"/>
        </w:rPr>
        <w:t xml:space="preserve"> abuse cases: A case study. Social Influence 1(1): 16–47.</w:t>
      </w:r>
    </w:p>
    <w:p w14:paraId="130175A5"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 xml:space="preserve">Youth Justice and Criminal Evidence Act 1999, c.23. Available at: </w:t>
      </w:r>
      <w:hyperlink r:id="rId87" w:history="1">
        <w:r w:rsidRPr="00D21365">
          <w:rPr>
            <w:rFonts w:ascii="Arial" w:eastAsia="Arial" w:hAnsi="Arial" w:cs="Arial"/>
            <w:color w:val="0563C1"/>
            <w:sz w:val="24"/>
            <w:szCs w:val="24"/>
            <w:u w:val="single"/>
          </w:rPr>
          <w:t>Youth Justice and Criminal Evidence Act 1999 (legislation.gov.uk)</w:t>
        </w:r>
      </w:hyperlink>
      <w:r w:rsidRPr="00D21365">
        <w:rPr>
          <w:rFonts w:ascii="Arial" w:eastAsia="Arial" w:hAnsi="Arial" w:cs="Arial"/>
          <w:color w:val="000000"/>
          <w:sz w:val="24"/>
          <w:szCs w:val="24"/>
        </w:rPr>
        <w:t xml:space="preserve"> (Accessed: 28 March 2022)</w:t>
      </w:r>
    </w:p>
    <w:p w14:paraId="3A0AF516" w14:textId="77777777" w:rsidR="00D21365" w:rsidRPr="00D21365" w:rsidRDefault="00D21365" w:rsidP="00D21365">
      <w:pPr>
        <w:rPr>
          <w:rFonts w:ascii="Arial" w:eastAsia="Arial" w:hAnsi="Arial" w:cs="Arial"/>
          <w:color w:val="000000"/>
          <w:sz w:val="24"/>
          <w:szCs w:val="24"/>
        </w:rPr>
      </w:pPr>
      <w:r w:rsidRPr="00D21365">
        <w:rPr>
          <w:rFonts w:ascii="Arial" w:eastAsia="Arial" w:hAnsi="Arial" w:cs="Arial"/>
          <w:color w:val="000000"/>
          <w:sz w:val="24"/>
          <w:szCs w:val="24"/>
        </w:rPr>
        <w:t>Walsh. D.W. and Milne. R., (2008) ‘Keeping the PEACE? A study of investigative interviewing practices in the public sector’,</w:t>
      </w:r>
      <w:r w:rsidRPr="00D21365">
        <w:rPr>
          <w:rFonts w:ascii="Arial" w:eastAsia="Arial" w:hAnsi="Arial" w:cs="Arial"/>
          <w:i/>
          <w:iCs/>
          <w:color w:val="000000"/>
          <w:sz w:val="24"/>
          <w:szCs w:val="24"/>
        </w:rPr>
        <w:t xml:space="preserve"> Legal and Criminological Psychology, </w:t>
      </w:r>
      <w:r w:rsidRPr="00D21365">
        <w:rPr>
          <w:rFonts w:ascii="Arial" w:eastAsia="Arial" w:hAnsi="Arial" w:cs="Arial"/>
          <w:color w:val="000000"/>
          <w:sz w:val="24"/>
          <w:szCs w:val="24"/>
        </w:rPr>
        <w:t xml:space="preserve">13:1, Available at: </w:t>
      </w:r>
      <w:hyperlink r:id="rId88" w:history="1">
        <w:r w:rsidRPr="00D21365">
          <w:rPr>
            <w:rFonts w:ascii="Arial" w:eastAsia="Arial" w:hAnsi="Arial" w:cs="Arial"/>
            <w:color w:val="0563C1"/>
            <w:sz w:val="24"/>
            <w:szCs w:val="24"/>
            <w:u w:val="single"/>
          </w:rPr>
          <w:t>https://doi.org/10.1348/135532506X157179</w:t>
        </w:r>
      </w:hyperlink>
      <w:r w:rsidRPr="00D21365">
        <w:rPr>
          <w:rFonts w:ascii="Arial" w:eastAsia="Arial" w:hAnsi="Arial" w:cs="Arial"/>
          <w:color w:val="000000"/>
          <w:sz w:val="24"/>
          <w:szCs w:val="24"/>
        </w:rPr>
        <w:t xml:space="preserve"> (Accessed: 13 April 2022)</w:t>
      </w:r>
    </w:p>
    <w:p w14:paraId="51692508" w14:textId="77777777" w:rsidR="00D21365" w:rsidRPr="00D21365" w:rsidRDefault="00D21365" w:rsidP="00D21365">
      <w:pPr>
        <w:rPr>
          <w:rFonts w:ascii="Calibri" w:eastAsia="Calibri" w:hAnsi="Calibri" w:cs="Times New Roman"/>
        </w:rPr>
      </w:pPr>
    </w:p>
    <w:p w14:paraId="4A6388CF" w14:textId="0A5E74EB" w:rsidR="7336895D" w:rsidRDefault="7336895D" w:rsidP="4651F0B7">
      <w:pPr>
        <w:ind w:right="107"/>
        <w:jc w:val="both"/>
        <w:rPr>
          <w:rFonts w:ascii="Arial" w:eastAsia="Arial" w:hAnsi="Arial" w:cs="Arial"/>
          <w:b/>
          <w:bCs/>
          <w:color w:val="000000" w:themeColor="text1"/>
          <w:sz w:val="24"/>
          <w:szCs w:val="24"/>
        </w:rPr>
      </w:pPr>
    </w:p>
    <w:p w14:paraId="798286C5" w14:textId="3D0C44BD" w:rsidR="2C28128D" w:rsidRDefault="2C28128D" w:rsidP="727E3A7D">
      <w:pPr>
        <w:ind w:right="107"/>
        <w:jc w:val="both"/>
        <w:rPr>
          <w:rFonts w:ascii="Arial" w:eastAsia="Arial" w:hAnsi="Arial" w:cs="Arial"/>
          <w:b/>
          <w:bCs/>
          <w:color w:val="000000" w:themeColor="text1"/>
          <w:sz w:val="24"/>
          <w:szCs w:val="24"/>
        </w:rPr>
      </w:pPr>
      <w:r w:rsidRPr="515A1CF8">
        <w:rPr>
          <w:rFonts w:ascii="Arial" w:eastAsia="Arial" w:hAnsi="Arial" w:cs="Arial"/>
          <w:b/>
          <w:bCs/>
          <w:color w:val="000000" w:themeColor="text1"/>
          <w:sz w:val="24"/>
          <w:szCs w:val="24"/>
        </w:rPr>
        <w:lastRenderedPageBreak/>
        <w:t xml:space="preserve">Task 4: </w:t>
      </w:r>
    </w:p>
    <w:p w14:paraId="670AD109" w14:textId="0C58D35D" w:rsidR="727E3A7D" w:rsidRDefault="62F55F56"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 xml:space="preserve">You must choose an investigation in which you played a significant role and reflect upon how you completed </w:t>
      </w:r>
      <w:r w:rsidR="1BCE5E2F" w:rsidRPr="79283025">
        <w:rPr>
          <w:rFonts w:ascii="Arial" w:eastAsia="Arial" w:hAnsi="Arial" w:cs="Arial"/>
          <w:b/>
          <w:bCs/>
          <w:color w:val="000000" w:themeColor="text1"/>
          <w:sz w:val="24"/>
          <w:szCs w:val="24"/>
        </w:rPr>
        <w:t xml:space="preserve">relevant documentation in relation to the investigation. </w:t>
      </w:r>
      <w:r w:rsidRPr="79283025">
        <w:rPr>
          <w:rFonts w:ascii="Arial" w:eastAsia="Arial" w:hAnsi="Arial" w:cs="Arial"/>
          <w:b/>
          <w:bCs/>
          <w:color w:val="000000" w:themeColor="text1"/>
          <w:sz w:val="24"/>
          <w:szCs w:val="24"/>
        </w:rPr>
        <w:t xml:space="preserve"> </w:t>
      </w:r>
    </w:p>
    <w:p w14:paraId="043F77C6" w14:textId="31460884" w:rsidR="727E3A7D" w:rsidRDefault="727E3A7D" w:rsidP="515A1CF8">
      <w:pPr>
        <w:ind w:right="107"/>
        <w:jc w:val="both"/>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2EA4F0B4" w14:textId="77777777" w:rsidTr="79283025">
        <w:tc>
          <w:tcPr>
            <w:tcW w:w="9015" w:type="dxa"/>
          </w:tcPr>
          <w:p w14:paraId="7A93F489" w14:textId="7BC461DC" w:rsidR="7336895D" w:rsidRDefault="7336895D" w:rsidP="7336895D">
            <w:pPr>
              <w:rPr>
                <w:rFonts w:ascii="Arial" w:eastAsia="Arial" w:hAnsi="Arial" w:cs="Arial"/>
                <w:b/>
                <w:bCs/>
                <w:color w:val="000000" w:themeColor="text1"/>
                <w:sz w:val="24"/>
                <w:szCs w:val="24"/>
              </w:rPr>
            </w:pPr>
          </w:p>
          <w:p w14:paraId="1C3A3649" w14:textId="760D530E" w:rsidR="7336895D" w:rsidRDefault="71E6567F" w:rsidP="515A1CF8">
            <w:pPr>
              <w:rPr>
                <w:rFonts w:ascii="Arial" w:eastAsia="Arial" w:hAnsi="Arial" w:cs="Arial"/>
                <w:sz w:val="24"/>
                <w:szCs w:val="24"/>
              </w:rPr>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w:t>
            </w:r>
          </w:p>
          <w:p w14:paraId="5F57507B" w14:textId="0E8132B1" w:rsidR="7336895D" w:rsidRDefault="7336895D" w:rsidP="515A1CF8">
            <w:pPr>
              <w:rPr>
                <w:rFonts w:ascii="Arial" w:eastAsia="Arial" w:hAnsi="Arial" w:cs="Arial"/>
                <w:b/>
                <w:bCs/>
                <w:color w:val="000000" w:themeColor="text1"/>
                <w:sz w:val="24"/>
                <w:szCs w:val="24"/>
              </w:rPr>
            </w:pPr>
          </w:p>
          <w:p w14:paraId="6B21309E" w14:textId="4874545E" w:rsidR="7336895D" w:rsidRDefault="71E6567F" w:rsidP="515A1CF8">
            <w:pPr>
              <w:rPr>
                <w:rFonts w:ascii="Arial" w:eastAsia="Arial" w:hAnsi="Arial" w:cs="Arial"/>
                <w:color w:val="000000" w:themeColor="text1"/>
                <w:sz w:val="24"/>
                <w:szCs w:val="24"/>
              </w:rPr>
            </w:pPr>
            <w:r w:rsidRPr="515A1CF8">
              <w:rPr>
                <w:rFonts w:ascii="Arial" w:eastAsia="Arial" w:hAnsi="Arial" w:cs="Arial"/>
                <w:b/>
                <w:bCs/>
                <w:color w:val="000000" w:themeColor="text1"/>
                <w:sz w:val="24"/>
                <w:szCs w:val="24"/>
              </w:rPr>
              <w:t>Consider and reflect</w:t>
            </w:r>
            <w:r w:rsidRPr="515A1CF8">
              <w:rPr>
                <w:rFonts w:ascii="Arial" w:eastAsia="Arial" w:hAnsi="Arial" w:cs="Arial"/>
                <w:color w:val="000000" w:themeColor="text1"/>
                <w:sz w:val="24"/>
                <w:szCs w:val="24"/>
              </w:rPr>
              <w:t xml:space="preserve"> upon how you analysed, </w:t>
            </w:r>
            <w:proofErr w:type="gramStart"/>
            <w:r w:rsidRPr="515A1CF8">
              <w:rPr>
                <w:rFonts w:ascii="Arial" w:eastAsia="Arial" w:hAnsi="Arial" w:cs="Arial"/>
                <w:color w:val="000000" w:themeColor="text1"/>
                <w:sz w:val="24"/>
                <w:szCs w:val="24"/>
              </w:rPr>
              <w:t>assessed</w:t>
            </w:r>
            <w:proofErr w:type="gramEnd"/>
            <w:r w:rsidRPr="515A1CF8">
              <w:rPr>
                <w:rFonts w:ascii="Arial" w:eastAsia="Arial" w:hAnsi="Arial" w:cs="Arial"/>
                <w:color w:val="000000" w:themeColor="text1"/>
                <w:sz w:val="24"/>
                <w:szCs w:val="24"/>
              </w:rPr>
              <w:t xml:space="preserve"> and eva</w:t>
            </w:r>
            <w:r w:rsidR="47AD346D" w:rsidRPr="515A1CF8">
              <w:rPr>
                <w:rFonts w:ascii="Arial" w:eastAsia="Arial" w:hAnsi="Arial" w:cs="Arial"/>
                <w:color w:val="000000" w:themeColor="text1"/>
                <w:sz w:val="24"/>
                <w:szCs w:val="24"/>
              </w:rPr>
              <w:t>luated</w:t>
            </w:r>
            <w:r w:rsidRPr="515A1CF8">
              <w:rPr>
                <w:rFonts w:ascii="Arial" w:eastAsia="Arial" w:hAnsi="Arial" w:cs="Arial"/>
                <w:color w:val="000000" w:themeColor="text1"/>
                <w:sz w:val="24"/>
                <w:szCs w:val="24"/>
              </w:rPr>
              <w:t xml:space="preserve"> material generated by the investigation to identify offenders. </w:t>
            </w:r>
          </w:p>
          <w:p w14:paraId="1AD5BD42" w14:textId="6FB07CD9" w:rsidR="7336895D" w:rsidRDefault="7336895D" w:rsidP="515A1CF8">
            <w:pPr>
              <w:rPr>
                <w:rFonts w:ascii="Arial" w:eastAsia="Arial" w:hAnsi="Arial" w:cs="Arial"/>
                <w:b/>
                <w:bCs/>
                <w:color w:val="000000" w:themeColor="text1"/>
                <w:sz w:val="24"/>
                <w:szCs w:val="24"/>
              </w:rPr>
            </w:pPr>
          </w:p>
          <w:p w14:paraId="0C5A1992" w14:textId="41443326" w:rsidR="7336895D" w:rsidRDefault="47C3B256"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Illustrate</w:t>
            </w:r>
            <w:r w:rsidR="07F1D9CE" w:rsidRPr="79283025">
              <w:rPr>
                <w:rFonts w:ascii="Arial" w:eastAsia="Arial" w:hAnsi="Arial" w:cs="Arial"/>
                <w:b/>
                <w:bCs/>
                <w:i/>
                <w:iCs/>
                <w:color w:val="000000" w:themeColor="text1"/>
                <w:sz w:val="24"/>
                <w:szCs w:val="24"/>
              </w:rPr>
              <w:t xml:space="preserve"> </w:t>
            </w:r>
            <w:r w:rsidR="07F1D9CE" w:rsidRPr="79283025">
              <w:rPr>
                <w:rFonts w:ascii="Arial" w:eastAsia="Arial" w:hAnsi="Arial" w:cs="Arial"/>
                <w:color w:val="000000" w:themeColor="text1"/>
                <w:sz w:val="24"/>
                <w:szCs w:val="24"/>
              </w:rPr>
              <w:t xml:space="preserve">how you have </w:t>
            </w:r>
            <w:r w:rsidR="0E8B2F99" w:rsidRPr="79283025">
              <w:rPr>
                <w:rFonts w:ascii="Arial" w:eastAsia="Arial" w:hAnsi="Arial" w:cs="Arial"/>
                <w:color w:val="000000" w:themeColor="text1"/>
                <w:sz w:val="24"/>
                <w:szCs w:val="24"/>
              </w:rPr>
              <w:t>ensured</w:t>
            </w:r>
            <w:r w:rsidR="07F1D9CE" w:rsidRPr="79283025">
              <w:rPr>
                <w:rFonts w:ascii="Arial" w:eastAsia="Arial" w:hAnsi="Arial" w:cs="Arial"/>
                <w:color w:val="000000" w:themeColor="text1"/>
                <w:sz w:val="24"/>
                <w:szCs w:val="24"/>
              </w:rPr>
              <w:t xml:space="preserve"> all material, including exhibits generated were seized, </w:t>
            </w:r>
            <w:proofErr w:type="gramStart"/>
            <w:r w:rsidR="07F1D9CE" w:rsidRPr="79283025">
              <w:rPr>
                <w:rFonts w:ascii="Arial" w:eastAsia="Arial" w:hAnsi="Arial" w:cs="Arial"/>
                <w:color w:val="000000" w:themeColor="text1"/>
                <w:sz w:val="24"/>
                <w:szCs w:val="24"/>
              </w:rPr>
              <w:t>examined</w:t>
            </w:r>
            <w:proofErr w:type="gramEnd"/>
            <w:r w:rsidR="07F1D9CE" w:rsidRPr="79283025">
              <w:rPr>
                <w:rFonts w:ascii="Arial" w:eastAsia="Arial" w:hAnsi="Arial" w:cs="Arial"/>
                <w:color w:val="000000" w:themeColor="text1"/>
                <w:sz w:val="24"/>
                <w:szCs w:val="24"/>
              </w:rPr>
              <w:t xml:space="preserve"> and retained in </w:t>
            </w:r>
            <w:r w:rsidR="4EB5FE6F" w:rsidRPr="79283025">
              <w:rPr>
                <w:rFonts w:ascii="Arial" w:eastAsia="Arial" w:hAnsi="Arial" w:cs="Arial"/>
                <w:color w:val="000000" w:themeColor="text1"/>
                <w:sz w:val="24"/>
                <w:szCs w:val="24"/>
              </w:rPr>
              <w:t>accordance</w:t>
            </w:r>
            <w:r w:rsidR="07F1D9CE" w:rsidRPr="79283025">
              <w:rPr>
                <w:rFonts w:ascii="Arial" w:eastAsia="Arial" w:hAnsi="Arial" w:cs="Arial"/>
                <w:color w:val="000000" w:themeColor="text1"/>
                <w:sz w:val="24"/>
                <w:szCs w:val="24"/>
              </w:rPr>
              <w:t xml:space="preserve"> with </w:t>
            </w:r>
            <w:r w:rsidR="1B0A8F4D" w:rsidRPr="79283025">
              <w:rPr>
                <w:rFonts w:ascii="Arial" w:eastAsia="Arial" w:hAnsi="Arial" w:cs="Arial"/>
                <w:color w:val="000000" w:themeColor="text1"/>
                <w:sz w:val="24"/>
                <w:szCs w:val="24"/>
              </w:rPr>
              <w:t>legalisation</w:t>
            </w:r>
            <w:r w:rsidR="07F1D9CE" w:rsidRPr="79283025">
              <w:rPr>
                <w:rFonts w:ascii="Arial" w:eastAsia="Arial" w:hAnsi="Arial" w:cs="Arial"/>
                <w:color w:val="000000" w:themeColor="text1"/>
                <w:sz w:val="24"/>
                <w:szCs w:val="24"/>
              </w:rPr>
              <w:t xml:space="preserve"> and policy where neces</w:t>
            </w:r>
            <w:r w:rsidR="7C0879D3" w:rsidRPr="79283025">
              <w:rPr>
                <w:rFonts w:ascii="Arial" w:eastAsia="Arial" w:hAnsi="Arial" w:cs="Arial"/>
                <w:color w:val="000000" w:themeColor="text1"/>
                <w:sz w:val="24"/>
                <w:szCs w:val="24"/>
              </w:rPr>
              <w:t>sary</w:t>
            </w:r>
            <w:r w:rsidR="5B2B94AB" w:rsidRPr="79283025">
              <w:rPr>
                <w:rFonts w:ascii="Arial" w:eastAsia="Arial" w:hAnsi="Arial" w:cs="Arial"/>
                <w:color w:val="000000" w:themeColor="text1"/>
                <w:sz w:val="24"/>
                <w:szCs w:val="24"/>
              </w:rPr>
              <w:t xml:space="preserve"> (e.g., compliance with CPIA, PACE). </w:t>
            </w:r>
          </w:p>
          <w:p w14:paraId="0CE4EFFF" w14:textId="01396730" w:rsidR="7336895D" w:rsidRDefault="7336895D" w:rsidP="515A1CF8">
            <w:pPr>
              <w:rPr>
                <w:rFonts w:ascii="Arial" w:eastAsia="Arial" w:hAnsi="Arial" w:cs="Arial"/>
                <w:color w:val="000000" w:themeColor="text1"/>
                <w:sz w:val="24"/>
                <w:szCs w:val="24"/>
              </w:rPr>
            </w:pPr>
          </w:p>
          <w:p w14:paraId="11E2E085" w14:textId="26AC1966" w:rsidR="7336895D" w:rsidRDefault="2D7CBB53" w:rsidP="79283025">
            <w:pPr>
              <w:rPr>
                <w:rFonts w:ascii="Arial" w:eastAsia="Arial" w:hAnsi="Arial" w:cs="Arial"/>
                <w:color w:val="000000" w:themeColor="text1"/>
                <w:sz w:val="24"/>
                <w:szCs w:val="24"/>
              </w:rPr>
            </w:pPr>
            <w:r w:rsidRPr="79283025">
              <w:rPr>
                <w:rFonts w:ascii="Arial" w:eastAsia="Arial" w:hAnsi="Arial" w:cs="Arial"/>
                <w:b/>
                <w:bCs/>
                <w:color w:val="000000" w:themeColor="text1"/>
                <w:sz w:val="24"/>
                <w:szCs w:val="24"/>
              </w:rPr>
              <w:t>Evaluate</w:t>
            </w:r>
            <w:r w:rsidR="757097C1" w:rsidRPr="79283025">
              <w:rPr>
                <w:rFonts w:ascii="Arial" w:eastAsia="Arial" w:hAnsi="Arial" w:cs="Arial"/>
                <w:color w:val="000000" w:themeColor="text1"/>
                <w:sz w:val="24"/>
                <w:szCs w:val="24"/>
              </w:rPr>
              <w:t xml:space="preserve"> </w:t>
            </w:r>
            <w:r w:rsidR="11059299" w:rsidRPr="79283025">
              <w:rPr>
                <w:rFonts w:ascii="Arial" w:eastAsia="Arial" w:hAnsi="Arial" w:cs="Arial"/>
                <w:color w:val="000000" w:themeColor="text1"/>
                <w:sz w:val="24"/>
                <w:szCs w:val="24"/>
              </w:rPr>
              <w:t>how you</w:t>
            </w:r>
            <w:r w:rsidR="757097C1" w:rsidRPr="79283025">
              <w:rPr>
                <w:rFonts w:ascii="Arial" w:eastAsia="Arial" w:hAnsi="Arial" w:cs="Arial"/>
                <w:color w:val="000000" w:themeColor="text1"/>
                <w:sz w:val="24"/>
                <w:szCs w:val="24"/>
              </w:rPr>
              <w:t xml:space="preserve"> </w:t>
            </w:r>
            <w:r w:rsidR="6C21A084" w:rsidRPr="79283025">
              <w:rPr>
                <w:rFonts w:ascii="Arial" w:eastAsia="Arial" w:hAnsi="Arial" w:cs="Arial"/>
                <w:color w:val="000000" w:themeColor="text1"/>
                <w:sz w:val="24"/>
                <w:szCs w:val="24"/>
              </w:rPr>
              <w:t>preprepared</w:t>
            </w:r>
            <w:r w:rsidR="200B16CF" w:rsidRPr="79283025">
              <w:rPr>
                <w:rFonts w:ascii="Arial" w:eastAsia="Arial" w:hAnsi="Arial" w:cs="Arial"/>
                <w:color w:val="000000" w:themeColor="text1"/>
                <w:sz w:val="24"/>
                <w:szCs w:val="24"/>
              </w:rPr>
              <w:t xml:space="preserve"> report</w:t>
            </w:r>
            <w:r w:rsidR="7A7659B0" w:rsidRPr="79283025">
              <w:rPr>
                <w:rFonts w:ascii="Arial" w:eastAsia="Arial" w:hAnsi="Arial" w:cs="Arial"/>
                <w:color w:val="000000" w:themeColor="text1"/>
                <w:sz w:val="24"/>
                <w:szCs w:val="24"/>
              </w:rPr>
              <w:t>s</w:t>
            </w:r>
            <w:r w:rsidR="200B16CF" w:rsidRPr="79283025">
              <w:rPr>
                <w:rFonts w:ascii="Arial" w:eastAsia="Arial" w:hAnsi="Arial" w:cs="Arial"/>
                <w:color w:val="000000" w:themeColor="text1"/>
                <w:sz w:val="24"/>
                <w:szCs w:val="24"/>
              </w:rPr>
              <w:t xml:space="preserve"> </w:t>
            </w:r>
            <w:r w:rsidR="48A186CC" w:rsidRPr="79283025">
              <w:rPr>
                <w:rFonts w:ascii="Arial" w:eastAsia="Arial" w:hAnsi="Arial" w:cs="Arial"/>
                <w:color w:val="000000" w:themeColor="text1"/>
                <w:sz w:val="24"/>
                <w:szCs w:val="24"/>
              </w:rPr>
              <w:t>detailing</w:t>
            </w:r>
            <w:r w:rsidR="757097C1" w:rsidRPr="79283025">
              <w:rPr>
                <w:rFonts w:ascii="Arial" w:eastAsia="Arial" w:hAnsi="Arial" w:cs="Arial"/>
                <w:color w:val="000000" w:themeColor="text1"/>
                <w:sz w:val="24"/>
                <w:szCs w:val="24"/>
              </w:rPr>
              <w:t xml:space="preserve"> the </w:t>
            </w:r>
            <w:r w:rsidR="2AFF0D61" w:rsidRPr="79283025">
              <w:rPr>
                <w:rFonts w:ascii="Arial" w:eastAsia="Arial" w:hAnsi="Arial" w:cs="Arial"/>
                <w:color w:val="000000" w:themeColor="text1"/>
                <w:sz w:val="24"/>
                <w:szCs w:val="24"/>
              </w:rPr>
              <w:t>investigation</w:t>
            </w:r>
            <w:r w:rsidR="757097C1" w:rsidRPr="79283025">
              <w:rPr>
                <w:rFonts w:ascii="Arial" w:eastAsia="Arial" w:hAnsi="Arial" w:cs="Arial"/>
                <w:color w:val="000000" w:themeColor="text1"/>
                <w:sz w:val="24"/>
                <w:szCs w:val="24"/>
              </w:rPr>
              <w:t xml:space="preserve"> and</w:t>
            </w:r>
            <w:r w:rsidR="7E4CFF6C" w:rsidRPr="79283025">
              <w:rPr>
                <w:rFonts w:ascii="Arial" w:eastAsia="Arial" w:hAnsi="Arial" w:cs="Arial"/>
                <w:color w:val="000000" w:themeColor="text1"/>
                <w:sz w:val="24"/>
                <w:szCs w:val="24"/>
              </w:rPr>
              <w:t xml:space="preserve"> the management of</w:t>
            </w:r>
            <w:r w:rsidR="757097C1" w:rsidRPr="79283025">
              <w:rPr>
                <w:rFonts w:ascii="Arial" w:eastAsia="Arial" w:hAnsi="Arial" w:cs="Arial"/>
                <w:color w:val="000000" w:themeColor="text1"/>
                <w:sz w:val="24"/>
                <w:szCs w:val="24"/>
              </w:rPr>
              <w:t xml:space="preserve"> case files. Examine how you have conducted disclosure with best</w:t>
            </w:r>
            <w:r w:rsidR="3801623A" w:rsidRPr="79283025">
              <w:rPr>
                <w:rFonts w:ascii="Arial" w:eastAsia="Arial" w:hAnsi="Arial" w:cs="Arial"/>
                <w:color w:val="000000" w:themeColor="text1"/>
                <w:sz w:val="24"/>
                <w:szCs w:val="24"/>
              </w:rPr>
              <w:t xml:space="preserve"> practice procedures</w:t>
            </w:r>
            <w:r w:rsidR="757097C1" w:rsidRPr="79283025">
              <w:rPr>
                <w:rFonts w:ascii="Arial" w:eastAsia="Arial" w:hAnsi="Arial" w:cs="Arial"/>
                <w:color w:val="000000" w:themeColor="text1"/>
                <w:sz w:val="24"/>
                <w:szCs w:val="24"/>
              </w:rPr>
              <w:t xml:space="preserve"> </w:t>
            </w:r>
            <w:r w:rsidR="2FAF6BDD" w:rsidRPr="79283025">
              <w:rPr>
                <w:rFonts w:ascii="Arial" w:eastAsia="Arial" w:hAnsi="Arial" w:cs="Arial"/>
                <w:color w:val="000000" w:themeColor="text1"/>
                <w:sz w:val="24"/>
                <w:szCs w:val="24"/>
              </w:rPr>
              <w:t xml:space="preserve">while creating an accurate audit trail. </w:t>
            </w:r>
          </w:p>
          <w:p w14:paraId="67BF1FCF" w14:textId="6D84F58A" w:rsidR="7336895D" w:rsidRDefault="7336895D" w:rsidP="515A1CF8">
            <w:pPr>
              <w:rPr>
                <w:rFonts w:ascii="Arial" w:eastAsia="Arial" w:hAnsi="Arial" w:cs="Arial"/>
                <w:color w:val="000000" w:themeColor="text1"/>
                <w:sz w:val="24"/>
                <w:szCs w:val="24"/>
              </w:rPr>
            </w:pPr>
          </w:p>
          <w:p w14:paraId="7CB0C751" w14:textId="19B391A0" w:rsidR="7336895D" w:rsidRDefault="7336895D" w:rsidP="515A1CF8">
            <w:pPr>
              <w:rPr>
                <w:rFonts w:ascii="Arial" w:eastAsia="Arial" w:hAnsi="Arial" w:cs="Arial"/>
                <w:color w:val="000000" w:themeColor="text1"/>
                <w:sz w:val="24"/>
                <w:szCs w:val="24"/>
              </w:rPr>
            </w:pPr>
          </w:p>
          <w:p w14:paraId="216B3065" w14:textId="259E893E" w:rsidR="7336895D" w:rsidRDefault="7F89359F" w:rsidP="515A1CF8">
            <w:pPr>
              <w:rPr>
                <w:rFonts w:ascii="Arial" w:eastAsia="Arial" w:hAnsi="Arial" w:cs="Arial"/>
                <w:sz w:val="24"/>
                <w:szCs w:val="24"/>
              </w:rPr>
            </w:pPr>
            <w:r w:rsidRPr="515A1CF8">
              <w:rPr>
                <w:rFonts w:ascii="Arial" w:eastAsia="Arial" w:hAnsi="Arial" w:cs="Arial"/>
                <w:color w:val="000000" w:themeColor="text1"/>
                <w:sz w:val="24"/>
                <w:szCs w:val="24"/>
              </w:rPr>
              <w:t xml:space="preserve">2000 words </w:t>
            </w:r>
            <w:r w:rsidRPr="515A1CF8">
              <w:rPr>
                <w:rFonts w:ascii="Arial" w:eastAsia="Arial" w:hAnsi="Arial" w:cs="Arial"/>
                <w:i/>
                <w:iCs/>
                <w:color w:val="000000" w:themeColor="text1"/>
                <w:sz w:val="24"/>
                <w:szCs w:val="24"/>
              </w:rPr>
              <w:t>(+/- 10%: include your actual word count at the end of each section)</w:t>
            </w:r>
          </w:p>
          <w:p w14:paraId="38ED2511" w14:textId="56BB44F2" w:rsidR="7336895D" w:rsidRDefault="7336895D" w:rsidP="727E3A7D">
            <w:pPr>
              <w:rPr>
                <w:rFonts w:ascii="Arial" w:eastAsia="Arial" w:hAnsi="Arial" w:cs="Arial"/>
                <w:b/>
                <w:bCs/>
                <w:color w:val="000000" w:themeColor="text1"/>
                <w:sz w:val="24"/>
                <w:szCs w:val="24"/>
              </w:rPr>
            </w:pPr>
          </w:p>
          <w:p w14:paraId="3D7DFF00" w14:textId="1E121A87" w:rsidR="7336895D" w:rsidRDefault="7336895D" w:rsidP="7336895D">
            <w:pPr>
              <w:rPr>
                <w:rFonts w:ascii="Arial" w:eastAsia="Arial" w:hAnsi="Arial" w:cs="Arial"/>
                <w:b/>
                <w:bCs/>
                <w:color w:val="000000" w:themeColor="text1"/>
                <w:sz w:val="24"/>
                <w:szCs w:val="24"/>
              </w:rPr>
            </w:pPr>
          </w:p>
        </w:tc>
      </w:tr>
    </w:tbl>
    <w:p w14:paraId="3654981D" w14:textId="160C180F" w:rsidR="7336895D" w:rsidRDefault="7336895D" w:rsidP="7336895D">
      <w:pPr>
        <w:ind w:left="3600" w:right="107" w:firstLine="720"/>
        <w:jc w:val="both"/>
        <w:rPr>
          <w:rFonts w:ascii="Arial" w:eastAsia="Arial" w:hAnsi="Arial" w:cs="Arial"/>
          <w:b/>
          <w:bCs/>
          <w:color w:val="000000" w:themeColor="text1"/>
          <w:sz w:val="24"/>
          <w:szCs w:val="24"/>
        </w:rPr>
      </w:pPr>
    </w:p>
    <w:p w14:paraId="5D869687" w14:textId="60FB5D3B" w:rsidR="7336895D" w:rsidRDefault="7336895D" w:rsidP="727E3A7D">
      <w:pPr>
        <w:ind w:right="237"/>
        <w:jc w:val="both"/>
        <w:rPr>
          <w:rFonts w:ascii="Arial" w:eastAsia="Arial" w:hAnsi="Arial" w:cs="Arial"/>
          <w:color w:val="000000" w:themeColor="text1"/>
          <w:sz w:val="24"/>
          <w:szCs w:val="24"/>
        </w:rPr>
      </w:pPr>
    </w:p>
    <w:p w14:paraId="6E55FE88" w14:textId="1C090336" w:rsidR="7336895D" w:rsidRDefault="1EC85EE7" w:rsidP="727E3A7D">
      <w:pPr>
        <w:ind w:right="237"/>
        <w:jc w:val="both"/>
        <w:rPr>
          <w:rFonts w:ascii="Arial" w:eastAsia="Arial" w:hAnsi="Arial" w:cs="Arial"/>
          <w:color w:val="000000" w:themeColor="text1"/>
          <w:sz w:val="24"/>
          <w:szCs w:val="24"/>
        </w:rPr>
      </w:pPr>
      <w:r w:rsidRPr="727E3A7D">
        <w:rPr>
          <w:rFonts w:ascii="Arial" w:eastAsia="Arial" w:hAnsi="Arial" w:cs="Arial"/>
          <w:b/>
          <w:bCs/>
          <w:color w:val="000000" w:themeColor="text1"/>
          <w:sz w:val="24"/>
          <w:szCs w:val="24"/>
        </w:rPr>
        <w:t>ANSWER:</w:t>
      </w:r>
    </w:p>
    <w:p w14:paraId="3795FF30"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Give a brief description of the investigation including social and legislative contexts and any relevant cultural, ethnicity and language issues</w:t>
      </w:r>
    </w:p>
    <w:p w14:paraId="106BA045"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Background</w:t>
      </w:r>
    </w:p>
    <w:p w14:paraId="0BF023A7"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The investigation relates to an allegation of rape by use of a “date rape” drug that resulted in significant injuries to the victim and a suspect being convicted for Grievous Bodily Harm (</w:t>
      </w:r>
      <w:bookmarkStart w:id="4" w:name="_Hlk101434386"/>
      <w:r w:rsidRPr="00A661E7">
        <w:rPr>
          <w:rFonts w:ascii="Arial" w:eastAsia="Arial" w:hAnsi="Arial" w:cs="Arial"/>
          <w:i/>
          <w:iCs/>
          <w:color w:val="000000"/>
          <w:sz w:val="24"/>
          <w:szCs w:val="24"/>
        </w:rPr>
        <w:t>Offences against the Person Act 1861</w:t>
      </w:r>
      <w:bookmarkEnd w:id="4"/>
      <w:r w:rsidRPr="00A661E7">
        <w:rPr>
          <w:rFonts w:ascii="Arial" w:eastAsia="Arial" w:hAnsi="Arial" w:cs="Arial"/>
          <w:i/>
          <w:iCs/>
          <w:color w:val="000000"/>
          <w:sz w:val="24"/>
          <w:szCs w:val="24"/>
        </w:rPr>
        <w:t>)</w:t>
      </w:r>
      <w:r w:rsidRPr="00A661E7">
        <w:rPr>
          <w:rFonts w:ascii="Arial" w:eastAsia="Arial" w:hAnsi="Arial" w:cs="Arial"/>
          <w:color w:val="000000"/>
          <w:sz w:val="24"/>
          <w:szCs w:val="24"/>
        </w:rPr>
        <w:t xml:space="preserve"> and Sexual Assault (</w:t>
      </w:r>
      <w:r w:rsidRPr="00A661E7">
        <w:rPr>
          <w:rFonts w:ascii="Arial" w:eastAsia="Arial" w:hAnsi="Arial" w:cs="Arial"/>
          <w:i/>
          <w:iCs/>
          <w:color w:val="000000"/>
          <w:sz w:val="24"/>
          <w:szCs w:val="24"/>
        </w:rPr>
        <w:t>Sexual Offences Act 2003)</w:t>
      </w:r>
      <w:r w:rsidRPr="00A661E7">
        <w:rPr>
          <w:rFonts w:ascii="Arial" w:eastAsia="Arial" w:hAnsi="Arial" w:cs="Arial"/>
          <w:color w:val="000000"/>
          <w:sz w:val="24"/>
          <w:szCs w:val="24"/>
        </w:rPr>
        <w:t xml:space="preserve">. </w:t>
      </w:r>
    </w:p>
    <w:p w14:paraId="1694741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The victim attended hospital with internal injuries but did not disclose how they occurred and was discharged with minor pain relief. Later complications from the injuries resulted in surgery where part of her internal organs </w:t>
      </w:r>
      <w:proofErr w:type="gramStart"/>
      <w:r w:rsidRPr="00A661E7">
        <w:rPr>
          <w:rFonts w:ascii="Arial" w:eastAsia="Arial" w:hAnsi="Arial" w:cs="Arial"/>
          <w:color w:val="000000"/>
          <w:sz w:val="24"/>
          <w:szCs w:val="24"/>
        </w:rPr>
        <w:t>were</w:t>
      </w:r>
      <w:proofErr w:type="gramEnd"/>
      <w:r w:rsidRPr="00A661E7">
        <w:rPr>
          <w:rFonts w:ascii="Arial" w:eastAsia="Arial" w:hAnsi="Arial" w:cs="Arial"/>
          <w:color w:val="000000"/>
          <w:sz w:val="24"/>
          <w:szCs w:val="24"/>
        </w:rPr>
        <w:t xml:space="preserve"> removed with life changing consequences.</w:t>
      </w:r>
    </w:p>
    <w:p w14:paraId="5835851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Key challenges within the investigation related to an unknown suspect from the outset and a very vague account from a victim who was unable to recall events during the relevant time. She was a married person which made open discussions </w:t>
      </w:r>
      <w:r w:rsidRPr="00A661E7">
        <w:rPr>
          <w:rFonts w:ascii="Arial" w:eastAsia="Arial" w:hAnsi="Arial" w:cs="Arial"/>
          <w:color w:val="000000"/>
          <w:sz w:val="24"/>
          <w:szCs w:val="24"/>
        </w:rPr>
        <w:lastRenderedPageBreak/>
        <w:t xml:space="preserve">very difficult knowing the detail around the offence would eventually be disclosed if the case was tried. </w:t>
      </w:r>
    </w:p>
    <w:p w14:paraId="183ED5AA"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Due to the suspected use of date rape drugs, timeframes were critical as well as acknowledging the ongoing risk to other females within the community. Further hurdles related to a well-respected community licensed premises at the centre of the investigation, whose committee insisted on the investigation within their premises being conducted in Welsh and reluctance on their part to support the investigation through fear of bringing adverse publicity.  </w:t>
      </w:r>
    </w:p>
    <w:p w14:paraId="3D97913B" w14:textId="77777777" w:rsidR="00A661E7" w:rsidRPr="00A661E7" w:rsidRDefault="00A661E7" w:rsidP="00A661E7">
      <w:pPr>
        <w:rPr>
          <w:rFonts w:ascii="Arial" w:eastAsia="Arial" w:hAnsi="Arial" w:cs="Arial"/>
          <w:b/>
          <w:bCs/>
          <w:color w:val="000000"/>
          <w:sz w:val="24"/>
          <w:szCs w:val="24"/>
        </w:rPr>
      </w:pPr>
    </w:p>
    <w:p w14:paraId="7AAB604B"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 xml:space="preserve">Consider and reflect upon how you analysed, </w:t>
      </w:r>
      <w:proofErr w:type="gramStart"/>
      <w:r w:rsidRPr="00A661E7">
        <w:rPr>
          <w:rFonts w:ascii="Arial" w:eastAsia="Arial" w:hAnsi="Arial" w:cs="Arial"/>
          <w:b/>
          <w:bCs/>
          <w:color w:val="000000"/>
          <w:sz w:val="24"/>
          <w:szCs w:val="24"/>
        </w:rPr>
        <w:t>assessed</w:t>
      </w:r>
      <w:proofErr w:type="gramEnd"/>
      <w:r w:rsidRPr="00A661E7">
        <w:rPr>
          <w:rFonts w:ascii="Arial" w:eastAsia="Arial" w:hAnsi="Arial" w:cs="Arial"/>
          <w:b/>
          <w:bCs/>
          <w:color w:val="000000"/>
          <w:sz w:val="24"/>
          <w:szCs w:val="24"/>
        </w:rPr>
        <w:t xml:space="preserve"> and evaluated material generated by the investigation to identify offenders. </w:t>
      </w:r>
    </w:p>
    <w:p w14:paraId="1B9A119D" w14:textId="77777777" w:rsidR="00A661E7" w:rsidRPr="00A661E7" w:rsidRDefault="00A661E7" w:rsidP="00A661E7">
      <w:pPr>
        <w:rPr>
          <w:rFonts w:ascii="Arial" w:eastAsia="Arial" w:hAnsi="Arial" w:cs="Arial"/>
          <w:color w:val="000000"/>
          <w:sz w:val="24"/>
          <w:szCs w:val="24"/>
        </w:rPr>
      </w:pPr>
      <w:proofErr w:type="spellStart"/>
      <w:r w:rsidRPr="00A661E7">
        <w:rPr>
          <w:rFonts w:ascii="Arial" w:eastAsia="Arial" w:hAnsi="Arial" w:cs="Arial"/>
          <w:color w:val="000000"/>
          <w:sz w:val="24"/>
          <w:szCs w:val="24"/>
        </w:rPr>
        <w:t>Borton’s</w:t>
      </w:r>
      <w:proofErr w:type="spellEnd"/>
      <w:r w:rsidRPr="00A661E7">
        <w:rPr>
          <w:rFonts w:ascii="Arial" w:eastAsia="Arial" w:hAnsi="Arial" w:cs="Arial"/>
          <w:color w:val="000000"/>
          <w:sz w:val="24"/>
          <w:szCs w:val="24"/>
        </w:rPr>
        <w:t xml:space="preserve"> (1970) model of reflection will be applied throughout this section in exploring what happened, the way it happened and the learning moving forward.</w:t>
      </w:r>
    </w:p>
    <w:p w14:paraId="00A26AF6"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There was an urgency to locate a suspect given the nature of the offence and ongoing risk to the public. With little from the victims account to base an identification on, and forensic examinations of biometrics taking time, efforts turned to traditional methods of policing to develop intelligence about persons who would frequent the licensed premises central to the investigation. A study into Policing and Crime reduction in 2013 (</w:t>
      </w:r>
      <w:proofErr w:type="spellStart"/>
      <w:r w:rsidRPr="00A661E7">
        <w:rPr>
          <w:rFonts w:ascii="Arial" w:eastAsia="Arial" w:hAnsi="Arial" w:cs="Arial"/>
          <w:color w:val="000000"/>
          <w:sz w:val="24"/>
          <w:szCs w:val="24"/>
        </w:rPr>
        <w:t>Karn</w:t>
      </w:r>
      <w:proofErr w:type="spellEnd"/>
      <w:r w:rsidRPr="00A661E7">
        <w:rPr>
          <w:rFonts w:ascii="Arial" w:eastAsia="Arial" w:hAnsi="Arial" w:cs="Arial"/>
          <w:color w:val="000000"/>
          <w:sz w:val="24"/>
          <w:szCs w:val="24"/>
        </w:rPr>
        <w:t>, 2013), found that during such times, the benefits of good community relationships come to the fore, through supply of information, which occurred in this case via the neighbourhood policing teams. Community intelligence was graded for reliability and analysed through a matrix, to identify and locate customers at the club during the relevant time. This was overlaid with interrogation of police systems and descriptions from witnesses recorded in personal descriptive forms, until a recurring name led to the identification of a local male of interest.</w:t>
      </w:r>
    </w:p>
    <w:p w14:paraId="71EE184F"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This male was recorded as a victim of recent crime with few previous convictions (and nothing sexual), but his description bore a vague resemblance to the male mentioned by witnesses, who had been with the victim earlier in the night. </w:t>
      </w:r>
    </w:p>
    <w:p w14:paraId="562790B3"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Telephone contact was made with this male from the details held on the previous crime report, when he assumed there was an update for that offence and offered to attend a local police station. The agreement to meet with the male without disclosing the true reason becomes a matter of longstanding debate – was this deception, was it the right tactic to employ and should he have been treated as a suspect at this point, which would alter the approach to him?</w:t>
      </w:r>
    </w:p>
    <w:p w14:paraId="46E70E1A"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Skolnick (1982) probes the question over ethics and deceit in police investigations, stating there is no easy answer and the reality being that deception is considered by police (and the courts) to be as natural to detecting crime as pouncing is to a cat. Banks (2016) is slightly more conservative, reporting that police deception should be considered in three stages, investigative deception, interrogatory deception, and testimonial deception, and found deception in the investigation stage to be more acceptable. </w:t>
      </w:r>
    </w:p>
    <w:p w14:paraId="2914C49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lastRenderedPageBreak/>
        <w:t>Moving to recent times, according to Williams (2021), a critical analysis of deceptive practices in policing found that deceptive methods of investigation are morally wrong in policing, regardless of the circumstances. Williams goes further to state that undercover methods should not be used, the antithesis of views on policing from the 1980’s.</w:t>
      </w:r>
    </w:p>
    <w:p w14:paraId="1CC62009"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The view of the author is that the suspect assumed police wanted to discuss finding stolen property and the fact that he was not corrected did not encourage him to commit any offences or induce him to put himself or others at risk of harm and an element of surprise to arrest would be a tactical requirement to prevent disposal of evidence. In these circumstances, it was reasonable to allow the suspect to attend the police station under a false understanding, where he was arrested on suspicion of rape. Furthermore, the police code of Ethics works on the principles that police officers “do the right thing in the right way” (College of Policing, 2014), so the question must be to consider what the public would expect in these circumstances.  </w:t>
      </w:r>
    </w:p>
    <w:p w14:paraId="77C7AA9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Learning from this reflection includes a recommendation that all investigators undertake a period of annual CPD, during which, experience of difficult decision making is discussed through case studies, with a view to educate and prepare officers who may face similar situations in future.  </w:t>
      </w:r>
    </w:p>
    <w:p w14:paraId="41E790CF" w14:textId="77777777" w:rsidR="00A661E7" w:rsidRPr="00A661E7" w:rsidRDefault="00A661E7" w:rsidP="00A661E7">
      <w:pPr>
        <w:rPr>
          <w:rFonts w:ascii="Arial" w:eastAsia="Arial" w:hAnsi="Arial" w:cs="Arial"/>
          <w:b/>
          <w:bCs/>
          <w:color w:val="000000"/>
          <w:sz w:val="24"/>
          <w:szCs w:val="24"/>
        </w:rPr>
      </w:pPr>
    </w:p>
    <w:p w14:paraId="6BAB3315"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Illustrate</w:t>
      </w:r>
      <w:r w:rsidRPr="00A661E7">
        <w:rPr>
          <w:rFonts w:ascii="Arial" w:eastAsia="Arial" w:hAnsi="Arial" w:cs="Arial"/>
          <w:b/>
          <w:bCs/>
          <w:i/>
          <w:iCs/>
          <w:color w:val="000000"/>
          <w:sz w:val="24"/>
          <w:szCs w:val="24"/>
        </w:rPr>
        <w:t xml:space="preserve"> </w:t>
      </w:r>
      <w:r w:rsidRPr="00A661E7">
        <w:rPr>
          <w:rFonts w:ascii="Arial" w:eastAsia="Arial" w:hAnsi="Arial" w:cs="Arial"/>
          <w:b/>
          <w:bCs/>
          <w:color w:val="000000"/>
          <w:sz w:val="24"/>
          <w:szCs w:val="24"/>
        </w:rPr>
        <w:t xml:space="preserve">how you have ensured all material, including exhibits generated were seized, </w:t>
      </w:r>
      <w:proofErr w:type="gramStart"/>
      <w:r w:rsidRPr="00A661E7">
        <w:rPr>
          <w:rFonts w:ascii="Arial" w:eastAsia="Arial" w:hAnsi="Arial" w:cs="Arial"/>
          <w:b/>
          <w:bCs/>
          <w:color w:val="000000"/>
          <w:sz w:val="24"/>
          <w:szCs w:val="24"/>
        </w:rPr>
        <w:t>examined</w:t>
      </w:r>
      <w:proofErr w:type="gramEnd"/>
      <w:r w:rsidRPr="00A661E7">
        <w:rPr>
          <w:rFonts w:ascii="Arial" w:eastAsia="Arial" w:hAnsi="Arial" w:cs="Arial"/>
          <w:b/>
          <w:bCs/>
          <w:color w:val="000000"/>
          <w:sz w:val="24"/>
          <w:szCs w:val="24"/>
        </w:rPr>
        <w:t xml:space="preserve"> and retained in accordance with legalisation and policy where necessary (e.g., compliance with CPIA, PACE). </w:t>
      </w:r>
    </w:p>
    <w:p w14:paraId="21D39D53"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 xml:space="preserve">Evaluate how you preprepared reports detailing the investigation and the management of case files. Examine how you have conducted disclosure with best practice procedures while creating an accurate audit trail. </w:t>
      </w:r>
    </w:p>
    <w:p w14:paraId="4E4733D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The recovery and management of material and crime file preparation is intrinsically linked, therefore the illustration and evaluation of this will be dealt with together. </w:t>
      </w:r>
    </w:p>
    <w:p w14:paraId="1C9BE1BF"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Due to the serious nature of this case, local policy dictated that it was overseen by a PIP 3 Senior Investigating Officer (Dyfed Powys Police, 2021a). This led to appropriate resources being dedicated to the enquiry and deployment of a major crime support team, in a major incident room. </w:t>
      </w:r>
    </w:p>
    <w:p w14:paraId="233029CA"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The process within an incident room requires the SIO to set main lines of enquiry with parameters, that guide experienced detectives within the incident room to analyse every document created from enquiries and identify investigative actions to be conducted by outside enquiry teams. The process entails a multi-level checking process that ensures opportunities to recover evidence are not missed. </w:t>
      </w:r>
    </w:p>
    <w:p w14:paraId="09BFF637"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The management the material gathered during a criminal investigation, as defined by legislation (</w:t>
      </w:r>
      <w:r w:rsidRPr="00A661E7">
        <w:rPr>
          <w:rFonts w:ascii="Arial" w:eastAsia="Arial" w:hAnsi="Arial" w:cs="Arial"/>
          <w:i/>
          <w:iCs/>
          <w:color w:val="000000"/>
          <w:sz w:val="24"/>
          <w:szCs w:val="24"/>
        </w:rPr>
        <w:t>Criminal Procedure and Investigation Act 1986),</w:t>
      </w:r>
      <w:r w:rsidRPr="00A661E7">
        <w:rPr>
          <w:rFonts w:ascii="Arial" w:eastAsia="Arial" w:hAnsi="Arial" w:cs="Arial"/>
          <w:color w:val="000000"/>
          <w:sz w:val="24"/>
          <w:szCs w:val="24"/>
        </w:rPr>
        <w:t xml:space="preserve"> is critical in maintaining the integrity of the criminal justice system. The associated codes of practice state that an investigation begins when one sets out to establish </w:t>
      </w:r>
      <w:proofErr w:type="gramStart"/>
      <w:r w:rsidRPr="00A661E7">
        <w:rPr>
          <w:rFonts w:ascii="Arial" w:eastAsia="Arial" w:hAnsi="Arial" w:cs="Arial"/>
          <w:color w:val="000000"/>
          <w:sz w:val="24"/>
          <w:szCs w:val="24"/>
        </w:rPr>
        <w:t>whether or not</w:t>
      </w:r>
      <w:proofErr w:type="gramEnd"/>
      <w:r w:rsidRPr="00A661E7">
        <w:rPr>
          <w:rFonts w:ascii="Arial" w:eastAsia="Arial" w:hAnsi="Arial" w:cs="Arial"/>
          <w:color w:val="000000"/>
          <w:sz w:val="24"/>
          <w:szCs w:val="24"/>
        </w:rPr>
        <w:t xml:space="preserve"> a criminal offence has been committed, and that all relevant material gathered from there on becomes subject to handling procedures to ensure the fairness of justice, (Attorney </w:t>
      </w:r>
      <w:r w:rsidRPr="00A661E7">
        <w:rPr>
          <w:rFonts w:ascii="Arial" w:eastAsia="Arial" w:hAnsi="Arial" w:cs="Arial"/>
          <w:color w:val="000000"/>
          <w:sz w:val="24"/>
          <w:szCs w:val="24"/>
        </w:rPr>
        <w:lastRenderedPageBreak/>
        <w:t>General’s Office, 2020). This is achieved in part by sharing information not used by the prosecution, which may assist the accused, to the defence team, known as disclosure of unused material. A failure of this process saw steady increases during 2015 and was the most common cause of miscarriages of justice, either through lack of knowledge or deliberate non-disclosure (Criminal Case Review Commission, 2016). Furthermore, in 2017, a catastrophic error in disclosure led to the termination of a high-profile rape case (BBC, 2017) and recommendations for improvements between police and Crown Prosecution Service (Crown Prosecution Service and Metropolitan Police Service 2018, Smith, 2018) and the implementation of the National Disclosure Action Plan (National Police Chiefs Council, College of Policing and Crown Prosecution Service, 2018)</w:t>
      </w:r>
    </w:p>
    <w:p w14:paraId="24554891"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During this investigation, a purpose-built IT system, the Home Office Large and Major Enquiry System (HOLMES) was utilised, in part to eliminate disclosure errors and support management of large amounts of material. This system was introduced in the 1980’s following police failures to prevent further murders in the cases of Dennis Nielson (The Black Panther) and Peter Sutcliff (The Yorkshire Ripper) (Mooney, 2010), through the major incident room being ineffective with a backlog of unprocessed information and failure to connect vital pieces of information (Byford, 1981). However, according to </w:t>
      </w:r>
      <w:proofErr w:type="spellStart"/>
      <w:r w:rsidRPr="00A661E7">
        <w:rPr>
          <w:rFonts w:ascii="Arial" w:eastAsia="Arial" w:hAnsi="Arial" w:cs="Arial"/>
          <w:color w:val="000000"/>
          <w:sz w:val="24"/>
          <w:szCs w:val="24"/>
        </w:rPr>
        <w:t>Allsop</w:t>
      </w:r>
      <w:proofErr w:type="spellEnd"/>
      <w:r w:rsidRPr="00A661E7">
        <w:rPr>
          <w:rFonts w:ascii="Arial" w:eastAsia="Arial" w:hAnsi="Arial" w:cs="Arial"/>
          <w:color w:val="000000"/>
          <w:sz w:val="24"/>
          <w:szCs w:val="24"/>
        </w:rPr>
        <w:t xml:space="preserve"> and Pike (2019) whilst the system does provide an electronic capability to record and retrieve data, and has been an invaluable tool in investigations, it can create problems through the time taken to put sheer volumes of data onto the system and in live cases, the volume and pace of data gathered can make it difficult for the HOLMES system to keep up with the investigation. It is the authors experience that the HOLMES system is akin to a toolbox, allowing the practitioners to use parts only required for the task, adapting the system, and resourcing it accordingly. This requires experience, skills, and knowledge to ensure that material or investigative actions are not unnecessarily generated.</w:t>
      </w:r>
    </w:p>
    <w:p w14:paraId="76CD991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All material was managed by dedicated detectives trained in the assessment of material and the specific IT system used to manage large amounts of material generated in major investigations. This was underpinned by a policy written by the SIO which read that every document or piece of material generated or obtained within the investigation was to be submitted to the major incident room where it would be catalogued with a unique reference number. Each document would then go through a process of staged reading by different individuals to decide on evidential value or identification of other lines of enquiry, and </w:t>
      </w:r>
      <w:proofErr w:type="gramStart"/>
      <w:r w:rsidRPr="00A661E7">
        <w:rPr>
          <w:rFonts w:ascii="Arial" w:eastAsia="Arial" w:hAnsi="Arial" w:cs="Arial"/>
          <w:color w:val="000000"/>
          <w:sz w:val="24"/>
          <w:szCs w:val="24"/>
        </w:rPr>
        <w:t>cross referencing</w:t>
      </w:r>
      <w:proofErr w:type="gramEnd"/>
      <w:r w:rsidRPr="00A661E7">
        <w:rPr>
          <w:rFonts w:ascii="Arial" w:eastAsia="Arial" w:hAnsi="Arial" w:cs="Arial"/>
          <w:color w:val="000000"/>
          <w:sz w:val="24"/>
          <w:szCs w:val="24"/>
        </w:rPr>
        <w:t xml:space="preserve"> facts between documents in line with current protocols (National Police Chiefs Council, 2021). Non evidential material would be further assessed for relevance to the enquiry and whether it should be recommended for disclosure to the defence via the Crown Prosecutor (Criminal Procedure and Investigations Act, 1996). Since every document is uniquely numbered and categorised, maintaining records becomes more accurate and easily managed with schedules of unused material being developed as the case progresses. Each schedule being separated into categories of non-sensitive (disclosable), sensitive (not disclosable) or material that assists the defence or undermines the prosecution (</w:t>
      </w:r>
      <w:r w:rsidRPr="00A661E7">
        <w:rPr>
          <w:rFonts w:ascii="Arial" w:eastAsia="Arial" w:hAnsi="Arial" w:cs="Arial"/>
          <w:i/>
          <w:iCs/>
          <w:color w:val="000000"/>
          <w:sz w:val="24"/>
          <w:szCs w:val="24"/>
        </w:rPr>
        <w:t>Criminal Procedures and Investigations Act 1986</w:t>
      </w:r>
      <w:r w:rsidRPr="00A661E7">
        <w:rPr>
          <w:rFonts w:ascii="Arial" w:eastAsia="Arial" w:hAnsi="Arial" w:cs="Arial"/>
          <w:color w:val="000000"/>
          <w:sz w:val="24"/>
          <w:szCs w:val="24"/>
        </w:rPr>
        <w:t>)</w:t>
      </w:r>
    </w:p>
    <w:p w14:paraId="487642CC"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lastRenderedPageBreak/>
        <w:t>Whilst the HOLMES system can be resource intensive in creating the database and cross referencing all entries appropriately, the research and retrieval facility provided outweighs the disadvantages. It allows disclosure schedules and case files to be created more efficiently and ensures accurate audit trails which are automatically date and time stamped – a further example where the author has required this information during cross examination in a murder trial.</w:t>
      </w:r>
    </w:p>
    <w:p w14:paraId="7BED5E4D"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For exhibit maintenance, the investigation team were briefed with the facts of the case and parameters of items to be seized that may have a bearing on the case including, but not limited to, specific items of clothing, CCTV, digital media, or potential chemicals in use of date rape and reminded of their legal powers of seizure (</w:t>
      </w:r>
      <w:r w:rsidRPr="00A661E7">
        <w:rPr>
          <w:rFonts w:ascii="Arial" w:eastAsia="Arial" w:hAnsi="Arial" w:cs="Arial"/>
          <w:i/>
          <w:iCs/>
          <w:color w:val="000000"/>
          <w:sz w:val="24"/>
          <w:szCs w:val="24"/>
        </w:rPr>
        <w:t>Police and Criminal Evidence Act 1984</w:t>
      </w:r>
      <w:r w:rsidRPr="00A661E7">
        <w:rPr>
          <w:rFonts w:ascii="Arial" w:eastAsia="Arial" w:hAnsi="Arial" w:cs="Arial"/>
          <w:color w:val="000000"/>
          <w:sz w:val="24"/>
          <w:szCs w:val="24"/>
        </w:rPr>
        <w:t xml:space="preserve">). The instruction was to </w:t>
      </w:r>
      <w:proofErr w:type="gramStart"/>
      <w:r w:rsidRPr="00A661E7">
        <w:rPr>
          <w:rFonts w:ascii="Arial" w:eastAsia="Arial" w:hAnsi="Arial" w:cs="Arial"/>
          <w:color w:val="000000"/>
          <w:sz w:val="24"/>
          <w:szCs w:val="24"/>
        </w:rPr>
        <w:t>seize</w:t>
      </w:r>
      <w:proofErr w:type="gramEnd"/>
      <w:r w:rsidRPr="00A661E7">
        <w:rPr>
          <w:rFonts w:ascii="Arial" w:eastAsia="Arial" w:hAnsi="Arial" w:cs="Arial"/>
          <w:color w:val="000000"/>
          <w:sz w:val="24"/>
          <w:szCs w:val="24"/>
        </w:rPr>
        <w:t xml:space="preserve"> and package exhibits in line with force policy depending on their nature, ensuring they were labelled accurately and signed by the person seizing and by every subsequent person who has handled it to prove the continuity (Dyfed-Powys Police, 2021b). Exhibits were managed by a dedicated trained officer who would receive them at the incident room and quality assure the labelling and packaging before recording the item on the database, conducting an initial assessment on its relevance, and storing in a secure facility. At regular intervals, every exhibit seized (of which there were several hundred) would be assessed during a Forensic Management Meeting for their relevance and potential evidential yield, before the SIO would decide on the next course of action for that item, in consultation with scientific experts. The need for continued retention in accordance with legislation (</w:t>
      </w:r>
      <w:bookmarkStart w:id="5" w:name="_Hlk101643339"/>
      <w:r w:rsidRPr="00A661E7">
        <w:rPr>
          <w:rFonts w:ascii="Arial" w:eastAsia="Arial" w:hAnsi="Arial" w:cs="Arial"/>
          <w:i/>
          <w:iCs/>
          <w:color w:val="000000"/>
          <w:sz w:val="24"/>
          <w:szCs w:val="24"/>
        </w:rPr>
        <w:t>Police and Criminal Evidence Act 1984</w:t>
      </w:r>
      <w:bookmarkEnd w:id="5"/>
      <w:r w:rsidRPr="00A661E7">
        <w:rPr>
          <w:rFonts w:ascii="Arial" w:eastAsia="Arial" w:hAnsi="Arial" w:cs="Arial"/>
          <w:i/>
          <w:iCs/>
          <w:color w:val="000000"/>
          <w:sz w:val="24"/>
          <w:szCs w:val="24"/>
        </w:rPr>
        <w:t xml:space="preserve">) </w:t>
      </w:r>
      <w:r w:rsidRPr="00A661E7">
        <w:rPr>
          <w:rFonts w:ascii="Arial" w:eastAsia="Arial" w:hAnsi="Arial" w:cs="Arial"/>
          <w:color w:val="000000"/>
          <w:sz w:val="24"/>
          <w:szCs w:val="24"/>
        </w:rPr>
        <w:t xml:space="preserve">would also be assessed at this time and where powers no longer existed, items were returned after copies or photographs were obtained. Following the meeting, the exhibits officer would prepare a schedule of exhibits from the database, along with a summary of what was required to be proven scientifically, authorised by the SIO and exhibits transferred to relevant laboratories for examination. Any questions following submissions, or amendments to strategy, were agreed on by the lead scientist having direct contact with the SIO and forensic manager. The consequences of this process being that the SIO would often be called at inconvenient times whilst engaged in other non-related matters, the benefits being that bureaucracy was reduced saving significant time in progressing with examinations. </w:t>
      </w:r>
    </w:p>
    <w:p w14:paraId="5C47BA2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The meticulous management of material (and exhibits) during this (and other) criminal investigations could be considered as being over cautious. However, it is the experience of the author that current criminal trials challenge the handling of exhibits more than the scientific findings, as hypersensitive techniques used in modern science can be affected by the most innocuous circumstances leading to contamination (Gill, 2018). Any breach in the integrity of the exhibit packaging or continuity can also nullify the scientific findings.</w:t>
      </w:r>
    </w:p>
    <w:p w14:paraId="46BCCED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The preparation of the prosecution file was developed through close liaison between the case officer and the SIO, identifying and collating all material that would be relied upon by a prosecuting barrister to deliver the case at trial. This was followed by liaison with Crown Prosecution Lawyers, a vital part in the preparation of a case, relying on efforts of police to set the right impression as research has shown that </w:t>
      </w:r>
      <w:r w:rsidRPr="00A661E7">
        <w:rPr>
          <w:rFonts w:ascii="Arial" w:eastAsia="Arial" w:hAnsi="Arial" w:cs="Arial"/>
          <w:color w:val="000000"/>
          <w:sz w:val="24"/>
          <w:szCs w:val="24"/>
        </w:rPr>
        <w:lastRenderedPageBreak/>
        <w:t>cases submitted by officers with an apparent lower effort are less likely to be prosecuted than those with greater effort, as interpreted by the prosecutor. (Nelson, 2013)</w:t>
      </w:r>
    </w:p>
    <w:p w14:paraId="54571CAA"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An overarching summary of the case allowed the reviewing lawyers to identify the strengths and weaknesses as well as considering how to present the case to a court. This included an assessment of special measures, a legal process for victims of sexual offences to deliver their evidence in the best possible way and includes measures such as providing evidence by video link or placing screens in court to limit intimidation (Ministry of Justice, 2022).</w:t>
      </w:r>
    </w:p>
    <w:p w14:paraId="2CF37F73"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This was a serious sexual offence with an ongoing risk to the public. The authors view is that the approach was appropriate by utilising a Major Crime Team and HOLMES database, that enabled efficient management of material and preparation of the prosecution file. The variable use of the system should be emphasised within the training of detectives to widen the appreciation of options available to them.</w:t>
      </w:r>
    </w:p>
    <w:p w14:paraId="146D2284" w14:textId="77777777" w:rsidR="00A661E7" w:rsidRPr="00A661E7" w:rsidRDefault="00A661E7" w:rsidP="00A661E7">
      <w:pPr>
        <w:rPr>
          <w:rFonts w:ascii="Arial" w:eastAsia="Arial" w:hAnsi="Arial" w:cs="Arial"/>
          <w:b/>
          <w:bCs/>
          <w:color w:val="000000"/>
          <w:sz w:val="24"/>
          <w:szCs w:val="24"/>
        </w:rPr>
      </w:pPr>
      <w:r w:rsidRPr="00A661E7">
        <w:rPr>
          <w:rFonts w:ascii="Arial" w:eastAsia="Arial" w:hAnsi="Arial" w:cs="Arial"/>
          <w:b/>
          <w:bCs/>
          <w:color w:val="000000"/>
          <w:sz w:val="24"/>
          <w:szCs w:val="24"/>
        </w:rPr>
        <w:t>Total 2139 Words</w:t>
      </w:r>
    </w:p>
    <w:p w14:paraId="39D1DD39" w14:textId="77777777" w:rsidR="00A661E7" w:rsidRPr="00A661E7" w:rsidRDefault="00A661E7" w:rsidP="00A661E7">
      <w:pPr>
        <w:rPr>
          <w:rFonts w:ascii="Arial" w:eastAsia="Arial" w:hAnsi="Arial" w:cs="Arial"/>
          <w:color w:val="000000"/>
          <w:sz w:val="24"/>
          <w:szCs w:val="24"/>
          <w:u w:val="single"/>
        </w:rPr>
      </w:pPr>
    </w:p>
    <w:p w14:paraId="4320A12F" w14:textId="77777777" w:rsidR="00A661E7" w:rsidRPr="00A661E7" w:rsidRDefault="00A661E7" w:rsidP="00A661E7">
      <w:pPr>
        <w:rPr>
          <w:rFonts w:ascii="Arial" w:eastAsia="Arial" w:hAnsi="Arial" w:cs="Arial"/>
          <w:color w:val="000000"/>
          <w:sz w:val="24"/>
          <w:szCs w:val="24"/>
          <w:u w:val="single"/>
        </w:rPr>
      </w:pPr>
      <w:r w:rsidRPr="00A661E7">
        <w:rPr>
          <w:rFonts w:ascii="Arial" w:eastAsia="Arial" w:hAnsi="Arial" w:cs="Arial"/>
          <w:color w:val="000000"/>
          <w:sz w:val="24"/>
          <w:szCs w:val="24"/>
          <w:u w:val="single"/>
        </w:rPr>
        <w:t>References</w:t>
      </w:r>
    </w:p>
    <w:p w14:paraId="55D45ADE" w14:textId="77777777" w:rsidR="00A661E7" w:rsidRPr="00A661E7" w:rsidRDefault="00A661E7" w:rsidP="00A661E7">
      <w:pPr>
        <w:rPr>
          <w:rFonts w:ascii="Arial" w:eastAsia="Arial" w:hAnsi="Arial" w:cs="Arial"/>
          <w:color w:val="000000"/>
          <w:sz w:val="24"/>
          <w:szCs w:val="24"/>
        </w:rPr>
      </w:pPr>
      <w:proofErr w:type="spellStart"/>
      <w:r w:rsidRPr="00A661E7">
        <w:rPr>
          <w:rFonts w:ascii="Arial" w:eastAsia="Arial" w:hAnsi="Arial" w:cs="Arial"/>
          <w:color w:val="000000"/>
          <w:sz w:val="24"/>
          <w:szCs w:val="24"/>
        </w:rPr>
        <w:t>Allsop</w:t>
      </w:r>
      <w:proofErr w:type="spellEnd"/>
      <w:r w:rsidRPr="00A661E7">
        <w:rPr>
          <w:rFonts w:ascii="Arial" w:eastAsia="Arial" w:hAnsi="Arial" w:cs="Arial"/>
          <w:color w:val="000000"/>
          <w:sz w:val="24"/>
          <w:szCs w:val="24"/>
        </w:rPr>
        <w:t xml:space="preserve">, C. and Pike, S., (2019) ‘Investigating Homicide: back to the future’. </w:t>
      </w:r>
      <w:r w:rsidRPr="00A661E7">
        <w:rPr>
          <w:rFonts w:ascii="Arial" w:eastAsia="Arial" w:hAnsi="Arial" w:cs="Arial"/>
          <w:i/>
          <w:iCs/>
          <w:color w:val="000000"/>
          <w:sz w:val="24"/>
          <w:szCs w:val="24"/>
        </w:rPr>
        <w:t xml:space="preserve">Journal of Criminological Research, Policy and Practice, </w:t>
      </w:r>
      <w:r w:rsidRPr="00A661E7">
        <w:rPr>
          <w:rFonts w:ascii="Arial" w:eastAsia="Arial" w:hAnsi="Arial" w:cs="Arial"/>
          <w:color w:val="000000"/>
          <w:sz w:val="24"/>
          <w:szCs w:val="24"/>
        </w:rPr>
        <w:t xml:space="preserve">5 (3). Available at: </w:t>
      </w:r>
      <w:hyperlink r:id="rId89" w:history="1">
        <w:r w:rsidRPr="00A661E7">
          <w:rPr>
            <w:rFonts w:ascii="Arial" w:eastAsia="Arial" w:hAnsi="Arial" w:cs="Arial"/>
            <w:color w:val="0563C1"/>
            <w:sz w:val="24"/>
            <w:szCs w:val="24"/>
            <w:u w:val="single"/>
          </w:rPr>
          <w:t>Investigating homicide: back to the future - ProQuest (uwtsd.ac.uk)</w:t>
        </w:r>
      </w:hyperlink>
      <w:r w:rsidRPr="00A661E7">
        <w:rPr>
          <w:rFonts w:ascii="Arial" w:eastAsia="Arial" w:hAnsi="Arial" w:cs="Arial"/>
          <w:color w:val="000000"/>
          <w:sz w:val="24"/>
          <w:szCs w:val="24"/>
        </w:rPr>
        <w:t xml:space="preserve"> (Accessed: 24 April 2022)</w:t>
      </w:r>
    </w:p>
    <w:p w14:paraId="4EAEEBD6"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Attorney General’s Office (2020)</w:t>
      </w:r>
      <w:r w:rsidRPr="00A661E7">
        <w:rPr>
          <w:rFonts w:ascii="Arial" w:eastAsia="Arial" w:hAnsi="Arial" w:cs="Arial"/>
          <w:i/>
          <w:iCs/>
          <w:color w:val="000000"/>
          <w:sz w:val="24"/>
          <w:szCs w:val="24"/>
        </w:rPr>
        <w:t xml:space="preserve"> Attorney General’s Guidelines on Disclosure: For investigators, </w:t>
      </w:r>
      <w:proofErr w:type="gramStart"/>
      <w:r w:rsidRPr="00A661E7">
        <w:rPr>
          <w:rFonts w:ascii="Arial" w:eastAsia="Arial" w:hAnsi="Arial" w:cs="Arial"/>
          <w:i/>
          <w:iCs/>
          <w:color w:val="000000"/>
          <w:sz w:val="24"/>
          <w:szCs w:val="24"/>
        </w:rPr>
        <w:t>prosecutors</w:t>
      </w:r>
      <w:proofErr w:type="gramEnd"/>
      <w:r w:rsidRPr="00A661E7">
        <w:rPr>
          <w:rFonts w:ascii="Arial" w:eastAsia="Arial" w:hAnsi="Arial" w:cs="Arial"/>
          <w:i/>
          <w:iCs/>
          <w:color w:val="000000"/>
          <w:sz w:val="24"/>
          <w:szCs w:val="24"/>
        </w:rPr>
        <w:t xml:space="preserve"> and defence practitioners. </w:t>
      </w:r>
      <w:r w:rsidRPr="00A661E7">
        <w:rPr>
          <w:rFonts w:ascii="Arial" w:eastAsia="Arial" w:hAnsi="Arial" w:cs="Arial"/>
          <w:color w:val="000000"/>
          <w:sz w:val="24"/>
          <w:szCs w:val="24"/>
        </w:rPr>
        <w:t xml:space="preserve">Available at: </w:t>
      </w:r>
      <w:hyperlink r:id="rId90" w:history="1">
        <w:r w:rsidRPr="00A661E7">
          <w:rPr>
            <w:rFonts w:ascii="Arial" w:eastAsia="Arial" w:hAnsi="Arial" w:cs="Arial"/>
            <w:color w:val="0563C1"/>
            <w:sz w:val="24"/>
            <w:szCs w:val="24"/>
            <w:u w:val="single"/>
          </w:rPr>
          <w:t>Attorney_General_s_Guidelines_2020_FINAL_Effective_31Dec2020.pdf (publishing.service.gov.uk)</w:t>
        </w:r>
      </w:hyperlink>
      <w:r w:rsidRPr="00A661E7">
        <w:rPr>
          <w:rFonts w:ascii="Arial" w:eastAsia="Arial" w:hAnsi="Arial" w:cs="Arial"/>
          <w:color w:val="000000"/>
          <w:sz w:val="24"/>
          <w:szCs w:val="24"/>
        </w:rPr>
        <w:t xml:space="preserve"> (Accessed: 20 April 2022)</w:t>
      </w:r>
    </w:p>
    <w:p w14:paraId="279A4DE1" w14:textId="77777777" w:rsidR="00A661E7" w:rsidRPr="00A661E7" w:rsidRDefault="00A661E7" w:rsidP="00A661E7">
      <w:pPr>
        <w:rPr>
          <w:rFonts w:ascii="Arial" w:eastAsia="Arial" w:hAnsi="Arial" w:cs="Arial"/>
          <w:i/>
          <w:iCs/>
          <w:color w:val="000000"/>
          <w:sz w:val="24"/>
          <w:szCs w:val="24"/>
        </w:rPr>
      </w:pPr>
      <w:r w:rsidRPr="00A661E7">
        <w:rPr>
          <w:rFonts w:ascii="Arial" w:eastAsia="Arial" w:hAnsi="Arial" w:cs="Arial"/>
          <w:color w:val="000000"/>
          <w:sz w:val="24"/>
          <w:szCs w:val="24"/>
        </w:rPr>
        <w:t xml:space="preserve">Banks. C., (2016) </w:t>
      </w:r>
      <w:r w:rsidRPr="00A661E7">
        <w:rPr>
          <w:rFonts w:ascii="Arial" w:eastAsia="Arial" w:hAnsi="Arial" w:cs="Arial"/>
          <w:i/>
          <w:iCs/>
          <w:color w:val="000000"/>
          <w:sz w:val="24"/>
          <w:szCs w:val="24"/>
        </w:rPr>
        <w:t>Criminal Justice Ethics: Theory and Practice, 4</w:t>
      </w:r>
      <w:r w:rsidRPr="00A661E7">
        <w:rPr>
          <w:rFonts w:ascii="Arial" w:eastAsia="Arial" w:hAnsi="Arial" w:cs="Arial"/>
          <w:i/>
          <w:iCs/>
          <w:color w:val="000000"/>
          <w:sz w:val="24"/>
          <w:szCs w:val="24"/>
          <w:vertAlign w:val="superscript"/>
        </w:rPr>
        <w:t>th</w:t>
      </w:r>
      <w:r w:rsidRPr="00A661E7">
        <w:rPr>
          <w:rFonts w:ascii="Arial" w:eastAsia="Arial" w:hAnsi="Arial" w:cs="Arial"/>
          <w:i/>
          <w:iCs/>
          <w:color w:val="000000"/>
          <w:sz w:val="24"/>
          <w:szCs w:val="24"/>
        </w:rPr>
        <w:t xml:space="preserve"> Edition.</w:t>
      </w:r>
      <w:r w:rsidRPr="00A661E7">
        <w:rPr>
          <w:rFonts w:ascii="Arial" w:eastAsia="Arial" w:hAnsi="Arial" w:cs="Arial"/>
          <w:color w:val="000000"/>
          <w:sz w:val="24"/>
          <w:szCs w:val="24"/>
        </w:rPr>
        <w:t xml:space="preserve"> Beaverton: Ringgold.</w:t>
      </w:r>
      <w:r w:rsidRPr="00A661E7">
        <w:rPr>
          <w:rFonts w:ascii="Arial" w:eastAsia="Arial" w:hAnsi="Arial" w:cs="Arial"/>
          <w:i/>
          <w:iCs/>
          <w:color w:val="000000"/>
          <w:sz w:val="24"/>
          <w:szCs w:val="24"/>
        </w:rPr>
        <w:t xml:space="preserve"> </w:t>
      </w:r>
    </w:p>
    <w:p w14:paraId="65AA821C"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BBC (2017) </w:t>
      </w:r>
      <w:r w:rsidRPr="00A661E7">
        <w:rPr>
          <w:rFonts w:ascii="Arial" w:eastAsia="Arial" w:hAnsi="Arial" w:cs="Arial"/>
          <w:i/>
          <w:iCs/>
          <w:color w:val="000000"/>
          <w:sz w:val="24"/>
          <w:szCs w:val="24"/>
        </w:rPr>
        <w:t xml:space="preserve">News: Student Liam Allan ‘betrayed’ after rape trial collapse. </w:t>
      </w:r>
      <w:r w:rsidRPr="00A661E7">
        <w:rPr>
          <w:rFonts w:ascii="Arial" w:eastAsia="Arial" w:hAnsi="Arial" w:cs="Arial"/>
          <w:color w:val="000000"/>
          <w:sz w:val="24"/>
          <w:szCs w:val="24"/>
        </w:rPr>
        <w:t xml:space="preserve">Available at: </w:t>
      </w:r>
      <w:hyperlink r:id="rId91" w:history="1">
        <w:r w:rsidRPr="00A661E7">
          <w:rPr>
            <w:rFonts w:ascii="Arial" w:eastAsia="Arial" w:hAnsi="Arial" w:cs="Arial"/>
            <w:color w:val="0563C1"/>
            <w:sz w:val="24"/>
            <w:szCs w:val="24"/>
            <w:u w:val="single"/>
          </w:rPr>
          <w:t>Student Liam Allan 'betrayed' after rape trial collapse - BBC News</w:t>
        </w:r>
      </w:hyperlink>
      <w:r w:rsidRPr="00A661E7">
        <w:rPr>
          <w:rFonts w:ascii="Arial" w:eastAsia="Arial" w:hAnsi="Arial" w:cs="Arial"/>
          <w:color w:val="000000"/>
          <w:sz w:val="24"/>
          <w:szCs w:val="24"/>
        </w:rPr>
        <w:t xml:space="preserve"> (Accessed: 24 April 2022)</w:t>
      </w:r>
    </w:p>
    <w:p w14:paraId="67670806" w14:textId="0C032B4B" w:rsidR="0045498E" w:rsidRPr="0045498E" w:rsidRDefault="0045498E" w:rsidP="0045498E">
      <w:pPr>
        <w:rPr>
          <w:rFonts w:ascii="Arial" w:eastAsia="Arial" w:hAnsi="Arial" w:cs="Arial"/>
          <w:color w:val="000000"/>
          <w:sz w:val="24"/>
          <w:szCs w:val="24"/>
        </w:rPr>
      </w:pPr>
      <w:proofErr w:type="spellStart"/>
      <w:r w:rsidRPr="0045498E">
        <w:rPr>
          <w:rFonts w:ascii="Arial" w:eastAsia="Arial" w:hAnsi="Arial" w:cs="Arial"/>
          <w:color w:val="000000"/>
          <w:sz w:val="24"/>
          <w:szCs w:val="24"/>
        </w:rPr>
        <w:t>Borton</w:t>
      </w:r>
      <w:proofErr w:type="spellEnd"/>
      <w:r w:rsidRPr="0045498E">
        <w:rPr>
          <w:rFonts w:ascii="Arial" w:eastAsia="Arial" w:hAnsi="Arial" w:cs="Arial"/>
          <w:color w:val="000000"/>
          <w:sz w:val="24"/>
          <w:szCs w:val="24"/>
        </w:rPr>
        <w:t>, T.</w:t>
      </w:r>
      <w:r>
        <w:rPr>
          <w:rFonts w:ascii="Arial" w:eastAsia="Arial" w:hAnsi="Arial" w:cs="Arial"/>
          <w:color w:val="000000"/>
          <w:sz w:val="24"/>
          <w:szCs w:val="24"/>
        </w:rPr>
        <w:t>,</w:t>
      </w:r>
      <w:r w:rsidRPr="0045498E">
        <w:rPr>
          <w:rFonts w:ascii="Arial" w:eastAsia="Arial" w:hAnsi="Arial" w:cs="Arial"/>
          <w:color w:val="000000"/>
          <w:sz w:val="24"/>
          <w:szCs w:val="24"/>
        </w:rPr>
        <w:t xml:space="preserve"> (1970) Reach Touch and Teach, London: Hutchinson cited in Jasper, M. (2003) Beginning Reflective Practice, Cheltenham: Nelson Thornes.</w:t>
      </w:r>
    </w:p>
    <w:p w14:paraId="2C61E16F" w14:textId="2A8D91CE"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Byford, Sir. L., (1981) </w:t>
      </w:r>
      <w:r w:rsidRPr="00A661E7">
        <w:rPr>
          <w:rFonts w:ascii="Arial" w:eastAsia="Arial" w:hAnsi="Arial" w:cs="Arial"/>
          <w:i/>
          <w:iCs/>
          <w:color w:val="000000"/>
          <w:sz w:val="24"/>
          <w:szCs w:val="24"/>
        </w:rPr>
        <w:t xml:space="preserve">Report into the Yorkshire Ripper Enquiry. </w:t>
      </w:r>
      <w:r w:rsidRPr="00A661E7">
        <w:rPr>
          <w:rFonts w:ascii="Arial" w:eastAsia="Arial" w:hAnsi="Arial" w:cs="Arial"/>
          <w:color w:val="000000"/>
          <w:sz w:val="24"/>
          <w:szCs w:val="24"/>
        </w:rPr>
        <w:t>London: Home Office</w:t>
      </w:r>
    </w:p>
    <w:p w14:paraId="4212299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College of Policing (2014) </w:t>
      </w:r>
      <w:r w:rsidRPr="00A661E7">
        <w:rPr>
          <w:rFonts w:ascii="Arial" w:eastAsia="Arial" w:hAnsi="Arial" w:cs="Arial"/>
          <w:i/>
          <w:iCs/>
          <w:color w:val="000000"/>
          <w:sz w:val="24"/>
          <w:szCs w:val="24"/>
        </w:rPr>
        <w:t>Code of Ethics: A Code of Practice for the Principles and Standards of Professional Behaviour for the Policing Profession of England and Wales</w:t>
      </w:r>
      <w:r w:rsidRPr="00A661E7">
        <w:rPr>
          <w:rFonts w:ascii="Arial" w:eastAsia="Arial" w:hAnsi="Arial" w:cs="Arial"/>
          <w:color w:val="000000"/>
          <w:sz w:val="24"/>
          <w:szCs w:val="24"/>
        </w:rPr>
        <w:t xml:space="preserve">. Available at: </w:t>
      </w:r>
      <w:hyperlink r:id="rId92" w:history="1">
        <w:r w:rsidRPr="00A661E7">
          <w:rPr>
            <w:rFonts w:ascii="Arial" w:eastAsia="Arial" w:hAnsi="Arial" w:cs="Arial"/>
            <w:color w:val="0563C1"/>
            <w:sz w:val="24"/>
            <w:szCs w:val="24"/>
            <w:u w:val="single"/>
          </w:rPr>
          <w:t>code_of_ethics.pdf (college.police.uk)</w:t>
        </w:r>
      </w:hyperlink>
      <w:r w:rsidRPr="00A661E7">
        <w:rPr>
          <w:rFonts w:ascii="Arial" w:eastAsia="Arial" w:hAnsi="Arial" w:cs="Arial"/>
          <w:color w:val="000000"/>
          <w:sz w:val="24"/>
          <w:szCs w:val="24"/>
        </w:rPr>
        <w:t xml:space="preserve"> (Accessed: 20 April 2022)</w:t>
      </w:r>
    </w:p>
    <w:p w14:paraId="4DD1ECD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Criminal Case Review Commission (2016) </w:t>
      </w:r>
      <w:r w:rsidRPr="00A661E7">
        <w:rPr>
          <w:rFonts w:ascii="Arial" w:eastAsia="Arial" w:hAnsi="Arial" w:cs="Arial"/>
          <w:i/>
          <w:iCs/>
          <w:color w:val="000000"/>
          <w:sz w:val="24"/>
          <w:szCs w:val="24"/>
        </w:rPr>
        <w:t>Annual Report and Accounts 2015/2016.</w:t>
      </w:r>
      <w:r w:rsidRPr="00A661E7">
        <w:rPr>
          <w:rFonts w:ascii="Arial" w:eastAsia="Arial" w:hAnsi="Arial" w:cs="Arial"/>
          <w:color w:val="000000"/>
          <w:sz w:val="24"/>
          <w:szCs w:val="24"/>
        </w:rPr>
        <w:t xml:space="preserve"> Available at:</w:t>
      </w:r>
      <w:r w:rsidRPr="00A661E7">
        <w:rPr>
          <w:rFonts w:ascii="Calibri" w:eastAsia="Calibri" w:hAnsi="Calibri" w:cs="Times New Roman"/>
        </w:rPr>
        <w:t xml:space="preserve"> </w:t>
      </w:r>
      <w:hyperlink r:id="rId93" w:history="1">
        <w:r w:rsidRPr="00A661E7">
          <w:rPr>
            <w:rFonts w:ascii="Arial" w:eastAsia="Arial" w:hAnsi="Arial" w:cs="Arial"/>
            <w:color w:val="0563C1"/>
            <w:sz w:val="24"/>
            <w:szCs w:val="24"/>
            <w:u w:val="single"/>
          </w:rPr>
          <w:t>HC244 - CCRC Criminal Cases Review Commission Annual Report and Accounts 2015/2016</w:t>
        </w:r>
      </w:hyperlink>
      <w:r w:rsidRPr="00A661E7">
        <w:rPr>
          <w:rFonts w:ascii="Arial" w:eastAsia="Arial" w:hAnsi="Arial" w:cs="Arial"/>
          <w:color w:val="000000"/>
          <w:sz w:val="24"/>
          <w:szCs w:val="24"/>
        </w:rPr>
        <w:t xml:space="preserve"> (Accessed: 21 April 2022)</w:t>
      </w:r>
    </w:p>
    <w:p w14:paraId="09776799" w14:textId="77777777" w:rsidR="00A661E7" w:rsidRPr="00A661E7" w:rsidRDefault="00A661E7" w:rsidP="00A661E7">
      <w:pPr>
        <w:rPr>
          <w:rFonts w:ascii="Arial" w:eastAsia="Arial" w:hAnsi="Arial" w:cs="Arial"/>
          <w:i/>
          <w:iCs/>
          <w:color w:val="000000"/>
          <w:sz w:val="24"/>
          <w:szCs w:val="24"/>
        </w:rPr>
      </w:pPr>
      <w:r w:rsidRPr="00A661E7">
        <w:rPr>
          <w:rFonts w:ascii="Arial" w:eastAsia="Arial" w:hAnsi="Arial" w:cs="Arial"/>
          <w:i/>
          <w:iCs/>
          <w:color w:val="000000"/>
          <w:sz w:val="24"/>
          <w:szCs w:val="24"/>
        </w:rPr>
        <w:lastRenderedPageBreak/>
        <w:t>Criminal Procedure and Investigations Act 1996, c.25,</w:t>
      </w:r>
      <w:r w:rsidRPr="00A661E7">
        <w:rPr>
          <w:rFonts w:ascii="Arial" w:eastAsia="Arial" w:hAnsi="Arial" w:cs="Arial"/>
          <w:color w:val="000000"/>
          <w:sz w:val="24"/>
          <w:szCs w:val="24"/>
        </w:rPr>
        <w:t xml:space="preserve"> Available at:</w:t>
      </w:r>
      <w:r w:rsidRPr="00A661E7">
        <w:rPr>
          <w:rFonts w:ascii="Calibri" w:eastAsia="Calibri" w:hAnsi="Calibri" w:cs="Times New Roman"/>
        </w:rPr>
        <w:t xml:space="preserve"> </w:t>
      </w:r>
      <w:hyperlink r:id="rId94" w:history="1">
        <w:r w:rsidRPr="00A661E7">
          <w:rPr>
            <w:rFonts w:ascii="Arial" w:eastAsia="Arial" w:hAnsi="Arial" w:cs="Arial"/>
            <w:color w:val="0563C1"/>
            <w:sz w:val="24"/>
            <w:szCs w:val="24"/>
            <w:u w:val="single"/>
          </w:rPr>
          <w:t>Criminal Procedure and Investigations Act 1996 (legislation.gov.uk)</w:t>
        </w:r>
      </w:hyperlink>
      <w:r w:rsidRPr="00A661E7">
        <w:rPr>
          <w:rFonts w:ascii="Arial" w:eastAsia="Arial" w:hAnsi="Arial" w:cs="Arial"/>
          <w:color w:val="000000"/>
          <w:sz w:val="24"/>
          <w:szCs w:val="24"/>
        </w:rPr>
        <w:t xml:space="preserve"> (Accessed: 20 April 2022) </w:t>
      </w:r>
      <w:r w:rsidRPr="00A661E7">
        <w:rPr>
          <w:rFonts w:ascii="Arial" w:eastAsia="Arial" w:hAnsi="Arial" w:cs="Arial"/>
          <w:i/>
          <w:iCs/>
          <w:color w:val="000000"/>
          <w:sz w:val="24"/>
          <w:szCs w:val="24"/>
        </w:rPr>
        <w:t xml:space="preserve"> </w:t>
      </w:r>
    </w:p>
    <w:p w14:paraId="44CDFF3F"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Crown Prosecution Service and Metropolitan Police Service (2018) </w:t>
      </w:r>
      <w:r w:rsidRPr="00A661E7">
        <w:rPr>
          <w:rFonts w:ascii="Arial" w:eastAsia="Arial" w:hAnsi="Arial" w:cs="Arial"/>
          <w:i/>
          <w:iCs/>
          <w:color w:val="000000"/>
          <w:sz w:val="24"/>
          <w:szCs w:val="24"/>
        </w:rPr>
        <w:t xml:space="preserve">A joint review of the disclosure process in the case of R v Allan. Findings and recommendations for the Metropolitan Police Service and CPS London. </w:t>
      </w:r>
      <w:r w:rsidRPr="00A661E7">
        <w:rPr>
          <w:rFonts w:ascii="Arial" w:eastAsia="Arial" w:hAnsi="Arial" w:cs="Arial"/>
          <w:color w:val="000000"/>
          <w:sz w:val="24"/>
          <w:szCs w:val="24"/>
        </w:rPr>
        <w:t xml:space="preserve">Available at: </w:t>
      </w:r>
      <w:hyperlink r:id="rId95" w:history="1">
        <w:r w:rsidRPr="00A661E7">
          <w:rPr>
            <w:rFonts w:ascii="Arial" w:eastAsia="Arial" w:hAnsi="Arial" w:cs="Arial"/>
            <w:color w:val="0563C1"/>
            <w:sz w:val="24"/>
            <w:szCs w:val="24"/>
            <w:u w:val="single"/>
          </w:rPr>
          <w:t>joint-review-disclosure-Allan.pdf (cps.gov.uk)</w:t>
        </w:r>
      </w:hyperlink>
      <w:r w:rsidRPr="00A661E7">
        <w:rPr>
          <w:rFonts w:ascii="Arial" w:eastAsia="Arial" w:hAnsi="Arial" w:cs="Arial"/>
          <w:color w:val="000000"/>
          <w:sz w:val="24"/>
          <w:szCs w:val="24"/>
        </w:rPr>
        <w:t xml:space="preserve"> (Accessed: 21 April 2022)</w:t>
      </w:r>
    </w:p>
    <w:p w14:paraId="2DC5E33D"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Dyfed-Powys Police (2021a)</w:t>
      </w:r>
      <w:r w:rsidRPr="00A661E7">
        <w:rPr>
          <w:rFonts w:ascii="Arial" w:eastAsia="Arial" w:hAnsi="Arial" w:cs="Arial"/>
          <w:i/>
          <w:iCs/>
          <w:color w:val="000000"/>
          <w:sz w:val="24"/>
          <w:szCs w:val="24"/>
        </w:rPr>
        <w:t xml:space="preserve"> Crime &amp; Incident Recording and Investigation Guidance. </w:t>
      </w:r>
      <w:r w:rsidRPr="00A661E7">
        <w:rPr>
          <w:rFonts w:ascii="Arial" w:eastAsia="Arial" w:hAnsi="Arial" w:cs="Arial"/>
          <w:color w:val="000000"/>
          <w:sz w:val="24"/>
          <w:szCs w:val="24"/>
        </w:rPr>
        <w:t>Internal crime investigation guidance, Dyfed-Powys Police. Unpublished.</w:t>
      </w:r>
    </w:p>
    <w:p w14:paraId="1BAB5C5A"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Dyfed-Powys Police (2021b)</w:t>
      </w:r>
      <w:r w:rsidRPr="00A661E7">
        <w:rPr>
          <w:rFonts w:ascii="Arial" w:eastAsia="Arial" w:hAnsi="Arial" w:cs="Arial"/>
          <w:i/>
          <w:iCs/>
          <w:color w:val="000000"/>
          <w:sz w:val="24"/>
          <w:szCs w:val="24"/>
        </w:rPr>
        <w:t xml:space="preserve"> Crime &amp; Incident Recording and Investigation Guidance. </w:t>
      </w:r>
      <w:r w:rsidRPr="00A661E7">
        <w:rPr>
          <w:rFonts w:ascii="Arial" w:eastAsia="Arial" w:hAnsi="Arial" w:cs="Arial"/>
          <w:color w:val="000000"/>
          <w:sz w:val="24"/>
          <w:szCs w:val="24"/>
        </w:rPr>
        <w:t>Internal crime investigation guidance, Dyfed-Powys Police. Unpublished.</w:t>
      </w:r>
    </w:p>
    <w:p w14:paraId="18029D39"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Dyfed-Powys Police (2021) </w:t>
      </w:r>
      <w:r w:rsidRPr="00A661E7">
        <w:rPr>
          <w:rFonts w:ascii="Arial" w:eastAsia="Arial" w:hAnsi="Arial" w:cs="Arial"/>
          <w:i/>
          <w:iCs/>
          <w:color w:val="000000"/>
          <w:sz w:val="24"/>
          <w:szCs w:val="24"/>
        </w:rPr>
        <w:t xml:space="preserve">Crime &amp; Incident Recording and Investigation Policy. </w:t>
      </w:r>
      <w:r w:rsidRPr="00A661E7">
        <w:rPr>
          <w:rFonts w:ascii="Arial" w:eastAsia="Arial" w:hAnsi="Arial" w:cs="Arial"/>
          <w:color w:val="000000"/>
          <w:sz w:val="24"/>
          <w:szCs w:val="24"/>
        </w:rPr>
        <w:t xml:space="preserve">Available at: </w:t>
      </w:r>
      <w:hyperlink r:id="rId96" w:anchor=":~:text=Statement%20of%20Policy%20The%20aim%20of%20th%20policy,relation%20to%20the%20standards%20of%20crime%20and%20incident" w:history="1">
        <w:r w:rsidRPr="00A661E7">
          <w:rPr>
            <w:rFonts w:ascii="Arial" w:eastAsia="Arial" w:hAnsi="Arial" w:cs="Arial"/>
            <w:color w:val="0563C1"/>
            <w:sz w:val="24"/>
            <w:szCs w:val="24"/>
            <w:u w:val="single"/>
          </w:rPr>
          <w:t>crime-and-incident-recording-and-investigation-policy (dyfed-powys.police.uk)</w:t>
        </w:r>
      </w:hyperlink>
      <w:r w:rsidRPr="00A661E7">
        <w:rPr>
          <w:rFonts w:ascii="Arial" w:eastAsia="Arial" w:hAnsi="Arial" w:cs="Arial"/>
          <w:color w:val="000000"/>
          <w:sz w:val="24"/>
          <w:szCs w:val="24"/>
        </w:rPr>
        <w:t xml:space="preserve"> (Accessed: 24 April 2022)</w:t>
      </w:r>
    </w:p>
    <w:p w14:paraId="375653D9"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Gill, P., (2019) ‘DNA evidence and miscarriages of justice’, </w:t>
      </w:r>
      <w:r w:rsidRPr="00A661E7">
        <w:rPr>
          <w:rFonts w:ascii="Arial" w:eastAsia="Arial" w:hAnsi="Arial" w:cs="Arial"/>
          <w:i/>
          <w:iCs/>
          <w:color w:val="000000"/>
          <w:sz w:val="24"/>
          <w:szCs w:val="24"/>
        </w:rPr>
        <w:t>Forensic Science International, 294.</w:t>
      </w:r>
      <w:r w:rsidRPr="00A661E7">
        <w:rPr>
          <w:rFonts w:ascii="Arial" w:eastAsia="Arial" w:hAnsi="Arial" w:cs="Arial"/>
          <w:color w:val="000000"/>
          <w:sz w:val="24"/>
          <w:szCs w:val="24"/>
        </w:rPr>
        <w:t xml:space="preserve"> Available at: </w:t>
      </w:r>
      <w:proofErr w:type="gramStart"/>
      <w:r w:rsidRPr="00A661E7">
        <w:rPr>
          <w:rFonts w:ascii="Arial" w:eastAsia="Arial" w:hAnsi="Arial" w:cs="Arial"/>
          <w:color w:val="000000"/>
          <w:sz w:val="24"/>
          <w:szCs w:val="24"/>
        </w:rPr>
        <w:t>doi:10.1016/j.forsciint</w:t>
      </w:r>
      <w:proofErr w:type="gramEnd"/>
      <w:r w:rsidRPr="00A661E7">
        <w:rPr>
          <w:rFonts w:ascii="Arial" w:eastAsia="Arial" w:hAnsi="Arial" w:cs="Arial"/>
          <w:color w:val="000000"/>
          <w:sz w:val="24"/>
          <w:szCs w:val="24"/>
        </w:rPr>
        <w:t>.2018.12.003. (Accessed: 24 April 2022)</w:t>
      </w:r>
    </w:p>
    <w:p w14:paraId="05DB71E5" w14:textId="77777777" w:rsidR="00A661E7" w:rsidRPr="00A661E7" w:rsidRDefault="00A661E7" w:rsidP="00A661E7">
      <w:pPr>
        <w:rPr>
          <w:rFonts w:ascii="Arial" w:eastAsia="Arial" w:hAnsi="Arial" w:cs="Arial"/>
          <w:color w:val="000000"/>
          <w:sz w:val="24"/>
          <w:szCs w:val="24"/>
        </w:rPr>
      </w:pPr>
      <w:proofErr w:type="spellStart"/>
      <w:r w:rsidRPr="00A661E7">
        <w:rPr>
          <w:rFonts w:ascii="Arial" w:eastAsia="Arial" w:hAnsi="Arial" w:cs="Arial"/>
          <w:color w:val="000000"/>
          <w:sz w:val="24"/>
          <w:szCs w:val="24"/>
        </w:rPr>
        <w:t>Karn</w:t>
      </w:r>
      <w:proofErr w:type="spellEnd"/>
      <w:r w:rsidRPr="00A661E7">
        <w:rPr>
          <w:rFonts w:ascii="Arial" w:eastAsia="Arial" w:hAnsi="Arial" w:cs="Arial"/>
          <w:color w:val="000000"/>
          <w:sz w:val="24"/>
          <w:szCs w:val="24"/>
        </w:rPr>
        <w:t xml:space="preserve">. J., (2013) </w:t>
      </w:r>
      <w:r w:rsidRPr="00A661E7">
        <w:rPr>
          <w:rFonts w:ascii="Arial" w:eastAsia="Arial" w:hAnsi="Arial" w:cs="Arial"/>
          <w:i/>
          <w:iCs/>
          <w:color w:val="000000"/>
          <w:sz w:val="24"/>
          <w:szCs w:val="24"/>
        </w:rPr>
        <w:t xml:space="preserve">Policing and Crime Reduction: The evidence and </w:t>
      </w:r>
      <w:proofErr w:type="spellStart"/>
      <w:r w:rsidRPr="00A661E7">
        <w:rPr>
          <w:rFonts w:ascii="Arial" w:eastAsia="Arial" w:hAnsi="Arial" w:cs="Arial"/>
          <w:i/>
          <w:iCs/>
          <w:color w:val="000000"/>
          <w:sz w:val="24"/>
          <w:szCs w:val="24"/>
        </w:rPr>
        <w:t>it’s</w:t>
      </w:r>
      <w:proofErr w:type="spellEnd"/>
      <w:r w:rsidRPr="00A661E7">
        <w:rPr>
          <w:rFonts w:ascii="Arial" w:eastAsia="Arial" w:hAnsi="Arial" w:cs="Arial"/>
          <w:i/>
          <w:iCs/>
          <w:color w:val="000000"/>
          <w:sz w:val="24"/>
          <w:szCs w:val="24"/>
        </w:rPr>
        <w:t xml:space="preserve"> implications for practice.</w:t>
      </w:r>
      <w:r w:rsidRPr="00A661E7">
        <w:rPr>
          <w:rFonts w:ascii="Arial" w:eastAsia="Arial" w:hAnsi="Arial" w:cs="Arial"/>
          <w:color w:val="000000"/>
          <w:sz w:val="24"/>
          <w:szCs w:val="24"/>
        </w:rPr>
        <w:t xml:space="preserve"> London: The Police Foundation. Available at:</w:t>
      </w:r>
      <w:r w:rsidRPr="00A661E7">
        <w:rPr>
          <w:rFonts w:ascii="Calibri" w:eastAsia="Calibri" w:hAnsi="Calibri" w:cs="Times New Roman"/>
        </w:rPr>
        <w:t xml:space="preserve"> </w:t>
      </w:r>
      <w:hyperlink r:id="rId97" w:history="1">
        <w:r w:rsidRPr="00A661E7">
          <w:rPr>
            <w:rFonts w:ascii="Arial" w:eastAsia="Arial" w:hAnsi="Arial" w:cs="Arial"/>
            <w:color w:val="0563C1"/>
            <w:sz w:val="24"/>
            <w:szCs w:val="24"/>
            <w:u w:val="single"/>
          </w:rPr>
          <w:t xml:space="preserve">Police Foundation Police Effectiveness </w:t>
        </w:r>
        <w:proofErr w:type="spellStart"/>
        <w:r w:rsidRPr="00A661E7">
          <w:rPr>
            <w:rFonts w:ascii="Arial" w:eastAsia="Arial" w:hAnsi="Arial" w:cs="Arial"/>
            <w:color w:val="0563C1"/>
            <w:sz w:val="24"/>
            <w:szCs w:val="24"/>
            <w:u w:val="single"/>
          </w:rPr>
          <w:t>Report.qxd</w:t>
        </w:r>
        <w:proofErr w:type="spellEnd"/>
        <w:r w:rsidRPr="00A661E7">
          <w:rPr>
            <w:rFonts w:ascii="Arial" w:eastAsia="Arial" w:hAnsi="Arial" w:cs="Arial"/>
            <w:color w:val="0563C1"/>
            <w:sz w:val="24"/>
            <w:szCs w:val="24"/>
            <w:u w:val="single"/>
          </w:rPr>
          <w:t xml:space="preserve"> (police-foundation.org.uk)</w:t>
        </w:r>
      </w:hyperlink>
      <w:r w:rsidRPr="00A661E7">
        <w:rPr>
          <w:rFonts w:ascii="Arial" w:eastAsia="Arial" w:hAnsi="Arial" w:cs="Arial"/>
          <w:color w:val="000000"/>
          <w:sz w:val="24"/>
          <w:szCs w:val="24"/>
        </w:rPr>
        <w:t xml:space="preserve"> (Accessed: 20 April 2022) </w:t>
      </w:r>
    </w:p>
    <w:p w14:paraId="4EAD0B4C"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Ministry of Justice (2022) </w:t>
      </w:r>
      <w:r w:rsidRPr="00A661E7">
        <w:rPr>
          <w:rFonts w:ascii="Arial" w:eastAsia="Arial" w:hAnsi="Arial" w:cs="Arial"/>
          <w:i/>
          <w:iCs/>
          <w:color w:val="000000"/>
          <w:sz w:val="24"/>
          <w:szCs w:val="24"/>
        </w:rPr>
        <w:t xml:space="preserve">Achieving Best Evidence in Criminal Proceedings. </w:t>
      </w:r>
      <w:r w:rsidRPr="00A661E7">
        <w:rPr>
          <w:rFonts w:ascii="Arial" w:eastAsia="Arial" w:hAnsi="Arial" w:cs="Arial"/>
          <w:color w:val="000000"/>
          <w:sz w:val="24"/>
          <w:szCs w:val="24"/>
        </w:rPr>
        <w:t xml:space="preserve">Available at: </w:t>
      </w:r>
      <w:hyperlink r:id="rId98" w:history="1">
        <w:r w:rsidRPr="00A661E7">
          <w:rPr>
            <w:rFonts w:ascii="Arial" w:eastAsia="Arial" w:hAnsi="Arial" w:cs="Arial"/>
            <w:color w:val="0563C1"/>
            <w:sz w:val="24"/>
            <w:szCs w:val="24"/>
            <w:u w:val="single"/>
          </w:rPr>
          <w:t>Achieving Best Evidence in Criminal Proceedings (publishing.service.gov.uk)</w:t>
        </w:r>
      </w:hyperlink>
      <w:r w:rsidRPr="00A661E7">
        <w:rPr>
          <w:rFonts w:ascii="Arial" w:eastAsia="Arial" w:hAnsi="Arial" w:cs="Arial"/>
          <w:color w:val="000000"/>
          <w:sz w:val="24"/>
          <w:szCs w:val="24"/>
        </w:rPr>
        <w:t xml:space="preserve"> (Accessed: 01 May 2022)</w:t>
      </w:r>
    </w:p>
    <w:p w14:paraId="5F9749C9"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Mooney, J., (2010) ‘History of the business processes for major </w:t>
      </w:r>
      <w:proofErr w:type="gramStart"/>
      <w:r w:rsidRPr="00A661E7">
        <w:rPr>
          <w:rFonts w:ascii="Arial" w:eastAsia="Arial" w:hAnsi="Arial" w:cs="Arial"/>
          <w:color w:val="000000"/>
          <w:sz w:val="24"/>
          <w:szCs w:val="24"/>
        </w:rPr>
        <w:t>investigations’</w:t>
      </w:r>
      <w:proofErr w:type="gramEnd"/>
      <w:r w:rsidRPr="00A661E7">
        <w:rPr>
          <w:rFonts w:ascii="Arial" w:eastAsia="Arial" w:hAnsi="Arial" w:cs="Arial"/>
          <w:color w:val="000000"/>
          <w:sz w:val="24"/>
          <w:szCs w:val="24"/>
        </w:rPr>
        <w:t xml:space="preserve">. </w:t>
      </w:r>
      <w:r w:rsidRPr="00A661E7">
        <w:rPr>
          <w:rFonts w:ascii="Arial" w:eastAsia="Arial" w:hAnsi="Arial" w:cs="Arial"/>
          <w:i/>
          <w:iCs/>
          <w:color w:val="000000"/>
          <w:sz w:val="24"/>
          <w:szCs w:val="24"/>
        </w:rPr>
        <w:t xml:space="preserve">The Journal of Homicide and Major Incident Investigation, </w:t>
      </w:r>
      <w:r w:rsidRPr="00A661E7">
        <w:rPr>
          <w:rFonts w:ascii="Arial" w:eastAsia="Arial" w:hAnsi="Arial" w:cs="Arial"/>
          <w:color w:val="000000"/>
          <w:sz w:val="24"/>
          <w:szCs w:val="24"/>
        </w:rPr>
        <w:t>6 (1), Available at:</w:t>
      </w:r>
      <w:r w:rsidRPr="00A661E7">
        <w:rPr>
          <w:rFonts w:ascii="Calibri" w:eastAsia="Calibri" w:hAnsi="Calibri" w:cs="Times New Roman"/>
        </w:rPr>
        <w:t xml:space="preserve"> </w:t>
      </w:r>
      <w:hyperlink r:id="rId99" w:anchor="page=33" w:history="1">
        <w:r w:rsidRPr="00A661E7">
          <w:rPr>
            <w:rFonts w:ascii="Arial" w:eastAsia="Arial" w:hAnsi="Arial" w:cs="Arial"/>
            <w:color w:val="0563C1"/>
            <w:sz w:val="24"/>
            <w:szCs w:val="24"/>
            <w:u w:val="single"/>
          </w:rPr>
          <w:t xml:space="preserve">Homicide Journal Vol 6 </w:t>
        </w:r>
        <w:proofErr w:type="spellStart"/>
        <w:r w:rsidRPr="00A661E7">
          <w:rPr>
            <w:rFonts w:ascii="Arial" w:eastAsia="Arial" w:hAnsi="Arial" w:cs="Arial"/>
            <w:color w:val="0563C1"/>
            <w:sz w:val="24"/>
            <w:szCs w:val="24"/>
            <w:u w:val="single"/>
          </w:rPr>
          <w:t>Iss</w:t>
        </w:r>
        <w:proofErr w:type="spellEnd"/>
        <w:r w:rsidRPr="00A661E7">
          <w:rPr>
            <w:rFonts w:ascii="Arial" w:eastAsia="Arial" w:hAnsi="Arial" w:cs="Arial"/>
            <w:color w:val="0563C1"/>
            <w:sz w:val="24"/>
            <w:szCs w:val="24"/>
            <w:u w:val="single"/>
          </w:rPr>
          <w:t xml:space="preserve"> 1 Spring 2010 (windows.net)</w:t>
        </w:r>
      </w:hyperlink>
      <w:r w:rsidRPr="00A661E7">
        <w:rPr>
          <w:rFonts w:ascii="Arial" w:eastAsia="Arial" w:hAnsi="Arial" w:cs="Arial"/>
          <w:color w:val="000000"/>
          <w:sz w:val="24"/>
          <w:szCs w:val="24"/>
        </w:rPr>
        <w:t xml:space="preserve"> (Accessed: 24 April 2022) </w:t>
      </w:r>
    </w:p>
    <w:p w14:paraId="49F6826E"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National Police Chiefs Council, College of Policing, Crown Prosecution Service (2018) </w:t>
      </w:r>
      <w:r w:rsidRPr="00A661E7">
        <w:rPr>
          <w:rFonts w:ascii="Arial" w:eastAsia="Arial" w:hAnsi="Arial" w:cs="Arial"/>
          <w:i/>
          <w:iCs/>
          <w:color w:val="000000"/>
          <w:sz w:val="24"/>
          <w:szCs w:val="24"/>
        </w:rPr>
        <w:t xml:space="preserve">National Disclosure Improvement Plan. </w:t>
      </w:r>
      <w:r w:rsidRPr="00A661E7">
        <w:rPr>
          <w:rFonts w:ascii="Arial" w:eastAsia="Arial" w:hAnsi="Arial" w:cs="Arial"/>
          <w:color w:val="000000"/>
          <w:sz w:val="24"/>
          <w:szCs w:val="24"/>
        </w:rPr>
        <w:t>Available at:</w:t>
      </w:r>
      <w:r w:rsidRPr="00A661E7">
        <w:rPr>
          <w:rFonts w:ascii="Calibri" w:eastAsia="Calibri" w:hAnsi="Calibri" w:cs="Times New Roman"/>
        </w:rPr>
        <w:t xml:space="preserve"> </w:t>
      </w:r>
      <w:hyperlink r:id="rId100" w:history="1">
        <w:r w:rsidRPr="00A661E7">
          <w:rPr>
            <w:rFonts w:ascii="Arial" w:eastAsia="Arial" w:hAnsi="Arial" w:cs="Arial"/>
            <w:color w:val="0563C1"/>
            <w:sz w:val="24"/>
            <w:szCs w:val="24"/>
            <w:u w:val="single"/>
          </w:rPr>
          <w:t>National-Disclosure-Improvement-Plan-May-2018.pdf (cps.gov.uk)</w:t>
        </w:r>
      </w:hyperlink>
      <w:r w:rsidRPr="00A661E7">
        <w:rPr>
          <w:rFonts w:ascii="Arial" w:eastAsia="Arial" w:hAnsi="Arial" w:cs="Arial"/>
          <w:color w:val="000000"/>
          <w:sz w:val="24"/>
          <w:szCs w:val="24"/>
        </w:rPr>
        <w:t xml:space="preserve"> (Accessed: 24 April 2022)</w:t>
      </w:r>
    </w:p>
    <w:p w14:paraId="10F68AB5"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National Police Chiefs Council (2021) </w:t>
      </w:r>
      <w:r w:rsidRPr="00A661E7">
        <w:rPr>
          <w:rFonts w:ascii="Arial" w:eastAsia="Arial" w:hAnsi="Arial" w:cs="Arial"/>
          <w:i/>
          <w:iCs/>
          <w:color w:val="000000"/>
          <w:sz w:val="24"/>
          <w:szCs w:val="24"/>
        </w:rPr>
        <w:t xml:space="preserve">Major incident room standardised administrative procedures (MIRSAP). </w:t>
      </w:r>
      <w:r w:rsidRPr="00A661E7">
        <w:rPr>
          <w:rFonts w:ascii="Arial" w:eastAsia="Arial" w:hAnsi="Arial" w:cs="Arial"/>
          <w:color w:val="000000"/>
          <w:sz w:val="24"/>
          <w:szCs w:val="24"/>
        </w:rPr>
        <w:t xml:space="preserve">Available at: </w:t>
      </w:r>
      <w:hyperlink r:id="rId101" w:history="1">
        <w:r w:rsidRPr="00A661E7">
          <w:rPr>
            <w:rFonts w:ascii="Arial" w:eastAsia="Arial" w:hAnsi="Arial" w:cs="Arial"/>
            <w:color w:val="0563C1"/>
            <w:sz w:val="24"/>
            <w:szCs w:val="24"/>
            <w:u w:val="single"/>
          </w:rPr>
          <w:t>Major incident room standardised administrative procedures (MIRSAP) (college.police.uk)</w:t>
        </w:r>
      </w:hyperlink>
      <w:r w:rsidRPr="00A661E7">
        <w:rPr>
          <w:rFonts w:ascii="Arial" w:eastAsia="Arial" w:hAnsi="Arial" w:cs="Arial"/>
          <w:color w:val="000000"/>
          <w:sz w:val="24"/>
          <w:szCs w:val="24"/>
        </w:rPr>
        <w:t xml:space="preserve"> (Accessed: 21 April 2022)</w:t>
      </w:r>
    </w:p>
    <w:p w14:paraId="5D3405F0"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Nelson, EL (2013) ‘The Relationship Between Individual Police Officer Work Habits and the Stated Reasons Prosecutors Reject Their Domestic Violence Investigations’, </w:t>
      </w:r>
      <w:r w:rsidRPr="00A661E7">
        <w:rPr>
          <w:rFonts w:ascii="Arial" w:eastAsia="Arial" w:hAnsi="Arial" w:cs="Arial"/>
          <w:i/>
          <w:iCs/>
          <w:color w:val="000000"/>
          <w:sz w:val="24"/>
          <w:szCs w:val="24"/>
        </w:rPr>
        <w:t xml:space="preserve">SAGE Open, </w:t>
      </w:r>
      <w:r w:rsidRPr="00A661E7">
        <w:rPr>
          <w:rFonts w:ascii="Arial" w:eastAsia="Arial" w:hAnsi="Arial" w:cs="Arial"/>
          <w:color w:val="000000"/>
          <w:sz w:val="24"/>
          <w:szCs w:val="24"/>
        </w:rPr>
        <w:t>3 (4), doi:</w:t>
      </w:r>
      <w:hyperlink r:id="rId102" w:history="1">
        <w:r w:rsidRPr="00A661E7">
          <w:rPr>
            <w:rFonts w:ascii="Arial" w:eastAsia="Arial" w:hAnsi="Arial" w:cs="Arial"/>
            <w:color w:val="0563C1"/>
            <w:sz w:val="24"/>
            <w:szCs w:val="24"/>
            <w:u w:val="single"/>
          </w:rPr>
          <w:t>10.1177/2158244013511826</w:t>
        </w:r>
      </w:hyperlink>
    </w:p>
    <w:p w14:paraId="2FD4AD4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i/>
          <w:iCs/>
          <w:color w:val="000000"/>
          <w:sz w:val="24"/>
          <w:szCs w:val="24"/>
        </w:rPr>
        <w:t xml:space="preserve">Offences against the Person Act 1861, c.100, S. 20, </w:t>
      </w:r>
      <w:r w:rsidRPr="00A661E7">
        <w:rPr>
          <w:rFonts w:ascii="Arial" w:eastAsia="Arial" w:hAnsi="Arial" w:cs="Arial"/>
          <w:color w:val="000000"/>
          <w:sz w:val="24"/>
          <w:szCs w:val="24"/>
        </w:rPr>
        <w:t xml:space="preserve">Available at </w:t>
      </w:r>
      <w:hyperlink r:id="rId103" w:history="1">
        <w:r w:rsidRPr="00A661E7">
          <w:rPr>
            <w:rFonts w:ascii="Arial" w:eastAsia="Arial" w:hAnsi="Arial" w:cs="Arial"/>
            <w:color w:val="0563C1"/>
            <w:sz w:val="24"/>
            <w:szCs w:val="24"/>
            <w:u w:val="single"/>
          </w:rPr>
          <w:t>Offences against the Person Act 1861 (legislation.gov.uk)</w:t>
        </w:r>
      </w:hyperlink>
      <w:r w:rsidRPr="00A661E7">
        <w:rPr>
          <w:rFonts w:ascii="Arial" w:eastAsia="Arial" w:hAnsi="Arial" w:cs="Arial"/>
          <w:color w:val="000000"/>
          <w:sz w:val="24"/>
          <w:szCs w:val="24"/>
        </w:rPr>
        <w:t xml:space="preserve"> (Accessed: 20 April 2022)</w:t>
      </w:r>
    </w:p>
    <w:p w14:paraId="0D07E4D2"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i/>
          <w:iCs/>
          <w:color w:val="000000"/>
          <w:sz w:val="24"/>
          <w:szCs w:val="24"/>
        </w:rPr>
        <w:t xml:space="preserve">Police and Criminal Evidence Act 1984, c.60, Part 3, S.19, </w:t>
      </w:r>
      <w:r w:rsidRPr="00A661E7">
        <w:rPr>
          <w:rFonts w:ascii="Arial" w:eastAsia="Arial" w:hAnsi="Arial" w:cs="Arial"/>
          <w:color w:val="000000"/>
          <w:sz w:val="24"/>
          <w:szCs w:val="24"/>
        </w:rPr>
        <w:t>Available at:</w:t>
      </w:r>
      <w:r w:rsidRPr="00A661E7">
        <w:rPr>
          <w:rFonts w:ascii="Calibri" w:eastAsia="Calibri" w:hAnsi="Calibri" w:cs="Times New Roman"/>
        </w:rPr>
        <w:t xml:space="preserve"> </w:t>
      </w:r>
      <w:hyperlink r:id="rId104" w:history="1">
        <w:r w:rsidRPr="00A661E7">
          <w:rPr>
            <w:rFonts w:ascii="Arial" w:eastAsia="Arial" w:hAnsi="Arial" w:cs="Arial"/>
            <w:color w:val="0563C1"/>
            <w:sz w:val="24"/>
            <w:szCs w:val="24"/>
            <w:u w:val="single"/>
          </w:rPr>
          <w:t>Police and Criminal Evidence Act 1984 (legislation.gov.uk)</w:t>
        </w:r>
      </w:hyperlink>
      <w:r w:rsidRPr="00A661E7">
        <w:rPr>
          <w:rFonts w:ascii="Arial" w:eastAsia="Arial" w:hAnsi="Arial" w:cs="Arial"/>
          <w:color w:val="000000"/>
          <w:sz w:val="24"/>
          <w:szCs w:val="24"/>
        </w:rPr>
        <w:t xml:space="preserve"> (Accessed: 21 April 2022)</w:t>
      </w:r>
    </w:p>
    <w:p w14:paraId="02E1FAF9"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i/>
          <w:iCs/>
          <w:color w:val="000000"/>
          <w:sz w:val="24"/>
          <w:szCs w:val="24"/>
        </w:rPr>
        <w:lastRenderedPageBreak/>
        <w:t xml:space="preserve">Police and Criminal Evidence Act 1984, c.60, Part 2, S.22, </w:t>
      </w:r>
      <w:r w:rsidRPr="00A661E7">
        <w:rPr>
          <w:rFonts w:ascii="Arial" w:eastAsia="Arial" w:hAnsi="Arial" w:cs="Arial"/>
          <w:color w:val="000000"/>
          <w:sz w:val="24"/>
          <w:szCs w:val="24"/>
        </w:rPr>
        <w:t xml:space="preserve">Available at: </w:t>
      </w:r>
      <w:hyperlink r:id="rId105" w:history="1">
        <w:r w:rsidRPr="00A661E7">
          <w:rPr>
            <w:rFonts w:ascii="Arial" w:eastAsia="Arial" w:hAnsi="Arial" w:cs="Arial"/>
            <w:color w:val="0563C1"/>
            <w:sz w:val="24"/>
            <w:szCs w:val="24"/>
            <w:u w:val="single"/>
          </w:rPr>
          <w:t>Police and Criminal Evidence Act 1984 (legislation.gov.uk)</w:t>
        </w:r>
      </w:hyperlink>
      <w:r w:rsidRPr="00A661E7">
        <w:rPr>
          <w:rFonts w:ascii="Arial" w:eastAsia="Arial" w:hAnsi="Arial" w:cs="Arial"/>
          <w:color w:val="000000"/>
          <w:sz w:val="24"/>
          <w:szCs w:val="24"/>
        </w:rPr>
        <w:t xml:space="preserve"> (Accessed: 21 April 2022)</w:t>
      </w:r>
    </w:p>
    <w:p w14:paraId="3265DC27"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i/>
          <w:iCs/>
          <w:color w:val="000000"/>
          <w:sz w:val="24"/>
          <w:szCs w:val="24"/>
        </w:rPr>
        <w:t xml:space="preserve">Sexual Offences Act 2003, S. 2, c.42. </w:t>
      </w:r>
      <w:r w:rsidRPr="00A661E7">
        <w:rPr>
          <w:rFonts w:ascii="Arial" w:eastAsia="Arial" w:hAnsi="Arial" w:cs="Arial"/>
          <w:color w:val="000000"/>
          <w:sz w:val="24"/>
          <w:szCs w:val="24"/>
        </w:rPr>
        <w:t xml:space="preserve">Available at: </w:t>
      </w:r>
      <w:hyperlink r:id="rId106" w:history="1">
        <w:r w:rsidRPr="00A661E7">
          <w:rPr>
            <w:rFonts w:ascii="Arial" w:eastAsia="Arial" w:hAnsi="Arial" w:cs="Arial"/>
            <w:color w:val="0563C1"/>
            <w:sz w:val="24"/>
            <w:szCs w:val="24"/>
            <w:u w:val="single"/>
          </w:rPr>
          <w:t>Sexual Offences Act 2003 (legislation.gov.uk)</w:t>
        </w:r>
      </w:hyperlink>
      <w:r w:rsidRPr="00A661E7">
        <w:rPr>
          <w:rFonts w:ascii="Arial" w:eastAsia="Arial" w:hAnsi="Arial" w:cs="Arial"/>
          <w:color w:val="000000"/>
          <w:sz w:val="24"/>
          <w:szCs w:val="24"/>
        </w:rPr>
        <w:t xml:space="preserve"> (Accessed: 20 April 2022)</w:t>
      </w:r>
    </w:p>
    <w:p w14:paraId="08BB98C5" w14:textId="77777777" w:rsidR="00A661E7" w:rsidRPr="00A661E7" w:rsidRDefault="00A661E7" w:rsidP="00A661E7">
      <w:pPr>
        <w:rPr>
          <w:rFonts w:ascii="Arial" w:eastAsia="Arial" w:hAnsi="Arial" w:cs="Arial"/>
          <w:i/>
          <w:iCs/>
          <w:color w:val="000000"/>
          <w:sz w:val="24"/>
          <w:szCs w:val="24"/>
        </w:rPr>
      </w:pPr>
      <w:r w:rsidRPr="00A661E7">
        <w:rPr>
          <w:rFonts w:ascii="Arial" w:eastAsia="Arial" w:hAnsi="Arial" w:cs="Arial"/>
          <w:color w:val="000000"/>
          <w:sz w:val="24"/>
          <w:szCs w:val="24"/>
        </w:rPr>
        <w:t xml:space="preserve">Skolnick J. H., (1982) ‘Deception by Police’, </w:t>
      </w:r>
      <w:r w:rsidRPr="00A661E7">
        <w:rPr>
          <w:rFonts w:ascii="Arial" w:eastAsia="Arial" w:hAnsi="Arial" w:cs="Arial"/>
          <w:i/>
          <w:iCs/>
          <w:color w:val="000000"/>
          <w:sz w:val="24"/>
          <w:szCs w:val="24"/>
        </w:rPr>
        <w:t>Criminal Justice Ethics</w:t>
      </w:r>
      <w:r w:rsidRPr="00A661E7">
        <w:rPr>
          <w:rFonts w:ascii="Arial" w:eastAsia="Arial" w:hAnsi="Arial" w:cs="Arial"/>
          <w:color w:val="000000"/>
          <w:sz w:val="24"/>
          <w:szCs w:val="24"/>
        </w:rPr>
        <w:t>, 1:2. Available at: DOI: </w:t>
      </w:r>
      <w:hyperlink r:id="rId107" w:history="1">
        <w:r w:rsidRPr="00A661E7">
          <w:rPr>
            <w:rFonts w:ascii="Arial" w:eastAsia="Arial" w:hAnsi="Arial" w:cs="Arial"/>
            <w:color w:val="0563C1"/>
            <w:sz w:val="24"/>
            <w:szCs w:val="24"/>
            <w:u w:val="single"/>
          </w:rPr>
          <w:t>10.1080/0731129X.1982.9991705</w:t>
        </w:r>
      </w:hyperlink>
      <w:r w:rsidRPr="00A661E7">
        <w:rPr>
          <w:rFonts w:ascii="Arial" w:eastAsia="Arial" w:hAnsi="Arial" w:cs="Arial"/>
          <w:color w:val="000000"/>
          <w:sz w:val="24"/>
          <w:szCs w:val="24"/>
        </w:rPr>
        <w:t xml:space="preserve"> (Accessed: 20 April 2022)</w:t>
      </w:r>
    </w:p>
    <w:p w14:paraId="1FE06475"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Smith, Dr T., (2018) ‘The “near miss” of Liam Allan: Critical Problems in Police Disclosure, Investigation Culture, and the Resourcing of Criminal Justice’, </w:t>
      </w:r>
      <w:r w:rsidRPr="00A661E7">
        <w:rPr>
          <w:rFonts w:ascii="Arial" w:eastAsia="Arial" w:hAnsi="Arial" w:cs="Arial"/>
          <w:i/>
          <w:iCs/>
          <w:color w:val="000000"/>
          <w:sz w:val="24"/>
          <w:szCs w:val="24"/>
        </w:rPr>
        <w:t>Criminal Law Review</w:t>
      </w:r>
      <w:r w:rsidRPr="00A661E7">
        <w:rPr>
          <w:rFonts w:ascii="Arial" w:eastAsia="Arial" w:hAnsi="Arial" w:cs="Arial"/>
          <w:color w:val="000000"/>
          <w:sz w:val="24"/>
          <w:szCs w:val="24"/>
        </w:rPr>
        <w:t xml:space="preserve">, 9. </w:t>
      </w:r>
      <w:r w:rsidRPr="00A661E7">
        <w:rPr>
          <w:rFonts w:ascii="Arial" w:eastAsia="Arial" w:hAnsi="Arial" w:cs="Arial"/>
          <w:i/>
          <w:iCs/>
          <w:color w:val="000000"/>
          <w:sz w:val="24"/>
          <w:szCs w:val="24"/>
        </w:rPr>
        <w:t xml:space="preserve"> </w:t>
      </w:r>
    </w:p>
    <w:p w14:paraId="7E7A9A64" w14:textId="77777777" w:rsidR="00A661E7" w:rsidRPr="00A661E7" w:rsidRDefault="00A661E7" w:rsidP="00A661E7">
      <w:pPr>
        <w:rPr>
          <w:rFonts w:ascii="Arial" w:eastAsia="Arial" w:hAnsi="Arial" w:cs="Arial"/>
          <w:color w:val="000000"/>
          <w:sz w:val="24"/>
          <w:szCs w:val="24"/>
        </w:rPr>
      </w:pPr>
      <w:r w:rsidRPr="00A661E7">
        <w:rPr>
          <w:rFonts w:ascii="Arial" w:eastAsia="Arial" w:hAnsi="Arial" w:cs="Arial"/>
          <w:color w:val="000000"/>
          <w:sz w:val="24"/>
          <w:szCs w:val="24"/>
        </w:rPr>
        <w:t xml:space="preserve">Williams, T.A., (2021) </w:t>
      </w:r>
      <w:r w:rsidRPr="00A661E7">
        <w:rPr>
          <w:rFonts w:ascii="Arial" w:eastAsia="Arial" w:hAnsi="Arial" w:cs="Arial"/>
          <w:i/>
          <w:iCs/>
          <w:color w:val="000000"/>
          <w:sz w:val="24"/>
          <w:szCs w:val="24"/>
        </w:rPr>
        <w:t>A Critical Analysis of Deceptive Practices in Policing</w:t>
      </w:r>
      <w:r w:rsidRPr="00A661E7">
        <w:rPr>
          <w:rFonts w:ascii="Arial" w:eastAsia="Arial" w:hAnsi="Arial" w:cs="Arial"/>
          <w:color w:val="000000"/>
          <w:sz w:val="24"/>
          <w:szCs w:val="24"/>
        </w:rPr>
        <w:t xml:space="preserve">, University of Hull. Available at: </w:t>
      </w:r>
      <w:hyperlink r:id="rId108" w:history="1">
        <w:r w:rsidRPr="00A661E7">
          <w:rPr>
            <w:rFonts w:ascii="Arial" w:eastAsia="Arial" w:hAnsi="Arial" w:cs="Arial"/>
            <w:color w:val="0563C1"/>
            <w:sz w:val="24"/>
            <w:szCs w:val="24"/>
            <w:u w:val="single"/>
          </w:rPr>
          <w:t>A Critical Analysis of Deceptive Practices in Policing | Criminology &amp; Sociology Hull – Student Research Journal</w:t>
        </w:r>
      </w:hyperlink>
      <w:r w:rsidRPr="00A661E7">
        <w:rPr>
          <w:rFonts w:ascii="Arial" w:eastAsia="Arial" w:hAnsi="Arial" w:cs="Arial"/>
          <w:color w:val="000000"/>
          <w:sz w:val="24"/>
          <w:szCs w:val="24"/>
        </w:rPr>
        <w:t xml:space="preserve"> (Accessed: 20 April 2022)</w:t>
      </w:r>
    </w:p>
    <w:p w14:paraId="4081EFE1" w14:textId="77777777" w:rsidR="00A661E7" w:rsidRPr="00A661E7" w:rsidRDefault="00A661E7" w:rsidP="00A661E7">
      <w:pPr>
        <w:rPr>
          <w:rFonts w:ascii="Arial" w:eastAsia="Arial" w:hAnsi="Arial" w:cs="Arial"/>
          <w:color w:val="000000"/>
          <w:sz w:val="24"/>
          <w:szCs w:val="24"/>
        </w:rPr>
      </w:pPr>
    </w:p>
    <w:p w14:paraId="19D8E9D4" w14:textId="2678FE8D" w:rsidR="7336895D" w:rsidRDefault="7336895D" w:rsidP="727E3A7D">
      <w:pPr>
        <w:ind w:right="237"/>
        <w:jc w:val="both"/>
        <w:rPr>
          <w:rFonts w:ascii="Arial" w:eastAsia="Arial" w:hAnsi="Arial" w:cs="Arial"/>
          <w:color w:val="000000" w:themeColor="text1"/>
          <w:sz w:val="24"/>
          <w:szCs w:val="24"/>
        </w:rPr>
      </w:pPr>
    </w:p>
    <w:p w14:paraId="0BD060E0" w14:textId="06F43F01" w:rsidR="7336895D" w:rsidRDefault="7336895D" w:rsidP="4651F0B7">
      <w:pPr>
        <w:ind w:right="107"/>
        <w:jc w:val="both"/>
        <w:rPr>
          <w:rFonts w:ascii="Arial" w:eastAsia="Arial" w:hAnsi="Arial" w:cs="Arial"/>
          <w:b/>
          <w:bCs/>
          <w:color w:val="000000" w:themeColor="text1"/>
          <w:sz w:val="24"/>
          <w:szCs w:val="24"/>
        </w:rPr>
      </w:pPr>
    </w:p>
    <w:p w14:paraId="3BE38F4A" w14:textId="25844B72" w:rsidR="7336895D" w:rsidRDefault="7336895D" w:rsidP="4651F0B7">
      <w:pPr>
        <w:ind w:right="107"/>
        <w:jc w:val="both"/>
        <w:rPr>
          <w:rFonts w:ascii="Arial" w:eastAsia="Arial" w:hAnsi="Arial" w:cs="Arial"/>
          <w:b/>
          <w:bCs/>
          <w:color w:val="000000" w:themeColor="text1"/>
          <w:sz w:val="24"/>
          <w:szCs w:val="24"/>
        </w:rPr>
      </w:pPr>
    </w:p>
    <w:p w14:paraId="307A09A7" w14:textId="764C7C0F" w:rsidR="7336895D" w:rsidRDefault="7336895D" w:rsidP="4651F0B7">
      <w:pPr>
        <w:ind w:right="107"/>
        <w:jc w:val="both"/>
        <w:rPr>
          <w:rFonts w:ascii="Arial" w:eastAsia="Arial" w:hAnsi="Arial" w:cs="Arial"/>
          <w:b/>
          <w:bCs/>
          <w:color w:val="000000" w:themeColor="text1"/>
          <w:sz w:val="24"/>
          <w:szCs w:val="24"/>
        </w:rPr>
      </w:pPr>
    </w:p>
    <w:p w14:paraId="56132F03" w14:textId="4E7690A8" w:rsidR="7336895D" w:rsidRDefault="7336895D" w:rsidP="4651F0B7">
      <w:pPr>
        <w:ind w:right="107"/>
        <w:jc w:val="both"/>
        <w:rPr>
          <w:rFonts w:ascii="Arial" w:eastAsia="Arial" w:hAnsi="Arial" w:cs="Arial"/>
          <w:b/>
          <w:bCs/>
          <w:color w:val="000000" w:themeColor="text1"/>
          <w:sz w:val="24"/>
          <w:szCs w:val="24"/>
        </w:rPr>
      </w:pPr>
    </w:p>
    <w:p w14:paraId="023D35E4" w14:textId="536CE2FE" w:rsidR="7336895D" w:rsidRDefault="7336895D" w:rsidP="4651F0B7">
      <w:pPr>
        <w:ind w:right="107"/>
        <w:jc w:val="both"/>
        <w:rPr>
          <w:rFonts w:ascii="Arial" w:eastAsia="Arial" w:hAnsi="Arial" w:cs="Arial"/>
          <w:b/>
          <w:bCs/>
          <w:color w:val="000000" w:themeColor="text1"/>
          <w:sz w:val="24"/>
          <w:szCs w:val="24"/>
        </w:rPr>
      </w:pPr>
    </w:p>
    <w:p w14:paraId="2EFB96D7" w14:textId="4A3435C7" w:rsidR="7336895D" w:rsidRDefault="7336895D" w:rsidP="7336895D">
      <w:pPr>
        <w:ind w:right="107"/>
        <w:jc w:val="both"/>
        <w:rPr>
          <w:rFonts w:ascii="Arial" w:eastAsia="Arial" w:hAnsi="Arial" w:cs="Arial"/>
          <w:b/>
          <w:bCs/>
          <w:color w:val="000000" w:themeColor="text1"/>
          <w:sz w:val="24"/>
          <w:szCs w:val="24"/>
        </w:rPr>
      </w:pPr>
    </w:p>
    <w:p w14:paraId="4E53A5CE" w14:textId="115B4C70" w:rsidR="7336895D" w:rsidRDefault="7336895D" w:rsidP="7336895D">
      <w:pPr>
        <w:ind w:right="107"/>
        <w:jc w:val="both"/>
        <w:rPr>
          <w:rFonts w:ascii="Arial" w:eastAsia="Arial" w:hAnsi="Arial" w:cs="Arial"/>
          <w:b/>
          <w:bCs/>
          <w:color w:val="000000" w:themeColor="text1"/>
          <w:sz w:val="24"/>
          <w:szCs w:val="24"/>
        </w:rPr>
      </w:pPr>
    </w:p>
    <w:p w14:paraId="4820D468" w14:textId="141F61DB" w:rsidR="7336895D" w:rsidRDefault="7336895D" w:rsidP="7336895D">
      <w:pPr>
        <w:ind w:right="107"/>
        <w:jc w:val="both"/>
        <w:rPr>
          <w:rFonts w:ascii="Arial" w:eastAsia="Arial" w:hAnsi="Arial" w:cs="Arial"/>
          <w:b/>
          <w:bCs/>
          <w:color w:val="000000" w:themeColor="text1"/>
          <w:sz w:val="24"/>
          <w:szCs w:val="24"/>
        </w:rPr>
      </w:pPr>
    </w:p>
    <w:p w14:paraId="12F9D61E" w14:textId="15980249" w:rsidR="00697C71" w:rsidRDefault="00697C71" w:rsidP="7336895D">
      <w:pPr>
        <w:ind w:right="107"/>
        <w:jc w:val="both"/>
        <w:rPr>
          <w:rFonts w:ascii="Arial" w:eastAsia="Arial" w:hAnsi="Arial" w:cs="Arial"/>
          <w:b/>
          <w:bCs/>
          <w:color w:val="000000" w:themeColor="text1"/>
          <w:sz w:val="24"/>
          <w:szCs w:val="24"/>
        </w:rPr>
      </w:pPr>
    </w:p>
    <w:p w14:paraId="039C65A4" w14:textId="21F4041F" w:rsidR="00697C71" w:rsidRDefault="00697C71" w:rsidP="7336895D">
      <w:pPr>
        <w:ind w:right="107"/>
        <w:jc w:val="both"/>
        <w:rPr>
          <w:rFonts w:ascii="Arial" w:eastAsia="Arial" w:hAnsi="Arial" w:cs="Arial"/>
          <w:b/>
          <w:bCs/>
          <w:color w:val="000000" w:themeColor="text1"/>
          <w:sz w:val="24"/>
          <w:szCs w:val="24"/>
        </w:rPr>
      </w:pPr>
    </w:p>
    <w:p w14:paraId="294ECDF0" w14:textId="4F3F3E43" w:rsidR="00697C71" w:rsidRDefault="00697C71" w:rsidP="7336895D">
      <w:pPr>
        <w:ind w:right="107"/>
        <w:jc w:val="both"/>
        <w:rPr>
          <w:rFonts w:ascii="Arial" w:eastAsia="Arial" w:hAnsi="Arial" w:cs="Arial"/>
          <w:b/>
          <w:bCs/>
          <w:color w:val="000000" w:themeColor="text1"/>
          <w:sz w:val="24"/>
          <w:szCs w:val="24"/>
        </w:rPr>
      </w:pPr>
    </w:p>
    <w:p w14:paraId="48447485" w14:textId="0536E68A" w:rsidR="00697C71" w:rsidRDefault="00697C71" w:rsidP="7336895D">
      <w:pPr>
        <w:ind w:right="107"/>
        <w:jc w:val="both"/>
        <w:rPr>
          <w:rFonts w:ascii="Arial" w:eastAsia="Arial" w:hAnsi="Arial" w:cs="Arial"/>
          <w:b/>
          <w:bCs/>
          <w:color w:val="000000" w:themeColor="text1"/>
          <w:sz w:val="24"/>
          <w:szCs w:val="24"/>
        </w:rPr>
      </w:pPr>
    </w:p>
    <w:p w14:paraId="2636F5E8" w14:textId="25847A7B" w:rsidR="00697C71" w:rsidRDefault="00697C71" w:rsidP="7336895D">
      <w:pPr>
        <w:ind w:right="107"/>
        <w:jc w:val="both"/>
        <w:rPr>
          <w:rFonts w:ascii="Arial" w:eastAsia="Arial" w:hAnsi="Arial" w:cs="Arial"/>
          <w:b/>
          <w:bCs/>
          <w:color w:val="000000" w:themeColor="text1"/>
          <w:sz w:val="24"/>
          <w:szCs w:val="24"/>
        </w:rPr>
      </w:pPr>
    </w:p>
    <w:p w14:paraId="665B992C" w14:textId="63101AAD" w:rsidR="00697C71" w:rsidRDefault="00697C71" w:rsidP="7336895D">
      <w:pPr>
        <w:ind w:right="107"/>
        <w:jc w:val="both"/>
        <w:rPr>
          <w:rFonts w:ascii="Arial" w:eastAsia="Arial" w:hAnsi="Arial" w:cs="Arial"/>
          <w:b/>
          <w:bCs/>
          <w:color w:val="000000" w:themeColor="text1"/>
          <w:sz w:val="24"/>
          <w:szCs w:val="24"/>
        </w:rPr>
      </w:pPr>
    </w:p>
    <w:p w14:paraId="7BDC5C0D" w14:textId="4FC44C91" w:rsidR="00697C71" w:rsidRDefault="00697C71" w:rsidP="7336895D">
      <w:pPr>
        <w:ind w:right="107"/>
        <w:jc w:val="both"/>
        <w:rPr>
          <w:rFonts w:ascii="Arial" w:eastAsia="Arial" w:hAnsi="Arial" w:cs="Arial"/>
          <w:b/>
          <w:bCs/>
          <w:color w:val="000000" w:themeColor="text1"/>
          <w:sz w:val="24"/>
          <w:szCs w:val="24"/>
        </w:rPr>
      </w:pPr>
    </w:p>
    <w:p w14:paraId="38BA3B9B" w14:textId="5B8D767C" w:rsidR="00697C71" w:rsidRDefault="00697C71" w:rsidP="7336895D">
      <w:pPr>
        <w:ind w:right="107"/>
        <w:jc w:val="both"/>
        <w:rPr>
          <w:rFonts w:ascii="Arial" w:eastAsia="Arial" w:hAnsi="Arial" w:cs="Arial"/>
          <w:b/>
          <w:bCs/>
          <w:color w:val="000000" w:themeColor="text1"/>
          <w:sz w:val="24"/>
          <w:szCs w:val="24"/>
        </w:rPr>
      </w:pPr>
    </w:p>
    <w:p w14:paraId="5D075055" w14:textId="77777777" w:rsidR="00697C71" w:rsidRDefault="00697C71" w:rsidP="7336895D">
      <w:pPr>
        <w:ind w:right="107"/>
        <w:jc w:val="both"/>
        <w:rPr>
          <w:rFonts w:ascii="Arial" w:eastAsia="Arial" w:hAnsi="Arial" w:cs="Arial"/>
          <w:b/>
          <w:bCs/>
          <w:color w:val="000000" w:themeColor="text1"/>
          <w:sz w:val="24"/>
          <w:szCs w:val="24"/>
        </w:rPr>
      </w:pPr>
    </w:p>
    <w:p w14:paraId="2C6FBE2D" w14:textId="0EF7202A" w:rsidR="727E3A7D" w:rsidRDefault="727E3A7D" w:rsidP="727E3A7D">
      <w:pPr>
        <w:ind w:right="107"/>
        <w:jc w:val="both"/>
        <w:rPr>
          <w:rFonts w:ascii="Arial" w:eastAsia="Arial" w:hAnsi="Arial" w:cs="Arial"/>
          <w:b/>
          <w:bCs/>
          <w:color w:val="000000" w:themeColor="text1"/>
          <w:sz w:val="24"/>
          <w:szCs w:val="24"/>
        </w:rPr>
      </w:pPr>
    </w:p>
    <w:p w14:paraId="3999A614" w14:textId="77777777" w:rsidR="00965385" w:rsidRDefault="00965385" w:rsidP="727E3A7D">
      <w:pPr>
        <w:ind w:right="107"/>
        <w:jc w:val="both"/>
        <w:rPr>
          <w:rFonts w:ascii="Arial" w:eastAsia="Arial" w:hAnsi="Arial" w:cs="Arial"/>
          <w:b/>
          <w:bCs/>
          <w:color w:val="000000" w:themeColor="text1"/>
          <w:sz w:val="24"/>
          <w:szCs w:val="24"/>
        </w:rPr>
      </w:pPr>
    </w:p>
    <w:p w14:paraId="38680188" w14:textId="52A6CF1F" w:rsidR="3A5EB7B5" w:rsidRDefault="3A5EB7B5" w:rsidP="7336895D">
      <w:pPr>
        <w:ind w:right="10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lastRenderedPageBreak/>
        <w:t>Task 5</w:t>
      </w:r>
      <w:r w:rsidR="4C6CB4DE" w:rsidRPr="7336895D">
        <w:rPr>
          <w:rFonts w:ascii="Arial" w:eastAsia="Arial" w:hAnsi="Arial" w:cs="Arial"/>
          <w:b/>
          <w:bCs/>
          <w:color w:val="000000" w:themeColor="text1"/>
          <w:sz w:val="24"/>
          <w:szCs w:val="24"/>
        </w:rPr>
        <w:t xml:space="preserve">: </w:t>
      </w:r>
    </w:p>
    <w:p w14:paraId="47BDC222" w14:textId="7519F6C3" w:rsidR="3A5EB7B5" w:rsidRDefault="3A5EB7B5" w:rsidP="7336895D">
      <w:pPr>
        <w:ind w:right="10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Personal Development Plan (PDP)</w:t>
      </w:r>
    </w:p>
    <w:p w14:paraId="0A253E2D" w14:textId="42BC9346" w:rsidR="7336895D" w:rsidRDefault="7336895D" w:rsidP="7336895D">
      <w:pPr>
        <w:ind w:right="107"/>
        <w:jc w:val="both"/>
        <w:rPr>
          <w:rFonts w:ascii="Arial" w:eastAsia="Arial" w:hAnsi="Arial" w:cs="Arial"/>
          <w:color w:val="000000" w:themeColor="text1"/>
          <w:sz w:val="24"/>
          <w:szCs w:val="24"/>
        </w:rPr>
      </w:pPr>
    </w:p>
    <w:p w14:paraId="037136EB" w14:textId="7C680935" w:rsidR="3A5EB7B5" w:rsidRDefault="3A5EB7B5" w:rsidP="7336895D">
      <w:pPr>
        <w:ind w:right="107"/>
        <w:jc w:val="both"/>
        <w:rPr>
          <w:rFonts w:ascii="Arial" w:eastAsia="Arial" w:hAnsi="Arial" w:cs="Arial"/>
          <w:color w:val="000000" w:themeColor="text1"/>
          <w:sz w:val="24"/>
          <w:szCs w:val="24"/>
        </w:rPr>
      </w:pPr>
      <w:r w:rsidRPr="69B3A30A">
        <w:rPr>
          <w:rFonts w:ascii="Arial" w:eastAsia="Arial" w:hAnsi="Arial" w:cs="Arial"/>
          <w:b/>
          <w:bCs/>
          <w:color w:val="000000" w:themeColor="text1"/>
          <w:sz w:val="24"/>
          <w:szCs w:val="24"/>
        </w:rPr>
        <w:t xml:space="preserve">As part of your reflective process, please use this table to aid you in identifying the next steps for development. </w:t>
      </w:r>
    </w:p>
    <w:p w14:paraId="24ED1ABE" w14:textId="63D8BDE0" w:rsidR="69B3A30A" w:rsidRDefault="69B3A30A" w:rsidP="69B3A30A">
      <w:pPr>
        <w:ind w:right="107"/>
        <w:jc w:val="both"/>
        <w:rPr>
          <w:rFonts w:ascii="Arial" w:eastAsia="Arial" w:hAnsi="Arial" w:cs="Arial"/>
          <w:color w:val="000000" w:themeColor="text1"/>
          <w:sz w:val="24"/>
          <w:szCs w:val="24"/>
        </w:rPr>
      </w:pPr>
    </w:p>
    <w:p w14:paraId="02ED8D49" w14:textId="6EF7E1B0" w:rsidR="3A5EB7B5" w:rsidRDefault="49E3DD73" w:rsidP="69B3A30A">
      <w:pPr>
        <w:ind w:right="107"/>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F</w:t>
      </w:r>
      <w:r w:rsidR="3C41B539" w:rsidRPr="69B3A30A">
        <w:rPr>
          <w:rFonts w:ascii="Arial" w:eastAsia="Arial" w:hAnsi="Arial" w:cs="Arial"/>
          <w:color w:val="000000" w:themeColor="text1"/>
          <w:sz w:val="24"/>
          <w:szCs w:val="24"/>
        </w:rPr>
        <w:t>ormulate and implement a personal study programme to further enhance the development of your professional police practice. A template has been added for an ‘Individual Learning Plan’ that you can use for this task.  </w:t>
      </w:r>
    </w:p>
    <w:p w14:paraId="233F7648" w14:textId="43E6AD71"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w:t>
      </w:r>
    </w:p>
    <w:p w14:paraId="6D70D476" w14:textId="67BCDEF7"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1D9B8E8A" w14:textId="01530EFB" w:rsidR="3A5EB7B5" w:rsidRDefault="3C41B539" w:rsidP="69B3A30A">
      <w:pPr>
        <w:ind w:right="225"/>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 </w:t>
      </w:r>
    </w:p>
    <w:p w14:paraId="7A984DF5" w14:textId="78A54B64" w:rsidR="3A5EB7B5" w:rsidRDefault="3A5EB7B5" w:rsidP="69B3A30A">
      <w:pPr>
        <w:ind w:right="107"/>
        <w:jc w:val="both"/>
        <w:rPr>
          <w:rFonts w:ascii="Arial" w:eastAsia="Arial" w:hAnsi="Arial" w:cs="Arial"/>
          <w:color w:val="000000" w:themeColor="text1"/>
          <w:sz w:val="24"/>
          <w:szCs w:val="24"/>
        </w:rPr>
      </w:pPr>
      <w:r w:rsidRPr="69B3A30A">
        <w:rPr>
          <w:rFonts w:ascii="Arial" w:eastAsia="Arial" w:hAnsi="Arial" w:cs="Arial"/>
          <w:color w:val="000000" w:themeColor="text1"/>
          <w:sz w:val="24"/>
          <w:szCs w:val="24"/>
        </w:rPr>
        <w:t>This is equivalent to 2000 words towards the overall wordcount, please note this is not the actual number of words used in completing the table, the count reflects the thought and research behind it.</w:t>
      </w:r>
    </w:p>
    <w:p w14:paraId="3C8AF230" w14:textId="4EE02922" w:rsidR="7336895D" w:rsidRDefault="4E6D1421" w:rsidP="69B3A30A">
      <w:pPr>
        <w:jc w:val="center"/>
        <w:rPr>
          <w:rFonts w:ascii="Arial" w:eastAsia="Arial" w:hAnsi="Arial" w:cs="Arial"/>
          <w:sz w:val="24"/>
          <w:szCs w:val="24"/>
        </w:rPr>
      </w:pPr>
      <w:r w:rsidRPr="69B3A30A">
        <w:rPr>
          <w:rFonts w:ascii="Arial" w:eastAsia="Arial" w:hAnsi="Arial" w:cs="Arial"/>
          <w:b/>
          <w:bCs/>
          <w:color w:val="000000" w:themeColor="text1"/>
        </w:rPr>
        <w:t>Knowledge, Skills and Experience Assessment</w:t>
      </w:r>
      <w:r w:rsidRPr="69B3A30A">
        <w:rPr>
          <w:rFonts w:ascii="Arial" w:eastAsia="Arial" w:hAnsi="Arial" w:cs="Arial"/>
          <w:color w:val="000000" w:themeColor="text1"/>
        </w:rPr>
        <w:t> </w:t>
      </w:r>
    </w:p>
    <w:p w14:paraId="71960A1E" w14:textId="3DCF88C8" w:rsidR="7336895D" w:rsidRDefault="7336895D" w:rsidP="69B3A30A">
      <w:pPr>
        <w:ind w:right="107"/>
        <w:jc w:val="both"/>
        <w:rPr>
          <w:rFonts w:ascii="Arial" w:eastAsia="Arial" w:hAnsi="Arial" w:cs="Arial"/>
          <w:color w:val="000000" w:themeColor="text1"/>
          <w:sz w:val="24"/>
          <w:szCs w:val="24"/>
        </w:rPr>
      </w:pPr>
    </w:p>
    <w:tbl>
      <w:tblPr>
        <w:tblW w:w="0" w:type="auto"/>
        <w:tblLayout w:type="fixed"/>
        <w:tblLook w:val="04A0" w:firstRow="1" w:lastRow="0" w:firstColumn="1" w:lastColumn="0" w:noHBand="0" w:noVBand="1"/>
      </w:tblPr>
      <w:tblGrid>
        <w:gridCol w:w="2115"/>
        <w:gridCol w:w="705"/>
        <w:gridCol w:w="705"/>
        <w:gridCol w:w="705"/>
        <w:gridCol w:w="705"/>
        <w:gridCol w:w="705"/>
        <w:gridCol w:w="720"/>
        <w:gridCol w:w="2520"/>
      </w:tblGrid>
      <w:tr w:rsidR="69B3A30A" w14:paraId="500F4D86" w14:textId="77777777" w:rsidTr="727E3A7D">
        <w:tc>
          <w:tcPr>
            <w:tcW w:w="2115" w:type="dxa"/>
            <w:tcBorders>
              <w:top w:val="single" w:sz="6" w:space="0" w:color="auto"/>
              <w:left w:val="single" w:sz="6" w:space="0" w:color="auto"/>
              <w:bottom w:val="single" w:sz="6" w:space="0" w:color="auto"/>
              <w:right w:val="single" w:sz="6" w:space="0" w:color="auto"/>
            </w:tcBorders>
            <w:shd w:val="clear" w:color="auto" w:fill="5B9BD5" w:themeFill="accent5"/>
          </w:tcPr>
          <w:p w14:paraId="02D0D3FB" w14:textId="0154C99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c>
          <w:tcPr>
            <w:tcW w:w="2115" w:type="dxa"/>
            <w:gridSpan w:val="3"/>
            <w:tcBorders>
              <w:top w:val="single" w:sz="6" w:space="0" w:color="auto"/>
              <w:left w:val="single" w:sz="6" w:space="0" w:color="auto"/>
              <w:bottom w:val="single" w:sz="6" w:space="0" w:color="auto"/>
              <w:right w:val="single" w:sz="6" w:space="0" w:color="auto"/>
            </w:tcBorders>
            <w:shd w:val="clear" w:color="auto" w:fill="5B9BD5" w:themeFill="accent5"/>
          </w:tcPr>
          <w:p w14:paraId="46F4249D" w14:textId="77FE0D3C"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REQUIRED</w:t>
            </w:r>
            <w:r w:rsidRPr="69B3A30A">
              <w:rPr>
                <w:rFonts w:ascii="Arial" w:eastAsia="Arial" w:hAnsi="Arial" w:cs="Arial"/>
                <w:color w:val="000000" w:themeColor="text1"/>
              </w:rPr>
              <w:t> </w:t>
            </w:r>
          </w:p>
        </w:tc>
        <w:tc>
          <w:tcPr>
            <w:tcW w:w="2130" w:type="dxa"/>
            <w:gridSpan w:val="3"/>
            <w:tcBorders>
              <w:top w:val="single" w:sz="6" w:space="0" w:color="auto"/>
              <w:left w:val="nil"/>
              <w:bottom w:val="single" w:sz="6" w:space="0" w:color="auto"/>
              <w:right w:val="single" w:sz="6" w:space="0" w:color="auto"/>
            </w:tcBorders>
            <w:shd w:val="clear" w:color="auto" w:fill="5B9BD5" w:themeFill="accent5"/>
          </w:tcPr>
          <w:p w14:paraId="27848548" w14:textId="03D4C5EB"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RATING</w:t>
            </w:r>
            <w:r w:rsidRPr="69B3A30A">
              <w:rPr>
                <w:rFonts w:ascii="Arial" w:eastAsia="Arial" w:hAnsi="Arial" w:cs="Arial"/>
                <w:color w:val="000000" w:themeColor="text1"/>
              </w:rPr>
              <w:t> </w:t>
            </w:r>
          </w:p>
        </w:tc>
        <w:tc>
          <w:tcPr>
            <w:tcW w:w="2520" w:type="dxa"/>
            <w:tcBorders>
              <w:top w:val="single" w:sz="6" w:space="0" w:color="auto"/>
              <w:left w:val="nil"/>
              <w:bottom w:val="single" w:sz="6" w:space="0" w:color="auto"/>
              <w:right w:val="single" w:sz="6" w:space="0" w:color="auto"/>
            </w:tcBorders>
            <w:shd w:val="clear" w:color="auto" w:fill="5B9BD5" w:themeFill="accent5"/>
          </w:tcPr>
          <w:p w14:paraId="2BE8FF50" w14:textId="2475312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DEVELOPMENT NEED</w:t>
            </w:r>
            <w:r w:rsidRPr="69B3A30A">
              <w:rPr>
                <w:rFonts w:ascii="Arial" w:eastAsia="Arial" w:hAnsi="Arial" w:cs="Arial"/>
                <w:color w:val="000000" w:themeColor="text1"/>
              </w:rPr>
              <w:t> </w:t>
            </w:r>
          </w:p>
          <w:p w14:paraId="66D1EB09" w14:textId="36C58A06"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r w:rsidR="69B3A30A" w14:paraId="1D5C4F5E" w14:textId="77777777" w:rsidTr="727E3A7D">
        <w:tc>
          <w:tcPr>
            <w:tcW w:w="2115" w:type="dxa"/>
            <w:tcBorders>
              <w:top w:val="single" w:sz="6" w:space="0" w:color="auto"/>
              <w:left w:val="single" w:sz="6" w:space="0" w:color="auto"/>
              <w:bottom w:val="single" w:sz="6" w:space="0" w:color="auto"/>
              <w:right w:val="single" w:sz="6" w:space="0" w:color="auto"/>
            </w:tcBorders>
          </w:tcPr>
          <w:p w14:paraId="057FC63A" w14:textId="116DCF05"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KNOWLEDGE</w:t>
            </w:r>
            <w:r w:rsidRPr="69B3A30A">
              <w:rPr>
                <w:rFonts w:ascii="Arial" w:eastAsia="Arial" w:hAnsi="Arial" w:cs="Arial"/>
                <w:color w:val="000000" w:themeColor="text1"/>
              </w:rPr>
              <w:t> </w:t>
            </w:r>
          </w:p>
          <w:p w14:paraId="0EBD97B1" w14:textId="77777777" w:rsidR="00C655A0" w:rsidRDefault="007456C4" w:rsidP="69B3A30A">
            <w:pPr>
              <w:rPr>
                <w:rFonts w:ascii="Arial" w:eastAsia="Arial" w:hAnsi="Arial" w:cs="Arial"/>
                <w:color w:val="000000" w:themeColor="text1"/>
              </w:rPr>
            </w:pPr>
            <w:r>
              <w:rPr>
                <w:rFonts w:ascii="Arial" w:eastAsia="Arial" w:hAnsi="Arial" w:cs="Arial"/>
                <w:color w:val="000000" w:themeColor="text1"/>
                <w:sz w:val="20"/>
                <w:szCs w:val="20"/>
              </w:rPr>
              <w:t>Knowledge around m</w:t>
            </w:r>
            <w:r w:rsidR="004827DF">
              <w:rPr>
                <w:rFonts w:ascii="Arial" w:eastAsia="Arial" w:hAnsi="Arial" w:cs="Arial"/>
                <w:color w:val="000000" w:themeColor="text1"/>
                <w:sz w:val="20"/>
                <w:szCs w:val="20"/>
              </w:rPr>
              <w:t xml:space="preserve">anagement of unused material </w:t>
            </w:r>
            <w:r w:rsidR="00816D9B">
              <w:rPr>
                <w:rFonts w:ascii="Arial" w:eastAsia="Arial" w:hAnsi="Arial" w:cs="Arial"/>
                <w:color w:val="000000" w:themeColor="text1"/>
                <w:sz w:val="20"/>
                <w:szCs w:val="20"/>
              </w:rPr>
              <w:t>req</w:t>
            </w:r>
            <w:r w:rsidR="0047431F">
              <w:rPr>
                <w:rFonts w:ascii="Arial" w:eastAsia="Arial" w:hAnsi="Arial" w:cs="Arial"/>
                <w:color w:val="000000" w:themeColor="text1"/>
                <w:sz w:val="20"/>
                <w:szCs w:val="20"/>
              </w:rPr>
              <w:t xml:space="preserve">uires improvement, </w:t>
            </w:r>
            <w:r w:rsidR="004827DF">
              <w:rPr>
                <w:rFonts w:ascii="Arial" w:eastAsia="Arial" w:hAnsi="Arial" w:cs="Arial"/>
                <w:color w:val="000000" w:themeColor="text1"/>
                <w:sz w:val="20"/>
                <w:szCs w:val="20"/>
              </w:rPr>
              <w:t>specifically the most recent Attorney Generals Guidelines</w:t>
            </w:r>
            <w:r w:rsidR="00823BA0">
              <w:rPr>
                <w:rFonts w:ascii="Arial" w:eastAsia="Arial" w:hAnsi="Arial" w:cs="Arial"/>
                <w:color w:val="000000" w:themeColor="text1"/>
                <w:sz w:val="20"/>
                <w:szCs w:val="20"/>
              </w:rPr>
              <w:t xml:space="preserve"> on Disclosure</w:t>
            </w:r>
            <w:r w:rsidR="004827DF">
              <w:rPr>
                <w:rFonts w:ascii="Arial" w:eastAsia="Arial" w:hAnsi="Arial" w:cs="Arial"/>
                <w:color w:val="000000" w:themeColor="text1"/>
                <w:sz w:val="20"/>
                <w:szCs w:val="20"/>
              </w:rPr>
              <w:t xml:space="preserve"> and </w:t>
            </w:r>
            <w:r w:rsidR="00346B3C">
              <w:rPr>
                <w:rFonts w:ascii="Arial" w:eastAsia="Arial" w:hAnsi="Arial" w:cs="Arial"/>
                <w:color w:val="000000" w:themeColor="text1"/>
                <w:sz w:val="20"/>
                <w:szCs w:val="20"/>
              </w:rPr>
              <w:t>Director</w:t>
            </w:r>
            <w:r>
              <w:rPr>
                <w:rFonts w:ascii="Arial" w:eastAsia="Arial" w:hAnsi="Arial" w:cs="Arial"/>
                <w:color w:val="000000" w:themeColor="text1"/>
                <w:sz w:val="20"/>
                <w:szCs w:val="20"/>
              </w:rPr>
              <w:t>s</w:t>
            </w:r>
            <w:r w:rsidR="00346B3C">
              <w:rPr>
                <w:rFonts w:ascii="Arial" w:eastAsia="Arial" w:hAnsi="Arial" w:cs="Arial"/>
                <w:color w:val="000000" w:themeColor="text1"/>
                <w:sz w:val="20"/>
                <w:szCs w:val="20"/>
              </w:rPr>
              <w:t xml:space="preserve"> G</w:t>
            </w:r>
            <w:r w:rsidR="00A60997">
              <w:rPr>
                <w:rFonts w:ascii="Arial" w:eastAsia="Arial" w:hAnsi="Arial" w:cs="Arial"/>
                <w:color w:val="000000" w:themeColor="text1"/>
                <w:sz w:val="20"/>
                <w:szCs w:val="20"/>
              </w:rPr>
              <w:t>uidance on Charging 6</w:t>
            </w:r>
            <w:r w:rsidR="00A60997" w:rsidRPr="00A60997">
              <w:rPr>
                <w:rFonts w:ascii="Arial" w:eastAsia="Arial" w:hAnsi="Arial" w:cs="Arial"/>
                <w:color w:val="000000" w:themeColor="text1"/>
                <w:sz w:val="20"/>
                <w:szCs w:val="20"/>
                <w:vertAlign w:val="superscript"/>
              </w:rPr>
              <w:t>th</w:t>
            </w:r>
            <w:r w:rsidR="00A60997">
              <w:rPr>
                <w:rFonts w:ascii="Arial" w:eastAsia="Arial" w:hAnsi="Arial" w:cs="Arial"/>
                <w:color w:val="000000" w:themeColor="text1"/>
                <w:sz w:val="20"/>
                <w:szCs w:val="20"/>
              </w:rPr>
              <w:t xml:space="preserve"> Edition (DG6)</w:t>
            </w:r>
            <w:r w:rsidR="00C655A0">
              <w:rPr>
                <w:rFonts w:ascii="Arial" w:eastAsia="Arial" w:hAnsi="Arial" w:cs="Arial"/>
                <w:color w:val="000000" w:themeColor="text1"/>
              </w:rPr>
              <w:t xml:space="preserve"> </w:t>
            </w:r>
          </w:p>
          <w:p w14:paraId="23BF7A11" w14:textId="252423F0" w:rsidR="69B3A30A" w:rsidRPr="004827DF" w:rsidRDefault="00C655A0" w:rsidP="69B3A30A">
            <w:pPr>
              <w:rPr>
                <w:rFonts w:ascii="Arial" w:eastAsia="Arial" w:hAnsi="Arial" w:cs="Arial"/>
                <w:color w:val="000000" w:themeColor="text1"/>
                <w:sz w:val="20"/>
                <w:szCs w:val="20"/>
              </w:rPr>
            </w:pPr>
            <w:r>
              <w:rPr>
                <w:rFonts w:ascii="Arial" w:eastAsia="Arial" w:hAnsi="Arial" w:cs="Arial"/>
                <w:color w:val="000000" w:themeColor="text1"/>
              </w:rPr>
              <w:t xml:space="preserve">I have a working knowledge of the responsibilities </w:t>
            </w:r>
            <w:r>
              <w:rPr>
                <w:rFonts w:ascii="Arial" w:eastAsia="Arial" w:hAnsi="Arial" w:cs="Arial"/>
                <w:color w:val="000000" w:themeColor="text1"/>
              </w:rPr>
              <w:lastRenderedPageBreak/>
              <w:t xml:space="preserve">around disclosure and </w:t>
            </w:r>
            <w:r w:rsidR="009D0229">
              <w:rPr>
                <w:rFonts w:ascii="Arial" w:eastAsia="Arial" w:hAnsi="Arial" w:cs="Arial"/>
                <w:color w:val="000000" w:themeColor="text1"/>
              </w:rPr>
              <w:t>CPIA but</w:t>
            </w:r>
            <w:r>
              <w:rPr>
                <w:rFonts w:ascii="Arial" w:eastAsia="Arial" w:hAnsi="Arial" w:cs="Arial"/>
                <w:color w:val="000000" w:themeColor="text1"/>
              </w:rPr>
              <w:t xml:space="preserve"> lack the detailed knowledge around the responsibility of other agencies who hold third party material and the true impact the new guidance has on operational investigators.</w:t>
            </w:r>
          </w:p>
          <w:p w14:paraId="6164B042" w14:textId="04FB3BD5"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12F2CA2B" w14:textId="5936DF5B"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37E629D9" w14:textId="1689107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48F613F4" w14:textId="4DED6552" w:rsidR="69B3A30A" w:rsidRDefault="69B3A30A" w:rsidP="69B3A30A">
            <w:pPr>
              <w:rPr>
                <w:rFonts w:ascii="Arial" w:eastAsia="Arial" w:hAnsi="Arial" w:cs="Arial"/>
                <w:color w:val="000000" w:themeColor="text1"/>
              </w:rPr>
            </w:pPr>
          </w:p>
        </w:tc>
        <w:tc>
          <w:tcPr>
            <w:tcW w:w="705" w:type="dxa"/>
            <w:tcBorders>
              <w:top w:val="single" w:sz="6" w:space="0" w:color="auto"/>
              <w:left w:val="single" w:sz="6" w:space="0" w:color="auto"/>
              <w:bottom w:val="single" w:sz="6" w:space="0" w:color="auto"/>
              <w:right w:val="single" w:sz="6" w:space="0" w:color="auto"/>
            </w:tcBorders>
          </w:tcPr>
          <w:p w14:paraId="59159199" w14:textId="3E1B8AE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lastRenderedPageBreak/>
              <w:t>Low </w:t>
            </w:r>
          </w:p>
          <w:p w14:paraId="448D47A9" w14:textId="59964695"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nil"/>
              <w:left w:val="single" w:sz="6" w:space="0" w:color="auto"/>
              <w:bottom w:val="single" w:sz="6" w:space="0" w:color="auto"/>
              <w:right w:val="single" w:sz="6" w:space="0" w:color="auto"/>
            </w:tcBorders>
          </w:tcPr>
          <w:p w14:paraId="4D0DF0A9" w14:textId="6538B45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7058453A" w14:textId="4BC4DE4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05" w:type="dxa"/>
            <w:tcBorders>
              <w:top w:val="nil"/>
              <w:left w:val="single" w:sz="6" w:space="0" w:color="auto"/>
              <w:bottom w:val="single" w:sz="6" w:space="0" w:color="auto"/>
              <w:right w:val="single" w:sz="6" w:space="0" w:color="auto"/>
            </w:tcBorders>
          </w:tcPr>
          <w:p w14:paraId="3FA22AD9" w14:textId="14FB74F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5486915E"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p w14:paraId="1F419609" w14:textId="427B2572" w:rsidR="003C6A00" w:rsidRPr="001556D9" w:rsidRDefault="00713371" w:rsidP="69B3A30A">
            <w:pPr>
              <w:rPr>
                <w:rFonts w:ascii="Arial" w:eastAsia="Arial" w:hAnsi="Arial" w:cs="Arial"/>
                <w:b/>
                <w:bCs/>
                <w:color w:val="000000" w:themeColor="text1"/>
                <w:sz w:val="28"/>
                <w:szCs w:val="28"/>
              </w:rPr>
            </w:pPr>
            <w:r w:rsidRPr="001556D9">
              <w:rPr>
                <w:rFonts w:ascii="Arial" w:eastAsia="Arial" w:hAnsi="Arial" w:cs="Arial"/>
                <w:b/>
                <w:bCs/>
                <w:color w:val="000000" w:themeColor="text1"/>
                <w:sz w:val="28"/>
                <w:szCs w:val="28"/>
              </w:rPr>
              <w:t>x</w:t>
            </w:r>
          </w:p>
        </w:tc>
        <w:tc>
          <w:tcPr>
            <w:tcW w:w="705" w:type="dxa"/>
            <w:tcBorders>
              <w:top w:val="single" w:sz="6" w:space="0" w:color="auto"/>
              <w:left w:val="single" w:sz="6" w:space="0" w:color="auto"/>
              <w:bottom w:val="single" w:sz="6" w:space="0" w:color="auto"/>
              <w:right w:val="single" w:sz="6" w:space="0" w:color="auto"/>
            </w:tcBorders>
          </w:tcPr>
          <w:p w14:paraId="14ABE5EC" w14:textId="4271045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0B79785A" w14:textId="265A531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05" w:type="dxa"/>
            <w:tcBorders>
              <w:top w:val="nil"/>
              <w:left w:val="single" w:sz="6" w:space="0" w:color="auto"/>
              <w:bottom w:val="single" w:sz="6" w:space="0" w:color="auto"/>
              <w:right w:val="single" w:sz="6" w:space="0" w:color="auto"/>
            </w:tcBorders>
          </w:tcPr>
          <w:p w14:paraId="6D0C49D5" w14:textId="7EBE07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1BAB6F3B"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p w14:paraId="393E2C5C" w14:textId="7068D871" w:rsidR="00713371" w:rsidRPr="00713371" w:rsidRDefault="00713371" w:rsidP="69B3A30A">
            <w:pPr>
              <w:rPr>
                <w:rFonts w:ascii="Arial" w:eastAsia="Arial" w:hAnsi="Arial" w:cs="Arial"/>
                <w:b/>
                <w:bCs/>
                <w:color w:val="000000" w:themeColor="text1"/>
                <w:sz w:val="28"/>
                <w:szCs w:val="28"/>
              </w:rPr>
            </w:pPr>
            <w:r w:rsidRPr="00713371">
              <w:rPr>
                <w:rFonts w:ascii="Arial" w:eastAsia="Arial" w:hAnsi="Arial" w:cs="Arial"/>
                <w:b/>
                <w:bCs/>
                <w:color w:val="000000" w:themeColor="text1"/>
                <w:sz w:val="28"/>
                <w:szCs w:val="28"/>
              </w:rPr>
              <w:t>x</w:t>
            </w:r>
          </w:p>
        </w:tc>
        <w:tc>
          <w:tcPr>
            <w:tcW w:w="720" w:type="dxa"/>
            <w:tcBorders>
              <w:top w:val="nil"/>
              <w:left w:val="single" w:sz="6" w:space="0" w:color="auto"/>
              <w:bottom w:val="single" w:sz="6" w:space="0" w:color="auto"/>
              <w:right w:val="single" w:sz="6" w:space="0" w:color="auto"/>
            </w:tcBorders>
          </w:tcPr>
          <w:p w14:paraId="4865524F" w14:textId="466BD1B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35AECBD8" w14:textId="533068D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647A7154" w14:textId="2C7B5695" w:rsidR="69B3A30A" w:rsidRDefault="009075DE" w:rsidP="69B3A30A">
            <w:pPr>
              <w:rPr>
                <w:rFonts w:ascii="Arial" w:eastAsia="Arial" w:hAnsi="Arial" w:cs="Arial"/>
                <w:color w:val="000000" w:themeColor="text1"/>
              </w:rPr>
            </w:pPr>
            <w:r>
              <w:rPr>
                <w:rFonts w:ascii="Arial" w:eastAsia="Arial" w:hAnsi="Arial" w:cs="Arial"/>
                <w:color w:val="000000" w:themeColor="text1"/>
              </w:rPr>
              <w:t xml:space="preserve">Improved knowledge will enable me to direct resources appropriately and challenge </w:t>
            </w:r>
            <w:r w:rsidR="00B511B9">
              <w:rPr>
                <w:rFonts w:ascii="Arial" w:eastAsia="Arial" w:hAnsi="Arial" w:cs="Arial"/>
                <w:color w:val="000000" w:themeColor="text1"/>
              </w:rPr>
              <w:t xml:space="preserve">senior management and legal departments in local authorities who do not comply with their responsibilities. </w:t>
            </w:r>
          </w:p>
          <w:p w14:paraId="5398F172" w14:textId="4F9BC306" w:rsidR="006E0C03" w:rsidRDefault="00FE10B9" w:rsidP="69B3A30A">
            <w:pPr>
              <w:rPr>
                <w:rFonts w:ascii="Arial" w:eastAsia="Arial" w:hAnsi="Arial" w:cs="Arial"/>
                <w:color w:val="000000" w:themeColor="text1"/>
              </w:rPr>
            </w:pPr>
            <w:r>
              <w:rPr>
                <w:rFonts w:ascii="Arial" w:eastAsia="Arial" w:hAnsi="Arial" w:cs="Arial"/>
                <w:color w:val="000000" w:themeColor="text1"/>
              </w:rPr>
              <w:t>Achieved by:</w:t>
            </w:r>
          </w:p>
          <w:p w14:paraId="2595948C" w14:textId="2080DD23" w:rsidR="00FE10B9" w:rsidRDefault="00342BF2" w:rsidP="69B3A30A">
            <w:pPr>
              <w:rPr>
                <w:rFonts w:ascii="Arial" w:eastAsia="Arial" w:hAnsi="Arial" w:cs="Arial"/>
                <w:color w:val="000000" w:themeColor="text1"/>
              </w:rPr>
            </w:pPr>
            <w:r>
              <w:rPr>
                <w:rFonts w:ascii="Arial" w:eastAsia="Arial" w:hAnsi="Arial" w:cs="Arial"/>
                <w:color w:val="000000" w:themeColor="text1"/>
              </w:rPr>
              <w:t xml:space="preserve">Dedicated </w:t>
            </w:r>
            <w:r w:rsidR="00A54371">
              <w:rPr>
                <w:rFonts w:ascii="Arial" w:eastAsia="Arial" w:hAnsi="Arial" w:cs="Arial"/>
                <w:color w:val="000000" w:themeColor="text1"/>
              </w:rPr>
              <w:t>study</w:t>
            </w:r>
            <w:r>
              <w:rPr>
                <w:rFonts w:ascii="Arial" w:eastAsia="Arial" w:hAnsi="Arial" w:cs="Arial"/>
                <w:color w:val="000000" w:themeColor="text1"/>
              </w:rPr>
              <w:t xml:space="preserve"> time.</w:t>
            </w:r>
          </w:p>
          <w:p w14:paraId="50435718" w14:textId="77777777" w:rsidR="00A54371" w:rsidRDefault="00A54371" w:rsidP="69B3A30A">
            <w:pPr>
              <w:rPr>
                <w:rFonts w:ascii="Arial" w:eastAsia="Arial" w:hAnsi="Arial" w:cs="Arial"/>
                <w:color w:val="000000" w:themeColor="text1"/>
              </w:rPr>
            </w:pPr>
            <w:r>
              <w:rPr>
                <w:rFonts w:ascii="Arial" w:eastAsia="Arial" w:hAnsi="Arial" w:cs="Arial"/>
                <w:color w:val="000000" w:themeColor="text1"/>
              </w:rPr>
              <w:t>Identification of appropriate reading resources.</w:t>
            </w:r>
          </w:p>
          <w:p w14:paraId="7546C801" w14:textId="5700AEEB" w:rsidR="00342BF2" w:rsidRDefault="00342BF2" w:rsidP="69B3A30A">
            <w:pPr>
              <w:rPr>
                <w:rFonts w:ascii="Arial" w:eastAsia="Arial" w:hAnsi="Arial" w:cs="Arial"/>
                <w:color w:val="000000" w:themeColor="text1"/>
              </w:rPr>
            </w:pPr>
            <w:r>
              <w:rPr>
                <w:rFonts w:ascii="Arial" w:eastAsia="Arial" w:hAnsi="Arial" w:cs="Arial"/>
                <w:color w:val="000000" w:themeColor="text1"/>
              </w:rPr>
              <w:lastRenderedPageBreak/>
              <w:t>Detailed analysis of documents.</w:t>
            </w:r>
          </w:p>
          <w:p w14:paraId="7814EDB5" w14:textId="06EED372" w:rsidR="00342BF2" w:rsidRDefault="00282CE5" w:rsidP="69B3A30A">
            <w:pPr>
              <w:rPr>
                <w:rFonts w:ascii="Arial" w:eastAsia="Arial" w:hAnsi="Arial" w:cs="Arial"/>
                <w:color w:val="000000" w:themeColor="text1"/>
              </w:rPr>
            </w:pPr>
            <w:r>
              <w:rPr>
                <w:rFonts w:ascii="Arial" w:eastAsia="Arial" w:hAnsi="Arial" w:cs="Arial"/>
                <w:color w:val="000000" w:themeColor="text1"/>
              </w:rPr>
              <w:t xml:space="preserve">Spend time discussing </w:t>
            </w:r>
            <w:r w:rsidR="00342BF2">
              <w:rPr>
                <w:rFonts w:ascii="Arial" w:eastAsia="Arial" w:hAnsi="Arial" w:cs="Arial"/>
                <w:color w:val="000000" w:themeColor="text1"/>
              </w:rPr>
              <w:t>with</w:t>
            </w:r>
            <w:r>
              <w:rPr>
                <w:rFonts w:ascii="Arial" w:eastAsia="Arial" w:hAnsi="Arial" w:cs="Arial"/>
                <w:color w:val="000000" w:themeColor="text1"/>
              </w:rPr>
              <w:t xml:space="preserve"> experienced</w:t>
            </w:r>
            <w:r w:rsidR="00342BF2">
              <w:rPr>
                <w:rFonts w:ascii="Arial" w:eastAsia="Arial" w:hAnsi="Arial" w:cs="Arial"/>
                <w:color w:val="000000" w:themeColor="text1"/>
              </w:rPr>
              <w:t xml:space="preserve"> </w:t>
            </w:r>
            <w:r w:rsidR="00A75454">
              <w:rPr>
                <w:rFonts w:ascii="Arial" w:eastAsia="Arial" w:hAnsi="Arial" w:cs="Arial"/>
                <w:color w:val="000000" w:themeColor="text1"/>
              </w:rPr>
              <w:t>disclosure officers.</w:t>
            </w:r>
          </w:p>
          <w:p w14:paraId="13327CC8" w14:textId="0E2B9F10" w:rsidR="00282CE5" w:rsidRDefault="00282CE5" w:rsidP="69B3A30A">
            <w:pPr>
              <w:rPr>
                <w:rFonts w:ascii="Arial" w:eastAsia="Arial" w:hAnsi="Arial" w:cs="Arial"/>
                <w:color w:val="000000" w:themeColor="text1"/>
              </w:rPr>
            </w:pPr>
            <w:r>
              <w:rPr>
                <w:rFonts w:ascii="Arial" w:eastAsia="Arial" w:hAnsi="Arial" w:cs="Arial"/>
                <w:color w:val="000000" w:themeColor="text1"/>
              </w:rPr>
              <w:t>Review disclosure schedules.</w:t>
            </w:r>
          </w:p>
          <w:p w14:paraId="0E8EAA78" w14:textId="673289A2" w:rsidR="00A75454" w:rsidRDefault="00A75454" w:rsidP="69B3A30A">
            <w:pPr>
              <w:rPr>
                <w:rFonts w:ascii="Arial" w:eastAsia="Arial" w:hAnsi="Arial" w:cs="Arial"/>
                <w:color w:val="000000" w:themeColor="text1"/>
              </w:rPr>
            </w:pPr>
            <w:r>
              <w:rPr>
                <w:rFonts w:ascii="Arial" w:eastAsia="Arial" w:hAnsi="Arial" w:cs="Arial"/>
                <w:color w:val="000000" w:themeColor="text1"/>
              </w:rPr>
              <w:t>Discussions with volume crime investigators.</w:t>
            </w:r>
          </w:p>
          <w:p w14:paraId="18D6FF05" w14:textId="77777777" w:rsidR="00A75454" w:rsidRDefault="00A75454" w:rsidP="69B3A30A">
            <w:pPr>
              <w:rPr>
                <w:rFonts w:ascii="Arial" w:eastAsia="Arial" w:hAnsi="Arial" w:cs="Arial"/>
                <w:color w:val="000000" w:themeColor="text1"/>
              </w:rPr>
            </w:pPr>
          </w:p>
          <w:p w14:paraId="1E2D2696" w14:textId="485A8479" w:rsidR="006E0C03" w:rsidRDefault="006E0C03" w:rsidP="69B3A30A">
            <w:pPr>
              <w:rPr>
                <w:rFonts w:ascii="Arial" w:eastAsia="Arial" w:hAnsi="Arial" w:cs="Arial"/>
                <w:color w:val="000000" w:themeColor="text1"/>
              </w:rPr>
            </w:pPr>
          </w:p>
        </w:tc>
      </w:tr>
      <w:tr w:rsidR="69B3A30A" w14:paraId="2D764C6B" w14:textId="77777777" w:rsidTr="727E3A7D">
        <w:tc>
          <w:tcPr>
            <w:tcW w:w="2115" w:type="dxa"/>
            <w:tcBorders>
              <w:top w:val="single" w:sz="6" w:space="0" w:color="auto"/>
              <w:left w:val="single" w:sz="6" w:space="0" w:color="auto"/>
              <w:bottom w:val="single" w:sz="6" w:space="0" w:color="auto"/>
              <w:right w:val="single" w:sz="6" w:space="0" w:color="auto"/>
            </w:tcBorders>
          </w:tcPr>
          <w:p w14:paraId="5092EBD0" w14:textId="0990B359"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lastRenderedPageBreak/>
              <w:t>SKILLS </w:t>
            </w:r>
          </w:p>
          <w:p w14:paraId="40DE06D4" w14:textId="77777777" w:rsidR="004624A5" w:rsidRDefault="003A1239" w:rsidP="004624A5">
            <w:pPr>
              <w:rPr>
                <w:rFonts w:ascii="Arial" w:eastAsia="Arial" w:hAnsi="Arial" w:cs="Arial"/>
                <w:color w:val="000000" w:themeColor="text1"/>
              </w:rPr>
            </w:pPr>
            <w:r>
              <w:rPr>
                <w:rFonts w:ascii="Arial" w:eastAsia="Arial" w:hAnsi="Arial" w:cs="Arial"/>
                <w:color w:val="000000" w:themeColor="text1"/>
              </w:rPr>
              <w:t>C</w:t>
            </w:r>
            <w:r w:rsidR="00FA59A0">
              <w:rPr>
                <w:rFonts w:ascii="Arial" w:eastAsia="Arial" w:hAnsi="Arial" w:cs="Arial"/>
                <w:color w:val="000000" w:themeColor="text1"/>
              </w:rPr>
              <w:t>hair</w:t>
            </w:r>
            <w:r>
              <w:rPr>
                <w:rFonts w:ascii="Arial" w:eastAsia="Arial" w:hAnsi="Arial" w:cs="Arial"/>
                <w:color w:val="000000" w:themeColor="text1"/>
              </w:rPr>
              <w:t>ing of</w:t>
            </w:r>
            <w:r w:rsidR="00082483">
              <w:rPr>
                <w:rFonts w:ascii="Arial" w:eastAsia="Arial" w:hAnsi="Arial" w:cs="Arial"/>
                <w:color w:val="000000" w:themeColor="text1"/>
              </w:rPr>
              <w:t xml:space="preserve"> investigation </w:t>
            </w:r>
            <w:r w:rsidR="00D529D8">
              <w:rPr>
                <w:rFonts w:ascii="Arial" w:eastAsia="Arial" w:hAnsi="Arial" w:cs="Arial"/>
                <w:color w:val="000000" w:themeColor="text1"/>
              </w:rPr>
              <w:t xml:space="preserve">debriefs requires improvement to ensure we capture organisational learning and disseminate that </w:t>
            </w:r>
            <w:r w:rsidR="00C63EEA">
              <w:rPr>
                <w:rFonts w:ascii="Arial" w:eastAsia="Arial" w:hAnsi="Arial" w:cs="Arial"/>
                <w:color w:val="000000" w:themeColor="text1"/>
              </w:rPr>
              <w:t>appropriately</w:t>
            </w:r>
            <w:r w:rsidR="00D529D8">
              <w:rPr>
                <w:rFonts w:ascii="Arial" w:eastAsia="Arial" w:hAnsi="Arial" w:cs="Arial"/>
                <w:color w:val="000000" w:themeColor="text1"/>
              </w:rPr>
              <w:t>.</w:t>
            </w:r>
          </w:p>
          <w:p w14:paraId="25578D7F" w14:textId="20B8D746" w:rsidR="004624A5" w:rsidRDefault="004624A5" w:rsidP="004624A5">
            <w:pPr>
              <w:rPr>
                <w:rFonts w:ascii="Arial" w:eastAsia="Arial" w:hAnsi="Arial" w:cs="Arial"/>
                <w:color w:val="000000" w:themeColor="text1"/>
              </w:rPr>
            </w:pPr>
            <w:r>
              <w:rPr>
                <w:rFonts w:ascii="Arial" w:eastAsia="Arial" w:hAnsi="Arial" w:cs="Arial"/>
                <w:color w:val="000000" w:themeColor="text1"/>
              </w:rPr>
              <w:t>I consider this skill to be low due to my lack of use and knowledge of reflective practice until recently.</w:t>
            </w:r>
          </w:p>
          <w:p w14:paraId="2FC5A0C4" w14:textId="55D07F59" w:rsidR="69B3A30A" w:rsidRDefault="69B3A30A" w:rsidP="69B3A30A">
            <w:pPr>
              <w:rPr>
                <w:rFonts w:ascii="Arial" w:eastAsia="Arial" w:hAnsi="Arial" w:cs="Arial"/>
                <w:color w:val="000000" w:themeColor="text1"/>
              </w:rPr>
            </w:pPr>
          </w:p>
          <w:p w14:paraId="45B80B4C" w14:textId="096344C6"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4EB5C5D4" w14:textId="77777777" w:rsidR="69B3A30A" w:rsidRDefault="69B3A30A" w:rsidP="69B3A30A">
            <w:pPr>
              <w:rPr>
                <w:rFonts w:ascii="Arial" w:eastAsia="Arial" w:hAnsi="Arial" w:cs="Arial"/>
                <w:b/>
                <w:bCs/>
                <w:color w:val="000000" w:themeColor="text1"/>
              </w:rPr>
            </w:pPr>
            <w:r w:rsidRPr="69B3A30A">
              <w:rPr>
                <w:rFonts w:ascii="Arial" w:eastAsia="Arial" w:hAnsi="Arial" w:cs="Arial"/>
                <w:b/>
                <w:bCs/>
                <w:color w:val="000000" w:themeColor="text1"/>
              </w:rPr>
              <w:t> </w:t>
            </w:r>
          </w:p>
          <w:p w14:paraId="2ED9DF92" w14:textId="3E3D3A16" w:rsidR="00965385" w:rsidRDefault="00965385" w:rsidP="69B3A30A">
            <w:pPr>
              <w:rPr>
                <w:rFonts w:ascii="Arial" w:eastAsia="Arial" w:hAnsi="Arial" w:cs="Arial"/>
                <w:color w:val="000000" w:themeColor="text1"/>
              </w:rPr>
            </w:pPr>
          </w:p>
          <w:p w14:paraId="2A05858E" w14:textId="117ACA48" w:rsidR="00965385" w:rsidRDefault="00965385" w:rsidP="69B3A30A">
            <w:pPr>
              <w:rPr>
                <w:rFonts w:ascii="Arial" w:eastAsia="Arial" w:hAnsi="Arial" w:cs="Arial"/>
                <w:color w:val="000000" w:themeColor="text1"/>
              </w:rPr>
            </w:pPr>
          </w:p>
          <w:p w14:paraId="2EAEE9AC" w14:textId="07474A33" w:rsidR="00C94806" w:rsidRDefault="00C94806" w:rsidP="69B3A30A">
            <w:pPr>
              <w:rPr>
                <w:rFonts w:ascii="Arial" w:eastAsia="Arial" w:hAnsi="Arial" w:cs="Arial"/>
                <w:color w:val="000000" w:themeColor="text1"/>
              </w:rPr>
            </w:pPr>
          </w:p>
          <w:p w14:paraId="54F62A6B" w14:textId="77777777" w:rsidR="00C94806" w:rsidRDefault="00C94806" w:rsidP="69B3A30A">
            <w:pPr>
              <w:rPr>
                <w:rFonts w:ascii="Arial" w:eastAsia="Arial" w:hAnsi="Arial" w:cs="Arial"/>
                <w:color w:val="000000" w:themeColor="text1"/>
              </w:rPr>
            </w:pPr>
          </w:p>
          <w:p w14:paraId="296A7BD7" w14:textId="2A415B7E"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tc>
        <w:tc>
          <w:tcPr>
            <w:tcW w:w="705" w:type="dxa"/>
            <w:tcBorders>
              <w:top w:val="single" w:sz="6" w:space="0" w:color="auto"/>
              <w:left w:val="single" w:sz="6" w:space="0" w:color="auto"/>
              <w:bottom w:val="single" w:sz="6" w:space="0" w:color="auto"/>
              <w:right w:val="single" w:sz="6" w:space="0" w:color="auto"/>
            </w:tcBorders>
          </w:tcPr>
          <w:p w14:paraId="20BCFD79" w14:textId="2A8C50D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625968A6"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p w14:paraId="6822E41D" w14:textId="0F08723F" w:rsidR="00D529D8" w:rsidRPr="001556D9" w:rsidRDefault="00D529D8" w:rsidP="69B3A30A">
            <w:pPr>
              <w:rPr>
                <w:rFonts w:ascii="Arial" w:eastAsia="Arial" w:hAnsi="Arial" w:cs="Arial"/>
                <w:b/>
                <w:bCs/>
                <w:color w:val="000000" w:themeColor="text1"/>
                <w:sz w:val="24"/>
                <w:szCs w:val="24"/>
              </w:rPr>
            </w:pPr>
          </w:p>
        </w:tc>
        <w:tc>
          <w:tcPr>
            <w:tcW w:w="705" w:type="dxa"/>
            <w:tcBorders>
              <w:top w:val="single" w:sz="6" w:space="0" w:color="auto"/>
              <w:left w:val="single" w:sz="6" w:space="0" w:color="auto"/>
              <w:bottom w:val="single" w:sz="6" w:space="0" w:color="auto"/>
              <w:right w:val="single" w:sz="6" w:space="0" w:color="auto"/>
            </w:tcBorders>
          </w:tcPr>
          <w:p w14:paraId="19FD361F" w14:textId="3C573F8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442E6BEE" w14:textId="3AC53E5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05" w:type="dxa"/>
            <w:tcBorders>
              <w:top w:val="single" w:sz="6" w:space="0" w:color="auto"/>
              <w:left w:val="single" w:sz="6" w:space="0" w:color="auto"/>
              <w:bottom w:val="single" w:sz="6" w:space="0" w:color="auto"/>
              <w:right w:val="single" w:sz="6" w:space="0" w:color="auto"/>
            </w:tcBorders>
          </w:tcPr>
          <w:p w14:paraId="0D6BFA72" w14:textId="1E2393F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54AAE78D"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p w14:paraId="2C1255DB" w14:textId="687C7625" w:rsidR="00A167E2" w:rsidRPr="00A167E2" w:rsidRDefault="00A167E2" w:rsidP="69B3A30A">
            <w:pPr>
              <w:rPr>
                <w:rFonts w:ascii="Arial" w:eastAsia="Arial" w:hAnsi="Arial" w:cs="Arial"/>
                <w:b/>
                <w:bCs/>
                <w:color w:val="000000" w:themeColor="text1"/>
                <w:sz w:val="24"/>
                <w:szCs w:val="24"/>
              </w:rPr>
            </w:pPr>
            <w:r>
              <w:rPr>
                <w:rFonts w:ascii="Arial" w:eastAsia="Arial" w:hAnsi="Arial" w:cs="Arial"/>
                <w:b/>
                <w:bCs/>
                <w:color w:val="000000" w:themeColor="text1"/>
                <w:sz w:val="24"/>
                <w:szCs w:val="24"/>
              </w:rPr>
              <w:t>x</w:t>
            </w:r>
          </w:p>
        </w:tc>
        <w:tc>
          <w:tcPr>
            <w:tcW w:w="705" w:type="dxa"/>
            <w:tcBorders>
              <w:top w:val="single" w:sz="6" w:space="0" w:color="auto"/>
              <w:left w:val="single" w:sz="6" w:space="0" w:color="auto"/>
              <w:bottom w:val="single" w:sz="6" w:space="0" w:color="auto"/>
              <w:right w:val="single" w:sz="6" w:space="0" w:color="auto"/>
            </w:tcBorders>
          </w:tcPr>
          <w:p w14:paraId="546778DF" w14:textId="431E877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2507D6E5" w14:textId="77777777" w:rsidR="00A167E2"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w:t>
            </w:r>
          </w:p>
          <w:p w14:paraId="7C13AE98" w14:textId="128AA731" w:rsidR="69B3A30A" w:rsidRPr="00965385" w:rsidRDefault="00A167E2" w:rsidP="69B3A30A">
            <w:pPr>
              <w:rPr>
                <w:rFonts w:ascii="Arial" w:eastAsia="Arial" w:hAnsi="Arial" w:cs="Arial"/>
                <w:color w:val="000000" w:themeColor="text1"/>
                <w:sz w:val="20"/>
                <w:szCs w:val="20"/>
              </w:rPr>
            </w:pPr>
            <w:r>
              <w:rPr>
                <w:rFonts w:ascii="Arial" w:eastAsia="Arial" w:hAnsi="Arial" w:cs="Arial"/>
                <w:b/>
                <w:bCs/>
                <w:color w:val="000000" w:themeColor="text1"/>
                <w:sz w:val="24"/>
                <w:szCs w:val="24"/>
              </w:rPr>
              <w:t>x</w:t>
            </w:r>
            <w:r w:rsidR="69B3A30A" w:rsidRPr="00965385">
              <w:rPr>
                <w:rFonts w:ascii="Arial" w:eastAsia="Arial" w:hAnsi="Arial" w:cs="Arial"/>
                <w:color w:val="000000" w:themeColor="text1"/>
                <w:sz w:val="20"/>
                <w:szCs w:val="20"/>
              </w:rPr>
              <w:t> </w:t>
            </w:r>
          </w:p>
        </w:tc>
        <w:tc>
          <w:tcPr>
            <w:tcW w:w="705" w:type="dxa"/>
            <w:tcBorders>
              <w:top w:val="single" w:sz="6" w:space="0" w:color="auto"/>
              <w:left w:val="single" w:sz="6" w:space="0" w:color="auto"/>
              <w:bottom w:val="single" w:sz="6" w:space="0" w:color="auto"/>
              <w:right w:val="single" w:sz="6" w:space="0" w:color="auto"/>
            </w:tcBorders>
          </w:tcPr>
          <w:p w14:paraId="0B45D89C" w14:textId="1AA7662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9CBA4A9" w14:textId="65B776AE"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20" w:type="dxa"/>
            <w:tcBorders>
              <w:top w:val="single" w:sz="6" w:space="0" w:color="auto"/>
              <w:left w:val="single" w:sz="6" w:space="0" w:color="auto"/>
              <w:bottom w:val="single" w:sz="6" w:space="0" w:color="auto"/>
              <w:right w:val="single" w:sz="6" w:space="0" w:color="auto"/>
            </w:tcBorders>
          </w:tcPr>
          <w:p w14:paraId="74DD0F6D" w14:textId="66764C1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214CED32" w14:textId="0BAB0AEB"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1BCDF333" w14:textId="46F7B9AD" w:rsidR="004624A5" w:rsidRDefault="004624A5" w:rsidP="004624A5">
            <w:pPr>
              <w:rPr>
                <w:rFonts w:ascii="Arial" w:eastAsia="Arial" w:hAnsi="Arial" w:cs="Arial"/>
                <w:color w:val="000000" w:themeColor="text1"/>
              </w:rPr>
            </w:pPr>
            <w:r>
              <w:rPr>
                <w:rFonts w:ascii="Arial" w:eastAsia="Arial" w:hAnsi="Arial" w:cs="Arial"/>
                <w:color w:val="000000" w:themeColor="text1"/>
              </w:rPr>
              <w:t xml:space="preserve">Whilst I conduct debriefs of major incidents, I do not do this with less serious cases, which, on reflection is where the daily learning should be developed.  </w:t>
            </w:r>
          </w:p>
          <w:p w14:paraId="289B0CFF" w14:textId="0A0F5E13" w:rsidR="004624A5" w:rsidRDefault="004624A5" w:rsidP="004624A5">
            <w:pPr>
              <w:rPr>
                <w:rFonts w:ascii="Arial" w:eastAsia="Arial" w:hAnsi="Arial" w:cs="Arial"/>
                <w:color w:val="000000" w:themeColor="text1"/>
              </w:rPr>
            </w:pPr>
            <w:r>
              <w:rPr>
                <w:rFonts w:ascii="Arial" w:eastAsia="Arial" w:hAnsi="Arial" w:cs="Arial"/>
                <w:color w:val="000000" w:themeColor="text1"/>
              </w:rPr>
              <w:t>Achieved by:</w:t>
            </w:r>
          </w:p>
          <w:p w14:paraId="0A98AEEF" w14:textId="2C10C263" w:rsidR="004624A5" w:rsidRDefault="0090084D" w:rsidP="004624A5">
            <w:pPr>
              <w:rPr>
                <w:rFonts w:ascii="Arial" w:eastAsia="Arial" w:hAnsi="Arial" w:cs="Arial"/>
                <w:color w:val="000000" w:themeColor="text1"/>
              </w:rPr>
            </w:pPr>
            <w:r>
              <w:rPr>
                <w:rFonts w:ascii="Arial" w:eastAsia="Arial" w:hAnsi="Arial" w:cs="Arial"/>
                <w:color w:val="000000" w:themeColor="text1"/>
              </w:rPr>
              <w:t>Regular practice.</w:t>
            </w:r>
          </w:p>
          <w:p w14:paraId="0E15850D" w14:textId="3532A0ED" w:rsidR="0090084D" w:rsidRDefault="0090084D" w:rsidP="004624A5">
            <w:pPr>
              <w:rPr>
                <w:rFonts w:ascii="Arial" w:eastAsia="Arial" w:hAnsi="Arial" w:cs="Arial"/>
                <w:color w:val="000000" w:themeColor="text1"/>
              </w:rPr>
            </w:pPr>
            <w:r>
              <w:rPr>
                <w:rFonts w:ascii="Arial" w:eastAsia="Arial" w:hAnsi="Arial" w:cs="Arial"/>
                <w:color w:val="000000" w:themeColor="text1"/>
              </w:rPr>
              <w:t xml:space="preserve">Diarising reflective de-briefs utilising </w:t>
            </w:r>
            <w:r w:rsidR="00A95B71">
              <w:rPr>
                <w:rFonts w:ascii="Arial" w:eastAsia="Arial" w:hAnsi="Arial" w:cs="Arial"/>
                <w:color w:val="000000" w:themeColor="text1"/>
              </w:rPr>
              <w:t>recognised models.</w:t>
            </w:r>
          </w:p>
          <w:p w14:paraId="72548248" w14:textId="074F1CAF" w:rsidR="00A95B71" w:rsidRDefault="00A95B71" w:rsidP="004624A5">
            <w:pPr>
              <w:rPr>
                <w:rFonts w:ascii="Arial" w:eastAsia="Arial" w:hAnsi="Arial" w:cs="Arial"/>
                <w:color w:val="000000" w:themeColor="text1"/>
              </w:rPr>
            </w:pPr>
            <w:r>
              <w:rPr>
                <w:rFonts w:ascii="Arial" w:eastAsia="Arial" w:hAnsi="Arial" w:cs="Arial"/>
                <w:color w:val="000000" w:themeColor="text1"/>
              </w:rPr>
              <w:t xml:space="preserve">Share </w:t>
            </w:r>
            <w:r w:rsidR="00087CA6">
              <w:rPr>
                <w:rFonts w:ascii="Arial" w:eastAsia="Arial" w:hAnsi="Arial" w:cs="Arial"/>
                <w:color w:val="000000" w:themeColor="text1"/>
              </w:rPr>
              <w:t>outcomes</w:t>
            </w:r>
            <w:r>
              <w:rPr>
                <w:rFonts w:ascii="Arial" w:eastAsia="Arial" w:hAnsi="Arial" w:cs="Arial"/>
                <w:color w:val="000000" w:themeColor="text1"/>
              </w:rPr>
              <w:t xml:space="preserve"> to encourage a culture of learning</w:t>
            </w:r>
            <w:r w:rsidR="00087CA6">
              <w:rPr>
                <w:rFonts w:ascii="Arial" w:eastAsia="Arial" w:hAnsi="Arial" w:cs="Arial"/>
                <w:color w:val="000000" w:themeColor="text1"/>
              </w:rPr>
              <w:t>.</w:t>
            </w:r>
          </w:p>
          <w:p w14:paraId="48645182" w14:textId="77777777" w:rsidR="00087CA6" w:rsidRDefault="00087CA6" w:rsidP="004624A5">
            <w:pPr>
              <w:rPr>
                <w:rFonts w:ascii="Arial" w:eastAsia="Arial" w:hAnsi="Arial" w:cs="Arial"/>
                <w:color w:val="000000" w:themeColor="text1"/>
              </w:rPr>
            </w:pPr>
            <w:r>
              <w:rPr>
                <w:rFonts w:ascii="Arial" w:eastAsia="Arial" w:hAnsi="Arial" w:cs="Arial"/>
                <w:color w:val="000000" w:themeColor="text1"/>
              </w:rPr>
              <w:t>Seeking feedback from practitioners.</w:t>
            </w:r>
          </w:p>
          <w:p w14:paraId="010C286A" w14:textId="43077E08" w:rsidR="00087CA6" w:rsidRDefault="00A70416" w:rsidP="004624A5">
            <w:pPr>
              <w:rPr>
                <w:rFonts w:ascii="Arial" w:eastAsia="Arial" w:hAnsi="Arial" w:cs="Arial"/>
                <w:color w:val="000000" w:themeColor="text1"/>
              </w:rPr>
            </w:pPr>
            <w:r>
              <w:rPr>
                <w:rFonts w:ascii="Arial" w:eastAsia="Arial" w:hAnsi="Arial" w:cs="Arial"/>
                <w:color w:val="000000" w:themeColor="text1"/>
              </w:rPr>
              <w:t xml:space="preserve">Targeting through </w:t>
            </w:r>
            <w:r w:rsidR="00F700C8">
              <w:rPr>
                <w:rFonts w:ascii="Arial" w:eastAsia="Arial" w:hAnsi="Arial" w:cs="Arial"/>
                <w:color w:val="000000" w:themeColor="text1"/>
              </w:rPr>
              <w:t>work-based</w:t>
            </w:r>
            <w:r>
              <w:rPr>
                <w:rFonts w:ascii="Arial" w:eastAsia="Arial" w:hAnsi="Arial" w:cs="Arial"/>
                <w:color w:val="000000" w:themeColor="text1"/>
              </w:rPr>
              <w:t xml:space="preserve"> coach who will hold me to account.</w:t>
            </w:r>
            <w:r w:rsidR="00087CA6">
              <w:rPr>
                <w:rFonts w:ascii="Arial" w:eastAsia="Arial" w:hAnsi="Arial" w:cs="Arial"/>
                <w:color w:val="000000" w:themeColor="text1"/>
              </w:rPr>
              <w:t xml:space="preserve"> </w:t>
            </w:r>
          </w:p>
          <w:p w14:paraId="02BD4685" w14:textId="3591DF4C" w:rsidR="009F6548" w:rsidRDefault="009F6548" w:rsidP="69B3A30A">
            <w:pPr>
              <w:rPr>
                <w:rFonts w:ascii="Arial" w:eastAsia="Arial" w:hAnsi="Arial" w:cs="Arial"/>
                <w:color w:val="000000" w:themeColor="text1"/>
              </w:rPr>
            </w:pPr>
          </w:p>
        </w:tc>
      </w:tr>
      <w:tr w:rsidR="69B3A30A" w14:paraId="1602AB4D" w14:textId="77777777" w:rsidTr="727E3A7D">
        <w:tc>
          <w:tcPr>
            <w:tcW w:w="2115" w:type="dxa"/>
            <w:tcBorders>
              <w:top w:val="single" w:sz="6" w:space="0" w:color="auto"/>
              <w:left w:val="single" w:sz="6" w:space="0" w:color="auto"/>
              <w:bottom w:val="single" w:sz="6" w:space="0" w:color="auto"/>
              <w:right w:val="single" w:sz="6" w:space="0" w:color="auto"/>
            </w:tcBorders>
          </w:tcPr>
          <w:p w14:paraId="380B3E13" w14:textId="3BD7FC20"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lastRenderedPageBreak/>
              <w:t>EXPERIENCE </w:t>
            </w:r>
          </w:p>
          <w:p w14:paraId="67F023E6" w14:textId="029E2B50" w:rsidR="00C94806" w:rsidRDefault="00C94806" w:rsidP="69B3A30A">
            <w:pPr>
              <w:rPr>
                <w:rFonts w:ascii="Arial" w:eastAsia="Arial" w:hAnsi="Arial" w:cs="Arial"/>
                <w:color w:val="000000" w:themeColor="text1"/>
              </w:rPr>
            </w:pPr>
          </w:p>
          <w:p w14:paraId="08F0601A" w14:textId="719DF26E" w:rsidR="00C94806" w:rsidRDefault="00C94806" w:rsidP="69B3A30A">
            <w:pPr>
              <w:rPr>
                <w:rFonts w:ascii="Arial" w:eastAsia="Arial" w:hAnsi="Arial" w:cs="Arial"/>
                <w:color w:val="000000" w:themeColor="text1"/>
              </w:rPr>
            </w:pPr>
            <w:r>
              <w:rPr>
                <w:rFonts w:ascii="Arial" w:eastAsia="Arial" w:hAnsi="Arial" w:cs="Arial"/>
                <w:color w:val="000000" w:themeColor="text1"/>
              </w:rPr>
              <w:t>Lack of experience in managing Kidnap and Exto</w:t>
            </w:r>
            <w:r w:rsidR="00513928">
              <w:rPr>
                <w:rFonts w:ascii="Arial" w:eastAsia="Arial" w:hAnsi="Arial" w:cs="Arial"/>
                <w:color w:val="000000" w:themeColor="text1"/>
              </w:rPr>
              <w:t>rtion investigations due to their infrequency within the force area</w:t>
            </w:r>
            <w:r w:rsidR="00C3639D">
              <w:rPr>
                <w:rFonts w:ascii="Arial" w:eastAsia="Arial" w:hAnsi="Arial" w:cs="Arial"/>
                <w:color w:val="000000" w:themeColor="text1"/>
              </w:rPr>
              <w:t>.</w:t>
            </w:r>
          </w:p>
          <w:p w14:paraId="56C3591E" w14:textId="21E61538" w:rsidR="69B3A30A" w:rsidRPr="00C50709"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5803038B" w14:textId="07AC090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1C2FE257" w14:textId="53B47174"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3EEF2DD1" w14:textId="49E1A6C9"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 </w:t>
            </w:r>
          </w:p>
          <w:p w14:paraId="19DEF14E" w14:textId="5BD8FF7A" w:rsidR="69B3A30A" w:rsidRDefault="69B3A30A" w:rsidP="69B3A30A">
            <w:pPr>
              <w:rPr>
                <w:rFonts w:ascii="Arial" w:eastAsia="Arial" w:hAnsi="Arial" w:cs="Arial"/>
                <w:color w:val="000000" w:themeColor="text1"/>
              </w:rPr>
            </w:pPr>
          </w:p>
        </w:tc>
        <w:tc>
          <w:tcPr>
            <w:tcW w:w="705" w:type="dxa"/>
            <w:tcBorders>
              <w:top w:val="single" w:sz="6" w:space="0" w:color="auto"/>
              <w:left w:val="single" w:sz="6" w:space="0" w:color="auto"/>
              <w:bottom w:val="single" w:sz="6" w:space="0" w:color="auto"/>
              <w:right w:val="single" w:sz="6" w:space="0" w:color="auto"/>
            </w:tcBorders>
          </w:tcPr>
          <w:p w14:paraId="7CC02F10" w14:textId="3FF9E30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08DA5387"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p w14:paraId="7F980E03" w14:textId="2EC1FDA0" w:rsidR="00513928" w:rsidRPr="00513928" w:rsidRDefault="00513928" w:rsidP="69B3A30A">
            <w:pPr>
              <w:rPr>
                <w:rFonts w:ascii="Arial" w:eastAsia="Arial" w:hAnsi="Arial" w:cs="Arial"/>
                <w:b/>
                <w:bCs/>
                <w:color w:val="000000" w:themeColor="text1"/>
                <w:sz w:val="24"/>
                <w:szCs w:val="24"/>
              </w:rPr>
            </w:pPr>
          </w:p>
        </w:tc>
        <w:tc>
          <w:tcPr>
            <w:tcW w:w="705" w:type="dxa"/>
            <w:tcBorders>
              <w:top w:val="single" w:sz="6" w:space="0" w:color="auto"/>
              <w:left w:val="single" w:sz="6" w:space="0" w:color="auto"/>
              <w:bottom w:val="single" w:sz="6" w:space="0" w:color="auto"/>
              <w:right w:val="single" w:sz="6" w:space="0" w:color="auto"/>
            </w:tcBorders>
          </w:tcPr>
          <w:p w14:paraId="55DA1534" w14:textId="3BCFD76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213EC15" w14:textId="77777777" w:rsidR="00513928"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w:t>
            </w:r>
          </w:p>
          <w:p w14:paraId="2D218451" w14:textId="41B097F2" w:rsidR="69B3A30A" w:rsidRPr="00965385" w:rsidRDefault="00513928" w:rsidP="69B3A30A">
            <w:pPr>
              <w:rPr>
                <w:rFonts w:ascii="Arial" w:eastAsia="Arial" w:hAnsi="Arial" w:cs="Arial"/>
                <w:color w:val="000000" w:themeColor="text1"/>
                <w:sz w:val="20"/>
                <w:szCs w:val="20"/>
              </w:rPr>
            </w:pPr>
            <w:r>
              <w:rPr>
                <w:rFonts w:ascii="Arial" w:eastAsia="Arial" w:hAnsi="Arial" w:cs="Arial"/>
                <w:b/>
                <w:bCs/>
                <w:color w:val="000000" w:themeColor="text1"/>
                <w:sz w:val="24"/>
                <w:szCs w:val="24"/>
              </w:rPr>
              <w:t>x</w:t>
            </w:r>
            <w:r w:rsidR="69B3A30A" w:rsidRPr="00965385">
              <w:rPr>
                <w:rFonts w:ascii="Arial" w:eastAsia="Arial" w:hAnsi="Arial" w:cs="Arial"/>
                <w:color w:val="000000" w:themeColor="text1"/>
                <w:sz w:val="20"/>
                <w:szCs w:val="20"/>
              </w:rPr>
              <w:t> </w:t>
            </w:r>
          </w:p>
        </w:tc>
        <w:tc>
          <w:tcPr>
            <w:tcW w:w="705" w:type="dxa"/>
            <w:tcBorders>
              <w:top w:val="single" w:sz="6" w:space="0" w:color="auto"/>
              <w:left w:val="single" w:sz="6" w:space="0" w:color="auto"/>
              <w:bottom w:val="single" w:sz="6" w:space="0" w:color="auto"/>
              <w:right w:val="single" w:sz="6" w:space="0" w:color="auto"/>
            </w:tcBorders>
          </w:tcPr>
          <w:p w14:paraId="7BEBD130" w14:textId="04C5F825"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6B02F38A" w14:textId="1781738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2CE7EC86" w14:textId="03847A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1DA73C4E" w14:textId="77777777" w:rsidR="69B3A30A"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p w14:paraId="56486F0D" w14:textId="0FC1F89A" w:rsidR="00513928" w:rsidRPr="00513928" w:rsidRDefault="00513928" w:rsidP="69B3A30A">
            <w:pPr>
              <w:rPr>
                <w:rFonts w:ascii="Arial" w:eastAsia="Arial" w:hAnsi="Arial" w:cs="Arial"/>
                <w:b/>
                <w:bCs/>
                <w:color w:val="000000" w:themeColor="text1"/>
                <w:sz w:val="24"/>
                <w:szCs w:val="24"/>
              </w:rPr>
            </w:pPr>
            <w:r>
              <w:rPr>
                <w:rFonts w:ascii="Arial" w:eastAsia="Arial" w:hAnsi="Arial" w:cs="Arial"/>
                <w:b/>
                <w:bCs/>
                <w:color w:val="000000" w:themeColor="text1"/>
                <w:sz w:val="24"/>
                <w:szCs w:val="24"/>
              </w:rPr>
              <w:t>x</w:t>
            </w:r>
          </w:p>
        </w:tc>
        <w:tc>
          <w:tcPr>
            <w:tcW w:w="705" w:type="dxa"/>
            <w:tcBorders>
              <w:top w:val="single" w:sz="6" w:space="0" w:color="auto"/>
              <w:left w:val="single" w:sz="6" w:space="0" w:color="auto"/>
              <w:bottom w:val="single" w:sz="6" w:space="0" w:color="auto"/>
              <w:right w:val="single" w:sz="6" w:space="0" w:color="auto"/>
            </w:tcBorders>
          </w:tcPr>
          <w:p w14:paraId="4A4760E4" w14:textId="0C3100C3"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553E8CC1" w14:textId="70611BE1"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20" w:type="dxa"/>
            <w:tcBorders>
              <w:top w:val="single" w:sz="6" w:space="0" w:color="auto"/>
              <w:left w:val="single" w:sz="6" w:space="0" w:color="auto"/>
              <w:bottom w:val="single" w:sz="6" w:space="0" w:color="auto"/>
              <w:right w:val="single" w:sz="6" w:space="0" w:color="auto"/>
            </w:tcBorders>
          </w:tcPr>
          <w:p w14:paraId="25E2791F" w14:textId="69324924"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0E0F6DB0" w14:textId="3F35C74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520" w:type="dxa"/>
            <w:tcBorders>
              <w:top w:val="single" w:sz="6" w:space="0" w:color="auto"/>
              <w:left w:val="single" w:sz="6" w:space="0" w:color="auto"/>
              <w:bottom w:val="single" w:sz="6" w:space="0" w:color="auto"/>
              <w:right w:val="single" w:sz="6" w:space="0" w:color="auto"/>
            </w:tcBorders>
          </w:tcPr>
          <w:p w14:paraId="64180C3D" w14:textId="7777777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p w14:paraId="587711E6" w14:textId="00F4E24A" w:rsidR="00E21E5C" w:rsidRDefault="00C3639D" w:rsidP="69B3A30A">
            <w:pPr>
              <w:rPr>
                <w:rFonts w:ascii="Arial" w:eastAsia="Arial" w:hAnsi="Arial" w:cs="Arial"/>
                <w:color w:val="000000" w:themeColor="text1"/>
              </w:rPr>
            </w:pPr>
            <w:r>
              <w:rPr>
                <w:rFonts w:ascii="Arial" w:eastAsia="Arial" w:hAnsi="Arial" w:cs="Arial"/>
                <w:color w:val="000000" w:themeColor="text1"/>
              </w:rPr>
              <w:t xml:space="preserve">Much of this experience will be developed by being included on the K&amp;E Senior Investigating Officers on call cadre, however, additional </w:t>
            </w:r>
            <w:r w:rsidR="00E21E5C">
              <w:rPr>
                <w:rFonts w:ascii="Arial" w:eastAsia="Arial" w:hAnsi="Arial" w:cs="Arial"/>
                <w:color w:val="000000" w:themeColor="text1"/>
              </w:rPr>
              <w:t>development should be sought and achieved by:</w:t>
            </w:r>
          </w:p>
          <w:p w14:paraId="14350E4D" w14:textId="01E9EA32" w:rsidR="00E21E5C" w:rsidRDefault="00E21E5C" w:rsidP="69B3A30A">
            <w:pPr>
              <w:rPr>
                <w:rFonts w:ascii="Arial" w:eastAsia="Arial" w:hAnsi="Arial" w:cs="Arial"/>
                <w:color w:val="000000" w:themeColor="text1"/>
              </w:rPr>
            </w:pPr>
            <w:r>
              <w:rPr>
                <w:rFonts w:ascii="Arial" w:eastAsia="Arial" w:hAnsi="Arial" w:cs="Arial"/>
                <w:color w:val="000000" w:themeColor="text1"/>
              </w:rPr>
              <w:t>Attending</w:t>
            </w:r>
            <w:r w:rsidR="00921DD4">
              <w:rPr>
                <w:rFonts w:ascii="Arial" w:eastAsia="Arial" w:hAnsi="Arial" w:cs="Arial"/>
                <w:color w:val="000000" w:themeColor="text1"/>
              </w:rPr>
              <w:t xml:space="preserve"> formal K&amp;E CPD events.</w:t>
            </w:r>
          </w:p>
          <w:p w14:paraId="05CA2389" w14:textId="2A30BC79" w:rsidR="00921DD4" w:rsidRDefault="00921DD4" w:rsidP="69B3A30A">
            <w:pPr>
              <w:rPr>
                <w:rFonts w:ascii="Arial" w:eastAsia="Arial" w:hAnsi="Arial" w:cs="Arial"/>
                <w:color w:val="000000" w:themeColor="text1"/>
              </w:rPr>
            </w:pPr>
            <w:r>
              <w:rPr>
                <w:rFonts w:ascii="Arial" w:eastAsia="Arial" w:hAnsi="Arial" w:cs="Arial"/>
                <w:color w:val="000000" w:themeColor="text1"/>
              </w:rPr>
              <w:t xml:space="preserve">Engaging with metropolitan forces </w:t>
            </w:r>
            <w:r w:rsidR="00BB1554">
              <w:rPr>
                <w:rFonts w:ascii="Arial" w:eastAsia="Arial" w:hAnsi="Arial" w:cs="Arial"/>
                <w:color w:val="000000" w:themeColor="text1"/>
              </w:rPr>
              <w:t>for exposure to their CPD.</w:t>
            </w:r>
          </w:p>
          <w:p w14:paraId="2ABB35E4" w14:textId="2C149867" w:rsidR="00BB1554" w:rsidRDefault="00BB1554" w:rsidP="69B3A30A">
            <w:pPr>
              <w:rPr>
                <w:rFonts w:ascii="Arial" w:eastAsia="Arial" w:hAnsi="Arial" w:cs="Arial"/>
                <w:color w:val="000000" w:themeColor="text1"/>
              </w:rPr>
            </w:pPr>
            <w:r>
              <w:rPr>
                <w:rFonts w:ascii="Arial" w:eastAsia="Arial" w:hAnsi="Arial" w:cs="Arial"/>
                <w:color w:val="000000" w:themeColor="text1"/>
              </w:rPr>
              <w:t xml:space="preserve">Seeking out opportunities for shadowing other K&amp;E SIO’s within </w:t>
            </w:r>
            <w:r w:rsidR="00826697">
              <w:rPr>
                <w:rFonts w:ascii="Arial" w:eastAsia="Arial" w:hAnsi="Arial" w:cs="Arial"/>
                <w:color w:val="000000" w:themeColor="text1"/>
              </w:rPr>
              <w:t>urban forces, particularly where online briefings are conducted.</w:t>
            </w:r>
          </w:p>
          <w:p w14:paraId="599502E7" w14:textId="77777777" w:rsidR="00826697" w:rsidRDefault="00826697" w:rsidP="69B3A30A">
            <w:pPr>
              <w:rPr>
                <w:rFonts w:ascii="Arial" w:eastAsia="Arial" w:hAnsi="Arial" w:cs="Arial"/>
                <w:color w:val="000000" w:themeColor="text1"/>
              </w:rPr>
            </w:pPr>
          </w:p>
          <w:p w14:paraId="0FF3BC7E" w14:textId="77777777" w:rsidR="00E21E5C" w:rsidRDefault="00E21E5C" w:rsidP="69B3A30A">
            <w:pPr>
              <w:rPr>
                <w:rFonts w:ascii="Arial" w:eastAsia="Arial" w:hAnsi="Arial" w:cs="Arial"/>
                <w:color w:val="000000" w:themeColor="text1"/>
              </w:rPr>
            </w:pPr>
          </w:p>
          <w:p w14:paraId="00FC4667" w14:textId="6AF68FB3" w:rsidR="00513928" w:rsidRDefault="00C3639D" w:rsidP="69B3A30A">
            <w:pPr>
              <w:rPr>
                <w:rFonts w:ascii="Arial" w:eastAsia="Arial" w:hAnsi="Arial" w:cs="Arial"/>
                <w:color w:val="000000" w:themeColor="text1"/>
              </w:rPr>
            </w:pPr>
            <w:r>
              <w:rPr>
                <w:rFonts w:ascii="Arial" w:eastAsia="Arial" w:hAnsi="Arial" w:cs="Arial"/>
                <w:color w:val="000000" w:themeColor="text1"/>
              </w:rPr>
              <w:t xml:space="preserve"> </w:t>
            </w:r>
            <w:r w:rsidR="00C33D66">
              <w:rPr>
                <w:rFonts w:ascii="Arial" w:eastAsia="Arial" w:hAnsi="Arial" w:cs="Arial"/>
                <w:color w:val="000000" w:themeColor="text1"/>
              </w:rPr>
              <w:t xml:space="preserve"> </w:t>
            </w:r>
          </w:p>
        </w:tc>
      </w:tr>
    </w:tbl>
    <w:p w14:paraId="7528882F" w14:textId="46C78E98" w:rsidR="7336895D" w:rsidRDefault="7336895D" w:rsidP="7336895D">
      <w:pPr>
        <w:rPr>
          <w:rFonts w:ascii="Arial" w:eastAsia="Arial" w:hAnsi="Arial" w:cs="Arial"/>
          <w:b/>
          <w:bCs/>
          <w:sz w:val="28"/>
          <w:szCs w:val="28"/>
        </w:rPr>
      </w:pPr>
    </w:p>
    <w:p w14:paraId="053211CB" w14:textId="73134137"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Bibliography</w:t>
      </w:r>
    </w:p>
    <w:p w14:paraId="3D3A3146" w14:textId="0BB6EFBE"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8E3C43" w:rsidP="7336895D">
      <w:pPr>
        <w:spacing w:before="240" w:after="60"/>
        <w:ind w:right="237"/>
        <w:jc w:val="both"/>
        <w:rPr>
          <w:rFonts w:ascii="Arial" w:eastAsia="Arial" w:hAnsi="Arial" w:cs="Arial"/>
          <w:sz w:val="24"/>
          <w:szCs w:val="24"/>
        </w:rPr>
      </w:pPr>
      <w:hyperlink r:id="rId109">
        <w:r w:rsidR="2723F8F5" w:rsidRPr="7336895D">
          <w:rPr>
            <w:rStyle w:val="Hyperlink"/>
            <w:rFonts w:ascii="Calibri" w:eastAsia="Calibri" w:hAnsi="Calibri" w:cs="Calibri"/>
            <w:sz w:val="24"/>
            <w:szCs w:val="24"/>
          </w:rPr>
          <w:t>https://moodle.uwtsd.ac.uk/pluginfile.php/324905/mod_resource/content/1/Harvard%20Referencing%20GUide.pdf</w:t>
        </w:r>
      </w:hyperlink>
    </w:p>
    <w:p w14:paraId="7979B35B" w14:textId="5DCC9B9E" w:rsidR="7336895D" w:rsidRDefault="7336895D" w:rsidP="7336895D">
      <w:pPr>
        <w:spacing w:before="240" w:after="60"/>
        <w:ind w:right="237"/>
        <w:jc w:val="both"/>
        <w:rPr>
          <w:rFonts w:ascii="Arial" w:eastAsia="Arial" w:hAnsi="Arial" w:cs="Arial"/>
          <w:color w:val="000000" w:themeColor="text1"/>
          <w:sz w:val="24"/>
          <w:szCs w:val="24"/>
        </w:rPr>
      </w:pPr>
    </w:p>
    <w:p w14:paraId="094592B4" w14:textId="103B6D5C" w:rsidR="7336895D" w:rsidRDefault="7336895D" w:rsidP="7336895D">
      <w:pPr>
        <w:spacing w:before="240" w:after="60"/>
        <w:ind w:right="237"/>
        <w:jc w:val="both"/>
        <w:rPr>
          <w:rFonts w:ascii="Arial" w:eastAsia="Arial" w:hAnsi="Arial" w:cs="Arial"/>
          <w:color w:val="000000" w:themeColor="text1"/>
          <w:sz w:val="24"/>
          <w:szCs w:val="24"/>
        </w:rPr>
      </w:pPr>
    </w:p>
    <w:p w14:paraId="21FE9DC3" w14:textId="25B5535F" w:rsidR="7336895D" w:rsidRDefault="7336895D" w:rsidP="7336895D">
      <w:pPr>
        <w:spacing w:before="240" w:after="60"/>
        <w:ind w:right="237"/>
        <w:jc w:val="both"/>
        <w:rPr>
          <w:rFonts w:ascii="Arial" w:eastAsia="Arial" w:hAnsi="Arial" w:cs="Arial"/>
          <w:color w:val="000000" w:themeColor="text1"/>
          <w:sz w:val="24"/>
          <w:szCs w:val="24"/>
        </w:rPr>
      </w:pPr>
    </w:p>
    <w:p w14:paraId="14E5F5D8" w14:textId="33C45B11" w:rsidR="7336895D" w:rsidRDefault="7336895D" w:rsidP="7336895D">
      <w:pPr>
        <w:spacing w:before="240" w:after="60"/>
        <w:ind w:right="237"/>
        <w:jc w:val="both"/>
        <w:rPr>
          <w:rFonts w:ascii="Arial" w:eastAsia="Arial" w:hAnsi="Arial" w:cs="Arial"/>
          <w:color w:val="000000" w:themeColor="text1"/>
          <w:sz w:val="24"/>
          <w:szCs w:val="24"/>
        </w:rPr>
      </w:pPr>
    </w:p>
    <w:p w14:paraId="2060306B" w14:textId="74CED824"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Signed: </w:t>
      </w:r>
      <w:r w:rsidR="00033F10">
        <w:rPr>
          <w:noProof/>
        </w:rPr>
        <w:drawing>
          <wp:inline distT="0" distB="0" distL="0" distR="0" wp14:anchorId="6EC10C2C" wp14:editId="7EFCE9B1">
            <wp:extent cx="800100" cy="3505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800100" cy="350520"/>
                    </a:xfrm>
                    <a:prstGeom prst="rect">
                      <a:avLst/>
                    </a:prstGeom>
                    <a:noFill/>
                    <a:ln>
                      <a:noFill/>
                    </a:ln>
                  </pic:spPr>
                </pic:pic>
              </a:graphicData>
            </a:graphic>
          </wp:inline>
        </w:drawing>
      </w:r>
      <w:r w:rsidR="008A084A">
        <w:rPr>
          <w:rFonts w:ascii="Arial" w:eastAsia="Arial" w:hAnsi="Arial" w:cs="Arial"/>
          <w:color w:val="000000" w:themeColor="text1"/>
          <w:sz w:val="24"/>
          <w:szCs w:val="24"/>
        </w:rPr>
        <w:t xml:space="preserve"> </w:t>
      </w:r>
      <w:proofErr w:type="gramStart"/>
      <w:r w:rsidR="008A084A">
        <w:rPr>
          <w:rFonts w:ascii="Arial" w:eastAsia="Arial" w:hAnsi="Arial" w:cs="Arial"/>
          <w:color w:val="000000" w:themeColor="text1"/>
          <w:sz w:val="24"/>
          <w:szCs w:val="24"/>
        </w:rPr>
        <w:t xml:space="preserve">  </w:t>
      </w:r>
      <w:r w:rsidRPr="7336895D">
        <w:rPr>
          <w:rFonts w:ascii="Arial" w:eastAsia="Arial" w:hAnsi="Arial" w:cs="Arial"/>
          <w:color w:val="000000" w:themeColor="text1"/>
          <w:sz w:val="24"/>
          <w:szCs w:val="24"/>
        </w:rPr>
        <w:t xml:space="preserve"> (</w:t>
      </w:r>
      <w:proofErr w:type="gramEnd"/>
      <w:r w:rsidRPr="7336895D">
        <w:rPr>
          <w:rFonts w:ascii="Arial" w:eastAsia="Arial" w:hAnsi="Arial" w:cs="Arial"/>
          <w:color w:val="000000" w:themeColor="text1"/>
          <w:sz w:val="24"/>
          <w:szCs w:val="24"/>
        </w:rPr>
        <w:t>Learner, Electronic signature or type name)</w:t>
      </w:r>
    </w:p>
    <w:p w14:paraId="322F025C" w14:textId="2696901F"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A357483" w14:textId="2740B05B"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Date: </w:t>
      </w:r>
      <w:r w:rsidR="008A084A">
        <w:rPr>
          <w:rFonts w:ascii="Arial" w:eastAsia="Arial" w:hAnsi="Arial" w:cs="Arial"/>
          <w:color w:val="000000" w:themeColor="text1"/>
          <w:sz w:val="24"/>
          <w:szCs w:val="24"/>
        </w:rPr>
        <w:t xml:space="preserve"> 08.05.2022 </w:t>
      </w:r>
    </w:p>
    <w:p w14:paraId="1CCC12FB" w14:textId="37BB132A" w:rsidR="7336895D" w:rsidRDefault="7336895D" w:rsidP="7336895D">
      <w:pPr>
        <w:rPr>
          <w:rFonts w:ascii="Arial" w:eastAsia="Arial" w:hAnsi="Arial" w:cs="Arial"/>
          <w:b/>
          <w:bCs/>
          <w:color w:val="000000" w:themeColor="text1"/>
          <w:sz w:val="24"/>
          <w:szCs w:val="24"/>
        </w:rPr>
      </w:pPr>
    </w:p>
    <w:p w14:paraId="5B128552" w14:textId="22D575AB" w:rsidR="7336895D" w:rsidRDefault="7336895D" w:rsidP="7336895D">
      <w:pPr>
        <w:spacing w:before="240" w:after="60"/>
        <w:ind w:right="237"/>
        <w:jc w:val="both"/>
        <w:rPr>
          <w:rFonts w:ascii="Arial" w:eastAsia="Arial" w:hAnsi="Arial" w:cs="Arial"/>
          <w:color w:val="000000" w:themeColor="text1"/>
          <w:sz w:val="24"/>
          <w:szCs w:val="24"/>
        </w:rPr>
      </w:pPr>
    </w:p>
    <w:p w14:paraId="61D357BB" w14:textId="2C0401C6" w:rsidR="7336895D" w:rsidRDefault="7336895D" w:rsidP="7336895D">
      <w:pPr>
        <w:rPr>
          <w:rFonts w:ascii="Arial" w:eastAsia="Arial" w:hAnsi="Arial" w:cs="Arial"/>
          <w:b/>
          <w:bCs/>
          <w:sz w:val="28"/>
          <w:szCs w:val="28"/>
        </w:rPr>
      </w:pPr>
    </w:p>
    <w:sectPr w:rsidR="7336895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C7AD5" w14:textId="77777777" w:rsidR="008E3C43" w:rsidRDefault="008E3C43" w:rsidP="00746521">
      <w:pPr>
        <w:spacing w:after="0" w:line="240" w:lineRule="auto"/>
      </w:pPr>
      <w:r>
        <w:separator/>
      </w:r>
    </w:p>
  </w:endnote>
  <w:endnote w:type="continuationSeparator" w:id="0">
    <w:p w14:paraId="0B05FBC1" w14:textId="77777777" w:rsidR="008E3C43" w:rsidRDefault="008E3C43" w:rsidP="00746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0DDAF" w14:textId="77777777" w:rsidR="008E3C43" w:rsidRDefault="008E3C43" w:rsidP="00746521">
      <w:pPr>
        <w:spacing w:after="0" w:line="240" w:lineRule="auto"/>
      </w:pPr>
      <w:r>
        <w:separator/>
      </w:r>
    </w:p>
  </w:footnote>
  <w:footnote w:type="continuationSeparator" w:id="0">
    <w:p w14:paraId="5C2F1E0D" w14:textId="77777777" w:rsidR="008E3C43" w:rsidRDefault="008E3C43" w:rsidP="00746521">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12468441" textId="1147384505" start="0" length="154" invalidationStart="0" invalidationLength="154" id="KPQqIQ82"/>
    <int:ParagraphRange paragraphId="1420681421" textId="287938413" start="0" length="175" invalidationStart="0" invalidationLength="175" id="g8rVqETF"/>
    <int:ParagraphRange paragraphId="776107038" textId="1409544308" start="0" length="173" invalidationStart="0" invalidationLength="173" id="GdEKQfuq"/>
  </int:Manifest>
  <int:Observations>
    <int:Content id="KPQqIQ82">
      <int:Rejection type="WordDesignerDefaultAnnotation"/>
    </int:Content>
    <int:Content id="g8rVqETF">
      <int:Rejection type="WordDesignerDefaultAnnotation"/>
    </int:Content>
    <int:Content id="GdEKQfuq">
      <int:Rejection type="WordDesignerDefaultAnnotation"/>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54B40"/>
    <w:multiLevelType w:val="hybridMultilevel"/>
    <w:tmpl w:val="1E502670"/>
    <w:lvl w:ilvl="0" w:tplc="EC02ADA2">
      <w:start w:val="1"/>
      <w:numFmt w:val="bullet"/>
      <w:lvlText w:val=""/>
      <w:lvlJc w:val="left"/>
      <w:pPr>
        <w:ind w:left="720" w:hanging="360"/>
      </w:pPr>
      <w:rPr>
        <w:rFonts w:ascii="Symbol" w:hAnsi="Symbol" w:hint="default"/>
      </w:rPr>
    </w:lvl>
    <w:lvl w:ilvl="1" w:tplc="D5E6908E">
      <w:start w:val="1"/>
      <w:numFmt w:val="bullet"/>
      <w:lvlText w:val="o"/>
      <w:lvlJc w:val="left"/>
      <w:pPr>
        <w:ind w:left="1440" w:hanging="360"/>
      </w:pPr>
      <w:rPr>
        <w:rFonts w:ascii="Courier New" w:hAnsi="Courier New" w:hint="default"/>
      </w:rPr>
    </w:lvl>
    <w:lvl w:ilvl="2" w:tplc="32987B3A">
      <w:start w:val="1"/>
      <w:numFmt w:val="bullet"/>
      <w:lvlText w:val=""/>
      <w:lvlJc w:val="left"/>
      <w:pPr>
        <w:ind w:left="2160" w:hanging="360"/>
      </w:pPr>
      <w:rPr>
        <w:rFonts w:ascii="Wingdings" w:hAnsi="Wingdings" w:hint="default"/>
      </w:rPr>
    </w:lvl>
    <w:lvl w:ilvl="3" w:tplc="D1380B62">
      <w:start w:val="1"/>
      <w:numFmt w:val="bullet"/>
      <w:lvlText w:val=""/>
      <w:lvlJc w:val="left"/>
      <w:pPr>
        <w:ind w:left="2880" w:hanging="360"/>
      </w:pPr>
      <w:rPr>
        <w:rFonts w:ascii="Symbol" w:hAnsi="Symbol" w:hint="default"/>
      </w:rPr>
    </w:lvl>
    <w:lvl w:ilvl="4" w:tplc="FD6A8D76">
      <w:start w:val="1"/>
      <w:numFmt w:val="bullet"/>
      <w:lvlText w:val="o"/>
      <w:lvlJc w:val="left"/>
      <w:pPr>
        <w:ind w:left="3600" w:hanging="360"/>
      </w:pPr>
      <w:rPr>
        <w:rFonts w:ascii="Courier New" w:hAnsi="Courier New" w:hint="default"/>
      </w:rPr>
    </w:lvl>
    <w:lvl w:ilvl="5" w:tplc="4F5845FE">
      <w:start w:val="1"/>
      <w:numFmt w:val="bullet"/>
      <w:lvlText w:val=""/>
      <w:lvlJc w:val="left"/>
      <w:pPr>
        <w:ind w:left="4320" w:hanging="360"/>
      </w:pPr>
      <w:rPr>
        <w:rFonts w:ascii="Wingdings" w:hAnsi="Wingdings" w:hint="default"/>
      </w:rPr>
    </w:lvl>
    <w:lvl w:ilvl="6" w:tplc="6F4C4ACE">
      <w:start w:val="1"/>
      <w:numFmt w:val="bullet"/>
      <w:lvlText w:val=""/>
      <w:lvlJc w:val="left"/>
      <w:pPr>
        <w:ind w:left="5040" w:hanging="360"/>
      </w:pPr>
      <w:rPr>
        <w:rFonts w:ascii="Symbol" w:hAnsi="Symbol" w:hint="default"/>
      </w:rPr>
    </w:lvl>
    <w:lvl w:ilvl="7" w:tplc="56B602C6">
      <w:start w:val="1"/>
      <w:numFmt w:val="bullet"/>
      <w:lvlText w:val="o"/>
      <w:lvlJc w:val="left"/>
      <w:pPr>
        <w:ind w:left="5760" w:hanging="360"/>
      </w:pPr>
      <w:rPr>
        <w:rFonts w:ascii="Courier New" w:hAnsi="Courier New" w:hint="default"/>
      </w:rPr>
    </w:lvl>
    <w:lvl w:ilvl="8" w:tplc="C2B2D3A2">
      <w:start w:val="1"/>
      <w:numFmt w:val="bullet"/>
      <w:lvlText w:val=""/>
      <w:lvlJc w:val="left"/>
      <w:pPr>
        <w:ind w:left="6480" w:hanging="360"/>
      </w:pPr>
      <w:rPr>
        <w:rFonts w:ascii="Wingdings" w:hAnsi="Wingdings" w:hint="default"/>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6701E6C"/>
    <w:multiLevelType w:val="hybridMultilevel"/>
    <w:tmpl w:val="BBBE0406"/>
    <w:lvl w:ilvl="0" w:tplc="A99C661C">
      <w:start w:val="1"/>
      <w:numFmt w:val="bullet"/>
      <w:lvlText w:val=""/>
      <w:lvlJc w:val="left"/>
      <w:pPr>
        <w:ind w:left="720" w:hanging="360"/>
      </w:pPr>
      <w:rPr>
        <w:rFonts w:ascii="Symbol" w:hAnsi="Symbol" w:hint="default"/>
      </w:rPr>
    </w:lvl>
    <w:lvl w:ilvl="1" w:tplc="A996777E">
      <w:start w:val="1"/>
      <w:numFmt w:val="bullet"/>
      <w:lvlText w:val="o"/>
      <w:lvlJc w:val="left"/>
      <w:pPr>
        <w:ind w:left="1440" w:hanging="360"/>
      </w:pPr>
      <w:rPr>
        <w:rFonts w:ascii="Courier New" w:hAnsi="Courier New" w:hint="default"/>
      </w:rPr>
    </w:lvl>
    <w:lvl w:ilvl="2" w:tplc="7EDA0B1E">
      <w:start w:val="1"/>
      <w:numFmt w:val="bullet"/>
      <w:lvlText w:val=""/>
      <w:lvlJc w:val="left"/>
      <w:pPr>
        <w:ind w:left="2160" w:hanging="360"/>
      </w:pPr>
      <w:rPr>
        <w:rFonts w:ascii="Wingdings" w:hAnsi="Wingdings" w:hint="default"/>
      </w:rPr>
    </w:lvl>
    <w:lvl w:ilvl="3" w:tplc="FFEA6F6E">
      <w:start w:val="1"/>
      <w:numFmt w:val="bullet"/>
      <w:lvlText w:val=""/>
      <w:lvlJc w:val="left"/>
      <w:pPr>
        <w:ind w:left="2880" w:hanging="360"/>
      </w:pPr>
      <w:rPr>
        <w:rFonts w:ascii="Symbol" w:hAnsi="Symbol" w:hint="default"/>
      </w:rPr>
    </w:lvl>
    <w:lvl w:ilvl="4" w:tplc="5AC4A364">
      <w:start w:val="1"/>
      <w:numFmt w:val="bullet"/>
      <w:lvlText w:val="o"/>
      <w:lvlJc w:val="left"/>
      <w:pPr>
        <w:ind w:left="3600" w:hanging="360"/>
      </w:pPr>
      <w:rPr>
        <w:rFonts w:ascii="Courier New" w:hAnsi="Courier New" w:hint="default"/>
      </w:rPr>
    </w:lvl>
    <w:lvl w:ilvl="5" w:tplc="AC605BF0">
      <w:start w:val="1"/>
      <w:numFmt w:val="bullet"/>
      <w:lvlText w:val=""/>
      <w:lvlJc w:val="left"/>
      <w:pPr>
        <w:ind w:left="4320" w:hanging="360"/>
      </w:pPr>
      <w:rPr>
        <w:rFonts w:ascii="Wingdings" w:hAnsi="Wingdings" w:hint="default"/>
      </w:rPr>
    </w:lvl>
    <w:lvl w:ilvl="6" w:tplc="995022AC">
      <w:start w:val="1"/>
      <w:numFmt w:val="bullet"/>
      <w:lvlText w:val=""/>
      <w:lvlJc w:val="left"/>
      <w:pPr>
        <w:ind w:left="5040" w:hanging="360"/>
      </w:pPr>
      <w:rPr>
        <w:rFonts w:ascii="Symbol" w:hAnsi="Symbol" w:hint="default"/>
      </w:rPr>
    </w:lvl>
    <w:lvl w:ilvl="7" w:tplc="62224DE4">
      <w:start w:val="1"/>
      <w:numFmt w:val="bullet"/>
      <w:lvlText w:val="o"/>
      <w:lvlJc w:val="left"/>
      <w:pPr>
        <w:ind w:left="5760" w:hanging="360"/>
      </w:pPr>
      <w:rPr>
        <w:rFonts w:ascii="Courier New" w:hAnsi="Courier New" w:hint="default"/>
      </w:rPr>
    </w:lvl>
    <w:lvl w:ilvl="8" w:tplc="AB3C9300">
      <w:start w:val="1"/>
      <w:numFmt w:val="bullet"/>
      <w:lvlText w:val=""/>
      <w:lvlJc w:val="left"/>
      <w:pPr>
        <w:ind w:left="6480" w:hanging="360"/>
      </w:pPr>
      <w:rPr>
        <w:rFonts w:ascii="Wingdings" w:hAnsi="Wingdings" w:hint="default"/>
      </w:rPr>
    </w:lvl>
  </w:abstractNum>
  <w:abstractNum w:abstractNumId="3" w15:restartNumberingAfterBreak="0">
    <w:nsid w:val="3CD62EDA"/>
    <w:multiLevelType w:val="hybridMultilevel"/>
    <w:tmpl w:val="1DBCF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61BC1"/>
    <w:multiLevelType w:val="hybridMultilevel"/>
    <w:tmpl w:val="F2426236"/>
    <w:lvl w:ilvl="0" w:tplc="20328062">
      <w:start w:val="1"/>
      <w:numFmt w:val="bullet"/>
      <w:lvlText w:val=""/>
      <w:lvlJc w:val="left"/>
      <w:pPr>
        <w:ind w:left="720" w:hanging="360"/>
      </w:pPr>
      <w:rPr>
        <w:rFonts w:ascii="Symbol" w:hAnsi="Symbol" w:hint="default"/>
      </w:rPr>
    </w:lvl>
    <w:lvl w:ilvl="1" w:tplc="9796BF00">
      <w:start w:val="1"/>
      <w:numFmt w:val="bullet"/>
      <w:lvlText w:val="o"/>
      <w:lvlJc w:val="left"/>
      <w:pPr>
        <w:ind w:left="1440" w:hanging="360"/>
      </w:pPr>
      <w:rPr>
        <w:rFonts w:ascii="Courier New" w:hAnsi="Courier New" w:hint="default"/>
      </w:rPr>
    </w:lvl>
    <w:lvl w:ilvl="2" w:tplc="E3FE30C0">
      <w:start w:val="1"/>
      <w:numFmt w:val="bullet"/>
      <w:lvlText w:val=""/>
      <w:lvlJc w:val="left"/>
      <w:pPr>
        <w:ind w:left="2160" w:hanging="360"/>
      </w:pPr>
      <w:rPr>
        <w:rFonts w:ascii="Wingdings" w:hAnsi="Wingdings" w:hint="default"/>
      </w:rPr>
    </w:lvl>
    <w:lvl w:ilvl="3" w:tplc="88B8715A">
      <w:start w:val="1"/>
      <w:numFmt w:val="bullet"/>
      <w:lvlText w:val=""/>
      <w:lvlJc w:val="left"/>
      <w:pPr>
        <w:ind w:left="2880" w:hanging="360"/>
      </w:pPr>
      <w:rPr>
        <w:rFonts w:ascii="Symbol" w:hAnsi="Symbol" w:hint="default"/>
      </w:rPr>
    </w:lvl>
    <w:lvl w:ilvl="4" w:tplc="150CDA48">
      <w:start w:val="1"/>
      <w:numFmt w:val="bullet"/>
      <w:lvlText w:val="o"/>
      <w:lvlJc w:val="left"/>
      <w:pPr>
        <w:ind w:left="3600" w:hanging="360"/>
      </w:pPr>
      <w:rPr>
        <w:rFonts w:ascii="Courier New" w:hAnsi="Courier New" w:hint="default"/>
      </w:rPr>
    </w:lvl>
    <w:lvl w:ilvl="5" w:tplc="AA983038">
      <w:start w:val="1"/>
      <w:numFmt w:val="bullet"/>
      <w:lvlText w:val=""/>
      <w:lvlJc w:val="left"/>
      <w:pPr>
        <w:ind w:left="4320" w:hanging="360"/>
      </w:pPr>
      <w:rPr>
        <w:rFonts w:ascii="Wingdings" w:hAnsi="Wingdings" w:hint="default"/>
      </w:rPr>
    </w:lvl>
    <w:lvl w:ilvl="6" w:tplc="35FC761A">
      <w:start w:val="1"/>
      <w:numFmt w:val="bullet"/>
      <w:lvlText w:val=""/>
      <w:lvlJc w:val="left"/>
      <w:pPr>
        <w:ind w:left="5040" w:hanging="360"/>
      </w:pPr>
      <w:rPr>
        <w:rFonts w:ascii="Symbol" w:hAnsi="Symbol" w:hint="default"/>
      </w:rPr>
    </w:lvl>
    <w:lvl w:ilvl="7" w:tplc="6722E56E">
      <w:start w:val="1"/>
      <w:numFmt w:val="bullet"/>
      <w:lvlText w:val="o"/>
      <w:lvlJc w:val="left"/>
      <w:pPr>
        <w:ind w:left="5760" w:hanging="360"/>
      </w:pPr>
      <w:rPr>
        <w:rFonts w:ascii="Courier New" w:hAnsi="Courier New" w:hint="default"/>
      </w:rPr>
    </w:lvl>
    <w:lvl w:ilvl="8" w:tplc="2CE2291A">
      <w:start w:val="1"/>
      <w:numFmt w:val="bullet"/>
      <w:lvlText w:val=""/>
      <w:lvlJc w:val="left"/>
      <w:pPr>
        <w:ind w:left="6480" w:hanging="360"/>
      </w:pPr>
      <w:rPr>
        <w:rFonts w:ascii="Wingdings" w:hAnsi="Wingdings" w:hint="default"/>
      </w:rPr>
    </w:lvl>
  </w:abstractNum>
  <w:abstractNum w:abstractNumId="5" w15:restartNumberingAfterBreak="0">
    <w:nsid w:val="4B1D4E0A"/>
    <w:multiLevelType w:val="hybridMultilevel"/>
    <w:tmpl w:val="51F812FC"/>
    <w:lvl w:ilvl="0" w:tplc="ABB84964">
      <w:start w:val="1"/>
      <w:numFmt w:val="bullet"/>
      <w:lvlText w:val=""/>
      <w:lvlJc w:val="left"/>
      <w:pPr>
        <w:ind w:left="720" w:hanging="360"/>
      </w:pPr>
      <w:rPr>
        <w:rFonts w:ascii="Symbol" w:hAnsi="Symbol" w:hint="default"/>
      </w:rPr>
    </w:lvl>
    <w:lvl w:ilvl="1" w:tplc="F4169BC0">
      <w:start w:val="1"/>
      <w:numFmt w:val="bullet"/>
      <w:lvlText w:val="o"/>
      <w:lvlJc w:val="left"/>
      <w:pPr>
        <w:ind w:left="1440" w:hanging="360"/>
      </w:pPr>
      <w:rPr>
        <w:rFonts w:ascii="Courier New" w:hAnsi="Courier New" w:hint="default"/>
      </w:rPr>
    </w:lvl>
    <w:lvl w:ilvl="2" w:tplc="9E5A485C">
      <w:start w:val="1"/>
      <w:numFmt w:val="bullet"/>
      <w:lvlText w:val=""/>
      <w:lvlJc w:val="left"/>
      <w:pPr>
        <w:ind w:left="2160" w:hanging="360"/>
      </w:pPr>
      <w:rPr>
        <w:rFonts w:ascii="Wingdings" w:hAnsi="Wingdings" w:hint="default"/>
      </w:rPr>
    </w:lvl>
    <w:lvl w:ilvl="3" w:tplc="55EE0194">
      <w:start w:val="1"/>
      <w:numFmt w:val="bullet"/>
      <w:lvlText w:val=""/>
      <w:lvlJc w:val="left"/>
      <w:pPr>
        <w:ind w:left="2880" w:hanging="360"/>
      </w:pPr>
      <w:rPr>
        <w:rFonts w:ascii="Symbol" w:hAnsi="Symbol" w:hint="default"/>
      </w:rPr>
    </w:lvl>
    <w:lvl w:ilvl="4" w:tplc="C1AC993E">
      <w:start w:val="1"/>
      <w:numFmt w:val="bullet"/>
      <w:lvlText w:val="o"/>
      <w:lvlJc w:val="left"/>
      <w:pPr>
        <w:ind w:left="3600" w:hanging="360"/>
      </w:pPr>
      <w:rPr>
        <w:rFonts w:ascii="Courier New" w:hAnsi="Courier New" w:hint="default"/>
      </w:rPr>
    </w:lvl>
    <w:lvl w:ilvl="5" w:tplc="5F8CF5A4">
      <w:start w:val="1"/>
      <w:numFmt w:val="bullet"/>
      <w:lvlText w:val=""/>
      <w:lvlJc w:val="left"/>
      <w:pPr>
        <w:ind w:left="4320" w:hanging="360"/>
      </w:pPr>
      <w:rPr>
        <w:rFonts w:ascii="Wingdings" w:hAnsi="Wingdings" w:hint="default"/>
      </w:rPr>
    </w:lvl>
    <w:lvl w:ilvl="6" w:tplc="358466B4">
      <w:start w:val="1"/>
      <w:numFmt w:val="bullet"/>
      <w:lvlText w:val=""/>
      <w:lvlJc w:val="left"/>
      <w:pPr>
        <w:ind w:left="5040" w:hanging="360"/>
      </w:pPr>
      <w:rPr>
        <w:rFonts w:ascii="Symbol" w:hAnsi="Symbol" w:hint="default"/>
      </w:rPr>
    </w:lvl>
    <w:lvl w:ilvl="7" w:tplc="92A40ED6">
      <w:start w:val="1"/>
      <w:numFmt w:val="bullet"/>
      <w:lvlText w:val="o"/>
      <w:lvlJc w:val="left"/>
      <w:pPr>
        <w:ind w:left="5760" w:hanging="360"/>
      </w:pPr>
      <w:rPr>
        <w:rFonts w:ascii="Courier New" w:hAnsi="Courier New" w:hint="default"/>
      </w:rPr>
    </w:lvl>
    <w:lvl w:ilvl="8" w:tplc="99FE3D0C">
      <w:start w:val="1"/>
      <w:numFmt w:val="bullet"/>
      <w:lvlText w:val=""/>
      <w:lvlJc w:val="left"/>
      <w:pPr>
        <w:ind w:left="6480" w:hanging="360"/>
      </w:pPr>
      <w:rPr>
        <w:rFonts w:ascii="Wingdings" w:hAnsi="Wingdings" w:hint="default"/>
      </w:rPr>
    </w:lvl>
  </w:abstractNum>
  <w:abstractNum w:abstractNumId="6" w15:restartNumberingAfterBreak="0">
    <w:nsid w:val="55293EAD"/>
    <w:multiLevelType w:val="hybridMultilevel"/>
    <w:tmpl w:val="7A7A218E"/>
    <w:lvl w:ilvl="0" w:tplc="B06C9410">
      <w:start w:val="1"/>
      <w:numFmt w:val="bullet"/>
      <w:lvlText w:val=""/>
      <w:lvlJc w:val="left"/>
      <w:pPr>
        <w:ind w:left="720" w:hanging="360"/>
      </w:pPr>
      <w:rPr>
        <w:rFonts w:ascii="Symbol" w:hAnsi="Symbol" w:hint="default"/>
      </w:rPr>
    </w:lvl>
    <w:lvl w:ilvl="1" w:tplc="9DBEF7D6">
      <w:start w:val="1"/>
      <w:numFmt w:val="bullet"/>
      <w:lvlText w:val="o"/>
      <w:lvlJc w:val="left"/>
      <w:pPr>
        <w:ind w:left="1440" w:hanging="360"/>
      </w:pPr>
      <w:rPr>
        <w:rFonts w:ascii="Courier New" w:hAnsi="Courier New" w:hint="default"/>
      </w:rPr>
    </w:lvl>
    <w:lvl w:ilvl="2" w:tplc="6E729404">
      <w:start w:val="1"/>
      <w:numFmt w:val="bullet"/>
      <w:lvlText w:val=""/>
      <w:lvlJc w:val="left"/>
      <w:pPr>
        <w:ind w:left="2160" w:hanging="360"/>
      </w:pPr>
      <w:rPr>
        <w:rFonts w:ascii="Wingdings" w:hAnsi="Wingdings" w:hint="default"/>
      </w:rPr>
    </w:lvl>
    <w:lvl w:ilvl="3" w:tplc="E9C246CE">
      <w:start w:val="1"/>
      <w:numFmt w:val="bullet"/>
      <w:lvlText w:val=""/>
      <w:lvlJc w:val="left"/>
      <w:pPr>
        <w:ind w:left="2880" w:hanging="360"/>
      </w:pPr>
      <w:rPr>
        <w:rFonts w:ascii="Symbol" w:hAnsi="Symbol" w:hint="default"/>
      </w:rPr>
    </w:lvl>
    <w:lvl w:ilvl="4" w:tplc="B0D67076">
      <w:start w:val="1"/>
      <w:numFmt w:val="bullet"/>
      <w:lvlText w:val="o"/>
      <w:lvlJc w:val="left"/>
      <w:pPr>
        <w:ind w:left="3600" w:hanging="360"/>
      </w:pPr>
      <w:rPr>
        <w:rFonts w:ascii="Courier New" w:hAnsi="Courier New" w:hint="default"/>
      </w:rPr>
    </w:lvl>
    <w:lvl w:ilvl="5" w:tplc="FDCE8B32">
      <w:start w:val="1"/>
      <w:numFmt w:val="bullet"/>
      <w:lvlText w:val=""/>
      <w:lvlJc w:val="left"/>
      <w:pPr>
        <w:ind w:left="4320" w:hanging="360"/>
      </w:pPr>
      <w:rPr>
        <w:rFonts w:ascii="Wingdings" w:hAnsi="Wingdings" w:hint="default"/>
      </w:rPr>
    </w:lvl>
    <w:lvl w:ilvl="6" w:tplc="974CD5E4">
      <w:start w:val="1"/>
      <w:numFmt w:val="bullet"/>
      <w:lvlText w:val=""/>
      <w:lvlJc w:val="left"/>
      <w:pPr>
        <w:ind w:left="5040" w:hanging="360"/>
      </w:pPr>
      <w:rPr>
        <w:rFonts w:ascii="Symbol" w:hAnsi="Symbol" w:hint="default"/>
      </w:rPr>
    </w:lvl>
    <w:lvl w:ilvl="7" w:tplc="24542340">
      <w:start w:val="1"/>
      <w:numFmt w:val="bullet"/>
      <w:lvlText w:val="o"/>
      <w:lvlJc w:val="left"/>
      <w:pPr>
        <w:ind w:left="5760" w:hanging="360"/>
      </w:pPr>
      <w:rPr>
        <w:rFonts w:ascii="Courier New" w:hAnsi="Courier New" w:hint="default"/>
      </w:rPr>
    </w:lvl>
    <w:lvl w:ilvl="8" w:tplc="A71C8B78">
      <w:start w:val="1"/>
      <w:numFmt w:val="bullet"/>
      <w:lvlText w:val=""/>
      <w:lvlJc w:val="left"/>
      <w:pPr>
        <w:ind w:left="6480" w:hanging="360"/>
      </w:pPr>
      <w:rPr>
        <w:rFonts w:ascii="Wingdings" w:hAnsi="Wingdings" w:hint="default"/>
      </w:rPr>
    </w:lvl>
  </w:abstractNum>
  <w:abstractNum w:abstractNumId="7" w15:restartNumberingAfterBreak="0">
    <w:nsid w:val="7E043FF5"/>
    <w:multiLevelType w:val="hybridMultilevel"/>
    <w:tmpl w:val="C3C8677C"/>
    <w:lvl w:ilvl="0" w:tplc="57EA2F0A">
      <w:start w:val="1"/>
      <w:numFmt w:val="bullet"/>
      <w:lvlText w:val="●"/>
      <w:lvlJc w:val="left"/>
      <w:pPr>
        <w:ind w:left="720" w:hanging="360"/>
      </w:pPr>
      <w:rPr>
        <w:rFonts w:ascii="Noto Sans Symbols" w:hAnsi="Noto Sans Symbols" w:hint="default"/>
      </w:rPr>
    </w:lvl>
    <w:lvl w:ilvl="1" w:tplc="0C4889B4">
      <w:start w:val="1"/>
      <w:numFmt w:val="bullet"/>
      <w:lvlText w:val="o"/>
      <w:lvlJc w:val="left"/>
      <w:pPr>
        <w:ind w:left="1440" w:hanging="360"/>
      </w:pPr>
      <w:rPr>
        <w:rFonts w:ascii="Courier New" w:hAnsi="Courier New" w:hint="default"/>
      </w:rPr>
    </w:lvl>
    <w:lvl w:ilvl="2" w:tplc="4B903C62">
      <w:start w:val="1"/>
      <w:numFmt w:val="bullet"/>
      <w:lvlText w:val=""/>
      <w:lvlJc w:val="left"/>
      <w:pPr>
        <w:ind w:left="2160" w:hanging="360"/>
      </w:pPr>
      <w:rPr>
        <w:rFonts w:ascii="Wingdings" w:hAnsi="Wingdings" w:hint="default"/>
      </w:rPr>
    </w:lvl>
    <w:lvl w:ilvl="3" w:tplc="D7F0A6F8">
      <w:start w:val="1"/>
      <w:numFmt w:val="bullet"/>
      <w:lvlText w:val=""/>
      <w:lvlJc w:val="left"/>
      <w:pPr>
        <w:ind w:left="2880" w:hanging="360"/>
      </w:pPr>
      <w:rPr>
        <w:rFonts w:ascii="Symbol" w:hAnsi="Symbol" w:hint="default"/>
      </w:rPr>
    </w:lvl>
    <w:lvl w:ilvl="4" w:tplc="1E586918">
      <w:start w:val="1"/>
      <w:numFmt w:val="bullet"/>
      <w:lvlText w:val="o"/>
      <w:lvlJc w:val="left"/>
      <w:pPr>
        <w:ind w:left="3600" w:hanging="360"/>
      </w:pPr>
      <w:rPr>
        <w:rFonts w:ascii="Courier New" w:hAnsi="Courier New" w:hint="default"/>
      </w:rPr>
    </w:lvl>
    <w:lvl w:ilvl="5" w:tplc="30FA3322">
      <w:start w:val="1"/>
      <w:numFmt w:val="bullet"/>
      <w:lvlText w:val=""/>
      <w:lvlJc w:val="left"/>
      <w:pPr>
        <w:ind w:left="4320" w:hanging="360"/>
      </w:pPr>
      <w:rPr>
        <w:rFonts w:ascii="Wingdings" w:hAnsi="Wingdings" w:hint="default"/>
      </w:rPr>
    </w:lvl>
    <w:lvl w:ilvl="6" w:tplc="EA4E363A">
      <w:start w:val="1"/>
      <w:numFmt w:val="bullet"/>
      <w:lvlText w:val=""/>
      <w:lvlJc w:val="left"/>
      <w:pPr>
        <w:ind w:left="5040" w:hanging="360"/>
      </w:pPr>
      <w:rPr>
        <w:rFonts w:ascii="Symbol" w:hAnsi="Symbol" w:hint="default"/>
      </w:rPr>
    </w:lvl>
    <w:lvl w:ilvl="7" w:tplc="DFCC3B8C">
      <w:start w:val="1"/>
      <w:numFmt w:val="bullet"/>
      <w:lvlText w:val="o"/>
      <w:lvlJc w:val="left"/>
      <w:pPr>
        <w:ind w:left="5760" w:hanging="360"/>
      </w:pPr>
      <w:rPr>
        <w:rFonts w:ascii="Courier New" w:hAnsi="Courier New" w:hint="default"/>
      </w:rPr>
    </w:lvl>
    <w:lvl w:ilvl="8" w:tplc="EFBE1096">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7"/>
  </w:num>
  <w:num w:numId="4">
    <w:abstractNumId w:val="6"/>
  </w:num>
  <w:num w:numId="5">
    <w:abstractNumId w:val="0"/>
  </w:num>
  <w:num w:numId="6">
    <w:abstractNumId w:val="4"/>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11FC5"/>
    <w:rsid w:val="00033F10"/>
    <w:rsid w:val="00054547"/>
    <w:rsid w:val="00073D04"/>
    <w:rsid w:val="00082483"/>
    <w:rsid w:val="00087CA6"/>
    <w:rsid w:val="000E31BD"/>
    <w:rsid w:val="000E772F"/>
    <w:rsid w:val="0010566C"/>
    <w:rsid w:val="00125272"/>
    <w:rsid w:val="001556D9"/>
    <w:rsid w:val="00192584"/>
    <w:rsid w:val="001A58D0"/>
    <w:rsid w:val="001D4764"/>
    <w:rsid w:val="00282CE5"/>
    <w:rsid w:val="00291AA4"/>
    <w:rsid w:val="002A3853"/>
    <w:rsid w:val="002C7701"/>
    <w:rsid w:val="00342BF2"/>
    <w:rsid w:val="00346B3C"/>
    <w:rsid w:val="003A1239"/>
    <w:rsid w:val="003A321F"/>
    <w:rsid w:val="003A6E15"/>
    <w:rsid w:val="003B3AA5"/>
    <w:rsid w:val="003C6A00"/>
    <w:rsid w:val="003E72D0"/>
    <w:rsid w:val="0045498E"/>
    <w:rsid w:val="004624A5"/>
    <w:rsid w:val="0046413F"/>
    <w:rsid w:val="00470E95"/>
    <w:rsid w:val="0047431F"/>
    <w:rsid w:val="004827DF"/>
    <w:rsid w:val="004B26AD"/>
    <w:rsid w:val="004E3992"/>
    <w:rsid w:val="004F6D79"/>
    <w:rsid w:val="00504D34"/>
    <w:rsid w:val="00506FB8"/>
    <w:rsid w:val="00513928"/>
    <w:rsid w:val="00530237"/>
    <w:rsid w:val="0053638C"/>
    <w:rsid w:val="005871D5"/>
    <w:rsid w:val="005C5032"/>
    <w:rsid w:val="005C7F59"/>
    <w:rsid w:val="00697C71"/>
    <w:rsid w:val="006C24B0"/>
    <w:rsid w:val="006D4E47"/>
    <w:rsid w:val="006E0C03"/>
    <w:rsid w:val="00713371"/>
    <w:rsid w:val="007456C4"/>
    <w:rsid w:val="00746521"/>
    <w:rsid w:val="007644AD"/>
    <w:rsid w:val="0078105D"/>
    <w:rsid w:val="0079745E"/>
    <w:rsid w:val="007B18F3"/>
    <w:rsid w:val="007C444F"/>
    <w:rsid w:val="007C50C9"/>
    <w:rsid w:val="008031A3"/>
    <w:rsid w:val="00816D9B"/>
    <w:rsid w:val="00821BF0"/>
    <w:rsid w:val="00823BA0"/>
    <w:rsid w:val="00826697"/>
    <w:rsid w:val="00831A92"/>
    <w:rsid w:val="0087314A"/>
    <w:rsid w:val="008745B0"/>
    <w:rsid w:val="00875969"/>
    <w:rsid w:val="008A084A"/>
    <w:rsid w:val="008B1CCA"/>
    <w:rsid w:val="008E3C43"/>
    <w:rsid w:val="0090084D"/>
    <w:rsid w:val="009075DE"/>
    <w:rsid w:val="00921DD4"/>
    <w:rsid w:val="00962D07"/>
    <w:rsid w:val="00965385"/>
    <w:rsid w:val="00995580"/>
    <w:rsid w:val="009B40F1"/>
    <w:rsid w:val="009B5669"/>
    <w:rsid w:val="009D0229"/>
    <w:rsid w:val="009F6548"/>
    <w:rsid w:val="00A14FC2"/>
    <w:rsid w:val="00A167E2"/>
    <w:rsid w:val="00A37647"/>
    <w:rsid w:val="00A52989"/>
    <w:rsid w:val="00A52C97"/>
    <w:rsid w:val="00A54371"/>
    <w:rsid w:val="00A60997"/>
    <w:rsid w:val="00A661E7"/>
    <w:rsid w:val="00A70416"/>
    <w:rsid w:val="00A75454"/>
    <w:rsid w:val="00A95B71"/>
    <w:rsid w:val="00AC2634"/>
    <w:rsid w:val="00AD1CA3"/>
    <w:rsid w:val="00B00B4F"/>
    <w:rsid w:val="00B03053"/>
    <w:rsid w:val="00B05D3F"/>
    <w:rsid w:val="00B511B9"/>
    <w:rsid w:val="00B73EB0"/>
    <w:rsid w:val="00B82EA5"/>
    <w:rsid w:val="00B98109"/>
    <w:rsid w:val="00BB1554"/>
    <w:rsid w:val="00BC08A9"/>
    <w:rsid w:val="00BF3DBE"/>
    <w:rsid w:val="00BF4FFA"/>
    <w:rsid w:val="00C305DD"/>
    <w:rsid w:val="00C33D66"/>
    <w:rsid w:val="00C3639D"/>
    <w:rsid w:val="00C50709"/>
    <w:rsid w:val="00C63EEA"/>
    <w:rsid w:val="00C655A0"/>
    <w:rsid w:val="00C94806"/>
    <w:rsid w:val="00CA5111"/>
    <w:rsid w:val="00CB054B"/>
    <w:rsid w:val="00CC332F"/>
    <w:rsid w:val="00CD06CC"/>
    <w:rsid w:val="00CD3B01"/>
    <w:rsid w:val="00CF77E7"/>
    <w:rsid w:val="00D10507"/>
    <w:rsid w:val="00D21365"/>
    <w:rsid w:val="00D529D8"/>
    <w:rsid w:val="00D63580"/>
    <w:rsid w:val="00D8137B"/>
    <w:rsid w:val="00DB1512"/>
    <w:rsid w:val="00DC2D3E"/>
    <w:rsid w:val="00E041A8"/>
    <w:rsid w:val="00E04853"/>
    <w:rsid w:val="00E073AF"/>
    <w:rsid w:val="00E21E5C"/>
    <w:rsid w:val="00E419DF"/>
    <w:rsid w:val="00E529EC"/>
    <w:rsid w:val="00EE5072"/>
    <w:rsid w:val="00F700C8"/>
    <w:rsid w:val="00FA0A6C"/>
    <w:rsid w:val="00FA59A0"/>
    <w:rsid w:val="00FA7C2E"/>
    <w:rsid w:val="00FE10B9"/>
    <w:rsid w:val="00FF7BD5"/>
    <w:rsid w:val="010A2EC9"/>
    <w:rsid w:val="0164F6A5"/>
    <w:rsid w:val="01B3FCC5"/>
    <w:rsid w:val="021C0392"/>
    <w:rsid w:val="028253E0"/>
    <w:rsid w:val="0282740F"/>
    <w:rsid w:val="039F1E7A"/>
    <w:rsid w:val="044F70D2"/>
    <w:rsid w:val="058CF22C"/>
    <w:rsid w:val="06678CC2"/>
    <w:rsid w:val="06BF2D3F"/>
    <w:rsid w:val="06D09D71"/>
    <w:rsid w:val="06D6C6C7"/>
    <w:rsid w:val="0720D680"/>
    <w:rsid w:val="074BBDC2"/>
    <w:rsid w:val="07B8FE6B"/>
    <w:rsid w:val="07BFD4EB"/>
    <w:rsid w:val="07F1D9CE"/>
    <w:rsid w:val="09514B01"/>
    <w:rsid w:val="09D70C1D"/>
    <w:rsid w:val="0A027A66"/>
    <w:rsid w:val="0A04C9C0"/>
    <w:rsid w:val="0A18EE86"/>
    <w:rsid w:val="0A772BB1"/>
    <w:rsid w:val="0A7F7C2A"/>
    <w:rsid w:val="0ADE4D50"/>
    <w:rsid w:val="0C3EB9E8"/>
    <w:rsid w:val="0C8C6F8E"/>
    <w:rsid w:val="0CAA7532"/>
    <w:rsid w:val="0D2E6EC3"/>
    <w:rsid w:val="0E2F166F"/>
    <w:rsid w:val="0E729EA7"/>
    <w:rsid w:val="0E8B2F99"/>
    <w:rsid w:val="0EC9CDDE"/>
    <w:rsid w:val="0ECA3F24"/>
    <w:rsid w:val="0F5177FA"/>
    <w:rsid w:val="0F88331D"/>
    <w:rsid w:val="10812014"/>
    <w:rsid w:val="109CCF78"/>
    <w:rsid w:val="11059299"/>
    <w:rsid w:val="1131B43F"/>
    <w:rsid w:val="11557C5A"/>
    <w:rsid w:val="1166B731"/>
    <w:rsid w:val="1307522D"/>
    <w:rsid w:val="131353C9"/>
    <w:rsid w:val="131953EB"/>
    <w:rsid w:val="141362C1"/>
    <w:rsid w:val="149FDD07"/>
    <w:rsid w:val="15BC7AC1"/>
    <w:rsid w:val="15C742EA"/>
    <w:rsid w:val="16052562"/>
    <w:rsid w:val="165D77C9"/>
    <w:rsid w:val="174F78FE"/>
    <w:rsid w:val="181D3C55"/>
    <w:rsid w:val="18332301"/>
    <w:rsid w:val="18AD1EC8"/>
    <w:rsid w:val="1A56100D"/>
    <w:rsid w:val="1A74271E"/>
    <w:rsid w:val="1B0A8F4D"/>
    <w:rsid w:val="1BAF70B6"/>
    <w:rsid w:val="1BCE5E2F"/>
    <w:rsid w:val="1BF96E37"/>
    <w:rsid w:val="1C2BBC45"/>
    <w:rsid w:val="1C8B2FA4"/>
    <w:rsid w:val="1E0122C8"/>
    <w:rsid w:val="1E611AAB"/>
    <w:rsid w:val="1EBEE606"/>
    <w:rsid w:val="1EC85EE7"/>
    <w:rsid w:val="1EE71178"/>
    <w:rsid w:val="1F9D89F6"/>
    <w:rsid w:val="200B16CF"/>
    <w:rsid w:val="204F25C1"/>
    <w:rsid w:val="20571347"/>
    <w:rsid w:val="20A6415A"/>
    <w:rsid w:val="20FF2D68"/>
    <w:rsid w:val="216BA024"/>
    <w:rsid w:val="2173DA8E"/>
    <w:rsid w:val="21E64008"/>
    <w:rsid w:val="2228C033"/>
    <w:rsid w:val="2258075B"/>
    <w:rsid w:val="23733B1E"/>
    <w:rsid w:val="23895639"/>
    <w:rsid w:val="23CC4803"/>
    <w:rsid w:val="2493FC28"/>
    <w:rsid w:val="26AADBE0"/>
    <w:rsid w:val="2723F8F5"/>
    <w:rsid w:val="2779F53D"/>
    <w:rsid w:val="27CB5295"/>
    <w:rsid w:val="27E11FF8"/>
    <w:rsid w:val="28167C5A"/>
    <w:rsid w:val="28AD8EB8"/>
    <w:rsid w:val="28C5F2AD"/>
    <w:rsid w:val="29122CD3"/>
    <w:rsid w:val="298DE12D"/>
    <w:rsid w:val="2A3F2DD6"/>
    <w:rsid w:val="2AFF0D61"/>
    <w:rsid w:val="2B494B0C"/>
    <w:rsid w:val="2C28128D"/>
    <w:rsid w:val="2C446312"/>
    <w:rsid w:val="2C4EA49A"/>
    <w:rsid w:val="2CC49DA2"/>
    <w:rsid w:val="2D77689E"/>
    <w:rsid w:val="2D7CBB53"/>
    <w:rsid w:val="2DDDA3BD"/>
    <w:rsid w:val="2E0DA12F"/>
    <w:rsid w:val="2F24BDC2"/>
    <w:rsid w:val="2F670A26"/>
    <w:rsid w:val="2FAF6BDD"/>
    <w:rsid w:val="304A670B"/>
    <w:rsid w:val="30540EB4"/>
    <w:rsid w:val="306261E1"/>
    <w:rsid w:val="310F6DD3"/>
    <w:rsid w:val="318CC896"/>
    <w:rsid w:val="31EFDF15"/>
    <w:rsid w:val="320B9728"/>
    <w:rsid w:val="32433627"/>
    <w:rsid w:val="328A49F4"/>
    <w:rsid w:val="338C23AF"/>
    <w:rsid w:val="33DF0688"/>
    <w:rsid w:val="33F0415F"/>
    <w:rsid w:val="34D73CD2"/>
    <w:rsid w:val="3522A4A6"/>
    <w:rsid w:val="3539A481"/>
    <w:rsid w:val="360EEAD4"/>
    <w:rsid w:val="36799ADB"/>
    <w:rsid w:val="36A04A2A"/>
    <w:rsid w:val="36ED0FD5"/>
    <w:rsid w:val="3715F650"/>
    <w:rsid w:val="3801623A"/>
    <w:rsid w:val="387848F6"/>
    <w:rsid w:val="38B277AB"/>
    <w:rsid w:val="3928509D"/>
    <w:rsid w:val="3952F03F"/>
    <w:rsid w:val="3A008DF2"/>
    <w:rsid w:val="3A5EB7B5"/>
    <w:rsid w:val="3BEA186D"/>
    <w:rsid w:val="3C0340CA"/>
    <w:rsid w:val="3C2C005B"/>
    <w:rsid w:val="3C41B539"/>
    <w:rsid w:val="3CC35C0F"/>
    <w:rsid w:val="3E2D6ABE"/>
    <w:rsid w:val="3FD0783D"/>
    <w:rsid w:val="4064BF3B"/>
    <w:rsid w:val="40BD8990"/>
    <w:rsid w:val="41186E84"/>
    <w:rsid w:val="417AADD6"/>
    <w:rsid w:val="4186055D"/>
    <w:rsid w:val="41B427C4"/>
    <w:rsid w:val="420602DF"/>
    <w:rsid w:val="427F9C5F"/>
    <w:rsid w:val="42895FE0"/>
    <w:rsid w:val="42A23346"/>
    <w:rsid w:val="43AD6644"/>
    <w:rsid w:val="43BA3C9D"/>
    <w:rsid w:val="43D73861"/>
    <w:rsid w:val="43DD8830"/>
    <w:rsid w:val="440D8E47"/>
    <w:rsid w:val="4529D914"/>
    <w:rsid w:val="45E69AE2"/>
    <w:rsid w:val="45F832B6"/>
    <w:rsid w:val="4606D3A5"/>
    <w:rsid w:val="4633F64A"/>
    <w:rsid w:val="4651F0B7"/>
    <w:rsid w:val="47AD346D"/>
    <w:rsid w:val="47C3B256"/>
    <w:rsid w:val="47D29FAA"/>
    <w:rsid w:val="48754463"/>
    <w:rsid w:val="487D31E9"/>
    <w:rsid w:val="48A186CC"/>
    <w:rsid w:val="48E74597"/>
    <w:rsid w:val="48EFF644"/>
    <w:rsid w:val="493C9ADF"/>
    <w:rsid w:val="493E7467"/>
    <w:rsid w:val="49E3DD73"/>
    <w:rsid w:val="49E421DA"/>
    <w:rsid w:val="4AF6DABA"/>
    <w:rsid w:val="4C6CB4DE"/>
    <w:rsid w:val="4CA337CE"/>
    <w:rsid w:val="4CAD43B7"/>
    <w:rsid w:val="4D1E61E7"/>
    <w:rsid w:val="4D50A30C"/>
    <w:rsid w:val="4E28ED14"/>
    <w:rsid w:val="4E6D1421"/>
    <w:rsid w:val="4E703491"/>
    <w:rsid w:val="4E806944"/>
    <w:rsid w:val="4E99B54F"/>
    <w:rsid w:val="4EB5FE6F"/>
    <w:rsid w:val="503DF1C9"/>
    <w:rsid w:val="508843CE"/>
    <w:rsid w:val="515A1CF8"/>
    <w:rsid w:val="51A77BE0"/>
    <w:rsid w:val="51CBC66B"/>
    <w:rsid w:val="51D3E347"/>
    <w:rsid w:val="522A5F24"/>
    <w:rsid w:val="5267DC2E"/>
    <w:rsid w:val="52849861"/>
    <w:rsid w:val="52F08452"/>
    <w:rsid w:val="53548F4B"/>
    <w:rsid w:val="5369967D"/>
    <w:rsid w:val="53CB7794"/>
    <w:rsid w:val="53DD9AA7"/>
    <w:rsid w:val="5432A24F"/>
    <w:rsid w:val="5439B245"/>
    <w:rsid w:val="54552390"/>
    <w:rsid w:val="55676C9F"/>
    <w:rsid w:val="55CF82B9"/>
    <w:rsid w:val="5680BDF0"/>
    <w:rsid w:val="56DE69A8"/>
    <w:rsid w:val="56F79205"/>
    <w:rsid w:val="57031856"/>
    <w:rsid w:val="571AFF25"/>
    <w:rsid w:val="57715307"/>
    <w:rsid w:val="57CA3262"/>
    <w:rsid w:val="5800D25D"/>
    <w:rsid w:val="582FDB51"/>
    <w:rsid w:val="585E7543"/>
    <w:rsid w:val="587461C1"/>
    <w:rsid w:val="58E32A6B"/>
    <w:rsid w:val="59B60E66"/>
    <w:rsid w:val="5A230DF6"/>
    <w:rsid w:val="5AD504FB"/>
    <w:rsid w:val="5B2B94AB"/>
    <w:rsid w:val="5D0A22F4"/>
    <w:rsid w:val="5D5FBC1B"/>
    <w:rsid w:val="5E6D5126"/>
    <w:rsid w:val="5EE97B8D"/>
    <w:rsid w:val="5FC6C293"/>
    <w:rsid w:val="5FDD7E47"/>
    <w:rsid w:val="603AFBA3"/>
    <w:rsid w:val="60C9073A"/>
    <w:rsid w:val="62F55F56"/>
    <w:rsid w:val="63AFFE02"/>
    <w:rsid w:val="63BCECB0"/>
    <w:rsid w:val="63BD137B"/>
    <w:rsid w:val="6400A7FC"/>
    <w:rsid w:val="6494EADD"/>
    <w:rsid w:val="64E031E7"/>
    <w:rsid w:val="6503FA02"/>
    <w:rsid w:val="6558BD11"/>
    <w:rsid w:val="66F48D72"/>
    <w:rsid w:val="6812DDAA"/>
    <w:rsid w:val="68905DD3"/>
    <w:rsid w:val="68984B59"/>
    <w:rsid w:val="689A1BFD"/>
    <w:rsid w:val="68DC06A5"/>
    <w:rsid w:val="6907D537"/>
    <w:rsid w:val="69394861"/>
    <w:rsid w:val="69B3A30A"/>
    <w:rsid w:val="6A77D706"/>
    <w:rsid w:val="6B858D63"/>
    <w:rsid w:val="6C21A084"/>
    <w:rsid w:val="6D0F0BE7"/>
    <w:rsid w:val="6DA71254"/>
    <w:rsid w:val="6DDB465A"/>
    <w:rsid w:val="6E27A6BC"/>
    <w:rsid w:val="6E5A9DBE"/>
    <w:rsid w:val="6F599B56"/>
    <w:rsid w:val="7046ACA9"/>
    <w:rsid w:val="70A35D3E"/>
    <w:rsid w:val="70CB6077"/>
    <w:rsid w:val="71E6567F"/>
    <w:rsid w:val="71F4CEE7"/>
    <w:rsid w:val="72374019"/>
    <w:rsid w:val="725C58D2"/>
    <w:rsid w:val="727E3A7D"/>
    <w:rsid w:val="72D45FEC"/>
    <w:rsid w:val="7336895D"/>
    <w:rsid w:val="73697B2C"/>
    <w:rsid w:val="74F38385"/>
    <w:rsid w:val="75054B8D"/>
    <w:rsid w:val="757097C1"/>
    <w:rsid w:val="75F08F63"/>
    <w:rsid w:val="7635A431"/>
    <w:rsid w:val="7692D3B5"/>
    <w:rsid w:val="76A11BEE"/>
    <w:rsid w:val="76EFEBAD"/>
    <w:rsid w:val="77690043"/>
    <w:rsid w:val="78354AC2"/>
    <w:rsid w:val="7851BE8E"/>
    <w:rsid w:val="78979F44"/>
    <w:rsid w:val="79039CE6"/>
    <w:rsid w:val="79283025"/>
    <w:rsid w:val="7964D7A3"/>
    <w:rsid w:val="7A04BE13"/>
    <w:rsid w:val="7A7659B0"/>
    <w:rsid w:val="7AA3C833"/>
    <w:rsid w:val="7B6605B0"/>
    <w:rsid w:val="7B6D84BB"/>
    <w:rsid w:val="7B895F50"/>
    <w:rsid w:val="7C0879D3"/>
    <w:rsid w:val="7C10A2D4"/>
    <w:rsid w:val="7C2C5AE7"/>
    <w:rsid w:val="7C3FC7FE"/>
    <w:rsid w:val="7CC9909C"/>
    <w:rsid w:val="7D3C5ED5"/>
    <w:rsid w:val="7D495CB6"/>
    <w:rsid w:val="7DB115CD"/>
    <w:rsid w:val="7E4CFF6C"/>
    <w:rsid w:val="7E5C7ADC"/>
    <w:rsid w:val="7EAEC107"/>
    <w:rsid w:val="7F89359F"/>
    <w:rsid w:val="7FF28BF6"/>
    <w:rsid w:val="7FF84B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EE50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co.org.uk/media/action-weve-taken/audits-and-advisory-visits/2620275/overview-report-police-force-audits-follow-ups-2018-to-2020-final-v1-0.pdf" TargetMode="External"/><Relationship Id="rId21" Type="http://schemas.openxmlformats.org/officeDocument/2006/relationships/hyperlink" Target="https://assets.publishing.service.gov.uk/government/uploads/system/uploads/attachment_data/file/880708/Codes_of_Practice_and_Conduct_-_Issue_5.pdf" TargetMode="External"/><Relationship Id="rId42" Type="http://schemas.openxmlformats.org/officeDocument/2006/relationships/hyperlink" Target="https://doi.org/10.1111/hojo.12190" TargetMode="External"/><Relationship Id="rId47" Type="http://schemas.openxmlformats.org/officeDocument/2006/relationships/hyperlink" Target="https://www.app.college.police.uk/app-content/major-investigation-and-public-protection/child-abuse/police-response/staffing/" TargetMode="External"/><Relationship Id="rId63" Type="http://schemas.openxmlformats.org/officeDocument/2006/relationships/hyperlink" Target="https://www.legislation.gov.uk/anaw/2014/4/section/130" TargetMode="External"/><Relationship Id="rId68" Type="http://schemas.openxmlformats.org/officeDocument/2006/relationships/hyperlink" Target="https://www.app.college.police.uk/app-content/investigations/victims-and-witnesses/" TargetMode="External"/><Relationship Id="rId84" Type="http://schemas.openxmlformats.org/officeDocument/2006/relationships/hyperlink" Target="https://www.legislation.gov.uk/ukpga/2002/30/section/83" TargetMode="External"/><Relationship Id="rId89" Type="http://schemas.openxmlformats.org/officeDocument/2006/relationships/hyperlink" Target="https://www-proquest-com.ezproxy.uwtsd.ac.uk/docview/2494896495?accountid=130472" TargetMode="External"/><Relationship Id="rId112" Type="http://schemas.openxmlformats.org/officeDocument/2006/relationships/theme" Target="theme/theme1.xml"/><Relationship Id="rId16" Type="http://schemas.openxmlformats.org/officeDocument/2006/relationships/hyperlink" Target="https://www.app.college.police.uk/app-content/critical-incident-management/types-of-critical-incident/" TargetMode="External"/><Relationship Id="rId107" Type="http://schemas.openxmlformats.org/officeDocument/2006/relationships/hyperlink" Target="https://doi.org/10.1080/0731129X.1982.9991705" TargetMode="External"/><Relationship Id="rId11" Type="http://schemas.openxmlformats.org/officeDocument/2006/relationships/hyperlink" Target="https://www.standard.co.uk/news/uk/police-metropolitan-police-government-met-england-b983980.html" TargetMode="External"/><Relationship Id="rId32" Type="http://schemas.openxmlformats.org/officeDocument/2006/relationships/hyperlink" Target="https://library.college.police.uk/docs/NPCC/MIRSAP_V1_Nov_2021.pdf" TargetMode="External"/><Relationship Id="rId37" Type="http://schemas.openxmlformats.org/officeDocument/2006/relationships/hyperlink" Target="https://www.legislation.gov.uk/ukpga/1984/60/section/78" TargetMode="External"/><Relationship Id="rId53" Type="http://schemas.openxmlformats.org/officeDocument/2006/relationships/hyperlink" Target="https://doi.org/10.1016/j.paed.2018.11.008" TargetMode="External"/><Relationship Id="rId58" Type="http://schemas.openxmlformats.org/officeDocument/2006/relationships/hyperlink" Target="https://assets.publishing.service.gov.uk/government/uploads/system/uploads/attachment_data/file/264627/witness-charter-nov13.pdf" TargetMode="External"/><Relationship Id="rId74" Type="http://schemas.openxmlformats.org/officeDocument/2006/relationships/hyperlink" Target="https://doi.org/10.1177/073401688200700109" TargetMode="External"/><Relationship Id="rId79" Type="http://schemas.openxmlformats.org/officeDocument/2006/relationships/hyperlink" Target="https://psycnet.apa.org/doi/10.1037/lhb0000287" TargetMode="External"/><Relationship Id="rId102" Type="http://schemas.openxmlformats.org/officeDocument/2006/relationships/hyperlink" Target="https://doi.org/10.1177/2158244013511826" TargetMode="External"/><Relationship Id="rId5" Type="http://schemas.openxmlformats.org/officeDocument/2006/relationships/footnotes" Target="footnotes.xml"/><Relationship Id="rId90" Type="http://schemas.openxmlformats.org/officeDocument/2006/relationships/hyperlink" Target="https://assets.publishing.service.gov.uk/government/uploads/system/uploads/attachment_data/file/946082/Attorney_General_s_Guidelines_2020_FINAL_Effective_31Dec2020.pdf" TargetMode="External"/><Relationship Id="rId95" Type="http://schemas.openxmlformats.org/officeDocument/2006/relationships/hyperlink" Target="https://www.cps.gov.uk/sites/default/files/documents/publications/joint-review-disclosure-Allan.pdf" TargetMode="External"/><Relationship Id="rId22" Type="http://schemas.openxmlformats.org/officeDocument/2006/relationships/hyperlink" Target="https://www.sciencedirect.com/science/article/pii/S0379073818307436" TargetMode="External"/><Relationship Id="rId27" Type="http://schemas.openxmlformats.org/officeDocument/2006/relationships/hyperlink" Target="https://www.emerald.com/insight/content/doi/10.1108/IJAIM-01-2019-0006/full/html" TargetMode="External"/><Relationship Id="rId43" Type="http://schemas.openxmlformats.org/officeDocument/2006/relationships/hyperlink" Target="https://doi.org/10.1177/1365712720952335" TargetMode="External"/><Relationship Id="rId48" Type="http://schemas.openxmlformats.org/officeDocument/2006/relationships/hyperlink" Target="https://www.app.college.police.uk/app-content/major-investigation-and-public-protection/child-abuse/police-response/staffing/" TargetMode="External"/><Relationship Id="rId64" Type="http://schemas.openxmlformats.org/officeDocument/2006/relationships/hyperlink" Target="https://www.legislation.gov.uk/anaw/2014/4/section/130" TargetMode="External"/><Relationship Id="rId69" Type="http://schemas.openxmlformats.org/officeDocument/2006/relationships/hyperlink" Target="https://profdev.college.police.uk/competency-values/" TargetMode="External"/><Relationship Id="Rb4915cf68d974fc7" Type="http://schemas.microsoft.com/office/2019/09/relationships/intelligence" Target="intelligence.xml"/><Relationship Id="rId80" Type="http://schemas.openxmlformats.org/officeDocument/2006/relationships/hyperlink" Target="https://doi-org.ezproxy.uwtsd.ac.uk/10.1080/15580989.2003.11770949" TargetMode="External"/><Relationship Id="rId85" Type="http://schemas.openxmlformats.org/officeDocument/2006/relationships/hyperlink" Target="https://www.legislation.gov.uk/ukpga/1984/60/section/18" TargetMode="External"/><Relationship Id="rId12" Type="http://schemas.openxmlformats.org/officeDocument/2006/relationships/hyperlink" Target="https://www.bbc.co.uk/news/uk-england-london-58733714" TargetMode="External"/><Relationship Id="rId17" Type="http://schemas.openxmlformats.org/officeDocument/2006/relationships/hyperlink" Target="https://www.app.college.police.uk/app-content/investigations/introduction/" TargetMode="External"/><Relationship Id="rId33" Type="http://schemas.openxmlformats.org/officeDocument/2006/relationships/hyperlink" Target="https://ipco-wpmedia-prod-s3.s3.eu-west-2.amazonaws.com/OSC-PROCEDURES-AND-GUIDANCE.pdf" TargetMode="External"/><Relationship Id="rId38" Type="http://schemas.openxmlformats.org/officeDocument/2006/relationships/hyperlink" Target="https://doi.org/10.1007/978-3-030-63930-3_18" TargetMode="External"/><Relationship Id="rId59" Type="http://schemas.openxmlformats.org/officeDocument/2006/relationships/hyperlink" Target="https://assets.publishing.service.gov.uk/government/uploads/system/uploads/attachment_data/file/1051269/achieving-best-evidence-criminal-proceedings.pdf" TargetMode="External"/><Relationship Id="rId103" Type="http://schemas.openxmlformats.org/officeDocument/2006/relationships/hyperlink" Target="https://www.legislation.gov.uk/ukpga/Vict/24-25/100/section/20" TargetMode="External"/><Relationship Id="rId108" Type="http://schemas.openxmlformats.org/officeDocument/2006/relationships/hyperlink" Target="https://crimsoc.hull.ac.uk/2021/10/19/deceptive-policing/" TargetMode="External"/><Relationship Id="rId54" Type="http://schemas.openxmlformats.org/officeDocument/2006/relationships/hyperlink" Target="http://www.goleudyvictimandwitnessservice.org.uk/en/" TargetMode="External"/><Relationship Id="rId70" Type="http://schemas.openxmlformats.org/officeDocument/2006/relationships/hyperlink" Target="https://www.college.police.uk/ethics/code-of-ethics" TargetMode="External"/><Relationship Id="rId75" Type="http://schemas.openxmlformats.org/officeDocument/2006/relationships/hyperlink" Target="https://www.gov.uk/government/news/code-of-ethics-launched" TargetMode="External"/><Relationship Id="rId91" Type="http://schemas.openxmlformats.org/officeDocument/2006/relationships/hyperlink" Target="https://www.bbc.co.uk/news/uk-england-london-42366629" TargetMode="External"/><Relationship Id="rId96" Type="http://schemas.openxmlformats.org/officeDocument/2006/relationships/hyperlink" Target="https://www.dyfed-powys.police.uk/cy-GB/SysSiteAssets/foi-media/dyfed-powys/policies/crime-and-incident-recording-and-investigation-policy/crime-and-incident-recording-and-investigation-polic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715778/May-2018_Government-Security-Classifications-2.pdf" TargetMode="External"/><Relationship Id="rId23" Type="http://schemas.openxmlformats.org/officeDocument/2006/relationships/hyperlink" Target="http://www.hoover.org/sites/default/files/research/docs/heydari_webreadypdf.pdf" TargetMode="External"/><Relationship Id="rId28" Type="http://schemas.openxmlformats.org/officeDocument/2006/relationships/hyperlink" Target="https://www.cps.gov.uk/sites/default/files/documents/legal_guidance/best_evidence_in_criminal_proceedings.pdf" TargetMode="External"/><Relationship Id="rId36" Type="http://schemas.openxmlformats.org/officeDocument/2006/relationships/hyperlink" Target="https://www.legislation.gov.uk/ukpga/1984/60/part/II" TargetMode="External"/><Relationship Id="rId49" Type="http://schemas.openxmlformats.org/officeDocument/2006/relationships/hyperlink" Target="https://doi.org/10.1093/police/pav007" TargetMode="External"/><Relationship Id="rId57" Type="http://schemas.openxmlformats.org/officeDocument/2006/relationships/hyperlink" Target="https://assets.publishing.service.gov.uk/government/uploads/system/uploads/attachment_data/file/273183/5730.pdf" TargetMode="External"/><Relationship Id="rId106" Type="http://schemas.openxmlformats.org/officeDocument/2006/relationships/hyperlink" Target="https://www.legislation.gov.uk/ukpga/2003/42/section/2" TargetMode="External"/><Relationship Id="rId10" Type="http://schemas.openxmlformats.org/officeDocument/2006/relationships/hyperlink" Target="mailto:k.andrews@uwtsd.ac.uk" TargetMode="External"/><Relationship Id="rId31" Type="http://schemas.openxmlformats.org/officeDocument/2006/relationships/hyperlink" Target="https://library.college.police.uk/docs/NPCC/Major-Crime-Investigation-Manual-Nov-2021.pdf" TargetMode="External"/><Relationship Id="rId44" Type="http://schemas.openxmlformats.org/officeDocument/2006/relationships/hyperlink" Target="https://www.npcc.police.uk/Crime%20Ops%20Committee/NVAP.pdf" TargetMode="External"/><Relationship Id="rId52" Type="http://schemas.openxmlformats.org/officeDocument/2006/relationships/hyperlink" Target="https://consult.justice.gov.uk/digital-communications/code-victims-crime/supporting_documents/victimscodeconsultation.pdf" TargetMode="External"/><Relationship Id="rId60" Type="http://schemas.openxmlformats.org/officeDocument/2006/relationships/hyperlink" Target="https://doi.org/10.1080/01926189108250844" TargetMode="External"/><Relationship Id="rId65" Type="http://schemas.openxmlformats.org/officeDocument/2006/relationships/hyperlink" Target="https://www.safeguarding.wales" TargetMode="External"/><Relationship Id="rId73" Type="http://schemas.openxmlformats.org/officeDocument/2006/relationships/hyperlink" Target="https://www.legislation.gov.uk/ukpga/1967/58/section/3" TargetMode="External"/><Relationship Id="rId78" Type="http://schemas.openxmlformats.org/officeDocument/2006/relationships/hyperlink" Target="https://doi.org/10.21810/jicw.v4i3.4165" TargetMode="External"/><Relationship Id="rId81" Type="http://schemas.openxmlformats.org/officeDocument/2006/relationships/hyperlink" Target="https://assets.publishing.service.gov.uk/government/uploads/system/uploads/attachment_data/file/264627/witness-charter-nov13.pdf" TargetMode="External"/><Relationship Id="rId86" Type="http://schemas.openxmlformats.org/officeDocument/2006/relationships/hyperlink" Target="https://www.legislation.gov.uk/ukpga/1984/60/section/41" TargetMode="External"/><Relationship Id="rId94" Type="http://schemas.openxmlformats.org/officeDocument/2006/relationships/hyperlink" Target="https://www.legislation.gov.uk/ukpga/1996/25" TargetMode="External"/><Relationship Id="rId99" Type="http://schemas.openxmlformats.org/officeDocument/2006/relationships/hyperlink" Target="https://uswvarious1.blob.core.windows.net/uswvarious-prod-uploads/documents/Volume_6_Issue_1_Spring_2010-HJ_Spring_10_final_locked_12.05.10.pdf" TargetMode="External"/><Relationship Id="rId101" Type="http://schemas.openxmlformats.org/officeDocument/2006/relationships/hyperlink" Target="https://www.app.college.police.uk/app-content/major-investigation-and-public-protection/major-incident-room-standardised-administrative-procedures-mirsap/"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yperlink" Target="https://www.bbc.co.uk/news/uk-england-london-58733714" TargetMode="External"/><Relationship Id="rId18" Type="http://schemas.openxmlformats.org/officeDocument/2006/relationships/hyperlink" Target="https://www.legislation.gov.uk/ukpga/1996/25/contents" TargetMode="External"/><Relationship Id="rId39" Type="http://schemas.openxmlformats.org/officeDocument/2006/relationships/hyperlink" Target="https://doi.org/10.1093/police/paq055" TargetMode="External"/><Relationship Id="rId109" Type="http://schemas.openxmlformats.org/officeDocument/2006/relationships/hyperlink" Target="https://moodle.uwtsd.ac.uk/pluginfile.php/324905/mod_resource/content/1/Harvard%20Referencing%20GUide.pdf" TargetMode="External"/><Relationship Id="rId34" Type="http://schemas.openxmlformats.org/officeDocument/2006/relationships/hyperlink" Target="https://books.google.co.uk/books?hl=en&amp;lr=&amp;id=0NFMDwAAQBAJ&amp;oi=fnd&amp;pg=PR11&amp;dq=the+importance+of+police+briefing+in+criminal+investigation&amp;ots=_2VVwWayvu&amp;sig=bjdsDacCkyzPR_xxry4uaCPSeH0" TargetMode="External"/><Relationship Id="rId50" Type="http://schemas.openxmlformats.org/officeDocument/2006/relationships/hyperlink" Target="https://www.legislation.gov.uk/ukpga/2018/12/contents/enacted" TargetMode="External"/><Relationship Id="rId55" Type="http://schemas.openxmlformats.org/officeDocument/2006/relationships/hyperlink" Target="https://doi.org/10.1177/0269758017742717" TargetMode="External"/><Relationship Id="rId76"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97" Type="http://schemas.openxmlformats.org/officeDocument/2006/relationships/hyperlink" Target="https://www.police-foundation.org.uk/2017/wp-content/uploads/2017/06/police-foundation-police-effectiveness-report.pdf" TargetMode="External"/><Relationship Id="rId104" Type="http://schemas.openxmlformats.org/officeDocument/2006/relationships/hyperlink" Target="https://www.legislation.gov.uk/ukpga/1984/60/section/19" TargetMode="External"/><Relationship Id="rId7" Type="http://schemas.openxmlformats.org/officeDocument/2006/relationships/image" Target="media/image1.png"/><Relationship Id="rId71" Type="http://schemas.openxmlformats.org/officeDocument/2006/relationships/hyperlink" Target="https://doi.org/10.1177/1365712720952335" TargetMode="External"/><Relationship Id="rId92" Type="http://schemas.openxmlformats.org/officeDocument/2006/relationships/hyperlink" Target="https://assets.college.police.uk/s3fs-public/2021-02/code_of_ethics.pdf" TargetMode="External"/><Relationship Id="rId2" Type="http://schemas.openxmlformats.org/officeDocument/2006/relationships/styles" Target="styles.xml"/><Relationship Id="rId29" Type="http://schemas.openxmlformats.org/officeDocument/2006/relationships/hyperlink" Target="https://www.legislation.gov.uk/ukpga/1965/71/contents" TargetMode="External"/><Relationship Id="rId24" Type="http://schemas.openxmlformats.org/officeDocument/2006/relationships/hyperlink" Target="https://assets.publishing.service.gov.uk/government/uploads/system/uploads/attachment_data/file/742041/201800802_CSPI_code.pdf" TargetMode="External"/><Relationship Id="rId40" Type="http://schemas.openxmlformats.org/officeDocument/2006/relationships/hyperlink" Target="https://researchbriefings.files.parliament.uk/documents/SN03626/SN03626.pdf" TargetMode="External"/><Relationship Id="rId45" Type="http://schemas.openxmlformats.org/officeDocument/2006/relationships/hyperlink" Target="https://assets.college.police.uk/s3fs-public/2021-11/Recognising-responding-vulnerability-related-risks-guidelines.pdf" TargetMode="External"/><Relationship Id="rId66" Type="http://schemas.openxmlformats.org/officeDocument/2006/relationships/hyperlink" Target="https://www.legislation.gov.uk/ukpga/1999/23/section/16" TargetMode="External"/><Relationship Id="rId87" Type="http://schemas.openxmlformats.org/officeDocument/2006/relationships/hyperlink" Target="https://www.legislation.gov.uk/ukpga/1999/23/section/16" TargetMode="External"/><Relationship Id="rId110" Type="http://schemas.openxmlformats.org/officeDocument/2006/relationships/image" Target="media/image2.png"/><Relationship Id="rId61" Type="http://schemas.openxmlformats.org/officeDocument/2006/relationships/hyperlink" Target="https://link.springer.com/article/10.1023/A:1009568006487" TargetMode="External"/><Relationship Id="rId82" Type="http://schemas.openxmlformats.org/officeDocument/2006/relationships/hyperlink" Target="https://assets.publishing.service.gov.uk/government/uploads/system/uploads/attachment_data/file/1051269/achieving-best-evidence-criminal-proceedings.pdf" TargetMode="External"/><Relationship Id="rId19" Type="http://schemas.openxmlformats.org/officeDocument/2006/relationships/hyperlink" Target="https://www.legislation.gov.uk/ukpga/2018/12/contents/enacted" TargetMode="External"/><Relationship Id="rId14" Type="http://schemas.openxmlformats.org/officeDocument/2006/relationships/hyperlink" Target="https://www.tandfonline.com/action/showCitFormats?doi=10.1080%2F10439463.2013.771538" TargetMode="External"/><Relationship Id="rId30" Type="http://schemas.openxmlformats.org/officeDocument/2006/relationships/hyperlink" Target="https://nationalcrimeagency.gov.uk/what-we-do/how-we-work/intelligence-enhancing-the-picture-of-serious-organised-crime-affecting-the-uk" TargetMode="External"/><Relationship Id="rId35" Type="http://schemas.openxmlformats.org/officeDocument/2006/relationships/hyperlink" Target="https://www.legislation.gov.uk/ukpga/1997/50/section/93" TargetMode="External"/><Relationship Id="rId56" Type="http://schemas.openxmlformats.org/officeDocument/2006/relationships/hyperlink" Target="https://www-jstor-org.ezproxy.uwtsd.ac.uk/stable/45400001?seq=3" TargetMode="External"/><Relationship Id="rId77" Type="http://schemas.openxmlformats.org/officeDocument/2006/relationships/hyperlink" Target="https://lewisnedas.co.uk/newsroom/blog/criminal-litigation/beware-a-voluntary-police-interview-is-not-a-cosy-chat-with-the-authorities.html" TargetMode="External"/><Relationship Id="rId100" Type="http://schemas.openxmlformats.org/officeDocument/2006/relationships/hyperlink" Target="https://www.cps.gov.uk/sites/default/files/documents/publications/National-Disclosure-Improvement-Plan-May-2018.pdf" TargetMode="External"/><Relationship Id="rId105" Type="http://schemas.openxmlformats.org/officeDocument/2006/relationships/hyperlink" Target="https://www.legislation.gov.uk/ukpga/1984/60/section/22" TargetMode="Externa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51" Type="http://schemas.openxmlformats.org/officeDocument/2006/relationships/hyperlink" Target="https://www.dyfed-powys.police.uk/SysSiteAssets/foi-media/dyfed-powys/policies/vulnerability-policy/vulnerability-policy" TargetMode="External"/><Relationship Id="rId72" Type="http://schemas.openxmlformats.org/officeDocument/2006/relationships/hyperlink" Target="https://www.legislation.gov.uk/ukpga/1994/33/section/36" TargetMode="External"/><Relationship Id="rId93" Type="http://schemas.openxmlformats.org/officeDocument/2006/relationships/hyperlink" Target="https://s3-eu-west-2.amazonaws.com/jotwpublic-prod-storage-1cxo1dnrmkg14/uploads/sites/5/2021/04/CCRC-Annual-Report-and-Accounts-2015-16-HC244-Web-Accessible-v0.2-2.pdf" TargetMode="External"/><Relationship Id="rId98" Type="http://schemas.openxmlformats.org/officeDocument/2006/relationships/hyperlink" Target="https://assets.publishing.service.gov.uk/government/uploads/system/uploads/attachment_data/file/1051269/achieving-best-evidence-criminal-proceedings.pdf" TargetMode="External"/><Relationship Id="rId3" Type="http://schemas.openxmlformats.org/officeDocument/2006/relationships/settings" Target="settings.xml"/><Relationship Id="rId25" Type="http://schemas.openxmlformats.org/officeDocument/2006/relationships/hyperlink" Target="https://www.gov.uk/guidance/police-and-criminal-evidence-act-1984-pace-codes-of-practice" TargetMode="External"/><Relationship Id="rId46" Type="http://schemas.openxmlformats.org/officeDocument/2006/relationships/hyperlink" Target="https://www.app.college.police.uk/app-content/investigations/victims-and-witnesses/" TargetMode="External"/><Relationship Id="rId67" Type="http://schemas.openxmlformats.org/officeDocument/2006/relationships/hyperlink" Target="https://www.app.college.police.uk/app-content/investigations/victims-and-witnesses/" TargetMode="External"/><Relationship Id="rId20" Type="http://schemas.openxmlformats.org/officeDocument/2006/relationships/hyperlink" Target="https://psyche.co/guides/how-to-solve-problems-by-thinking-like-a-detective" TargetMode="External"/><Relationship Id="rId41" Type="http://schemas.openxmlformats.org/officeDocument/2006/relationships/hyperlink" Target="https://dictionary.cambridge.org/dictionary/english/safeguard" TargetMode="External"/><Relationship Id="rId62" Type="http://schemas.openxmlformats.org/officeDocument/2006/relationships/hyperlink" Target="https://onlinelibrary.wiley.com/doi/epdf/10.1002/car.787" TargetMode="External"/><Relationship Id="rId83" Type="http://schemas.openxmlformats.org/officeDocument/2006/relationships/hyperlink" Target="https://www.legislation.gov.uk/ukpga/Vict/24-25/100/crossheading/homicide/enacted" TargetMode="External"/><Relationship Id="rId88" Type="http://schemas.openxmlformats.org/officeDocument/2006/relationships/hyperlink" Target="https://doi.org/10.1348/135532506X157179"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43</Pages>
  <Words>16662</Words>
  <Characters>94974</Characters>
  <Application>Microsoft Office Word</Application>
  <DocSecurity>0</DocSecurity>
  <Lines>791</Lines>
  <Paragraphs>222</Paragraphs>
  <ScaleCrop>false</ScaleCrop>
  <Company/>
  <LinksUpToDate>false</LinksUpToDate>
  <CharactersWithSpaces>111414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Jones Paul DCI</cp:lastModifiedBy>
  <cp:revision>127</cp:revision>
  <cp:lastPrinted>2021-10-05T11:09:00Z</cp:lastPrinted>
  <dcterms:created xsi:type="dcterms:W3CDTF">2022-03-14T09:42:00Z</dcterms:created>
  <dcterms:modified xsi:type="dcterms:W3CDTF">2022-05-08T17:40:00Z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2022-03-14T09:42:07Z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47b87353-424c-4df8-8345-53264daa84ca</vt:lpwstr>
  </property>
  <property fmtid="{D5CDD505-2E9C-101B-9397-08002B2CF9AE}" pid="8" name="MSIP_Label_7beefdff-6834-454f-be00-a68b5bc5f471_ContentBits">
    <vt:lpwstr>0</vt:lpwstr>
  </property>
</Properties>
</file>