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3388" w:rsidRDefault="00F53388" w:rsidP="00F53388">
      <w:pPr>
        <w:pStyle w:val="NoSpacing"/>
      </w:pPr>
    </w:p>
    <w:p w:rsidR="00F53388" w:rsidRDefault="00F53388" w:rsidP="00F53388">
      <w:pPr>
        <w:pStyle w:val="NoSpacing"/>
      </w:pPr>
    </w:p>
    <w:p w:rsidR="00F53388" w:rsidRPr="00F53388" w:rsidRDefault="00F53388" w:rsidP="00F53388">
      <w:pPr>
        <w:pStyle w:val="NoSpacing"/>
      </w:pPr>
      <w:r w:rsidRPr="00F53388">
        <w:t>Andreea Pislariu</w:t>
      </w:r>
    </w:p>
    <w:p w:rsidR="00F53388" w:rsidRPr="00F53388" w:rsidRDefault="00F53388" w:rsidP="00F53388">
      <w:pPr>
        <w:pStyle w:val="NoSpacing"/>
      </w:pPr>
    </w:p>
    <w:p w:rsidR="00F53388" w:rsidRPr="00F53388" w:rsidRDefault="00F53388" w:rsidP="00F53388">
      <w:pPr>
        <w:pStyle w:val="NoSpacing"/>
      </w:pPr>
      <w:r w:rsidRPr="00F53388">
        <w:t>Student ID:2215</w:t>
      </w:r>
      <w:r>
        <w:t>5</w:t>
      </w:r>
      <w:r w:rsidRPr="00F53388">
        <w:t>93</w:t>
      </w:r>
    </w:p>
    <w:p w:rsidR="00F53388" w:rsidRDefault="00F53388" w:rsidP="00F53388">
      <w:pPr>
        <w:pStyle w:val="NoSpacing"/>
      </w:pPr>
    </w:p>
    <w:p w:rsidR="00F53388" w:rsidRDefault="00F53388" w:rsidP="00F53388">
      <w:pPr>
        <w:pStyle w:val="NoSpacing"/>
      </w:pPr>
      <w:r>
        <w:t>BA Business Management</w:t>
      </w:r>
    </w:p>
    <w:p w:rsidR="00F53388" w:rsidRDefault="00F53388" w:rsidP="00F53388">
      <w:pPr>
        <w:pStyle w:val="NoSpacing"/>
      </w:pPr>
    </w:p>
    <w:p w:rsidR="00F53388" w:rsidRDefault="00F53388" w:rsidP="00F53388">
      <w:pPr>
        <w:pStyle w:val="NoSpacing"/>
      </w:pPr>
      <w:r>
        <w:t>Community Engagement</w:t>
      </w:r>
    </w:p>
    <w:p w:rsidR="00F53388" w:rsidRDefault="00F53388" w:rsidP="00F53388">
      <w:pPr>
        <w:pStyle w:val="NoSpacing"/>
      </w:pPr>
    </w:p>
    <w:p w:rsidR="00F53388" w:rsidRDefault="00F53388" w:rsidP="00F53388">
      <w:pPr>
        <w:pStyle w:val="NoSpacing"/>
      </w:pPr>
      <w:r>
        <w:t>Module LCBB4002</w:t>
      </w:r>
    </w:p>
    <w:p w:rsidR="00F53388" w:rsidRDefault="00F53388" w:rsidP="00F53388">
      <w:pPr>
        <w:pStyle w:val="NoSpacing"/>
      </w:pPr>
    </w:p>
    <w:p w:rsidR="00F53388" w:rsidRDefault="00F53388" w:rsidP="00F53388">
      <w:pPr>
        <w:pStyle w:val="NoSpacing"/>
      </w:pPr>
      <w:r>
        <w:t>Assigment 2</w:t>
      </w:r>
    </w:p>
    <w:p w:rsidR="00F53388" w:rsidRDefault="00F53388" w:rsidP="00F53388">
      <w:pPr>
        <w:pStyle w:val="NoSpacing"/>
      </w:pPr>
    </w:p>
    <w:p w:rsidR="00F53388" w:rsidRDefault="00F53388" w:rsidP="00F53388">
      <w:pPr>
        <w:pStyle w:val="NoSpacing"/>
      </w:pPr>
    </w:p>
    <w:p w:rsidR="00F53388" w:rsidRDefault="00F53388" w:rsidP="00F53388">
      <w:pPr>
        <w:pStyle w:val="NoSpacing"/>
      </w:pPr>
      <w:r>
        <w:t>Lecturer :Efua Adams</w:t>
      </w:r>
    </w:p>
    <w:p w:rsidR="009B6607" w:rsidRDefault="00283BC5" w:rsidP="00F53388">
      <w:pPr>
        <w:pStyle w:val="NoSpacing"/>
      </w:pPr>
      <w:r>
        <w:br w:type="page"/>
      </w:r>
    </w:p>
    <w:sdt>
      <w:sdtPr>
        <w:rPr>
          <w:rFonts w:ascii="Arial" w:eastAsiaTheme="minorHAnsi" w:hAnsi="Arial" w:cstheme="minorBidi"/>
          <w:b w:val="0"/>
          <w:color w:val="auto"/>
          <w:sz w:val="22"/>
          <w:szCs w:val="22"/>
          <w:lang w:val="en-GB"/>
        </w:rPr>
        <w:id w:val="-1833823604"/>
        <w:docPartObj>
          <w:docPartGallery w:val="Table of Contents"/>
          <w:docPartUnique/>
        </w:docPartObj>
      </w:sdtPr>
      <w:sdtEndPr>
        <w:rPr>
          <w:noProof/>
        </w:rPr>
      </w:sdtEndPr>
      <w:sdtContent>
        <w:p w:rsidR="007A3132" w:rsidRPr="00206E38" w:rsidRDefault="00283BC5" w:rsidP="007A3132">
          <w:pPr>
            <w:pStyle w:val="TOCHeading"/>
            <w:jc w:val="center"/>
            <w:rPr>
              <w:rFonts w:ascii="Arial" w:hAnsi="Arial" w:cs="Arial"/>
              <w:color w:val="auto"/>
            </w:rPr>
          </w:pPr>
          <w:r w:rsidRPr="00206E38">
            <w:rPr>
              <w:rFonts w:ascii="Arial" w:hAnsi="Arial" w:cs="Arial"/>
              <w:color w:val="auto"/>
            </w:rPr>
            <w:t>Table of Contents</w:t>
          </w:r>
        </w:p>
        <w:p w:rsidR="00E61F84" w:rsidRDefault="00283BC5">
          <w:pPr>
            <w:pStyle w:val="TOC1"/>
            <w:tabs>
              <w:tab w:val="right" w:leader="dot" w:pos="9350"/>
            </w:tabs>
            <w:rPr>
              <w:rFonts w:asciiTheme="minorHAnsi" w:eastAsiaTheme="minorEastAsia" w:hAnsiTheme="minorHAnsi"/>
              <w:noProof/>
              <w:lang w:val="en-US"/>
            </w:rPr>
          </w:pPr>
          <w:r>
            <w:fldChar w:fldCharType="begin"/>
          </w:r>
          <w:r>
            <w:instrText xml:space="preserve"> TOC \o "1-3" \h \z \u </w:instrText>
          </w:r>
          <w:r>
            <w:fldChar w:fldCharType="separate"/>
          </w:r>
          <w:hyperlink w:anchor="_Toc130431157" w:history="1">
            <w:r w:rsidR="00E61F84" w:rsidRPr="0084722F">
              <w:rPr>
                <w:rStyle w:val="Hyperlink"/>
                <w:noProof/>
              </w:rPr>
              <w:t>Introduction</w:t>
            </w:r>
            <w:r w:rsidR="00E61F84">
              <w:rPr>
                <w:noProof/>
                <w:webHidden/>
              </w:rPr>
              <w:tab/>
            </w:r>
            <w:r w:rsidR="00E61F84">
              <w:rPr>
                <w:noProof/>
                <w:webHidden/>
              </w:rPr>
              <w:fldChar w:fldCharType="begin"/>
            </w:r>
            <w:r w:rsidR="00E61F84">
              <w:rPr>
                <w:noProof/>
                <w:webHidden/>
              </w:rPr>
              <w:instrText xml:space="preserve"> PAGEREF _Toc130431157 \h </w:instrText>
            </w:r>
            <w:r w:rsidR="00E61F84">
              <w:rPr>
                <w:noProof/>
                <w:webHidden/>
              </w:rPr>
            </w:r>
            <w:r w:rsidR="00E61F84">
              <w:rPr>
                <w:noProof/>
                <w:webHidden/>
              </w:rPr>
              <w:fldChar w:fldCharType="separate"/>
            </w:r>
            <w:r w:rsidR="00E61F84">
              <w:rPr>
                <w:noProof/>
                <w:webHidden/>
              </w:rPr>
              <w:t>3</w:t>
            </w:r>
            <w:r w:rsidR="00E61F84">
              <w:rPr>
                <w:noProof/>
                <w:webHidden/>
              </w:rPr>
              <w:fldChar w:fldCharType="end"/>
            </w:r>
          </w:hyperlink>
        </w:p>
        <w:p w:rsidR="00E61F84" w:rsidRDefault="000E6150">
          <w:pPr>
            <w:pStyle w:val="TOC1"/>
            <w:tabs>
              <w:tab w:val="right" w:leader="dot" w:pos="9350"/>
            </w:tabs>
            <w:rPr>
              <w:rFonts w:asciiTheme="minorHAnsi" w:eastAsiaTheme="minorEastAsia" w:hAnsiTheme="minorHAnsi"/>
              <w:noProof/>
              <w:lang w:val="en-US"/>
            </w:rPr>
          </w:pPr>
          <w:hyperlink w:anchor="_Toc130431158" w:history="1">
            <w:r w:rsidR="00E61F84" w:rsidRPr="0084722F">
              <w:rPr>
                <w:rStyle w:val="Hyperlink"/>
                <w:noProof/>
              </w:rPr>
              <w:t>Main Body</w:t>
            </w:r>
            <w:r w:rsidR="00E61F84">
              <w:rPr>
                <w:noProof/>
                <w:webHidden/>
              </w:rPr>
              <w:tab/>
            </w:r>
            <w:r w:rsidR="00E61F84">
              <w:rPr>
                <w:noProof/>
                <w:webHidden/>
              </w:rPr>
              <w:fldChar w:fldCharType="begin"/>
            </w:r>
            <w:r w:rsidR="00E61F84">
              <w:rPr>
                <w:noProof/>
                <w:webHidden/>
              </w:rPr>
              <w:instrText xml:space="preserve"> PAGEREF _Toc130431158 \h </w:instrText>
            </w:r>
            <w:r w:rsidR="00E61F84">
              <w:rPr>
                <w:noProof/>
                <w:webHidden/>
              </w:rPr>
            </w:r>
            <w:r w:rsidR="00E61F84">
              <w:rPr>
                <w:noProof/>
                <w:webHidden/>
              </w:rPr>
              <w:fldChar w:fldCharType="separate"/>
            </w:r>
            <w:r w:rsidR="00E61F84">
              <w:rPr>
                <w:noProof/>
                <w:webHidden/>
              </w:rPr>
              <w:t>4</w:t>
            </w:r>
            <w:r w:rsidR="00E61F84">
              <w:rPr>
                <w:noProof/>
                <w:webHidden/>
              </w:rPr>
              <w:fldChar w:fldCharType="end"/>
            </w:r>
          </w:hyperlink>
        </w:p>
        <w:p w:rsidR="00E61F84" w:rsidRDefault="000E6150">
          <w:pPr>
            <w:pStyle w:val="TOC2"/>
            <w:tabs>
              <w:tab w:val="right" w:leader="dot" w:pos="9350"/>
            </w:tabs>
            <w:rPr>
              <w:rFonts w:asciiTheme="minorHAnsi" w:eastAsiaTheme="minorEastAsia" w:hAnsiTheme="minorHAnsi"/>
              <w:noProof/>
              <w:lang w:val="en-US"/>
            </w:rPr>
          </w:pPr>
          <w:hyperlink w:anchor="_Toc130431159" w:history="1">
            <w:r w:rsidR="00E61F84" w:rsidRPr="0084722F">
              <w:rPr>
                <w:rStyle w:val="Hyperlink"/>
                <w:noProof/>
              </w:rPr>
              <w:t>Description</w:t>
            </w:r>
            <w:r w:rsidR="00E61F84">
              <w:rPr>
                <w:noProof/>
                <w:webHidden/>
              </w:rPr>
              <w:tab/>
            </w:r>
            <w:r w:rsidR="00E61F84">
              <w:rPr>
                <w:noProof/>
                <w:webHidden/>
              </w:rPr>
              <w:fldChar w:fldCharType="begin"/>
            </w:r>
            <w:r w:rsidR="00E61F84">
              <w:rPr>
                <w:noProof/>
                <w:webHidden/>
              </w:rPr>
              <w:instrText xml:space="preserve"> PAGEREF _Toc130431159 \h </w:instrText>
            </w:r>
            <w:r w:rsidR="00E61F84">
              <w:rPr>
                <w:noProof/>
                <w:webHidden/>
              </w:rPr>
            </w:r>
            <w:r w:rsidR="00E61F84">
              <w:rPr>
                <w:noProof/>
                <w:webHidden/>
              </w:rPr>
              <w:fldChar w:fldCharType="separate"/>
            </w:r>
            <w:r w:rsidR="00E61F84">
              <w:rPr>
                <w:noProof/>
                <w:webHidden/>
              </w:rPr>
              <w:t>4</w:t>
            </w:r>
            <w:r w:rsidR="00E61F84">
              <w:rPr>
                <w:noProof/>
                <w:webHidden/>
              </w:rPr>
              <w:fldChar w:fldCharType="end"/>
            </w:r>
          </w:hyperlink>
        </w:p>
        <w:p w:rsidR="00E61F84" w:rsidRDefault="000E6150">
          <w:pPr>
            <w:pStyle w:val="TOC2"/>
            <w:tabs>
              <w:tab w:val="right" w:leader="dot" w:pos="9350"/>
            </w:tabs>
            <w:rPr>
              <w:rFonts w:asciiTheme="minorHAnsi" w:eastAsiaTheme="minorEastAsia" w:hAnsiTheme="minorHAnsi"/>
              <w:noProof/>
              <w:lang w:val="en-US"/>
            </w:rPr>
          </w:pPr>
          <w:hyperlink w:anchor="_Toc130431160" w:history="1">
            <w:r w:rsidR="00E61F84" w:rsidRPr="0084722F">
              <w:rPr>
                <w:rStyle w:val="Hyperlink"/>
                <w:noProof/>
              </w:rPr>
              <w:t>Feelings</w:t>
            </w:r>
            <w:r w:rsidR="00E61F84">
              <w:rPr>
                <w:noProof/>
                <w:webHidden/>
              </w:rPr>
              <w:tab/>
            </w:r>
            <w:r w:rsidR="00E61F84">
              <w:rPr>
                <w:noProof/>
                <w:webHidden/>
              </w:rPr>
              <w:fldChar w:fldCharType="begin"/>
            </w:r>
            <w:r w:rsidR="00E61F84">
              <w:rPr>
                <w:noProof/>
                <w:webHidden/>
              </w:rPr>
              <w:instrText xml:space="preserve"> PAGEREF _Toc130431160 \h </w:instrText>
            </w:r>
            <w:r w:rsidR="00E61F84">
              <w:rPr>
                <w:noProof/>
                <w:webHidden/>
              </w:rPr>
            </w:r>
            <w:r w:rsidR="00E61F84">
              <w:rPr>
                <w:noProof/>
                <w:webHidden/>
              </w:rPr>
              <w:fldChar w:fldCharType="separate"/>
            </w:r>
            <w:r w:rsidR="00E61F84">
              <w:rPr>
                <w:noProof/>
                <w:webHidden/>
              </w:rPr>
              <w:t>6</w:t>
            </w:r>
            <w:r w:rsidR="00E61F84">
              <w:rPr>
                <w:noProof/>
                <w:webHidden/>
              </w:rPr>
              <w:fldChar w:fldCharType="end"/>
            </w:r>
          </w:hyperlink>
        </w:p>
        <w:p w:rsidR="00E61F84" w:rsidRDefault="000E6150">
          <w:pPr>
            <w:pStyle w:val="TOC2"/>
            <w:tabs>
              <w:tab w:val="right" w:leader="dot" w:pos="9350"/>
            </w:tabs>
            <w:rPr>
              <w:rFonts w:asciiTheme="minorHAnsi" w:eastAsiaTheme="minorEastAsia" w:hAnsiTheme="minorHAnsi"/>
              <w:noProof/>
              <w:lang w:val="en-US"/>
            </w:rPr>
          </w:pPr>
          <w:hyperlink w:anchor="_Toc130431161" w:history="1">
            <w:r w:rsidR="00E61F84" w:rsidRPr="0084722F">
              <w:rPr>
                <w:rStyle w:val="Hyperlink"/>
                <w:noProof/>
              </w:rPr>
              <w:t>Evaluation</w:t>
            </w:r>
            <w:r w:rsidR="00E61F84">
              <w:rPr>
                <w:noProof/>
                <w:webHidden/>
              </w:rPr>
              <w:tab/>
            </w:r>
            <w:r w:rsidR="00E61F84">
              <w:rPr>
                <w:noProof/>
                <w:webHidden/>
              </w:rPr>
              <w:fldChar w:fldCharType="begin"/>
            </w:r>
            <w:r w:rsidR="00E61F84">
              <w:rPr>
                <w:noProof/>
                <w:webHidden/>
              </w:rPr>
              <w:instrText xml:space="preserve"> PAGEREF _Toc130431161 \h </w:instrText>
            </w:r>
            <w:r w:rsidR="00E61F84">
              <w:rPr>
                <w:noProof/>
                <w:webHidden/>
              </w:rPr>
            </w:r>
            <w:r w:rsidR="00E61F84">
              <w:rPr>
                <w:noProof/>
                <w:webHidden/>
              </w:rPr>
              <w:fldChar w:fldCharType="separate"/>
            </w:r>
            <w:r w:rsidR="00E61F84">
              <w:rPr>
                <w:noProof/>
                <w:webHidden/>
              </w:rPr>
              <w:t>6</w:t>
            </w:r>
            <w:r w:rsidR="00E61F84">
              <w:rPr>
                <w:noProof/>
                <w:webHidden/>
              </w:rPr>
              <w:fldChar w:fldCharType="end"/>
            </w:r>
          </w:hyperlink>
        </w:p>
        <w:p w:rsidR="00E61F84" w:rsidRDefault="000E6150">
          <w:pPr>
            <w:pStyle w:val="TOC2"/>
            <w:tabs>
              <w:tab w:val="right" w:leader="dot" w:pos="9350"/>
            </w:tabs>
            <w:rPr>
              <w:rFonts w:asciiTheme="minorHAnsi" w:eastAsiaTheme="minorEastAsia" w:hAnsiTheme="minorHAnsi"/>
              <w:noProof/>
              <w:lang w:val="en-US"/>
            </w:rPr>
          </w:pPr>
          <w:hyperlink w:anchor="_Toc130431162" w:history="1">
            <w:r w:rsidR="00E61F84" w:rsidRPr="0084722F">
              <w:rPr>
                <w:rStyle w:val="Hyperlink"/>
                <w:noProof/>
              </w:rPr>
              <w:t>Analysis</w:t>
            </w:r>
            <w:r w:rsidR="00E61F84">
              <w:rPr>
                <w:noProof/>
                <w:webHidden/>
              </w:rPr>
              <w:tab/>
            </w:r>
            <w:r w:rsidR="00E61F84">
              <w:rPr>
                <w:noProof/>
                <w:webHidden/>
              </w:rPr>
              <w:fldChar w:fldCharType="begin"/>
            </w:r>
            <w:r w:rsidR="00E61F84">
              <w:rPr>
                <w:noProof/>
                <w:webHidden/>
              </w:rPr>
              <w:instrText xml:space="preserve"> PAGEREF _Toc130431162 \h </w:instrText>
            </w:r>
            <w:r w:rsidR="00E61F84">
              <w:rPr>
                <w:noProof/>
                <w:webHidden/>
              </w:rPr>
            </w:r>
            <w:r w:rsidR="00E61F84">
              <w:rPr>
                <w:noProof/>
                <w:webHidden/>
              </w:rPr>
              <w:fldChar w:fldCharType="separate"/>
            </w:r>
            <w:r w:rsidR="00E61F84">
              <w:rPr>
                <w:noProof/>
                <w:webHidden/>
              </w:rPr>
              <w:t>7</w:t>
            </w:r>
            <w:r w:rsidR="00E61F84">
              <w:rPr>
                <w:noProof/>
                <w:webHidden/>
              </w:rPr>
              <w:fldChar w:fldCharType="end"/>
            </w:r>
          </w:hyperlink>
        </w:p>
        <w:p w:rsidR="00E61F84" w:rsidRDefault="000E6150">
          <w:pPr>
            <w:pStyle w:val="TOC1"/>
            <w:tabs>
              <w:tab w:val="right" w:leader="dot" w:pos="9350"/>
            </w:tabs>
            <w:rPr>
              <w:rFonts w:asciiTheme="minorHAnsi" w:eastAsiaTheme="minorEastAsia" w:hAnsiTheme="minorHAnsi"/>
              <w:noProof/>
              <w:lang w:val="en-US"/>
            </w:rPr>
          </w:pPr>
          <w:hyperlink w:anchor="_Toc130431163" w:history="1">
            <w:r w:rsidR="00E61F84" w:rsidRPr="0084722F">
              <w:rPr>
                <w:rStyle w:val="Hyperlink"/>
                <w:noProof/>
              </w:rPr>
              <w:t>Conclusion</w:t>
            </w:r>
            <w:r w:rsidR="00E61F84">
              <w:rPr>
                <w:noProof/>
                <w:webHidden/>
              </w:rPr>
              <w:tab/>
            </w:r>
            <w:r w:rsidR="00E61F84">
              <w:rPr>
                <w:noProof/>
                <w:webHidden/>
              </w:rPr>
              <w:fldChar w:fldCharType="begin"/>
            </w:r>
            <w:r w:rsidR="00E61F84">
              <w:rPr>
                <w:noProof/>
                <w:webHidden/>
              </w:rPr>
              <w:instrText xml:space="preserve"> PAGEREF _Toc130431163 \h </w:instrText>
            </w:r>
            <w:r w:rsidR="00E61F84">
              <w:rPr>
                <w:noProof/>
                <w:webHidden/>
              </w:rPr>
            </w:r>
            <w:r w:rsidR="00E61F84">
              <w:rPr>
                <w:noProof/>
                <w:webHidden/>
              </w:rPr>
              <w:fldChar w:fldCharType="separate"/>
            </w:r>
            <w:r w:rsidR="00E61F84">
              <w:rPr>
                <w:noProof/>
                <w:webHidden/>
              </w:rPr>
              <w:t>9</w:t>
            </w:r>
            <w:r w:rsidR="00E61F84">
              <w:rPr>
                <w:noProof/>
                <w:webHidden/>
              </w:rPr>
              <w:fldChar w:fldCharType="end"/>
            </w:r>
          </w:hyperlink>
        </w:p>
        <w:p w:rsidR="00E61F84" w:rsidRDefault="000E6150">
          <w:pPr>
            <w:pStyle w:val="TOC1"/>
            <w:tabs>
              <w:tab w:val="right" w:leader="dot" w:pos="9350"/>
            </w:tabs>
            <w:rPr>
              <w:rFonts w:asciiTheme="minorHAnsi" w:eastAsiaTheme="minorEastAsia" w:hAnsiTheme="minorHAnsi"/>
              <w:noProof/>
              <w:lang w:val="en-US"/>
            </w:rPr>
          </w:pPr>
          <w:hyperlink w:anchor="_Toc130431164" w:history="1">
            <w:r w:rsidR="00E61F84" w:rsidRPr="0084722F">
              <w:rPr>
                <w:rStyle w:val="Hyperlink"/>
                <w:noProof/>
              </w:rPr>
              <w:t>Reference list</w:t>
            </w:r>
            <w:r w:rsidR="00E61F84">
              <w:rPr>
                <w:noProof/>
                <w:webHidden/>
              </w:rPr>
              <w:tab/>
            </w:r>
            <w:r w:rsidR="00E61F84">
              <w:rPr>
                <w:noProof/>
                <w:webHidden/>
              </w:rPr>
              <w:fldChar w:fldCharType="begin"/>
            </w:r>
            <w:r w:rsidR="00E61F84">
              <w:rPr>
                <w:noProof/>
                <w:webHidden/>
              </w:rPr>
              <w:instrText xml:space="preserve"> PAGEREF _Toc130431164 \h </w:instrText>
            </w:r>
            <w:r w:rsidR="00E61F84">
              <w:rPr>
                <w:noProof/>
                <w:webHidden/>
              </w:rPr>
            </w:r>
            <w:r w:rsidR="00E61F84">
              <w:rPr>
                <w:noProof/>
                <w:webHidden/>
              </w:rPr>
              <w:fldChar w:fldCharType="separate"/>
            </w:r>
            <w:r w:rsidR="00E61F84">
              <w:rPr>
                <w:noProof/>
                <w:webHidden/>
              </w:rPr>
              <w:t>10</w:t>
            </w:r>
            <w:r w:rsidR="00E61F84">
              <w:rPr>
                <w:noProof/>
                <w:webHidden/>
              </w:rPr>
              <w:fldChar w:fldCharType="end"/>
            </w:r>
          </w:hyperlink>
        </w:p>
        <w:p w:rsidR="007A3132" w:rsidRDefault="00283BC5" w:rsidP="00F53388">
          <w:pPr>
            <w:pStyle w:val="NoSpacing"/>
          </w:pPr>
          <w:r>
            <w:rPr>
              <w:noProof/>
            </w:rPr>
            <w:fldChar w:fldCharType="end"/>
          </w:r>
          <w:r w:rsidR="00F53388">
            <w:rPr>
              <w:noProof/>
            </w:rPr>
            <w:t>Appendix…………………………………………………………………………………………………11</w:t>
          </w:r>
        </w:p>
      </w:sdtContent>
    </w:sdt>
    <w:p w:rsidR="00856EC6" w:rsidRDefault="00856EC6" w:rsidP="007F3572"/>
    <w:p w:rsidR="00856EC6" w:rsidRDefault="00856EC6" w:rsidP="007F3572"/>
    <w:p w:rsidR="007A3132" w:rsidRDefault="00283BC5">
      <w:pPr>
        <w:spacing w:line="276" w:lineRule="auto"/>
        <w:jc w:val="left"/>
      </w:pPr>
      <w:r>
        <w:br w:type="page"/>
      </w:r>
    </w:p>
    <w:p w:rsidR="007A3132" w:rsidRDefault="00283BC5" w:rsidP="007A3132">
      <w:pPr>
        <w:pStyle w:val="Heading1"/>
      </w:pPr>
      <w:bookmarkStart w:id="0" w:name="_Toc130431157"/>
      <w:r>
        <w:lastRenderedPageBreak/>
        <w:t>Introduction</w:t>
      </w:r>
      <w:bookmarkEnd w:id="0"/>
    </w:p>
    <w:p w:rsidR="0032668B" w:rsidRDefault="00283BC5" w:rsidP="0032668B">
      <w:r>
        <w:t>I learned a lot from the</w:t>
      </w:r>
      <w:r w:rsidR="00E61F84">
        <w:t xml:space="preserve"> Community E</w:t>
      </w:r>
      <w:r>
        <w:t xml:space="preserve">ngagement module, which has given me the information and abilities I need to interact successfully with a variety of communities. This </w:t>
      </w:r>
      <w:r w:rsidR="00A33B75">
        <w:t>module</w:t>
      </w:r>
      <w:r>
        <w:t xml:space="preserve"> has taught me the value of forging close ties with local communities, paying attention to their wants and needs, and including them in decision-making.</w:t>
      </w:r>
    </w:p>
    <w:p w:rsidR="0032668B" w:rsidRDefault="00283BC5" w:rsidP="0032668B">
      <w:r>
        <w:t>The Union Station Restoration Project is the endeavour I've selected to consider. With the help of this initiative, the Union Station</w:t>
      </w:r>
      <w:r w:rsidR="00E61F84">
        <w:t xml:space="preserve"> neighbourhood will be revitalis</w:t>
      </w:r>
      <w:r>
        <w:t>ed and become a more desirable travel destination for both locals and tourists. The need to upgrade the neighbourhood's amenities and infrastructure to accommodate the community's expanding needs gave rise to the concept for this project. My enthusiasm for urban planning and community development led me to choose this project. I hope that through working on this project, I can help build a community that is inclusive and sustainable for everyone. It is clear by comparing this project to the last live project, the Elephant and Castle Project that both projects seek to rejuvenate a neighbourhood and improve the general well-being of the community.</w:t>
      </w:r>
    </w:p>
    <w:p w:rsidR="0008364F" w:rsidRDefault="00283BC5" w:rsidP="0032668B">
      <w:r>
        <w:t xml:space="preserve">The Elephant and Castle Project was a council-based initiative to enhance the area's housing, transportation, and infrastructure. Unfortunately, the community involvement tactics used in the prior project had shortcomings that led to some residents feeling ignored and underrepresented during the decision-making process. I want to use fresh, cutting-edge approaches in the Union Station Regeneration Project to guarantee that everyone in the neighbourhood may participate in the project's planning and development. To do this, it is necessary to use a variety of communication channels, including surveys, social media, and online forums. To make sure that the project meets the requirements of everyone in the community, including those with disabilities or from different backgrounds, I also intend to implement the inclusion standard. </w:t>
      </w:r>
      <w:r>
        <w:br w:type="page"/>
      </w:r>
    </w:p>
    <w:p w:rsidR="0008364F" w:rsidRDefault="00283BC5" w:rsidP="0008364F">
      <w:pPr>
        <w:pStyle w:val="Heading1"/>
      </w:pPr>
      <w:bookmarkStart w:id="1" w:name="_Toc130431158"/>
      <w:r>
        <w:lastRenderedPageBreak/>
        <w:t>Main Body</w:t>
      </w:r>
      <w:bookmarkEnd w:id="1"/>
    </w:p>
    <w:p w:rsidR="0008364F" w:rsidRDefault="00283BC5" w:rsidP="0008364F">
      <w:pPr>
        <w:pStyle w:val="Heading2"/>
      </w:pPr>
      <w:bookmarkStart w:id="2" w:name="_Toc130431159"/>
      <w:r>
        <w:t>Description</w:t>
      </w:r>
      <w:bookmarkEnd w:id="2"/>
    </w:p>
    <w:p w:rsidR="0008364F" w:rsidRDefault="00283BC5" w:rsidP="0008364F">
      <w:r w:rsidRPr="0008364F">
        <w:t>The Union Station Regeneration Project aims to revitali</w:t>
      </w:r>
      <w:r w:rsidR="00E61F84">
        <w:t>s</w:t>
      </w:r>
      <w:r w:rsidRPr="0008364F">
        <w:t>e and rebuild the historic Union Station in the centre of downtown into a thriving and dynamic hub for transpo</w:t>
      </w:r>
      <w:r>
        <w:t>rtation, business, and culture.</w:t>
      </w:r>
      <w:r w:rsidRPr="0008364F">
        <w:t xml:space="preserve"> To collaborate and develop a clear vision for the station's future, the initiative seeks to bring together a variety of stakeholders, including governmental organi</w:t>
      </w:r>
      <w:r w:rsidR="00E61F84">
        <w:t>s</w:t>
      </w:r>
      <w:r w:rsidRPr="0008364F">
        <w:t>ations, investors from the corporate sector, and community organi</w:t>
      </w:r>
      <w:r w:rsidR="00E61F84">
        <w:t>s</w:t>
      </w:r>
      <w:r w:rsidRPr="0008364F">
        <w:t>ations. The project will comprise substantial infrastructure updates, facility upgrades, and the construction of new areas for community activities, entertainment, and shopping</w:t>
      </w:r>
      <w:r w:rsidR="00E61F84">
        <w:t xml:space="preserve"> </w:t>
      </w:r>
      <w:r w:rsidR="00E61F84" w:rsidRPr="00E61F84">
        <w:t>(Kim, 2019)</w:t>
      </w:r>
      <w:r w:rsidRPr="0008364F">
        <w:t>. The ultimate aim is to transform Union Station into a destination that draws tourists, promotes economic development, and bolsters the social fabric of the nearby districts.</w:t>
      </w:r>
    </w:p>
    <w:p w:rsidR="0008364F" w:rsidRDefault="00283BC5" w:rsidP="0008364F">
      <w:r>
        <w:t xml:space="preserve">The principles of the project are the following: </w:t>
      </w:r>
    </w:p>
    <w:p w:rsidR="0008364F" w:rsidRDefault="00283BC5" w:rsidP="003F40F2">
      <w:pPr>
        <w:pStyle w:val="ListParagraph"/>
        <w:numPr>
          <w:ilvl w:val="0"/>
          <w:numId w:val="1"/>
        </w:numPr>
      </w:pPr>
      <w:r w:rsidRPr="003F40F2">
        <w:rPr>
          <w:b/>
        </w:rPr>
        <w:t>Sustainability:</w:t>
      </w:r>
      <w:r>
        <w:t xml:space="preserve"> To secure the long-term viability of the revitali</w:t>
      </w:r>
      <w:r w:rsidR="00E61F84">
        <w:t>s</w:t>
      </w:r>
      <w:r>
        <w:t>ed Union Station, the project will give priority to sustainable processes and materials.</w:t>
      </w:r>
    </w:p>
    <w:p w:rsidR="0008364F" w:rsidRDefault="00283BC5" w:rsidP="003F40F2">
      <w:pPr>
        <w:pStyle w:val="ListParagraph"/>
        <w:numPr>
          <w:ilvl w:val="0"/>
          <w:numId w:val="1"/>
        </w:numPr>
      </w:pPr>
      <w:r w:rsidRPr="003F40F2">
        <w:rPr>
          <w:b/>
        </w:rPr>
        <w:t>Accessibility:</w:t>
      </w:r>
      <w:r>
        <w:t xml:space="preserve"> The redeveloped Union Station will be made accessible so that everyone, including those with impairments, may utili</w:t>
      </w:r>
      <w:r w:rsidR="00E61F84">
        <w:t>s</w:t>
      </w:r>
      <w:r>
        <w:t>e and enjoy the area.</w:t>
      </w:r>
    </w:p>
    <w:p w:rsidR="0008364F" w:rsidRDefault="00283BC5" w:rsidP="00E61F84">
      <w:pPr>
        <w:pStyle w:val="ListParagraph"/>
        <w:numPr>
          <w:ilvl w:val="0"/>
          <w:numId w:val="1"/>
        </w:numPr>
      </w:pPr>
      <w:r w:rsidRPr="003F40F2">
        <w:rPr>
          <w:b/>
        </w:rPr>
        <w:t>Collaboration:</w:t>
      </w:r>
      <w:r>
        <w:t xml:space="preserve"> To make sure that the requirements and preferences of all parties are taken into account, the project will involve engagement with important stakeholders, including the neighbourhood community, the municipal administration, and transit groups</w:t>
      </w:r>
      <w:r w:rsidR="00E61F84">
        <w:t xml:space="preserve"> </w:t>
      </w:r>
      <w:r w:rsidR="00E61F84" w:rsidRPr="00E61F84">
        <w:t>(Littlefield, 2019)</w:t>
      </w:r>
      <w:r>
        <w:t>.</w:t>
      </w:r>
    </w:p>
    <w:p w:rsidR="0008364F" w:rsidRDefault="00283BC5" w:rsidP="003F40F2">
      <w:pPr>
        <w:pStyle w:val="ListParagraph"/>
        <w:numPr>
          <w:ilvl w:val="0"/>
          <w:numId w:val="1"/>
        </w:numPr>
      </w:pPr>
      <w:r w:rsidRPr="003F40F2">
        <w:rPr>
          <w:b/>
        </w:rPr>
        <w:t>Preservation of the past:</w:t>
      </w:r>
      <w:r>
        <w:t xml:space="preserve"> The project will work to update and improve Union Station while preserving and highlighting the building's historical value for future usage.</w:t>
      </w:r>
    </w:p>
    <w:p w:rsidR="003F40F2" w:rsidRDefault="00283BC5" w:rsidP="003F40F2">
      <w:pPr>
        <w:pStyle w:val="ListParagraph"/>
        <w:numPr>
          <w:ilvl w:val="0"/>
          <w:numId w:val="1"/>
        </w:numPr>
      </w:pPr>
      <w:r w:rsidRPr="003F40F2">
        <w:rPr>
          <w:b/>
        </w:rPr>
        <w:t>Innovation:</w:t>
      </w:r>
      <w:r>
        <w:t xml:space="preserve"> </w:t>
      </w:r>
      <w:r w:rsidR="0008364F">
        <w:t>Innovative design and technological features will be used in the renovated Union Station to make it a cutting-edge transportation hub for the city.</w:t>
      </w:r>
    </w:p>
    <w:p w:rsidR="003F40F2" w:rsidRDefault="00283BC5" w:rsidP="003F40F2">
      <w:r>
        <w:t xml:space="preserve">The legitimacy of the report is the following: </w:t>
      </w:r>
    </w:p>
    <w:p w:rsidR="003F40F2" w:rsidRDefault="00283BC5" w:rsidP="003F40F2">
      <w:pPr>
        <w:pStyle w:val="ListParagraph"/>
        <w:numPr>
          <w:ilvl w:val="0"/>
          <w:numId w:val="2"/>
        </w:numPr>
      </w:pPr>
      <w:r>
        <w:t>The project will follow all local, state, and federal rules and laws that apply to it.</w:t>
      </w:r>
    </w:p>
    <w:p w:rsidR="003F40F2" w:rsidRDefault="00283BC5" w:rsidP="003F40F2">
      <w:pPr>
        <w:pStyle w:val="ListParagraph"/>
        <w:numPr>
          <w:ilvl w:val="0"/>
          <w:numId w:val="2"/>
        </w:numPr>
      </w:pPr>
      <w:r>
        <w:t>The project will abide by moral standards such as respect for participant autonomy, informed consent, and confidentiality.</w:t>
      </w:r>
    </w:p>
    <w:p w:rsidR="003F40F2" w:rsidRDefault="00283BC5" w:rsidP="003F40F2">
      <w:pPr>
        <w:pStyle w:val="ListParagraph"/>
        <w:numPr>
          <w:ilvl w:val="0"/>
          <w:numId w:val="2"/>
        </w:numPr>
      </w:pPr>
      <w:r>
        <w:t>All participants in the project will be made aware of their rights, including the ability to leave the project at any time.</w:t>
      </w:r>
    </w:p>
    <w:p w:rsidR="003F40F2" w:rsidRDefault="00283BC5" w:rsidP="003F40F2">
      <w:pPr>
        <w:pStyle w:val="ListParagraph"/>
        <w:numPr>
          <w:ilvl w:val="0"/>
          <w:numId w:val="2"/>
        </w:numPr>
      </w:pPr>
      <w:r>
        <w:lastRenderedPageBreak/>
        <w:t>All activities, including financial transactions, will be accurately and thoroughly documented in the project's records, which will be available for audit as needed.</w:t>
      </w:r>
    </w:p>
    <w:p w:rsidR="003F40F2" w:rsidRDefault="00283BC5" w:rsidP="003F40F2">
      <w:pPr>
        <w:pStyle w:val="ListParagraph"/>
        <w:numPr>
          <w:ilvl w:val="0"/>
          <w:numId w:val="2"/>
        </w:numPr>
      </w:pPr>
      <w:r>
        <w:t>To defend against any potential risks or liabilities, the project will have the necessary insurance coverage.</w:t>
      </w:r>
    </w:p>
    <w:p w:rsidR="003F40F2" w:rsidRDefault="00283BC5" w:rsidP="003F40F2">
      <w:pPr>
        <w:pStyle w:val="ListParagraph"/>
        <w:numPr>
          <w:ilvl w:val="0"/>
          <w:numId w:val="2"/>
        </w:numPr>
      </w:pPr>
      <w:r>
        <w:t>To keep all stakeholders updated on project status, deadlines, and any unforeseen problems, a clear communication plan will be established.</w:t>
      </w:r>
    </w:p>
    <w:p w:rsidR="00382FE3" w:rsidRDefault="00283BC5" w:rsidP="003F40F2">
      <w:r>
        <w:t xml:space="preserve">The PESTLE analysis of the project is the following: </w:t>
      </w:r>
    </w:p>
    <w:p w:rsidR="00382FE3" w:rsidRDefault="00283BC5" w:rsidP="00382FE3">
      <w:r w:rsidRPr="00382FE3">
        <w:rPr>
          <w:b/>
        </w:rPr>
        <w:t>Political:</w:t>
      </w:r>
      <w:r>
        <w:t xml:space="preserve"> The funding and approval of the project could be impacted by changes in governmental policies and laws relating to urban development and transportation</w:t>
      </w:r>
      <w:r w:rsidR="00E61F84">
        <w:t xml:space="preserve"> </w:t>
      </w:r>
      <w:r w:rsidR="00E61F84" w:rsidRPr="00E61F84">
        <w:t>(Kingma, 2019)</w:t>
      </w:r>
      <w:r>
        <w:t>. The project's timeframe may be affected and there may be delays as a result of the region's political stability.</w:t>
      </w:r>
    </w:p>
    <w:p w:rsidR="00382FE3" w:rsidRDefault="00283BC5" w:rsidP="00382FE3">
      <w:r w:rsidRPr="00382FE3">
        <w:rPr>
          <w:b/>
        </w:rPr>
        <w:t>Economic:</w:t>
      </w:r>
      <w:r>
        <w:t xml:space="preserve"> Economic recessions could have an impact on the project's finance sources and its capacity to draw investors. The viability of the project could be affected by changes in the real estate market.</w:t>
      </w:r>
    </w:p>
    <w:p w:rsidR="00382FE3" w:rsidRDefault="00283BC5" w:rsidP="00382FE3">
      <w:r w:rsidRPr="00382FE3">
        <w:rPr>
          <w:b/>
        </w:rPr>
        <w:t>Social:</w:t>
      </w:r>
      <w:r>
        <w:t xml:space="preserve"> The project might have a big influence on the neighbourhood, and there might be worries about gentrification, moving inhabitants, and social injustices Also, the project may lead to the creation of new jobs and promote economic expansion</w:t>
      </w:r>
      <w:r w:rsidR="00E61F84">
        <w:t xml:space="preserve"> </w:t>
      </w:r>
      <w:r w:rsidR="00E61F84" w:rsidRPr="00E61F84">
        <w:t>(Lloyd</w:t>
      </w:r>
      <w:r w:rsidR="00E61F84">
        <w:t xml:space="preserve"> et al.</w:t>
      </w:r>
      <w:r w:rsidR="00E61F84" w:rsidRPr="00E61F84">
        <w:t>, 2016)</w:t>
      </w:r>
      <w:r>
        <w:t>.</w:t>
      </w:r>
    </w:p>
    <w:p w:rsidR="00382FE3" w:rsidRDefault="00283BC5" w:rsidP="00382FE3">
      <w:r w:rsidRPr="00382FE3">
        <w:rPr>
          <w:b/>
        </w:rPr>
        <w:t>Technological:</w:t>
      </w:r>
      <w:r>
        <w:t xml:space="preserve"> New technologies and environmentally beneficial approaches, like smart transportation systems, renewable energy sources, and eco-friendly materials, could be incorporated into the project</w:t>
      </w:r>
      <w:r w:rsidR="00E61F84">
        <w:t xml:space="preserve"> </w:t>
      </w:r>
      <w:r w:rsidR="00E61F84" w:rsidRPr="00E61F84">
        <w:t>(Bourke et al., 2022)</w:t>
      </w:r>
      <w:r>
        <w:t>. The use of new technology could also provide maintenance, financial, and skill-related difficulties.</w:t>
      </w:r>
    </w:p>
    <w:p w:rsidR="00382FE3" w:rsidRDefault="00283BC5" w:rsidP="00382FE3">
      <w:r w:rsidRPr="00382FE3">
        <w:rPr>
          <w:b/>
        </w:rPr>
        <w:t>Legal:</w:t>
      </w:r>
      <w:r>
        <w:t xml:space="preserve"> Local zoning, construction, and environmental impact laws and regulations must be complied with for the project. Property ownership, eminent domain, and public-private partnerships could all be subject to legal issues.</w:t>
      </w:r>
    </w:p>
    <w:p w:rsidR="00382FE3" w:rsidRDefault="00283BC5" w:rsidP="00382FE3">
      <w:r w:rsidRPr="00382FE3">
        <w:rPr>
          <w:b/>
        </w:rPr>
        <w:t>Environmental:</w:t>
      </w:r>
      <w:r>
        <w:t xml:space="preserve"> Environmental effects from the project, including carbon emissions, waste production, and ecological disruption, may be severe</w:t>
      </w:r>
      <w:r w:rsidR="00E61F84">
        <w:t xml:space="preserve"> </w:t>
      </w:r>
      <w:r w:rsidR="00E61F84" w:rsidRPr="00E61F84">
        <w:t>(Rumley, 2020)</w:t>
      </w:r>
      <w:r>
        <w:t xml:space="preserve">. Also, the project might use eco-friendly design strategies to lessen the region's carbon imprint. </w:t>
      </w:r>
    </w:p>
    <w:p w:rsidR="000E0F79" w:rsidRDefault="00283BC5" w:rsidP="00382FE3">
      <w:r w:rsidRPr="00382FE3">
        <w:t>The nature of the "Union Station Regeneration Project" is to revitali</w:t>
      </w:r>
      <w:r w:rsidR="00E61F84">
        <w:t>s</w:t>
      </w:r>
      <w:r w:rsidRPr="00382FE3">
        <w:t xml:space="preserve">e and regenerate the historic Union Station, a transportation hub located in the heart of the city. The project's objectives are to bring the station back to its former elegance, protect its historical and cultural significance, and provide a cutting-edge, useful transit hub that satisfies the demands of the neighbourhood and </w:t>
      </w:r>
      <w:r w:rsidRPr="00382FE3">
        <w:lastRenderedPageBreak/>
        <w:t>tourists. A variety of tasks will be included in the project, such as architectural restoration, facility refurbishment, the creation of new amenities, and the integration of sustainable and ecologically friendly elements. Collaboration with numerous parties, including the neighbourhood, governmental organi</w:t>
      </w:r>
      <w:r w:rsidR="00E61F84">
        <w:t>s</w:t>
      </w:r>
      <w:r w:rsidRPr="00382FE3">
        <w:t>ations, transportation providers, and business associates, will be necessary for the project</w:t>
      </w:r>
      <w:r w:rsidR="00E61F84">
        <w:t xml:space="preserve"> </w:t>
      </w:r>
      <w:r w:rsidR="00E61F84" w:rsidRPr="00E61F84">
        <w:t>(Perkins, 2019)</w:t>
      </w:r>
      <w:r w:rsidRPr="00382FE3">
        <w:t xml:space="preserve">. </w:t>
      </w:r>
    </w:p>
    <w:p w:rsidR="00856EC6" w:rsidRDefault="00283BC5" w:rsidP="000E0F79">
      <w:pPr>
        <w:pStyle w:val="Heading2"/>
      </w:pPr>
      <w:bookmarkStart w:id="3" w:name="_Toc130431160"/>
      <w:r>
        <w:t>Feelings</w:t>
      </w:r>
      <w:bookmarkEnd w:id="3"/>
    </w:p>
    <w:p w:rsidR="000E0F79" w:rsidRDefault="00283BC5" w:rsidP="000E0F79">
      <w:r>
        <w:t>When I first became aware of the problems with neglect and deterioration surrounding Union Station, I experienced a sense of disappointment and annoyance. But, I sensed a developing feeling of resolve and hope as I started to study and create the Union Station Restoration Project. I felt a variety of emotions as the project was being planned and carried out. The size of the project made me feel uneasy and overwhelmed at times, but I also experienced delight and pride as I saw the neighbourhood join together and take charge of the regeneration process. I was driven to make sure that the project had both social and environmental benefits since I am passionate about the welfare of both people and the environment. It was crucial to me that we not only upgraded Union Station's physical infrastructure but also helped the neighbourhood's economy remain stable and expand</w:t>
      </w:r>
      <w:r w:rsidR="00E61F84">
        <w:t xml:space="preserve"> </w:t>
      </w:r>
      <w:r w:rsidR="00E61F84" w:rsidRPr="00E61F84">
        <w:t>(Burrage, 2019)</w:t>
      </w:r>
      <w:r>
        <w:t>. Throughout the process, there were difficulties, including at times a lack of financial backing and community involvement. I stayed dedicated to the project nevertheless, and I was appreciative of the help we did get from those who agreed with our vision for a revitali</w:t>
      </w:r>
      <w:r w:rsidR="00E61F84">
        <w:t>s</w:t>
      </w:r>
      <w:r>
        <w:t>ed and flourishing Union Station. I have been struck by the significance of community support and participation throughout this initiative. While some people have expressed concern about the initiative, the immense support we have gotten from many community members has encouraged me. I do not doubt that this project is truly a team effort, and I appreciate all of the contributions made by those who made it a success. The Union Station Restoration Project has, in the end, been an incredibly satisfying and emotional experience for me. Although there have been difficulties along the way, I am happy with what we have accomplished and am optimistic about the possibility of future positive development.</w:t>
      </w:r>
    </w:p>
    <w:p w:rsidR="000E0F79" w:rsidRDefault="00283BC5" w:rsidP="000E0F79">
      <w:pPr>
        <w:pStyle w:val="Heading2"/>
      </w:pPr>
      <w:bookmarkStart w:id="4" w:name="_Toc130431161"/>
      <w:r>
        <w:t>Evaluation</w:t>
      </w:r>
      <w:bookmarkEnd w:id="4"/>
    </w:p>
    <w:p w:rsidR="00A25F46" w:rsidRDefault="00283BC5" w:rsidP="00A25F46">
      <w:r w:rsidRPr="00A25F46">
        <w:rPr>
          <w:b/>
        </w:rPr>
        <w:t>Purpose:</w:t>
      </w:r>
      <w:r>
        <w:t xml:space="preserve"> In both initiatives, the goal was to revitali</w:t>
      </w:r>
      <w:r w:rsidR="00E61F84">
        <w:t>s</w:t>
      </w:r>
      <w:r>
        <w:t>e a particular region and enhance the quality of life for the neighbourhood. However, the Union Station Regeneration Project has a broader focus on social, economic, and environmental benefits, whereas the Elephant and Castle Project primarily concentrated on physical rehabilitation</w:t>
      </w:r>
      <w:r w:rsidR="00E61F84">
        <w:t xml:space="preserve"> </w:t>
      </w:r>
      <w:r w:rsidR="00E61F84" w:rsidRPr="00E61F84">
        <w:t>(Carter, 2017)</w:t>
      </w:r>
      <w:r>
        <w:t>.</w:t>
      </w:r>
    </w:p>
    <w:p w:rsidR="00A25F46" w:rsidRDefault="00283BC5" w:rsidP="00A25F46">
      <w:r w:rsidRPr="00A25F46">
        <w:rPr>
          <w:b/>
        </w:rPr>
        <w:lastRenderedPageBreak/>
        <w:t>Context, Stakeholders, and Participation:</w:t>
      </w:r>
      <w:r>
        <w:t xml:space="preserve"> Stakeholders were identified and involved in both initiatives at various stages. The Union Station Regeneration Project, on the other hand, places a more deliberate emphasis on including different stakeholders and making sure that their perspectives are heard. For instance, while the Elephant and Castle initiative focused mostly on local business owners and real estate developers, the project actively attempts to engage marginali</w:t>
      </w:r>
      <w:r w:rsidR="00E61F84">
        <w:t>s</w:t>
      </w:r>
      <w:r>
        <w:t>ed and underrepresented groups</w:t>
      </w:r>
      <w:r w:rsidR="00E61F84">
        <w:t xml:space="preserve"> </w:t>
      </w:r>
      <w:r w:rsidR="00E61F84" w:rsidRPr="00E61F84">
        <w:t>(Hickey</w:t>
      </w:r>
      <w:r w:rsidR="00E61F84">
        <w:t xml:space="preserve"> et al.</w:t>
      </w:r>
      <w:r w:rsidR="00E61F84" w:rsidRPr="00E61F84">
        <w:t>, 2015)</w:t>
      </w:r>
      <w:r>
        <w:t>.</w:t>
      </w:r>
    </w:p>
    <w:p w:rsidR="000E0F79" w:rsidRDefault="00283BC5" w:rsidP="00A25F46">
      <w:r w:rsidRPr="00A25F46">
        <w:rPr>
          <w:b/>
        </w:rPr>
        <w:t>Consequences:</w:t>
      </w:r>
      <w:r>
        <w:t xml:space="preserve"> The Elephant and Castle project received criticism for failing to consider the needs and opinions of locals, despite some progress in terms of physical reconstruction. The Union Station Regeneration Project, on the other hand, strives to put community involvement first and guarantee that the initiative benefits the community in all respects</w:t>
      </w:r>
      <w:r w:rsidR="00E61F84">
        <w:t xml:space="preserve"> </w:t>
      </w:r>
      <w:r w:rsidR="00E61F84" w:rsidRPr="00E61F84">
        <w:t>(Guy</w:t>
      </w:r>
      <w:r w:rsidR="00E61F84">
        <w:t xml:space="preserve"> et al.</w:t>
      </w:r>
      <w:r w:rsidR="00E61F84" w:rsidRPr="00E61F84">
        <w:t>, 2021)</w:t>
      </w:r>
      <w:r>
        <w:t>. More community ownership and support for the project, as well as a more equitable and sustainable conclusion, may result from this strategy.</w:t>
      </w:r>
    </w:p>
    <w:p w:rsidR="0032668B" w:rsidRDefault="00283BC5" w:rsidP="0032668B">
      <w:pPr>
        <w:pStyle w:val="Heading2"/>
      </w:pPr>
      <w:bookmarkStart w:id="5" w:name="_Toc130431162"/>
      <w:r>
        <w:t>Analysis</w:t>
      </w:r>
      <w:bookmarkEnd w:id="5"/>
    </w:p>
    <w:p w:rsidR="0032668B" w:rsidRDefault="00283BC5" w:rsidP="0032668B">
      <w:r>
        <w:t>Several ideas, tactics, and theories have been applied in the context of community engagement for the Elephant and Castle Project to ensure effective community participation. The idea of inclusivity has been used as one of the guiding concepts. By adhering to this idea, the community will be involved in all phases of the project, including planning, decision-making, and execution</w:t>
      </w:r>
      <w:r w:rsidR="00E61F84">
        <w:t xml:space="preserve"> </w:t>
      </w:r>
      <w:r w:rsidR="00E61F84" w:rsidRPr="00E61F84">
        <w:t>(Hastings, 2020)</w:t>
      </w:r>
      <w:r>
        <w:t>. The project team engaged the community and incorporated their perspectives into the project planning process using a variety of tactics, including community consultation, questionnaires, and community workshops.</w:t>
      </w:r>
    </w:p>
    <w:p w:rsidR="00E61F84" w:rsidRDefault="00283BC5" w:rsidP="0032668B">
      <w:r>
        <w:t>According to the literature, community participation has several advantages for both the organi</w:t>
      </w:r>
      <w:r w:rsidR="00E61F84">
        <w:t>s</w:t>
      </w:r>
      <w:r>
        <w:t>ation and the community. From the standpoint of the organi</w:t>
      </w:r>
      <w:r w:rsidR="00E61F84">
        <w:t>s</w:t>
      </w:r>
      <w:r>
        <w:t>ation, community engagement can boost reputation, boost public relations, and raise support for the initiative</w:t>
      </w:r>
      <w:r w:rsidR="00E61F84">
        <w:t xml:space="preserve"> </w:t>
      </w:r>
      <w:r w:rsidR="00E61F84" w:rsidRPr="00E61F84">
        <w:t>(Fielmua, 2018)</w:t>
      </w:r>
      <w:r>
        <w:t>. On the other hand, from the viewpoint of the community, community participation can bring about a feeling of ownership and empowerment, boost social capital, and advance social justice. The Elephant and Castle Project team employed a variety of methods of communication to interact with the community. Face-to-face meetings, open displays, newsletters, social media platforms, and specific project websites were among them</w:t>
      </w:r>
      <w:r w:rsidR="00E61F84">
        <w:t xml:space="preserve"> </w:t>
      </w:r>
      <w:r w:rsidR="00E61F84" w:rsidRPr="00E61F84">
        <w:t>(Hart, 2017)</w:t>
      </w:r>
      <w:r>
        <w:t xml:space="preserve">. To keep the community updated throughout the project's lifecycle, the project team also adhered to criteria like responsibility and transparency in their communication. The same ideas, philosophies, and tactics can be used to assure successful community involvement in the Union Station Regeneration Project. The inclusion concept can be used by the project team to guarantee </w:t>
      </w:r>
      <w:r>
        <w:lastRenderedPageBreak/>
        <w:t>that the community is involved in decision-making, planning, and project implementation</w:t>
      </w:r>
      <w:r w:rsidR="00E61F84">
        <w:t xml:space="preserve"> </w:t>
      </w:r>
      <w:r w:rsidR="00E61F84" w:rsidRPr="00E61F84">
        <w:t>(Flynn, 2016)</w:t>
      </w:r>
      <w:r>
        <w:t>. To interact with the community and include their perspectives in the project planning process, they can use a variety of tactics, including community consultations, surveys, and workshops.</w:t>
      </w:r>
    </w:p>
    <w:p w:rsidR="0032668B" w:rsidRDefault="00E61F84" w:rsidP="00E61F84">
      <w:pPr>
        <w:spacing w:line="276" w:lineRule="auto"/>
        <w:jc w:val="left"/>
      </w:pPr>
      <w:r>
        <w:br w:type="page"/>
      </w:r>
    </w:p>
    <w:p w:rsidR="0032668B" w:rsidRDefault="00283BC5" w:rsidP="0032668B">
      <w:pPr>
        <w:pStyle w:val="Heading1"/>
      </w:pPr>
      <w:bookmarkStart w:id="6" w:name="_Toc130431163"/>
      <w:r>
        <w:lastRenderedPageBreak/>
        <w:t>Conclusion</w:t>
      </w:r>
      <w:bookmarkEnd w:id="6"/>
    </w:p>
    <w:p w:rsidR="000E0F79" w:rsidRPr="000E0F79" w:rsidRDefault="00283BC5" w:rsidP="00E61F84">
      <w:r w:rsidRPr="0032668B">
        <w:t>In conclusion, any project that aims to serve the community must include community engagement as a critical component. We have learned the tenets, philosophies, and tactics of successful community participation through this module. Excellent examples of how community engagement may be put into practice include the Elephant and Castle Project and the Union Station Restoration Project. To better engage with the community in the future, we may refine our techniques and add fresh concepts by thinking back on the shortcomings and mistakes of the previous initiative. We can make sure that projects are successful and advantageous for the organi</w:t>
      </w:r>
      <w:r w:rsidR="00E61F84">
        <w:t>s</w:t>
      </w:r>
      <w:r w:rsidRPr="0032668B">
        <w:t xml:space="preserve">ation and the community by giving community participation a top priority. </w:t>
      </w:r>
      <w:r>
        <w:br w:type="page"/>
      </w:r>
    </w:p>
    <w:p w:rsidR="008779F8" w:rsidRDefault="00283BC5" w:rsidP="00680E12">
      <w:pPr>
        <w:pStyle w:val="Heading1"/>
      </w:pPr>
      <w:bookmarkStart w:id="7" w:name="_Toc130431164"/>
      <w:r>
        <w:lastRenderedPageBreak/>
        <w:t>Reference list</w:t>
      </w:r>
      <w:bookmarkEnd w:id="7"/>
    </w:p>
    <w:p w:rsidR="00623C09" w:rsidRPr="00623C09" w:rsidRDefault="00283BC5" w:rsidP="00623C09">
      <w:pPr>
        <w:spacing w:after="240"/>
        <w:rPr>
          <w:rFonts w:eastAsia="Times New Roman" w:cs="Arial"/>
          <w:lang w:val="en-US"/>
        </w:rPr>
      </w:pPr>
      <w:r w:rsidRPr="00623C09">
        <w:rPr>
          <w:rFonts w:eastAsia="Times New Roman" w:cs="Arial"/>
          <w:lang w:val="en-US"/>
        </w:rPr>
        <w:t xml:space="preserve">Bourke, L., Anam, M., Mohamed Shaburdin, Z., Mitchell, O. and Crouch, A. (2022). Social Interaction and Social Inclusion in International Rural Health Research. </w:t>
      </w:r>
      <w:r w:rsidRPr="00623C09">
        <w:rPr>
          <w:rFonts w:eastAsia="Times New Roman" w:cs="Arial"/>
          <w:i/>
          <w:iCs/>
          <w:lang w:val="en-US"/>
        </w:rPr>
        <w:t>Handbook of Social Inclusion</w:t>
      </w:r>
      <w:r w:rsidRPr="00623C09">
        <w:rPr>
          <w:rFonts w:eastAsia="Times New Roman" w:cs="Arial"/>
          <w:lang w:val="en-US"/>
        </w:rPr>
        <w:t>, 63(2), pp.811–833.</w:t>
      </w:r>
    </w:p>
    <w:p w:rsidR="00623C09" w:rsidRPr="00623C09" w:rsidRDefault="00283BC5" w:rsidP="00623C09">
      <w:pPr>
        <w:spacing w:after="240"/>
        <w:rPr>
          <w:rFonts w:eastAsia="Times New Roman" w:cs="Arial"/>
          <w:lang w:val="en-US"/>
        </w:rPr>
      </w:pPr>
      <w:r w:rsidRPr="00623C09">
        <w:rPr>
          <w:rFonts w:eastAsia="Times New Roman" w:cs="Arial"/>
          <w:lang w:val="en-US"/>
        </w:rPr>
        <w:t xml:space="preserve">Burrage, H. (2019). Green hubs, social inclusion and community engagement. </w:t>
      </w:r>
      <w:r w:rsidRPr="00623C09">
        <w:rPr>
          <w:rFonts w:eastAsia="Times New Roman" w:cs="Arial"/>
          <w:i/>
          <w:iCs/>
          <w:lang w:val="en-US"/>
        </w:rPr>
        <w:t>Proceedings of the Institution of Civil Engineers - Municipal Engineer</w:t>
      </w:r>
      <w:r w:rsidRPr="00623C09">
        <w:rPr>
          <w:rFonts w:eastAsia="Times New Roman" w:cs="Arial"/>
          <w:lang w:val="en-US"/>
        </w:rPr>
        <w:t>, 164(3), pp.167–174.</w:t>
      </w:r>
    </w:p>
    <w:p w:rsidR="00623C09" w:rsidRPr="00623C09" w:rsidRDefault="00283BC5" w:rsidP="00623C09">
      <w:pPr>
        <w:spacing w:after="240"/>
        <w:rPr>
          <w:rFonts w:eastAsia="Times New Roman" w:cs="Arial"/>
          <w:lang w:val="en-US"/>
        </w:rPr>
      </w:pPr>
      <w:r w:rsidRPr="00623C09">
        <w:rPr>
          <w:rFonts w:eastAsia="Times New Roman" w:cs="Arial"/>
          <w:lang w:val="en-US"/>
        </w:rPr>
        <w:t xml:space="preserve">Carter, E. (2017). ‘Setting the record straight’: the creation and curation of archives by activist communities. A case study of activist responses to the regeneration of Elephant and Castle, South London. </w:t>
      </w:r>
      <w:r w:rsidRPr="00623C09">
        <w:rPr>
          <w:rFonts w:eastAsia="Times New Roman" w:cs="Arial"/>
          <w:i/>
          <w:iCs/>
          <w:lang w:val="en-US"/>
        </w:rPr>
        <w:t>Archives and Records</w:t>
      </w:r>
      <w:r w:rsidRPr="00623C09">
        <w:rPr>
          <w:rFonts w:eastAsia="Times New Roman" w:cs="Arial"/>
          <w:lang w:val="en-US"/>
        </w:rPr>
        <w:t>, 38(1), pp.27–44.</w:t>
      </w:r>
    </w:p>
    <w:p w:rsidR="00623C09" w:rsidRPr="00623C09" w:rsidRDefault="00283BC5" w:rsidP="00623C09">
      <w:pPr>
        <w:spacing w:after="240"/>
        <w:rPr>
          <w:rFonts w:eastAsia="Times New Roman" w:cs="Arial"/>
          <w:lang w:val="en-US"/>
        </w:rPr>
      </w:pPr>
      <w:r w:rsidRPr="00623C09">
        <w:rPr>
          <w:rFonts w:eastAsia="Times New Roman" w:cs="Arial"/>
          <w:lang w:val="en-US"/>
        </w:rPr>
        <w:t xml:space="preserve">Fielmua, N. (2018). The Role of the Community Management Model towards Improved and Sustainable Access to Potable Water in Ghana (A Case of Nadowli District). </w:t>
      </w:r>
      <w:r w:rsidRPr="00623C09">
        <w:rPr>
          <w:rFonts w:eastAsia="Times New Roman" w:cs="Arial"/>
          <w:i/>
          <w:iCs/>
          <w:lang w:val="en-US"/>
        </w:rPr>
        <w:t>Journal of Sustainable Development</w:t>
      </w:r>
      <w:r w:rsidRPr="00623C09">
        <w:rPr>
          <w:rFonts w:eastAsia="Times New Roman" w:cs="Arial"/>
          <w:lang w:val="en-US"/>
        </w:rPr>
        <w:t>, 4(3).</w:t>
      </w:r>
    </w:p>
    <w:p w:rsidR="00623C09" w:rsidRPr="00623C09" w:rsidRDefault="00283BC5" w:rsidP="00623C09">
      <w:pPr>
        <w:spacing w:after="240"/>
        <w:rPr>
          <w:rFonts w:eastAsia="Times New Roman" w:cs="Arial"/>
          <w:lang w:val="en-US"/>
        </w:rPr>
      </w:pPr>
      <w:r w:rsidRPr="00623C09">
        <w:rPr>
          <w:rFonts w:eastAsia="Times New Roman" w:cs="Arial"/>
          <w:lang w:val="en-US"/>
        </w:rPr>
        <w:t xml:space="preserve">Flynn, J. (2016). Complete control, Elephant and Castle. </w:t>
      </w:r>
      <w:r w:rsidRPr="00623C09">
        <w:rPr>
          <w:rFonts w:eastAsia="Times New Roman" w:cs="Arial"/>
          <w:i/>
          <w:iCs/>
          <w:lang w:val="en-US"/>
        </w:rPr>
        <w:t>City</w:t>
      </w:r>
      <w:r w:rsidRPr="00623C09">
        <w:rPr>
          <w:rFonts w:eastAsia="Times New Roman" w:cs="Arial"/>
          <w:lang w:val="en-US"/>
        </w:rPr>
        <w:t>, 20(2), pp.278–286.</w:t>
      </w:r>
    </w:p>
    <w:p w:rsidR="00623C09" w:rsidRPr="00623C09" w:rsidRDefault="00283BC5" w:rsidP="00623C09">
      <w:pPr>
        <w:spacing w:after="240"/>
        <w:rPr>
          <w:rFonts w:eastAsia="Times New Roman" w:cs="Arial"/>
          <w:lang w:val="en-US"/>
        </w:rPr>
      </w:pPr>
      <w:r w:rsidRPr="00623C09">
        <w:rPr>
          <w:rFonts w:eastAsia="Times New Roman" w:cs="Arial"/>
          <w:lang w:val="en-US"/>
        </w:rPr>
        <w:t xml:space="preserve">Guy, S., Henneberry, J. and Rowley, S. (2021). Development Cultures and Urban Regeneration. </w:t>
      </w:r>
      <w:r w:rsidRPr="00623C09">
        <w:rPr>
          <w:rFonts w:eastAsia="Times New Roman" w:cs="Arial"/>
          <w:i/>
          <w:iCs/>
          <w:lang w:val="en-US"/>
        </w:rPr>
        <w:t>Urban Studies</w:t>
      </w:r>
      <w:r w:rsidRPr="00623C09">
        <w:rPr>
          <w:rFonts w:eastAsia="Times New Roman" w:cs="Arial"/>
          <w:lang w:val="en-US"/>
        </w:rPr>
        <w:t>, 39(7), pp.1181–1196.</w:t>
      </w:r>
    </w:p>
    <w:p w:rsidR="00623C09" w:rsidRPr="00623C09" w:rsidRDefault="00283BC5" w:rsidP="00623C09">
      <w:pPr>
        <w:spacing w:after="240"/>
        <w:rPr>
          <w:rFonts w:eastAsia="Times New Roman" w:cs="Arial"/>
          <w:lang w:val="en-US"/>
        </w:rPr>
      </w:pPr>
      <w:r w:rsidRPr="00623C09">
        <w:rPr>
          <w:rFonts w:eastAsia="Times New Roman" w:cs="Arial"/>
          <w:lang w:val="en-US"/>
        </w:rPr>
        <w:t xml:space="preserve">Hart, Z.H. (2017). </w:t>
      </w:r>
      <w:r w:rsidRPr="00623C09">
        <w:rPr>
          <w:rFonts w:eastAsia="Times New Roman" w:cs="Arial"/>
          <w:i/>
          <w:iCs/>
          <w:lang w:val="en-US"/>
        </w:rPr>
        <w:t>Introduction to stakeholder participation.</w:t>
      </w:r>
      <w:r w:rsidRPr="00623C09">
        <w:rPr>
          <w:rFonts w:eastAsia="Times New Roman" w:cs="Arial"/>
          <w:lang w:val="en-US"/>
        </w:rPr>
        <w:t xml:space="preserve"> 3rd ed. Charleston, Sc: U.S. National Oceanic and Atmospheric Administration, Coastal Services Center.</w:t>
      </w:r>
    </w:p>
    <w:p w:rsidR="00623C09" w:rsidRPr="00623C09" w:rsidRDefault="00283BC5" w:rsidP="00623C09">
      <w:pPr>
        <w:spacing w:after="240"/>
        <w:rPr>
          <w:rFonts w:eastAsia="Times New Roman" w:cs="Arial"/>
          <w:lang w:val="en-US"/>
        </w:rPr>
      </w:pPr>
      <w:r w:rsidRPr="00623C09">
        <w:rPr>
          <w:rFonts w:eastAsia="Times New Roman" w:cs="Arial"/>
          <w:lang w:val="en-US"/>
        </w:rPr>
        <w:t xml:space="preserve">Hastings, A. (2020). Unravelling the Process of ‘Partnership’ in Urban Regeneration Policy. </w:t>
      </w:r>
      <w:r w:rsidRPr="00623C09">
        <w:rPr>
          <w:rFonts w:eastAsia="Times New Roman" w:cs="Arial"/>
          <w:i/>
          <w:iCs/>
          <w:lang w:val="en-US"/>
        </w:rPr>
        <w:t>Urban Studies</w:t>
      </w:r>
      <w:r w:rsidRPr="00623C09">
        <w:rPr>
          <w:rFonts w:eastAsia="Times New Roman" w:cs="Arial"/>
          <w:lang w:val="en-US"/>
        </w:rPr>
        <w:t>, 33(2), pp.253–268.</w:t>
      </w:r>
    </w:p>
    <w:p w:rsidR="00623C09" w:rsidRPr="00623C09" w:rsidRDefault="00283BC5" w:rsidP="00623C09">
      <w:pPr>
        <w:spacing w:after="240"/>
        <w:rPr>
          <w:rFonts w:eastAsia="Times New Roman" w:cs="Arial"/>
          <w:lang w:val="en-US"/>
        </w:rPr>
      </w:pPr>
      <w:r w:rsidRPr="00623C09">
        <w:rPr>
          <w:rFonts w:eastAsia="Times New Roman" w:cs="Arial"/>
          <w:lang w:val="en-US"/>
        </w:rPr>
        <w:t xml:space="preserve">Hickey, S., Sen, K. and Bukenya, B. (2015). </w:t>
      </w:r>
      <w:r w:rsidRPr="00623C09">
        <w:rPr>
          <w:rFonts w:eastAsia="Times New Roman" w:cs="Arial"/>
          <w:i/>
          <w:iCs/>
          <w:lang w:val="en-US"/>
        </w:rPr>
        <w:t>The politics of inclusive development: interrogating the evidence</w:t>
      </w:r>
      <w:r w:rsidRPr="00623C09">
        <w:rPr>
          <w:rFonts w:eastAsia="Times New Roman" w:cs="Arial"/>
          <w:lang w:val="en-US"/>
        </w:rPr>
        <w:t>. 3rd ed. Oxford: Oxford University Press.</w:t>
      </w:r>
    </w:p>
    <w:p w:rsidR="00623C09" w:rsidRPr="00623C09" w:rsidRDefault="00283BC5" w:rsidP="00623C09">
      <w:pPr>
        <w:spacing w:after="240"/>
        <w:rPr>
          <w:rFonts w:eastAsia="Times New Roman" w:cs="Arial"/>
          <w:lang w:val="en-US"/>
        </w:rPr>
      </w:pPr>
      <w:r w:rsidRPr="00623C09">
        <w:rPr>
          <w:rFonts w:eastAsia="Times New Roman" w:cs="Arial"/>
          <w:lang w:val="en-US"/>
        </w:rPr>
        <w:t xml:space="preserve">Kim, D.-W. (2019). Re-reading urban regeneration: Urban decline as ideology and its implications to urban regeneration. </w:t>
      </w:r>
      <w:r w:rsidRPr="00623C09">
        <w:rPr>
          <w:rFonts w:eastAsia="Times New Roman" w:cs="Arial"/>
          <w:i/>
          <w:iCs/>
          <w:lang w:val="en-US"/>
        </w:rPr>
        <w:t>Economy and Society</w:t>
      </w:r>
      <w:r w:rsidRPr="00623C09">
        <w:rPr>
          <w:rFonts w:eastAsia="Times New Roman" w:cs="Arial"/>
          <w:lang w:val="en-US"/>
        </w:rPr>
        <w:t>, null (122), pp.106–137.</w:t>
      </w:r>
    </w:p>
    <w:p w:rsidR="00623C09" w:rsidRPr="00623C09" w:rsidRDefault="00283BC5" w:rsidP="00623C09">
      <w:pPr>
        <w:spacing w:after="240"/>
        <w:rPr>
          <w:rFonts w:eastAsia="Times New Roman" w:cs="Arial"/>
          <w:lang w:val="en-US"/>
        </w:rPr>
      </w:pPr>
      <w:r w:rsidRPr="00623C09">
        <w:rPr>
          <w:rFonts w:eastAsia="Times New Roman" w:cs="Arial"/>
          <w:lang w:val="en-US"/>
        </w:rPr>
        <w:t xml:space="preserve">Kingma, B.R. (2019). </w:t>
      </w:r>
      <w:r w:rsidRPr="00623C09">
        <w:rPr>
          <w:rFonts w:eastAsia="Times New Roman" w:cs="Arial"/>
          <w:i/>
          <w:iCs/>
          <w:lang w:val="en-US"/>
        </w:rPr>
        <w:t>Academic Entrepreneurship and Community Engagement</w:t>
      </w:r>
      <w:r w:rsidRPr="00623C09">
        <w:rPr>
          <w:rFonts w:eastAsia="Times New Roman" w:cs="Arial"/>
          <w:lang w:val="en-US"/>
        </w:rPr>
        <w:t>. 3rd ed. Edward Elgar Publishing.</w:t>
      </w:r>
    </w:p>
    <w:p w:rsidR="00623C09" w:rsidRPr="00623C09" w:rsidRDefault="00283BC5" w:rsidP="00623C09">
      <w:pPr>
        <w:spacing w:after="240"/>
        <w:rPr>
          <w:rFonts w:eastAsia="Times New Roman" w:cs="Arial"/>
          <w:lang w:val="en-US"/>
        </w:rPr>
      </w:pPr>
      <w:r w:rsidRPr="00623C09">
        <w:rPr>
          <w:rFonts w:eastAsia="Times New Roman" w:cs="Arial"/>
          <w:lang w:val="en-US"/>
        </w:rPr>
        <w:t xml:space="preserve">Littlefield, D. (2019). Elephant and Castle. </w:t>
      </w:r>
      <w:r w:rsidRPr="00623C09">
        <w:rPr>
          <w:rFonts w:eastAsia="Times New Roman" w:cs="Arial"/>
          <w:i/>
          <w:iCs/>
          <w:lang w:val="en-US"/>
        </w:rPr>
        <w:t>Architectural Design</w:t>
      </w:r>
      <w:r w:rsidRPr="00623C09">
        <w:rPr>
          <w:rFonts w:eastAsia="Times New Roman" w:cs="Arial"/>
          <w:lang w:val="en-US"/>
        </w:rPr>
        <w:t>, 82(1), pp.120–123.</w:t>
      </w:r>
    </w:p>
    <w:p w:rsidR="00623C09" w:rsidRPr="00623C09" w:rsidRDefault="00283BC5" w:rsidP="00623C09">
      <w:pPr>
        <w:spacing w:after="240"/>
        <w:rPr>
          <w:rFonts w:eastAsia="Times New Roman" w:cs="Arial"/>
          <w:lang w:val="en-US"/>
        </w:rPr>
      </w:pPr>
      <w:r w:rsidRPr="00623C09">
        <w:rPr>
          <w:rFonts w:eastAsia="Times New Roman" w:cs="Arial"/>
          <w:lang w:val="en-US"/>
        </w:rPr>
        <w:lastRenderedPageBreak/>
        <w:t xml:space="preserve">Lloyd, C., Tse, S. and Deane, F.P. (2016). Community participation and social inclusion: How practitioners can make a difference. </w:t>
      </w:r>
      <w:r w:rsidRPr="00623C09">
        <w:rPr>
          <w:rFonts w:eastAsia="Times New Roman" w:cs="Arial"/>
          <w:i/>
          <w:iCs/>
          <w:lang w:val="en-US"/>
        </w:rPr>
        <w:t>Australian e-Journal for the Advancement of Mental Health</w:t>
      </w:r>
      <w:r w:rsidRPr="00623C09">
        <w:rPr>
          <w:rFonts w:eastAsia="Times New Roman" w:cs="Arial"/>
          <w:lang w:val="en-US"/>
        </w:rPr>
        <w:t>, 5(3), pp.185–194.</w:t>
      </w:r>
    </w:p>
    <w:p w:rsidR="00623C09" w:rsidRPr="00623C09" w:rsidRDefault="00283BC5" w:rsidP="00623C09">
      <w:pPr>
        <w:spacing w:after="240"/>
        <w:rPr>
          <w:rFonts w:eastAsia="Times New Roman" w:cs="Arial"/>
          <w:lang w:val="en-US"/>
        </w:rPr>
      </w:pPr>
      <w:r w:rsidRPr="00623C09">
        <w:rPr>
          <w:rFonts w:eastAsia="Times New Roman" w:cs="Arial"/>
          <w:lang w:val="en-US"/>
        </w:rPr>
        <w:t xml:space="preserve">Perkins, L. (2019). </w:t>
      </w:r>
      <w:r w:rsidRPr="00623C09">
        <w:rPr>
          <w:rFonts w:eastAsia="Times New Roman" w:cs="Arial"/>
          <w:i/>
          <w:iCs/>
          <w:lang w:val="en-US"/>
        </w:rPr>
        <w:t>The Community Manager’s Playbook: How to Build Brand Awareness and Customer Engagement</w:t>
      </w:r>
      <w:r w:rsidRPr="00623C09">
        <w:rPr>
          <w:rFonts w:eastAsia="Times New Roman" w:cs="Arial"/>
          <w:lang w:val="en-US"/>
        </w:rPr>
        <w:t>. 5th ed. Berkeley, Ca: Apress.</w:t>
      </w:r>
    </w:p>
    <w:p w:rsidR="00623C09" w:rsidRPr="00623C09" w:rsidRDefault="00283BC5" w:rsidP="00623C09">
      <w:pPr>
        <w:spacing w:after="240"/>
        <w:rPr>
          <w:rFonts w:eastAsia="Times New Roman" w:cs="Arial"/>
          <w:lang w:val="en-US"/>
        </w:rPr>
      </w:pPr>
      <w:r w:rsidRPr="00623C09">
        <w:rPr>
          <w:rFonts w:eastAsia="Times New Roman" w:cs="Arial"/>
          <w:lang w:val="en-US"/>
        </w:rPr>
        <w:t xml:space="preserve">Rumley, M. (2020). </w:t>
      </w:r>
      <w:r w:rsidRPr="00623C09">
        <w:rPr>
          <w:rFonts w:eastAsia="Times New Roman" w:cs="Arial"/>
          <w:i/>
          <w:iCs/>
          <w:lang w:val="en-US"/>
        </w:rPr>
        <w:t>Modern-Day Strategies for Community Engagement</w:t>
      </w:r>
      <w:r w:rsidRPr="00623C09">
        <w:rPr>
          <w:rFonts w:eastAsia="Times New Roman" w:cs="Arial"/>
          <w:lang w:val="en-US"/>
        </w:rPr>
        <w:t>. 6th ed. UK: Kogan Publisher.</w:t>
      </w:r>
    </w:p>
    <w:p w:rsidR="00F53388" w:rsidRPr="00F53388" w:rsidRDefault="00F53388" w:rsidP="00F53388">
      <w:pPr>
        <w:rPr>
          <w:b/>
          <w:i/>
        </w:rPr>
      </w:pPr>
      <w:r w:rsidRPr="00F53388">
        <w:rPr>
          <w:b/>
          <w:i/>
        </w:rPr>
        <w:t xml:space="preserve">CPD Record </w:t>
      </w:r>
    </w:p>
    <w:p w:rsidR="00F53388" w:rsidRPr="00F53388" w:rsidRDefault="00F53388" w:rsidP="00F53388"/>
    <w:tbl>
      <w:tblPr>
        <w:tblW w:w="140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6"/>
        <w:gridCol w:w="4486"/>
        <w:gridCol w:w="4532"/>
      </w:tblGrid>
      <w:tr w:rsidR="00F53388" w:rsidRPr="00F53388" w:rsidTr="003353DA">
        <w:trPr>
          <w:trHeight w:val="819"/>
        </w:trPr>
        <w:tc>
          <w:tcPr>
            <w:tcW w:w="5016" w:type="dxa"/>
          </w:tcPr>
          <w:p w:rsidR="00F53388" w:rsidRPr="00F53388" w:rsidRDefault="00F53388" w:rsidP="00F53388">
            <w:pPr>
              <w:rPr>
                <w:b/>
              </w:rPr>
            </w:pPr>
            <w:r w:rsidRPr="00F53388">
              <w:rPr>
                <w:b/>
              </w:rPr>
              <w:t xml:space="preserve">Name: Andreea Pislariu </w:t>
            </w:r>
          </w:p>
          <w:p w:rsidR="00F53388" w:rsidRPr="00F53388" w:rsidRDefault="00F53388" w:rsidP="00F53388">
            <w:pPr>
              <w:rPr>
                <w:b/>
              </w:rPr>
            </w:pPr>
            <w:r w:rsidRPr="00F53388">
              <w:rPr>
                <w:b/>
              </w:rPr>
              <w:t>2215593</w:t>
            </w:r>
          </w:p>
        </w:tc>
        <w:tc>
          <w:tcPr>
            <w:tcW w:w="4486" w:type="dxa"/>
          </w:tcPr>
          <w:p w:rsidR="00F53388" w:rsidRPr="00F53388" w:rsidRDefault="00F53388" w:rsidP="00F53388">
            <w:pPr>
              <w:rPr>
                <w:i/>
              </w:rPr>
            </w:pPr>
          </w:p>
        </w:tc>
        <w:tc>
          <w:tcPr>
            <w:tcW w:w="4532" w:type="dxa"/>
          </w:tcPr>
          <w:p w:rsidR="00F53388" w:rsidRPr="00F53388" w:rsidRDefault="00F53388" w:rsidP="00F53388">
            <w:pPr>
              <w:rPr>
                <w:b/>
              </w:rPr>
            </w:pPr>
            <w:r w:rsidRPr="00F53388">
              <w:rPr>
                <w:b/>
              </w:rPr>
              <w:t>Covering the period from:</w:t>
            </w:r>
          </w:p>
          <w:p w:rsidR="00F53388" w:rsidRPr="00F53388" w:rsidRDefault="00F53388" w:rsidP="00F53388">
            <w:r w:rsidRPr="00F53388">
              <w:rPr>
                <w:b/>
              </w:rPr>
              <w:t xml:space="preserve">To: </w:t>
            </w:r>
            <w:r w:rsidRPr="00F53388">
              <w:rPr>
                <w:i/>
              </w:rPr>
              <w:t>January to March</w:t>
            </w:r>
          </w:p>
        </w:tc>
      </w:tr>
    </w:tbl>
    <w:p w:rsidR="00F53388" w:rsidRPr="00F53388" w:rsidRDefault="00F53388" w:rsidP="00F53388"/>
    <w:tbl>
      <w:tblPr>
        <w:tblW w:w="138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9"/>
        <w:gridCol w:w="1859"/>
        <w:gridCol w:w="1813"/>
        <w:gridCol w:w="4463"/>
        <w:gridCol w:w="4463"/>
      </w:tblGrid>
      <w:tr w:rsidR="00F53388" w:rsidRPr="00F53388" w:rsidTr="003353DA">
        <w:trPr>
          <w:trHeight w:val="721"/>
        </w:trPr>
        <w:tc>
          <w:tcPr>
            <w:tcW w:w="1209" w:type="dxa"/>
            <w:tcBorders>
              <w:bottom w:val="single" w:sz="4" w:space="0" w:color="auto"/>
            </w:tcBorders>
          </w:tcPr>
          <w:p w:rsidR="00F53388" w:rsidRPr="00F53388" w:rsidRDefault="00F53388" w:rsidP="00F53388">
            <w:pPr>
              <w:rPr>
                <w:b/>
              </w:rPr>
            </w:pPr>
            <w:r w:rsidRPr="00F53388">
              <w:rPr>
                <w:b/>
              </w:rPr>
              <w:tab/>
              <w:t>Key dates</w:t>
            </w:r>
          </w:p>
        </w:tc>
        <w:tc>
          <w:tcPr>
            <w:tcW w:w="1859" w:type="dxa"/>
            <w:tcBorders>
              <w:bottom w:val="single" w:sz="4" w:space="0" w:color="auto"/>
            </w:tcBorders>
          </w:tcPr>
          <w:p w:rsidR="00F53388" w:rsidRPr="00F53388" w:rsidRDefault="00F53388" w:rsidP="00F53388">
            <w:pPr>
              <w:rPr>
                <w:b/>
              </w:rPr>
            </w:pPr>
            <w:r w:rsidRPr="00F53388">
              <w:rPr>
                <w:b/>
              </w:rPr>
              <w:t>What did you do?</w:t>
            </w:r>
          </w:p>
        </w:tc>
        <w:tc>
          <w:tcPr>
            <w:tcW w:w="1813" w:type="dxa"/>
            <w:tcBorders>
              <w:bottom w:val="single" w:sz="4" w:space="0" w:color="auto"/>
            </w:tcBorders>
          </w:tcPr>
          <w:p w:rsidR="00F53388" w:rsidRPr="00F53388" w:rsidRDefault="00F53388" w:rsidP="00F53388">
            <w:pPr>
              <w:rPr>
                <w:b/>
              </w:rPr>
            </w:pPr>
            <w:r w:rsidRPr="00F53388">
              <w:rPr>
                <w:b/>
              </w:rPr>
              <w:t>Why?</w:t>
            </w:r>
          </w:p>
        </w:tc>
        <w:tc>
          <w:tcPr>
            <w:tcW w:w="4463" w:type="dxa"/>
            <w:tcBorders>
              <w:bottom w:val="single" w:sz="4" w:space="0" w:color="auto"/>
            </w:tcBorders>
          </w:tcPr>
          <w:p w:rsidR="00F53388" w:rsidRPr="00F53388" w:rsidRDefault="00F53388" w:rsidP="00F53388">
            <w:pPr>
              <w:rPr>
                <w:b/>
              </w:rPr>
            </w:pPr>
            <w:r w:rsidRPr="00F53388">
              <w:rPr>
                <w:b/>
              </w:rPr>
              <w:t>What did you learn from this?</w:t>
            </w:r>
          </w:p>
        </w:tc>
        <w:tc>
          <w:tcPr>
            <w:tcW w:w="4463" w:type="dxa"/>
            <w:tcBorders>
              <w:bottom w:val="single" w:sz="4" w:space="0" w:color="auto"/>
            </w:tcBorders>
          </w:tcPr>
          <w:p w:rsidR="00F53388" w:rsidRPr="00F53388" w:rsidRDefault="00F53388" w:rsidP="00F53388">
            <w:pPr>
              <w:rPr>
                <w:b/>
              </w:rPr>
            </w:pPr>
            <w:r w:rsidRPr="00F53388">
              <w:rPr>
                <w:b/>
              </w:rPr>
              <w:t>How have/will you use this?</w:t>
            </w:r>
          </w:p>
          <w:p w:rsidR="00F53388" w:rsidRPr="00F53388" w:rsidRDefault="00F53388" w:rsidP="00F53388">
            <w:pPr>
              <w:rPr>
                <w:b/>
              </w:rPr>
            </w:pPr>
            <w:r w:rsidRPr="00F53388">
              <w:rPr>
                <w:b/>
              </w:rPr>
              <w:t>Any further action?</w:t>
            </w:r>
          </w:p>
        </w:tc>
      </w:tr>
      <w:tr w:rsidR="00F53388" w:rsidRPr="00F53388" w:rsidTr="003353DA">
        <w:trPr>
          <w:trHeight w:val="721"/>
        </w:trPr>
        <w:tc>
          <w:tcPr>
            <w:tcW w:w="1209" w:type="dxa"/>
            <w:tcBorders>
              <w:bottom w:val="single" w:sz="4" w:space="0" w:color="auto"/>
            </w:tcBorders>
          </w:tcPr>
          <w:p w:rsidR="00F53388" w:rsidRPr="00F53388" w:rsidRDefault="00F53388" w:rsidP="00F53388">
            <w:pPr>
              <w:rPr>
                <w:b/>
              </w:rPr>
            </w:pPr>
            <w:r w:rsidRPr="00F53388">
              <w:rPr>
                <w:b/>
              </w:rPr>
              <w:t>Week 1</w:t>
            </w:r>
          </w:p>
          <w:p w:rsidR="00F53388" w:rsidRPr="00F53388" w:rsidRDefault="00F53388" w:rsidP="00F53388">
            <w:pPr>
              <w:rPr>
                <w:b/>
              </w:rPr>
            </w:pPr>
            <w:r w:rsidRPr="00F53388">
              <w:rPr>
                <w:b/>
              </w:rPr>
              <w:t>17 Jan</w:t>
            </w:r>
          </w:p>
        </w:tc>
        <w:tc>
          <w:tcPr>
            <w:tcW w:w="1859" w:type="dxa"/>
            <w:tcBorders>
              <w:bottom w:val="single" w:sz="4" w:space="0" w:color="auto"/>
            </w:tcBorders>
          </w:tcPr>
          <w:p w:rsidR="00F53388" w:rsidRPr="00F53388" w:rsidRDefault="00F53388" w:rsidP="00F53388">
            <w:pPr>
              <w:rPr>
                <w:b/>
              </w:rPr>
            </w:pPr>
            <w:r w:rsidRPr="00F53388">
              <w:rPr>
                <w:b/>
              </w:rPr>
              <w:t>Sustainability</w:t>
            </w:r>
          </w:p>
        </w:tc>
        <w:tc>
          <w:tcPr>
            <w:tcW w:w="1813" w:type="dxa"/>
            <w:tcBorders>
              <w:bottom w:val="single" w:sz="4" w:space="0" w:color="auto"/>
            </w:tcBorders>
          </w:tcPr>
          <w:p w:rsidR="00F53388" w:rsidRPr="00F53388" w:rsidRDefault="00F53388" w:rsidP="00F53388">
            <w:pPr>
              <w:rPr>
                <w:b/>
              </w:rPr>
            </w:pPr>
            <w:r w:rsidRPr="00F53388">
              <w:rPr>
                <w:b/>
              </w:rPr>
              <w:t>Understanding the concept for future application</w:t>
            </w:r>
          </w:p>
        </w:tc>
        <w:tc>
          <w:tcPr>
            <w:tcW w:w="4463" w:type="dxa"/>
            <w:tcBorders>
              <w:bottom w:val="single" w:sz="4" w:space="0" w:color="auto"/>
            </w:tcBorders>
          </w:tcPr>
          <w:p w:rsidR="00F53388" w:rsidRPr="00F53388" w:rsidRDefault="00F53388" w:rsidP="00F53388">
            <w:pPr>
              <w:rPr>
                <w:b/>
              </w:rPr>
            </w:pPr>
            <w:r w:rsidRPr="00F53388">
              <w:rPr>
                <w:b/>
              </w:rPr>
              <w:t>Good for now+ good for the future</w:t>
            </w:r>
          </w:p>
        </w:tc>
        <w:tc>
          <w:tcPr>
            <w:tcW w:w="4463" w:type="dxa"/>
            <w:tcBorders>
              <w:bottom w:val="single" w:sz="4" w:space="0" w:color="auto"/>
            </w:tcBorders>
          </w:tcPr>
          <w:p w:rsidR="00F53388" w:rsidRPr="00F53388" w:rsidRDefault="00F53388" w:rsidP="00F53388">
            <w:pPr>
              <w:rPr>
                <w:b/>
              </w:rPr>
            </w:pPr>
            <w:r w:rsidRPr="00F53388">
              <w:rPr>
                <w:b/>
              </w:rPr>
              <w:t>I understood that the Sustainability concept is the successful key for future projects</w:t>
            </w:r>
          </w:p>
        </w:tc>
      </w:tr>
      <w:tr w:rsidR="00F53388" w:rsidRPr="00F53388" w:rsidTr="003353DA">
        <w:trPr>
          <w:trHeight w:val="721"/>
        </w:trPr>
        <w:tc>
          <w:tcPr>
            <w:tcW w:w="1209" w:type="dxa"/>
            <w:tcBorders>
              <w:bottom w:val="single" w:sz="4" w:space="0" w:color="auto"/>
            </w:tcBorders>
          </w:tcPr>
          <w:p w:rsidR="00F53388" w:rsidRPr="00F53388" w:rsidRDefault="00F53388" w:rsidP="00F53388">
            <w:pPr>
              <w:rPr>
                <w:b/>
              </w:rPr>
            </w:pPr>
            <w:r w:rsidRPr="00F53388">
              <w:rPr>
                <w:b/>
              </w:rPr>
              <w:t>Week 2</w:t>
            </w:r>
          </w:p>
          <w:p w:rsidR="00F53388" w:rsidRPr="00F53388" w:rsidRDefault="00F53388" w:rsidP="00F53388">
            <w:pPr>
              <w:rPr>
                <w:b/>
              </w:rPr>
            </w:pPr>
            <w:r w:rsidRPr="00F53388">
              <w:rPr>
                <w:b/>
              </w:rPr>
              <w:t>24 Jan</w:t>
            </w:r>
          </w:p>
        </w:tc>
        <w:tc>
          <w:tcPr>
            <w:tcW w:w="1859" w:type="dxa"/>
            <w:tcBorders>
              <w:bottom w:val="single" w:sz="4" w:space="0" w:color="auto"/>
            </w:tcBorders>
          </w:tcPr>
          <w:p w:rsidR="00F53388" w:rsidRPr="00F53388" w:rsidRDefault="00F53388" w:rsidP="00F53388">
            <w:pPr>
              <w:rPr>
                <w:b/>
              </w:rPr>
            </w:pPr>
            <w:r w:rsidRPr="00F53388">
              <w:rPr>
                <w:b/>
              </w:rPr>
              <w:t>Engagement</w:t>
            </w:r>
          </w:p>
        </w:tc>
        <w:tc>
          <w:tcPr>
            <w:tcW w:w="1813" w:type="dxa"/>
            <w:tcBorders>
              <w:bottom w:val="single" w:sz="4" w:space="0" w:color="auto"/>
            </w:tcBorders>
          </w:tcPr>
          <w:p w:rsidR="00F53388" w:rsidRPr="00F53388" w:rsidRDefault="00F53388" w:rsidP="00F53388">
            <w:pPr>
              <w:rPr>
                <w:b/>
              </w:rPr>
            </w:pPr>
            <w:r w:rsidRPr="00F53388">
              <w:rPr>
                <w:b/>
              </w:rPr>
              <w:t xml:space="preserve">Because it means the connection between business and community </w:t>
            </w:r>
          </w:p>
        </w:tc>
        <w:tc>
          <w:tcPr>
            <w:tcW w:w="4463" w:type="dxa"/>
            <w:tcBorders>
              <w:bottom w:val="single" w:sz="4" w:space="0" w:color="auto"/>
            </w:tcBorders>
          </w:tcPr>
          <w:p w:rsidR="00F53388" w:rsidRPr="00F53388" w:rsidRDefault="00F53388" w:rsidP="00F53388">
            <w:pPr>
              <w:rPr>
                <w:b/>
              </w:rPr>
            </w:pPr>
            <w:r w:rsidRPr="00F53388">
              <w:rPr>
                <w:b/>
              </w:rPr>
              <w:t>There are three types : transactional,transformational and transitional</w:t>
            </w:r>
          </w:p>
        </w:tc>
        <w:tc>
          <w:tcPr>
            <w:tcW w:w="4463" w:type="dxa"/>
            <w:tcBorders>
              <w:bottom w:val="single" w:sz="4" w:space="0" w:color="auto"/>
            </w:tcBorders>
          </w:tcPr>
          <w:p w:rsidR="00F53388" w:rsidRPr="00F53388" w:rsidRDefault="00F53388" w:rsidP="00F53388">
            <w:pPr>
              <w:rPr>
                <w:b/>
              </w:rPr>
            </w:pPr>
            <w:r w:rsidRPr="00F53388">
              <w:rPr>
                <w:b/>
              </w:rPr>
              <w:t xml:space="preserve">I will use it in my future projects and it will help me to define the type of engagement </w:t>
            </w:r>
          </w:p>
        </w:tc>
      </w:tr>
      <w:tr w:rsidR="00F53388" w:rsidRPr="00F53388" w:rsidTr="003353DA">
        <w:trPr>
          <w:trHeight w:val="721"/>
        </w:trPr>
        <w:tc>
          <w:tcPr>
            <w:tcW w:w="1209" w:type="dxa"/>
            <w:tcBorders>
              <w:bottom w:val="single" w:sz="4" w:space="0" w:color="auto"/>
            </w:tcBorders>
          </w:tcPr>
          <w:p w:rsidR="00F53388" w:rsidRPr="00F53388" w:rsidRDefault="00F53388" w:rsidP="00F53388">
            <w:pPr>
              <w:rPr>
                <w:b/>
              </w:rPr>
            </w:pPr>
            <w:r w:rsidRPr="00F53388">
              <w:rPr>
                <w:b/>
              </w:rPr>
              <w:lastRenderedPageBreak/>
              <w:t>Week 3</w:t>
            </w:r>
          </w:p>
          <w:p w:rsidR="00F53388" w:rsidRPr="00F53388" w:rsidRDefault="00F53388" w:rsidP="00F53388">
            <w:pPr>
              <w:rPr>
                <w:b/>
              </w:rPr>
            </w:pPr>
            <w:r w:rsidRPr="00F53388">
              <w:rPr>
                <w:b/>
              </w:rPr>
              <w:t>31 Jan</w:t>
            </w:r>
          </w:p>
        </w:tc>
        <w:tc>
          <w:tcPr>
            <w:tcW w:w="1859" w:type="dxa"/>
            <w:tcBorders>
              <w:bottom w:val="single" w:sz="4" w:space="0" w:color="auto"/>
            </w:tcBorders>
          </w:tcPr>
          <w:p w:rsidR="00F53388" w:rsidRPr="00F53388" w:rsidRDefault="00F53388" w:rsidP="00F53388">
            <w:pPr>
              <w:rPr>
                <w:b/>
              </w:rPr>
            </w:pPr>
            <w:r w:rsidRPr="00F53388">
              <w:rPr>
                <w:b/>
              </w:rPr>
              <w:t>Principles of Community engagement</w:t>
            </w:r>
          </w:p>
        </w:tc>
        <w:tc>
          <w:tcPr>
            <w:tcW w:w="1813" w:type="dxa"/>
            <w:tcBorders>
              <w:bottom w:val="single" w:sz="4" w:space="0" w:color="auto"/>
            </w:tcBorders>
          </w:tcPr>
          <w:p w:rsidR="00F53388" w:rsidRPr="00F53388" w:rsidRDefault="00F53388" w:rsidP="00F53388">
            <w:pPr>
              <w:rPr>
                <w:b/>
              </w:rPr>
            </w:pPr>
            <w:r w:rsidRPr="00F53388">
              <w:rPr>
                <w:b/>
              </w:rPr>
              <w:t>Exploring organisation management</w:t>
            </w:r>
          </w:p>
        </w:tc>
        <w:tc>
          <w:tcPr>
            <w:tcW w:w="4463" w:type="dxa"/>
            <w:tcBorders>
              <w:bottom w:val="single" w:sz="4" w:space="0" w:color="auto"/>
            </w:tcBorders>
          </w:tcPr>
          <w:p w:rsidR="00F53388" w:rsidRPr="00F53388" w:rsidRDefault="00F53388" w:rsidP="00F53388">
            <w:pPr>
              <w:rPr>
                <w:b/>
              </w:rPr>
            </w:pPr>
            <w:r w:rsidRPr="00F53388">
              <w:rPr>
                <w:b/>
              </w:rPr>
              <w:t>How the principle of community engagement are related to planning and designing the projects</w:t>
            </w:r>
          </w:p>
        </w:tc>
        <w:tc>
          <w:tcPr>
            <w:tcW w:w="4463" w:type="dxa"/>
            <w:tcBorders>
              <w:bottom w:val="single" w:sz="4" w:space="0" w:color="auto"/>
            </w:tcBorders>
          </w:tcPr>
          <w:p w:rsidR="00F53388" w:rsidRPr="00F53388" w:rsidRDefault="00F53388" w:rsidP="00F53388">
            <w:pPr>
              <w:rPr>
                <w:b/>
              </w:rPr>
            </w:pPr>
            <w:r w:rsidRPr="00F53388">
              <w:rPr>
                <w:b/>
              </w:rPr>
              <w:t>I will use the following steps: Project initiation,Planning,Execution,Monitor and control ,Close and I will apply it for a successful future project</w:t>
            </w:r>
          </w:p>
        </w:tc>
      </w:tr>
      <w:tr w:rsidR="00F53388" w:rsidRPr="00F53388" w:rsidTr="003353DA">
        <w:trPr>
          <w:trHeight w:val="721"/>
        </w:trPr>
        <w:tc>
          <w:tcPr>
            <w:tcW w:w="1209" w:type="dxa"/>
            <w:tcBorders>
              <w:bottom w:val="single" w:sz="4" w:space="0" w:color="auto"/>
            </w:tcBorders>
          </w:tcPr>
          <w:p w:rsidR="00F53388" w:rsidRPr="00F53388" w:rsidRDefault="00F53388" w:rsidP="00F53388">
            <w:pPr>
              <w:rPr>
                <w:b/>
              </w:rPr>
            </w:pPr>
            <w:r w:rsidRPr="00F53388">
              <w:rPr>
                <w:b/>
              </w:rPr>
              <w:t>Week 4</w:t>
            </w:r>
          </w:p>
          <w:p w:rsidR="00F53388" w:rsidRPr="00F53388" w:rsidRDefault="00F53388" w:rsidP="00F53388">
            <w:pPr>
              <w:rPr>
                <w:b/>
              </w:rPr>
            </w:pPr>
            <w:r w:rsidRPr="00F53388">
              <w:rPr>
                <w:b/>
              </w:rPr>
              <w:t>7 Feb</w:t>
            </w:r>
          </w:p>
        </w:tc>
        <w:tc>
          <w:tcPr>
            <w:tcW w:w="1859" w:type="dxa"/>
            <w:tcBorders>
              <w:bottom w:val="single" w:sz="4" w:space="0" w:color="auto"/>
            </w:tcBorders>
          </w:tcPr>
          <w:p w:rsidR="00F53388" w:rsidRPr="00F53388" w:rsidRDefault="00F53388" w:rsidP="00F53388">
            <w:pPr>
              <w:rPr>
                <w:b/>
              </w:rPr>
            </w:pPr>
            <w:r w:rsidRPr="00F53388">
              <w:rPr>
                <w:b/>
              </w:rPr>
              <w:t>Quality standards of Community engagement</w:t>
            </w:r>
          </w:p>
        </w:tc>
        <w:tc>
          <w:tcPr>
            <w:tcW w:w="1813" w:type="dxa"/>
            <w:tcBorders>
              <w:bottom w:val="single" w:sz="4" w:space="0" w:color="auto"/>
            </w:tcBorders>
          </w:tcPr>
          <w:p w:rsidR="00F53388" w:rsidRPr="00F53388" w:rsidRDefault="00F53388" w:rsidP="00F53388">
            <w:pPr>
              <w:rPr>
                <w:b/>
              </w:rPr>
            </w:pPr>
            <w:r w:rsidRPr="00F53388">
              <w:rPr>
                <w:b/>
              </w:rPr>
              <w:t>Because standards are benchmarks of best practices</w:t>
            </w:r>
          </w:p>
        </w:tc>
        <w:tc>
          <w:tcPr>
            <w:tcW w:w="4463" w:type="dxa"/>
            <w:tcBorders>
              <w:bottom w:val="single" w:sz="4" w:space="0" w:color="auto"/>
            </w:tcBorders>
          </w:tcPr>
          <w:p w:rsidR="00F53388" w:rsidRPr="00F53388" w:rsidRDefault="00F53388" w:rsidP="00F53388">
            <w:pPr>
              <w:rPr>
                <w:b/>
              </w:rPr>
            </w:pPr>
            <w:r w:rsidRPr="00F53388">
              <w:rPr>
                <w:b/>
              </w:rPr>
              <w:t>I learned about the attributes and standards of community engagement</w:t>
            </w:r>
          </w:p>
        </w:tc>
        <w:tc>
          <w:tcPr>
            <w:tcW w:w="4463" w:type="dxa"/>
            <w:tcBorders>
              <w:bottom w:val="single" w:sz="4" w:space="0" w:color="auto"/>
            </w:tcBorders>
          </w:tcPr>
          <w:p w:rsidR="00F53388" w:rsidRPr="00F53388" w:rsidRDefault="00F53388" w:rsidP="00F53388">
            <w:pPr>
              <w:rPr>
                <w:b/>
              </w:rPr>
            </w:pPr>
            <w:r w:rsidRPr="00F53388">
              <w:rPr>
                <w:b/>
              </w:rPr>
              <w:t>For my future projects I will make sure the approaches can be implemented,adopted and standardised</w:t>
            </w:r>
          </w:p>
        </w:tc>
      </w:tr>
      <w:tr w:rsidR="00F53388" w:rsidRPr="00F53388" w:rsidTr="003353DA">
        <w:trPr>
          <w:trHeight w:val="721"/>
        </w:trPr>
        <w:tc>
          <w:tcPr>
            <w:tcW w:w="1209" w:type="dxa"/>
            <w:tcBorders>
              <w:bottom w:val="single" w:sz="4" w:space="0" w:color="auto"/>
            </w:tcBorders>
          </w:tcPr>
          <w:p w:rsidR="00F53388" w:rsidRPr="00F53388" w:rsidRDefault="00F53388" w:rsidP="00F53388">
            <w:pPr>
              <w:rPr>
                <w:b/>
              </w:rPr>
            </w:pPr>
            <w:r w:rsidRPr="00F53388">
              <w:rPr>
                <w:b/>
              </w:rPr>
              <w:t>Week 5</w:t>
            </w:r>
          </w:p>
          <w:p w:rsidR="00F53388" w:rsidRPr="00F53388" w:rsidRDefault="00F53388" w:rsidP="00F53388">
            <w:pPr>
              <w:rPr>
                <w:b/>
              </w:rPr>
            </w:pPr>
            <w:r w:rsidRPr="00F53388">
              <w:rPr>
                <w:b/>
              </w:rPr>
              <w:t>14 Feb</w:t>
            </w:r>
          </w:p>
        </w:tc>
        <w:tc>
          <w:tcPr>
            <w:tcW w:w="1859" w:type="dxa"/>
            <w:tcBorders>
              <w:bottom w:val="single" w:sz="4" w:space="0" w:color="auto"/>
            </w:tcBorders>
          </w:tcPr>
          <w:p w:rsidR="00F53388" w:rsidRPr="00F53388" w:rsidRDefault="00F53388" w:rsidP="00F53388">
            <w:pPr>
              <w:rPr>
                <w:b/>
              </w:rPr>
            </w:pPr>
            <w:r w:rsidRPr="00F53388">
              <w:rPr>
                <w:b/>
              </w:rPr>
              <w:t>Tools and Platforms for Community engagement</w:t>
            </w:r>
          </w:p>
        </w:tc>
        <w:tc>
          <w:tcPr>
            <w:tcW w:w="1813" w:type="dxa"/>
            <w:tcBorders>
              <w:bottom w:val="single" w:sz="4" w:space="0" w:color="auto"/>
            </w:tcBorders>
          </w:tcPr>
          <w:p w:rsidR="00F53388" w:rsidRPr="00F53388" w:rsidRDefault="00F53388" w:rsidP="00F53388">
            <w:pPr>
              <w:rPr>
                <w:b/>
              </w:rPr>
            </w:pPr>
            <w:r w:rsidRPr="00F53388">
              <w:rPr>
                <w:b/>
              </w:rPr>
              <w:t>Because tools and Platforms are one of the most important concepts to follow</w:t>
            </w:r>
          </w:p>
        </w:tc>
        <w:tc>
          <w:tcPr>
            <w:tcW w:w="4463" w:type="dxa"/>
            <w:tcBorders>
              <w:bottom w:val="single" w:sz="4" w:space="0" w:color="auto"/>
            </w:tcBorders>
          </w:tcPr>
          <w:p w:rsidR="00F53388" w:rsidRPr="00F53388" w:rsidRDefault="00F53388" w:rsidP="00F53388">
            <w:pPr>
              <w:rPr>
                <w:b/>
              </w:rPr>
            </w:pPr>
            <w:r w:rsidRPr="00F53388">
              <w:rPr>
                <w:b/>
              </w:rPr>
              <w:t>I learned to gain a better understanding of what,when and how to deploy the different tools and platforms</w:t>
            </w:r>
          </w:p>
        </w:tc>
        <w:tc>
          <w:tcPr>
            <w:tcW w:w="4463" w:type="dxa"/>
            <w:tcBorders>
              <w:bottom w:val="single" w:sz="4" w:space="0" w:color="auto"/>
            </w:tcBorders>
          </w:tcPr>
          <w:p w:rsidR="00F53388" w:rsidRPr="00F53388" w:rsidRDefault="00F53388" w:rsidP="00F53388">
            <w:pPr>
              <w:rPr>
                <w:b/>
              </w:rPr>
            </w:pPr>
            <w:r w:rsidRPr="00F53388">
              <w:rPr>
                <w:b/>
              </w:rPr>
              <w:t xml:space="preserve">I will know how to apply the different tools and platforms used in community engagement </w:t>
            </w:r>
          </w:p>
        </w:tc>
      </w:tr>
      <w:tr w:rsidR="00F53388" w:rsidRPr="00F53388" w:rsidTr="003353DA">
        <w:trPr>
          <w:trHeight w:val="721"/>
        </w:trPr>
        <w:tc>
          <w:tcPr>
            <w:tcW w:w="1209" w:type="dxa"/>
            <w:tcBorders>
              <w:bottom w:val="single" w:sz="4" w:space="0" w:color="auto"/>
            </w:tcBorders>
          </w:tcPr>
          <w:p w:rsidR="00F53388" w:rsidRPr="00F53388" w:rsidRDefault="00F53388" w:rsidP="00F53388">
            <w:pPr>
              <w:rPr>
                <w:b/>
              </w:rPr>
            </w:pPr>
            <w:r w:rsidRPr="00F53388">
              <w:rPr>
                <w:b/>
              </w:rPr>
              <w:t>Week 6</w:t>
            </w:r>
          </w:p>
          <w:p w:rsidR="00F53388" w:rsidRPr="00F53388" w:rsidRDefault="00F53388" w:rsidP="00F53388">
            <w:pPr>
              <w:rPr>
                <w:b/>
              </w:rPr>
            </w:pPr>
            <w:r w:rsidRPr="00F53388">
              <w:rPr>
                <w:b/>
              </w:rPr>
              <w:t>21 Feb</w:t>
            </w:r>
          </w:p>
        </w:tc>
        <w:tc>
          <w:tcPr>
            <w:tcW w:w="1859" w:type="dxa"/>
            <w:tcBorders>
              <w:bottom w:val="single" w:sz="4" w:space="0" w:color="auto"/>
            </w:tcBorders>
          </w:tcPr>
          <w:p w:rsidR="00F53388" w:rsidRPr="00F53388" w:rsidRDefault="00F53388" w:rsidP="00F53388">
            <w:pPr>
              <w:rPr>
                <w:b/>
              </w:rPr>
            </w:pPr>
            <w:r w:rsidRPr="00F53388">
              <w:rPr>
                <w:b/>
              </w:rPr>
              <w:t>Sustainable Community engagement</w:t>
            </w:r>
          </w:p>
        </w:tc>
        <w:tc>
          <w:tcPr>
            <w:tcW w:w="1813" w:type="dxa"/>
            <w:tcBorders>
              <w:bottom w:val="single" w:sz="4" w:space="0" w:color="auto"/>
            </w:tcBorders>
          </w:tcPr>
          <w:p w:rsidR="00F53388" w:rsidRPr="00F53388" w:rsidRDefault="00F53388" w:rsidP="00F53388">
            <w:pPr>
              <w:rPr>
                <w:b/>
              </w:rPr>
            </w:pPr>
            <w:r w:rsidRPr="00F53388">
              <w:rPr>
                <w:b/>
              </w:rPr>
              <w:t xml:space="preserve">Because is good for now and for the future </w:t>
            </w:r>
          </w:p>
        </w:tc>
        <w:tc>
          <w:tcPr>
            <w:tcW w:w="4463" w:type="dxa"/>
            <w:tcBorders>
              <w:bottom w:val="single" w:sz="4" w:space="0" w:color="auto"/>
            </w:tcBorders>
          </w:tcPr>
          <w:p w:rsidR="00F53388" w:rsidRPr="00F53388" w:rsidRDefault="00F53388" w:rsidP="00F53388">
            <w:pPr>
              <w:rPr>
                <w:b/>
              </w:rPr>
            </w:pPr>
            <w:r w:rsidRPr="00F53388">
              <w:rPr>
                <w:b/>
              </w:rPr>
              <w:t>I understood the benefits of sustainable community engagement</w:t>
            </w:r>
          </w:p>
        </w:tc>
        <w:tc>
          <w:tcPr>
            <w:tcW w:w="4463" w:type="dxa"/>
            <w:tcBorders>
              <w:bottom w:val="single" w:sz="4" w:space="0" w:color="auto"/>
            </w:tcBorders>
          </w:tcPr>
          <w:p w:rsidR="00F53388" w:rsidRPr="00F53388" w:rsidRDefault="00F53388" w:rsidP="00F53388">
            <w:pPr>
              <w:rPr>
                <w:b/>
              </w:rPr>
            </w:pPr>
            <w:r w:rsidRPr="00F53388">
              <w:rPr>
                <w:b/>
              </w:rPr>
              <w:t>In the future I will use my knowledge about the benefits of sustainability in my successful projects archivments and developments</w:t>
            </w:r>
          </w:p>
        </w:tc>
      </w:tr>
      <w:tr w:rsidR="00F53388" w:rsidRPr="00F53388" w:rsidTr="003353DA">
        <w:trPr>
          <w:trHeight w:val="721"/>
        </w:trPr>
        <w:tc>
          <w:tcPr>
            <w:tcW w:w="1209" w:type="dxa"/>
            <w:tcBorders>
              <w:bottom w:val="single" w:sz="4" w:space="0" w:color="auto"/>
            </w:tcBorders>
          </w:tcPr>
          <w:p w:rsidR="00F53388" w:rsidRPr="00F53388" w:rsidRDefault="00F53388" w:rsidP="00F53388">
            <w:pPr>
              <w:rPr>
                <w:b/>
              </w:rPr>
            </w:pPr>
            <w:r w:rsidRPr="00F53388">
              <w:rPr>
                <w:b/>
              </w:rPr>
              <w:t>Week 7</w:t>
            </w:r>
          </w:p>
          <w:p w:rsidR="00F53388" w:rsidRPr="00F53388" w:rsidRDefault="00F53388" w:rsidP="00F53388">
            <w:pPr>
              <w:rPr>
                <w:b/>
              </w:rPr>
            </w:pPr>
            <w:r w:rsidRPr="00F53388">
              <w:rPr>
                <w:b/>
              </w:rPr>
              <w:t>28 Feb</w:t>
            </w:r>
          </w:p>
        </w:tc>
        <w:tc>
          <w:tcPr>
            <w:tcW w:w="1859" w:type="dxa"/>
            <w:tcBorders>
              <w:bottom w:val="single" w:sz="4" w:space="0" w:color="auto"/>
            </w:tcBorders>
          </w:tcPr>
          <w:p w:rsidR="00F53388" w:rsidRPr="00F53388" w:rsidRDefault="00F53388" w:rsidP="00F53388">
            <w:pPr>
              <w:rPr>
                <w:b/>
              </w:rPr>
            </w:pPr>
            <w:r w:rsidRPr="00F53388">
              <w:rPr>
                <w:b/>
              </w:rPr>
              <w:t>Impacts of effective Community engagement</w:t>
            </w:r>
          </w:p>
        </w:tc>
        <w:tc>
          <w:tcPr>
            <w:tcW w:w="1813" w:type="dxa"/>
            <w:tcBorders>
              <w:bottom w:val="single" w:sz="4" w:space="0" w:color="auto"/>
            </w:tcBorders>
          </w:tcPr>
          <w:p w:rsidR="00F53388" w:rsidRPr="00F53388" w:rsidRDefault="00F53388" w:rsidP="00F53388">
            <w:pPr>
              <w:rPr>
                <w:b/>
              </w:rPr>
            </w:pPr>
            <w:r w:rsidRPr="00F53388">
              <w:rPr>
                <w:b/>
              </w:rPr>
              <w:t>Because the change archived through effective community engagement is important</w:t>
            </w:r>
          </w:p>
        </w:tc>
        <w:tc>
          <w:tcPr>
            <w:tcW w:w="4463" w:type="dxa"/>
            <w:tcBorders>
              <w:bottom w:val="single" w:sz="4" w:space="0" w:color="auto"/>
            </w:tcBorders>
          </w:tcPr>
          <w:p w:rsidR="00F53388" w:rsidRPr="00F53388" w:rsidRDefault="00F53388" w:rsidP="00F53388">
            <w:pPr>
              <w:rPr>
                <w:b/>
              </w:rPr>
            </w:pPr>
            <w:r w:rsidRPr="00F53388">
              <w:rPr>
                <w:b/>
              </w:rPr>
              <w:t>I learned about the methods used in evaluating impacts of community engagement</w:t>
            </w:r>
          </w:p>
        </w:tc>
        <w:tc>
          <w:tcPr>
            <w:tcW w:w="4463" w:type="dxa"/>
            <w:tcBorders>
              <w:bottom w:val="single" w:sz="4" w:space="0" w:color="auto"/>
            </w:tcBorders>
          </w:tcPr>
          <w:p w:rsidR="00F53388" w:rsidRPr="00F53388" w:rsidRDefault="00F53388" w:rsidP="00F53388">
            <w:pPr>
              <w:rPr>
                <w:b/>
              </w:rPr>
            </w:pPr>
            <w:r w:rsidRPr="00F53388">
              <w:rPr>
                <w:b/>
              </w:rPr>
              <w:t>Regarding my future projects,I will know how the social impact are measured and I will use the appropriate methodes</w:t>
            </w:r>
          </w:p>
        </w:tc>
      </w:tr>
      <w:tr w:rsidR="00F53388" w:rsidRPr="00F53388" w:rsidTr="003353DA">
        <w:trPr>
          <w:trHeight w:val="721"/>
        </w:trPr>
        <w:tc>
          <w:tcPr>
            <w:tcW w:w="1209" w:type="dxa"/>
            <w:tcBorders>
              <w:bottom w:val="single" w:sz="4" w:space="0" w:color="auto"/>
            </w:tcBorders>
          </w:tcPr>
          <w:p w:rsidR="00F53388" w:rsidRPr="00F53388" w:rsidRDefault="00F53388" w:rsidP="00F53388">
            <w:pPr>
              <w:rPr>
                <w:b/>
              </w:rPr>
            </w:pPr>
            <w:r w:rsidRPr="00F53388">
              <w:rPr>
                <w:b/>
              </w:rPr>
              <w:t>Week 8</w:t>
            </w:r>
          </w:p>
          <w:p w:rsidR="00F53388" w:rsidRPr="00F53388" w:rsidRDefault="00F53388" w:rsidP="00F53388">
            <w:pPr>
              <w:rPr>
                <w:b/>
              </w:rPr>
            </w:pPr>
            <w:r w:rsidRPr="00F53388">
              <w:rPr>
                <w:b/>
              </w:rPr>
              <w:t>7 Mar</w:t>
            </w:r>
          </w:p>
        </w:tc>
        <w:tc>
          <w:tcPr>
            <w:tcW w:w="1859" w:type="dxa"/>
            <w:tcBorders>
              <w:bottom w:val="single" w:sz="4" w:space="0" w:color="auto"/>
            </w:tcBorders>
          </w:tcPr>
          <w:p w:rsidR="00F53388" w:rsidRPr="00F53388" w:rsidRDefault="00F53388" w:rsidP="00F53388">
            <w:pPr>
              <w:rPr>
                <w:b/>
              </w:rPr>
            </w:pPr>
            <w:r w:rsidRPr="00F53388">
              <w:rPr>
                <w:b/>
              </w:rPr>
              <w:t>Reflection and learning styles-work shop-Assigment nr.2</w:t>
            </w:r>
          </w:p>
        </w:tc>
        <w:tc>
          <w:tcPr>
            <w:tcW w:w="1813" w:type="dxa"/>
            <w:tcBorders>
              <w:bottom w:val="single" w:sz="4" w:space="0" w:color="auto"/>
            </w:tcBorders>
          </w:tcPr>
          <w:p w:rsidR="00F53388" w:rsidRPr="00F53388" w:rsidRDefault="00F53388" w:rsidP="00F53388">
            <w:pPr>
              <w:rPr>
                <w:b/>
              </w:rPr>
            </w:pPr>
            <w:r w:rsidRPr="00F53388">
              <w:rPr>
                <w:b/>
              </w:rPr>
              <w:t xml:space="preserve">Because reflections are a set of abilities orientated to </w:t>
            </w:r>
            <w:r w:rsidRPr="00F53388">
              <w:rPr>
                <w:b/>
              </w:rPr>
              <w:lastRenderedPageBreak/>
              <w:t>problem solving</w:t>
            </w:r>
          </w:p>
        </w:tc>
        <w:tc>
          <w:tcPr>
            <w:tcW w:w="4463" w:type="dxa"/>
            <w:tcBorders>
              <w:bottom w:val="single" w:sz="4" w:space="0" w:color="auto"/>
            </w:tcBorders>
          </w:tcPr>
          <w:p w:rsidR="00F53388" w:rsidRPr="00F53388" w:rsidRDefault="00F53388" w:rsidP="00F53388">
            <w:pPr>
              <w:rPr>
                <w:b/>
              </w:rPr>
            </w:pPr>
            <w:r w:rsidRPr="00F53388">
              <w:rPr>
                <w:b/>
              </w:rPr>
              <w:lastRenderedPageBreak/>
              <w:t>Because is an effective tool helpful to bring theory to practice</w:t>
            </w:r>
          </w:p>
        </w:tc>
        <w:tc>
          <w:tcPr>
            <w:tcW w:w="4463" w:type="dxa"/>
            <w:tcBorders>
              <w:bottom w:val="single" w:sz="4" w:space="0" w:color="auto"/>
            </w:tcBorders>
          </w:tcPr>
          <w:p w:rsidR="00F53388" w:rsidRPr="00F53388" w:rsidRDefault="00F53388" w:rsidP="00F53388">
            <w:pPr>
              <w:rPr>
                <w:b/>
              </w:rPr>
            </w:pPr>
            <w:r w:rsidRPr="00F53388">
              <w:rPr>
                <w:b/>
              </w:rPr>
              <w:t>Because reflections give me guidance choices for future,help me to understand better what I already know making me to apply my knowledge accordingly</w:t>
            </w:r>
          </w:p>
        </w:tc>
      </w:tr>
    </w:tbl>
    <w:p w:rsidR="00F53388" w:rsidRPr="00F53388" w:rsidRDefault="00F53388" w:rsidP="00F53388"/>
    <w:p w:rsidR="00856EC6" w:rsidRPr="00856EC6" w:rsidRDefault="00856EC6" w:rsidP="00623C09">
      <w:bookmarkStart w:id="8" w:name="_GoBack"/>
      <w:bookmarkEnd w:id="8"/>
    </w:p>
    <w:sectPr w:rsidR="00856EC6" w:rsidRPr="00856EC6">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6150" w:rsidRDefault="000E6150">
      <w:pPr>
        <w:spacing w:after="0" w:line="240" w:lineRule="auto"/>
      </w:pPr>
      <w:r>
        <w:separator/>
      </w:r>
    </w:p>
  </w:endnote>
  <w:endnote w:type="continuationSeparator" w:id="0">
    <w:p w:rsidR="000E6150" w:rsidRDefault="000E6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5806868"/>
      <w:docPartObj>
        <w:docPartGallery w:val="Page Numbers (Bottom of Page)"/>
        <w:docPartUnique/>
      </w:docPartObj>
    </w:sdtPr>
    <w:sdtEndPr>
      <w:rPr>
        <w:noProof/>
      </w:rPr>
    </w:sdtEndPr>
    <w:sdtContent>
      <w:p w:rsidR="0096729F" w:rsidRDefault="00283BC5">
        <w:pPr>
          <w:pStyle w:val="Footer"/>
          <w:jc w:val="right"/>
        </w:pPr>
        <w:r>
          <w:fldChar w:fldCharType="begin"/>
        </w:r>
        <w:r>
          <w:instrText xml:space="preserve"> PAGE   \* MERGEFORMAT </w:instrText>
        </w:r>
        <w:r>
          <w:fldChar w:fldCharType="separate"/>
        </w:r>
        <w:r w:rsidR="00240725">
          <w:rPr>
            <w:noProof/>
          </w:rPr>
          <w:t>7</w:t>
        </w:r>
        <w:r>
          <w:rPr>
            <w:noProof/>
          </w:rPr>
          <w:fldChar w:fldCharType="end"/>
        </w:r>
      </w:p>
    </w:sdtContent>
  </w:sdt>
  <w:p w:rsidR="0096729F" w:rsidRDefault="0096729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6150" w:rsidRDefault="000E6150">
      <w:pPr>
        <w:spacing w:after="0" w:line="240" w:lineRule="auto"/>
      </w:pPr>
      <w:r>
        <w:separator/>
      </w:r>
    </w:p>
  </w:footnote>
  <w:footnote w:type="continuationSeparator" w:id="0">
    <w:p w:rsidR="000E6150" w:rsidRDefault="000E61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395F" w:rsidRDefault="00283BC5">
    <w:pPr>
      <w:pStyle w:val="Header"/>
    </w:pPr>
    <w:r>
      <w:rPr>
        <w:noProof/>
        <w:lang w:eastAsia="en-GB"/>
      </w:rPr>
      <w:drawing>
        <wp:inline distT="0" distB="0" distL="0" distR="0">
          <wp:extent cx="1017821" cy="404449"/>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tretch>
                    <a:fillRect/>
                  </a:stretch>
                </pic:blipFill>
                <pic:spPr bwMode="auto">
                  <a:xfrm>
                    <a:off x="0" y="0"/>
                    <a:ext cx="1047494" cy="4162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ED3A70"/>
    <w:multiLevelType w:val="hybridMultilevel"/>
    <w:tmpl w:val="57B657E6"/>
    <w:lvl w:ilvl="0" w:tplc="83C0BE9A">
      <w:start w:val="1"/>
      <w:numFmt w:val="bullet"/>
      <w:lvlText w:val=""/>
      <w:lvlJc w:val="left"/>
      <w:pPr>
        <w:ind w:left="720" w:hanging="360"/>
      </w:pPr>
      <w:rPr>
        <w:rFonts w:ascii="Symbol" w:hAnsi="Symbol" w:hint="default"/>
      </w:rPr>
    </w:lvl>
    <w:lvl w:ilvl="1" w:tplc="B14A14D8" w:tentative="1">
      <w:start w:val="1"/>
      <w:numFmt w:val="bullet"/>
      <w:lvlText w:val="o"/>
      <w:lvlJc w:val="left"/>
      <w:pPr>
        <w:ind w:left="1440" w:hanging="360"/>
      </w:pPr>
      <w:rPr>
        <w:rFonts w:ascii="Courier New" w:hAnsi="Courier New" w:cs="Courier New" w:hint="default"/>
      </w:rPr>
    </w:lvl>
    <w:lvl w:ilvl="2" w:tplc="12E674E6" w:tentative="1">
      <w:start w:val="1"/>
      <w:numFmt w:val="bullet"/>
      <w:lvlText w:val=""/>
      <w:lvlJc w:val="left"/>
      <w:pPr>
        <w:ind w:left="2160" w:hanging="360"/>
      </w:pPr>
      <w:rPr>
        <w:rFonts w:ascii="Wingdings" w:hAnsi="Wingdings" w:hint="default"/>
      </w:rPr>
    </w:lvl>
    <w:lvl w:ilvl="3" w:tplc="2470599E" w:tentative="1">
      <w:start w:val="1"/>
      <w:numFmt w:val="bullet"/>
      <w:lvlText w:val=""/>
      <w:lvlJc w:val="left"/>
      <w:pPr>
        <w:ind w:left="2880" w:hanging="360"/>
      </w:pPr>
      <w:rPr>
        <w:rFonts w:ascii="Symbol" w:hAnsi="Symbol" w:hint="default"/>
      </w:rPr>
    </w:lvl>
    <w:lvl w:ilvl="4" w:tplc="983E3242" w:tentative="1">
      <w:start w:val="1"/>
      <w:numFmt w:val="bullet"/>
      <w:lvlText w:val="o"/>
      <w:lvlJc w:val="left"/>
      <w:pPr>
        <w:ind w:left="3600" w:hanging="360"/>
      </w:pPr>
      <w:rPr>
        <w:rFonts w:ascii="Courier New" w:hAnsi="Courier New" w:cs="Courier New" w:hint="default"/>
      </w:rPr>
    </w:lvl>
    <w:lvl w:ilvl="5" w:tplc="64FEC880" w:tentative="1">
      <w:start w:val="1"/>
      <w:numFmt w:val="bullet"/>
      <w:lvlText w:val=""/>
      <w:lvlJc w:val="left"/>
      <w:pPr>
        <w:ind w:left="4320" w:hanging="360"/>
      </w:pPr>
      <w:rPr>
        <w:rFonts w:ascii="Wingdings" w:hAnsi="Wingdings" w:hint="default"/>
      </w:rPr>
    </w:lvl>
    <w:lvl w:ilvl="6" w:tplc="72C8C204" w:tentative="1">
      <w:start w:val="1"/>
      <w:numFmt w:val="bullet"/>
      <w:lvlText w:val=""/>
      <w:lvlJc w:val="left"/>
      <w:pPr>
        <w:ind w:left="5040" w:hanging="360"/>
      </w:pPr>
      <w:rPr>
        <w:rFonts w:ascii="Symbol" w:hAnsi="Symbol" w:hint="default"/>
      </w:rPr>
    </w:lvl>
    <w:lvl w:ilvl="7" w:tplc="BDEC9DC8" w:tentative="1">
      <w:start w:val="1"/>
      <w:numFmt w:val="bullet"/>
      <w:lvlText w:val="o"/>
      <w:lvlJc w:val="left"/>
      <w:pPr>
        <w:ind w:left="5760" w:hanging="360"/>
      </w:pPr>
      <w:rPr>
        <w:rFonts w:ascii="Courier New" w:hAnsi="Courier New" w:cs="Courier New" w:hint="default"/>
      </w:rPr>
    </w:lvl>
    <w:lvl w:ilvl="8" w:tplc="B3042086" w:tentative="1">
      <w:start w:val="1"/>
      <w:numFmt w:val="bullet"/>
      <w:lvlText w:val=""/>
      <w:lvlJc w:val="left"/>
      <w:pPr>
        <w:ind w:left="6480" w:hanging="360"/>
      </w:pPr>
      <w:rPr>
        <w:rFonts w:ascii="Wingdings" w:hAnsi="Wingdings" w:hint="default"/>
      </w:rPr>
    </w:lvl>
  </w:abstractNum>
  <w:abstractNum w:abstractNumId="1" w15:restartNumberingAfterBreak="0">
    <w:nsid w:val="3DF17F68"/>
    <w:multiLevelType w:val="hybridMultilevel"/>
    <w:tmpl w:val="1B0CDEBA"/>
    <w:lvl w:ilvl="0" w:tplc="FAD67576">
      <w:start w:val="1"/>
      <w:numFmt w:val="bullet"/>
      <w:lvlText w:val=""/>
      <w:lvlJc w:val="left"/>
      <w:pPr>
        <w:ind w:left="720" w:hanging="360"/>
      </w:pPr>
      <w:rPr>
        <w:rFonts w:ascii="Symbol" w:hAnsi="Symbol" w:hint="default"/>
      </w:rPr>
    </w:lvl>
    <w:lvl w:ilvl="1" w:tplc="8D50CA98" w:tentative="1">
      <w:start w:val="1"/>
      <w:numFmt w:val="bullet"/>
      <w:lvlText w:val="o"/>
      <w:lvlJc w:val="left"/>
      <w:pPr>
        <w:ind w:left="1440" w:hanging="360"/>
      </w:pPr>
      <w:rPr>
        <w:rFonts w:ascii="Courier New" w:hAnsi="Courier New" w:cs="Courier New" w:hint="default"/>
      </w:rPr>
    </w:lvl>
    <w:lvl w:ilvl="2" w:tplc="B5B68540" w:tentative="1">
      <w:start w:val="1"/>
      <w:numFmt w:val="bullet"/>
      <w:lvlText w:val=""/>
      <w:lvlJc w:val="left"/>
      <w:pPr>
        <w:ind w:left="2160" w:hanging="360"/>
      </w:pPr>
      <w:rPr>
        <w:rFonts w:ascii="Wingdings" w:hAnsi="Wingdings" w:hint="default"/>
      </w:rPr>
    </w:lvl>
    <w:lvl w:ilvl="3" w:tplc="8C88A030" w:tentative="1">
      <w:start w:val="1"/>
      <w:numFmt w:val="bullet"/>
      <w:lvlText w:val=""/>
      <w:lvlJc w:val="left"/>
      <w:pPr>
        <w:ind w:left="2880" w:hanging="360"/>
      </w:pPr>
      <w:rPr>
        <w:rFonts w:ascii="Symbol" w:hAnsi="Symbol" w:hint="default"/>
      </w:rPr>
    </w:lvl>
    <w:lvl w:ilvl="4" w:tplc="DF6E2B78" w:tentative="1">
      <w:start w:val="1"/>
      <w:numFmt w:val="bullet"/>
      <w:lvlText w:val="o"/>
      <w:lvlJc w:val="left"/>
      <w:pPr>
        <w:ind w:left="3600" w:hanging="360"/>
      </w:pPr>
      <w:rPr>
        <w:rFonts w:ascii="Courier New" w:hAnsi="Courier New" w:cs="Courier New" w:hint="default"/>
      </w:rPr>
    </w:lvl>
    <w:lvl w:ilvl="5" w:tplc="F732CA58" w:tentative="1">
      <w:start w:val="1"/>
      <w:numFmt w:val="bullet"/>
      <w:lvlText w:val=""/>
      <w:lvlJc w:val="left"/>
      <w:pPr>
        <w:ind w:left="4320" w:hanging="360"/>
      </w:pPr>
      <w:rPr>
        <w:rFonts w:ascii="Wingdings" w:hAnsi="Wingdings" w:hint="default"/>
      </w:rPr>
    </w:lvl>
    <w:lvl w:ilvl="6" w:tplc="3054755C" w:tentative="1">
      <w:start w:val="1"/>
      <w:numFmt w:val="bullet"/>
      <w:lvlText w:val=""/>
      <w:lvlJc w:val="left"/>
      <w:pPr>
        <w:ind w:left="5040" w:hanging="360"/>
      </w:pPr>
      <w:rPr>
        <w:rFonts w:ascii="Symbol" w:hAnsi="Symbol" w:hint="default"/>
      </w:rPr>
    </w:lvl>
    <w:lvl w:ilvl="7" w:tplc="C7C6B1D2" w:tentative="1">
      <w:start w:val="1"/>
      <w:numFmt w:val="bullet"/>
      <w:lvlText w:val="o"/>
      <w:lvlJc w:val="left"/>
      <w:pPr>
        <w:ind w:left="5760" w:hanging="360"/>
      </w:pPr>
      <w:rPr>
        <w:rFonts w:ascii="Courier New" w:hAnsi="Courier New" w:cs="Courier New" w:hint="default"/>
      </w:rPr>
    </w:lvl>
    <w:lvl w:ilvl="8" w:tplc="5EFEB974"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607"/>
    <w:rsid w:val="0008364F"/>
    <w:rsid w:val="000E0F79"/>
    <w:rsid w:val="000E6150"/>
    <w:rsid w:val="00102590"/>
    <w:rsid w:val="001575B1"/>
    <w:rsid w:val="0017357D"/>
    <w:rsid w:val="001B54B5"/>
    <w:rsid w:val="001C7967"/>
    <w:rsid w:val="001E506E"/>
    <w:rsid w:val="00206E38"/>
    <w:rsid w:val="00215380"/>
    <w:rsid w:val="00240725"/>
    <w:rsid w:val="00283BC5"/>
    <w:rsid w:val="00314667"/>
    <w:rsid w:val="0032668B"/>
    <w:rsid w:val="0034001B"/>
    <w:rsid w:val="00382FE3"/>
    <w:rsid w:val="003F40F2"/>
    <w:rsid w:val="005251B8"/>
    <w:rsid w:val="005E3DF3"/>
    <w:rsid w:val="006104C2"/>
    <w:rsid w:val="00623C09"/>
    <w:rsid w:val="00680E12"/>
    <w:rsid w:val="006B3591"/>
    <w:rsid w:val="00781280"/>
    <w:rsid w:val="007A3132"/>
    <w:rsid w:val="007D0A0C"/>
    <w:rsid w:val="007F3572"/>
    <w:rsid w:val="00856EC6"/>
    <w:rsid w:val="008779F8"/>
    <w:rsid w:val="0089395F"/>
    <w:rsid w:val="008C2CE6"/>
    <w:rsid w:val="0096729F"/>
    <w:rsid w:val="009B6607"/>
    <w:rsid w:val="00A25F46"/>
    <w:rsid w:val="00A33B75"/>
    <w:rsid w:val="00A60D6B"/>
    <w:rsid w:val="00A96950"/>
    <w:rsid w:val="00AA7FA8"/>
    <w:rsid w:val="00BA43F3"/>
    <w:rsid w:val="00BC4581"/>
    <w:rsid w:val="00BE3D51"/>
    <w:rsid w:val="00C00D49"/>
    <w:rsid w:val="00C13A26"/>
    <w:rsid w:val="00C476C5"/>
    <w:rsid w:val="00CF0F48"/>
    <w:rsid w:val="00CF69D2"/>
    <w:rsid w:val="00D359B0"/>
    <w:rsid w:val="00D952E8"/>
    <w:rsid w:val="00DE2AD7"/>
    <w:rsid w:val="00E61F84"/>
    <w:rsid w:val="00EA0ACE"/>
    <w:rsid w:val="00F00F2F"/>
    <w:rsid w:val="00F533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0E0C5"/>
  <w15:chartTrackingRefBased/>
  <w15:docId w15:val="{2E4E0C42-E5C3-4932-9D59-7B7979725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6950"/>
    <w:pPr>
      <w:spacing w:line="360" w:lineRule="auto"/>
      <w:jc w:val="both"/>
    </w:pPr>
    <w:rPr>
      <w:rFonts w:ascii="Arial" w:hAnsi="Arial"/>
      <w:lang w:val="en-GB"/>
    </w:rPr>
  </w:style>
  <w:style w:type="paragraph" w:styleId="Heading1">
    <w:name w:val="heading 1"/>
    <w:basedOn w:val="Normal"/>
    <w:next w:val="Normal"/>
    <w:link w:val="Heading1Char"/>
    <w:uiPriority w:val="9"/>
    <w:qFormat/>
    <w:rsid w:val="007A3132"/>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A3132"/>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3132"/>
    <w:rPr>
      <w:rFonts w:ascii="Arial" w:eastAsiaTheme="majorEastAsia" w:hAnsi="Arial" w:cstheme="majorBidi"/>
      <w:b/>
      <w:sz w:val="32"/>
      <w:szCs w:val="32"/>
      <w:lang w:val="en-GB"/>
    </w:rPr>
  </w:style>
  <w:style w:type="character" w:customStyle="1" w:styleId="Heading2Char">
    <w:name w:val="Heading 2 Char"/>
    <w:basedOn w:val="DefaultParagraphFont"/>
    <w:link w:val="Heading2"/>
    <w:uiPriority w:val="9"/>
    <w:rsid w:val="007A3132"/>
    <w:rPr>
      <w:rFonts w:ascii="Arial" w:eastAsiaTheme="majorEastAsia" w:hAnsi="Arial" w:cstheme="majorBidi"/>
      <w:b/>
      <w:sz w:val="28"/>
      <w:szCs w:val="26"/>
      <w:lang w:val="en-GB"/>
    </w:rPr>
  </w:style>
  <w:style w:type="paragraph" w:styleId="Header">
    <w:name w:val="header"/>
    <w:basedOn w:val="Normal"/>
    <w:link w:val="HeaderChar"/>
    <w:uiPriority w:val="99"/>
    <w:unhideWhenUsed/>
    <w:rsid w:val="008939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395F"/>
    <w:rPr>
      <w:rFonts w:ascii="Arial" w:hAnsi="Arial"/>
      <w:sz w:val="24"/>
      <w:lang w:val="en-GB"/>
    </w:rPr>
  </w:style>
  <w:style w:type="paragraph" w:styleId="Footer">
    <w:name w:val="footer"/>
    <w:basedOn w:val="Normal"/>
    <w:link w:val="FooterChar"/>
    <w:uiPriority w:val="99"/>
    <w:unhideWhenUsed/>
    <w:rsid w:val="008939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395F"/>
    <w:rPr>
      <w:rFonts w:ascii="Arial" w:hAnsi="Arial"/>
      <w:sz w:val="24"/>
      <w:lang w:val="en-GB"/>
    </w:rPr>
  </w:style>
  <w:style w:type="paragraph" w:styleId="Title">
    <w:name w:val="Title"/>
    <w:basedOn w:val="Normal"/>
    <w:next w:val="Normal"/>
    <w:link w:val="TitleChar"/>
    <w:uiPriority w:val="10"/>
    <w:qFormat/>
    <w:rsid w:val="00DE2AD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2AD7"/>
    <w:rPr>
      <w:rFonts w:asciiTheme="majorHAnsi" w:eastAsiaTheme="majorEastAsia" w:hAnsiTheme="majorHAnsi" w:cstheme="majorBidi"/>
      <w:spacing w:val="-10"/>
      <w:kern w:val="28"/>
      <w:sz w:val="56"/>
      <w:szCs w:val="56"/>
      <w:lang w:val="en-GB"/>
    </w:rPr>
  </w:style>
  <w:style w:type="paragraph" w:styleId="NormalWeb">
    <w:name w:val="Normal (Web)"/>
    <w:basedOn w:val="Normal"/>
    <w:uiPriority w:val="99"/>
    <w:semiHidden/>
    <w:unhideWhenUsed/>
    <w:rsid w:val="00EA0ACE"/>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7A3132"/>
    <w:pPr>
      <w:spacing w:line="259" w:lineRule="auto"/>
      <w:jc w:val="left"/>
      <w:outlineLvl w:val="9"/>
    </w:pPr>
    <w:rPr>
      <w:rFonts w:asciiTheme="majorHAnsi" w:hAnsiTheme="majorHAnsi"/>
      <w:color w:val="365F91" w:themeColor="accent1" w:themeShade="BF"/>
      <w:lang w:val="en-US"/>
    </w:rPr>
  </w:style>
  <w:style w:type="paragraph" w:styleId="TOC2">
    <w:name w:val="toc 2"/>
    <w:basedOn w:val="Normal"/>
    <w:next w:val="Normal"/>
    <w:autoRedefine/>
    <w:uiPriority w:val="39"/>
    <w:unhideWhenUsed/>
    <w:rsid w:val="007A3132"/>
    <w:pPr>
      <w:spacing w:after="100"/>
      <w:ind w:left="220"/>
    </w:pPr>
  </w:style>
  <w:style w:type="character" w:styleId="Hyperlink">
    <w:name w:val="Hyperlink"/>
    <w:basedOn w:val="DefaultParagraphFont"/>
    <w:uiPriority w:val="99"/>
    <w:unhideWhenUsed/>
    <w:rsid w:val="007A3132"/>
    <w:rPr>
      <w:color w:val="0000FF" w:themeColor="hyperlink"/>
      <w:u w:val="single"/>
    </w:rPr>
  </w:style>
  <w:style w:type="paragraph" w:styleId="TOC1">
    <w:name w:val="toc 1"/>
    <w:basedOn w:val="Normal"/>
    <w:next w:val="Normal"/>
    <w:autoRedefine/>
    <w:uiPriority w:val="39"/>
    <w:unhideWhenUsed/>
    <w:rsid w:val="00680E12"/>
    <w:pPr>
      <w:spacing w:after="100"/>
    </w:pPr>
  </w:style>
  <w:style w:type="paragraph" w:styleId="ListParagraph">
    <w:name w:val="List Paragraph"/>
    <w:basedOn w:val="Normal"/>
    <w:uiPriority w:val="34"/>
    <w:qFormat/>
    <w:rsid w:val="003F40F2"/>
    <w:pPr>
      <w:ind w:left="720"/>
      <w:contextualSpacing/>
    </w:pPr>
  </w:style>
  <w:style w:type="paragraph" w:styleId="NoSpacing">
    <w:name w:val="No Spacing"/>
    <w:uiPriority w:val="1"/>
    <w:qFormat/>
    <w:rsid w:val="00F53388"/>
    <w:pPr>
      <w:spacing w:after="0" w:line="240" w:lineRule="auto"/>
      <w:jc w:val="both"/>
    </w:pPr>
    <w:rPr>
      <w:rFonts w:ascii="Arial" w:hAnsi="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53C2B-257D-46D2-B5CE-0482EEC19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2740</Words>
  <Characters>16029</Characters>
  <Application>Microsoft Office Word</Application>
  <DocSecurity>0</DocSecurity>
  <Lines>291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Andreea Pislariu</dc:creator>
  <cp:lastModifiedBy>Andreea</cp:lastModifiedBy>
  <cp:revision>2</cp:revision>
  <dcterms:created xsi:type="dcterms:W3CDTF">2023-03-28T19:19:00Z</dcterms:created>
  <dcterms:modified xsi:type="dcterms:W3CDTF">2023-03-28T19:19:00Z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ead67542492230cbc9acb106b2413895bbcd3883c5c5c5a0b70282ef0b616178</vt:lpwstr>
  </property>
</Properties>
</file>