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1877F" w14:textId="16F7DF6B" w:rsidR="000D302A" w:rsidRDefault="000D302A">
      <w:r>
        <w:t xml:space="preserve"> </w:t>
      </w:r>
    </w:p>
    <w:sdt>
      <w:sdtPr>
        <w:id w:val="834883912"/>
        <w:docPartObj>
          <w:docPartGallery w:val="Cover Pages"/>
          <w:docPartUnique/>
        </w:docPartObj>
      </w:sdtPr>
      <w:sdtContent>
        <w:p w14:paraId="02D1D622" w14:textId="64307691" w:rsidR="008E7210" w:rsidRDefault="00E347E8">
          <w:r>
            <w:rPr>
              <w:noProof/>
            </w:rPr>
            <w:drawing>
              <wp:anchor distT="0" distB="0" distL="114300" distR="114300" simplePos="0" relativeHeight="251663360" behindDoc="1" locked="0" layoutInCell="1" allowOverlap="1" wp14:anchorId="10A42418" wp14:editId="108B040F">
                <wp:simplePos x="0" y="0"/>
                <wp:positionH relativeFrom="margin">
                  <wp:posOffset>49530</wp:posOffset>
                </wp:positionH>
                <wp:positionV relativeFrom="margin">
                  <wp:posOffset>464453</wp:posOffset>
                </wp:positionV>
                <wp:extent cx="5731510" cy="3009265"/>
                <wp:effectExtent l="0" t="0" r="2540" b="635"/>
                <wp:wrapTight wrapText="bothSides">
                  <wp:wrapPolygon edited="0">
                    <wp:start x="0" y="0"/>
                    <wp:lineTo x="0" y="21468"/>
                    <wp:lineTo x="21538" y="21468"/>
                    <wp:lineTo x="21538" y="0"/>
                    <wp:lineTo x="0" y="0"/>
                  </wp:wrapPolygon>
                </wp:wrapTight>
                <wp:docPr id="798705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05546" name="Picture 798705546"/>
                        <pic:cNvPicPr/>
                      </pic:nvPicPr>
                      <pic:blipFill>
                        <a:blip r:embed="rId8">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14:sizeRelH relativeFrom="page">
                  <wp14:pctWidth>0</wp14:pctWidth>
                </wp14:sizeRelH>
                <wp14:sizeRelV relativeFrom="page">
                  <wp14:pctHeight>0</wp14:pctHeight>
                </wp14:sizeRelV>
              </wp:anchor>
            </w:drawing>
          </w:r>
          <w:r w:rsidR="008E7210">
            <w:rPr>
              <w:noProof/>
            </w:rPr>
            <mc:AlternateContent>
              <mc:Choice Requires="wpg">
                <w:drawing>
                  <wp:anchor distT="0" distB="0" distL="114300" distR="114300" simplePos="0" relativeHeight="251662336" behindDoc="0" locked="0" layoutInCell="1" allowOverlap="1" wp14:anchorId="4710839C" wp14:editId="5F95C66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D83900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sidR="008E7210">
            <w:rPr>
              <w:noProof/>
            </w:rPr>
            <mc:AlternateContent>
              <mc:Choice Requires="wps">
                <w:drawing>
                  <wp:anchor distT="0" distB="0" distL="114300" distR="114300" simplePos="0" relativeHeight="251660288" behindDoc="0" locked="0" layoutInCell="1" allowOverlap="1" wp14:anchorId="0FEA0A68" wp14:editId="209E043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3643BBD" w14:textId="7EB335F3" w:rsidR="008E7210" w:rsidRDefault="008E7210">
                                    <w:pPr>
                                      <w:pStyle w:val="NoSpacing"/>
                                      <w:jc w:val="right"/>
                                      <w:rPr>
                                        <w:color w:val="595959" w:themeColor="text1" w:themeTint="A6"/>
                                        <w:sz w:val="28"/>
                                        <w:szCs w:val="28"/>
                                      </w:rPr>
                                    </w:pPr>
                                    <w:r>
                                      <w:rPr>
                                        <w:color w:val="595959" w:themeColor="text1" w:themeTint="A6"/>
                                        <w:sz w:val="28"/>
                                        <w:szCs w:val="28"/>
                                      </w:rPr>
                                      <w:t>Constantin Ovidiu Strinu (2321711)</w:t>
                                    </w:r>
                                  </w:p>
                                </w:sdtContent>
                              </w:sdt>
                              <w:p w14:paraId="7754A4A3" w14:textId="3CAAEFE5" w:rsidR="008E721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40842">
                                      <w:rPr>
                                        <w:color w:val="595959" w:themeColor="text1" w:themeTint="A6"/>
                                        <w:sz w:val="18"/>
                                        <w:szCs w:val="18"/>
                                      </w:rPr>
                                      <w:t>2321711@student.uwtsd.ac.uk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FEA0A68"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3643BBD" w14:textId="7EB335F3" w:rsidR="008E7210" w:rsidRDefault="008E7210">
                              <w:pPr>
                                <w:pStyle w:val="NoSpacing"/>
                                <w:jc w:val="right"/>
                                <w:rPr>
                                  <w:color w:val="595959" w:themeColor="text1" w:themeTint="A6"/>
                                  <w:sz w:val="28"/>
                                  <w:szCs w:val="28"/>
                                </w:rPr>
                              </w:pPr>
                              <w:r>
                                <w:rPr>
                                  <w:color w:val="595959" w:themeColor="text1" w:themeTint="A6"/>
                                  <w:sz w:val="28"/>
                                  <w:szCs w:val="28"/>
                                </w:rPr>
                                <w:t>Constantin Ovidiu Strinu (2321711)</w:t>
                              </w:r>
                            </w:p>
                          </w:sdtContent>
                        </w:sdt>
                        <w:p w14:paraId="7754A4A3" w14:textId="3CAAEFE5" w:rsidR="008E721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40842">
                                <w:rPr>
                                  <w:color w:val="595959" w:themeColor="text1" w:themeTint="A6"/>
                                  <w:sz w:val="18"/>
                                  <w:szCs w:val="18"/>
                                </w:rPr>
                                <w:t>2321711@student.uwtsd.ac.uk</w:t>
                              </w:r>
                            </w:sdtContent>
                          </w:sdt>
                        </w:p>
                      </w:txbxContent>
                    </v:textbox>
                    <w10:wrap type="square" anchorx="page" anchory="page"/>
                  </v:shape>
                </w:pict>
              </mc:Fallback>
            </mc:AlternateContent>
          </w:r>
          <w:r w:rsidR="008E7210">
            <w:rPr>
              <w:noProof/>
            </w:rPr>
            <mc:AlternateContent>
              <mc:Choice Requires="wps">
                <w:drawing>
                  <wp:anchor distT="0" distB="0" distL="114300" distR="114300" simplePos="0" relativeHeight="251661312" behindDoc="0" locked="0" layoutInCell="1" allowOverlap="1" wp14:anchorId="69144995" wp14:editId="4A57BB4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0F1520" w14:textId="485C4AB7" w:rsidR="00DB4FAD" w:rsidRPr="00515774" w:rsidRDefault="00DB4FAD" w:rsidP="00DB4FAD">
                                <w:pPr>
                                  <w:spacing w:after="80"/>
                                  <w:jc w:val="center"/>
                                  <w:rPr>
                                    <w:b/>
                                    <w:bCs/>
                                    <w:color w:val="0F4761" w:themeColor="accent1" w:themeShade="BF"/>
                                  </w:rPr>
                                </w:pPr>
                                <w:r w:rsidRPr="00515774">
                                  <w:rPr>
                                    <w:b/>
                                    <w:bCs/>
                                    <w:color w:val="0F4761" w:themeColor="accent1" w:themeShade="BF"/>
                                  </w:rPr>
                                  <w:t xml:space="preserve">Module: ACCA6026 </w:t>
                                </w:r>
                                <w:r w:rsidR="00EE5D13" w:rsidRPr="00515774">
                                  <w:rPr>
                                    <w:b/>
                                    <w:bCs/>
                                    <w:color w:val="0F4761" w:themeColor="accent1" w:themeShade="BF"/>
                                  </w:rPr>
                                  <w:t xml:space="preserve">- </w:t>
                                </w:r>
                                <w:r w:rsidRPr="00515774">
                                  <w:rPr>
                                    <w:b/>
                                    <w:bCs/>
                                    <w:color w:val="0F4761" w:themeColor="accent1" w:themeShade="BF"/>
                                  </w:rPr>
                                  <w:t>Data Warehousing &amp; Data Mining</w:t>
                                </w:r>
                              </w:p>
                              <w:p w14:paraId="22134F0C" w14:textId="487C3D04" w:rsidR="00EE5D13" w:rsidRDefault="00EE5D13" w:rsidP="00EE5D13">
                                <w:pPr>
                                  <w:spacing w:after="80"/>
                                  <w:rPr>
                                    <w:b/>
                                    <w:bCs/>
                                    <w:color w:val="0F4761" w:themeColor="accent1" w:themeShade="BF"/>
                                  </w:rPr>
                                </w:pPr>
                                <w:r w:rsidRPr="00515774">
                                  <w:rPr>
                                    <w:b/>
                                    <w:bCs/>
                                    <w:color w:val="0F4761" w:themeColor="accent1" w:themeShade="BF"/>
                                  </w:rPr>
                                  <w:t xml:space="preserve">                  Assignment: Component 1 - Data Warehousing</w:t>
                                </w:r>
                              </w:p>
                              <w:p w14:paraId="3DAD8D03" w14:textId="29CFF07D" w:rsidR="00B81B4C" w:rsidRPr="00515774" w:rsidRDefault="00B81B4C" w:rsidP="00EE5D13">
                                <w:pPr>
                                  <w:spacing w:after="80"/>
                                  <w:rPr>
                                    <w:b/>
                                    <w:bCs/>
                                    <w:color w:val="0F4761" w:themeColor="accent1" w:themeShade="BF"/>
                                  </w:rPr>
                                </w:pPr>
                                <w:r>
                                  <w:rPr>
                                    <w:b/>
                                    <w:bCs/>
                                    <w:color w:val="0F4761" w:themeColor="accent1" w:themeShade="BF"/>
                                  </w:rPr>
                                  <w:t xml:space="preserve">                  </w:t>
                                </w:r>
                                <w:r w:rsidR="00C36D37">
                                  <w:rPr>
                                    <w:b/>
                                    <w:bCs/>
                                    <w:color w:val="0F4761" w:themeColor="accent1" w:themeShade="BF"/>
                                  </w:rPr>
                                  <w:t xml:space="preserve">Lecturer: </w:t>
                                </w:r>
                                <w:r w:rsidR="007F1EE5" w:rsidRPr="007F1EE5">
                                  <w:rPr>
                                    <w:b/>
                                    <w:bCs/>
                                    <w:color w:val="0F4761" w:themeColor="accent1" w:themeShade="BF"/>
                                  </w:rPr>
                                  <w:t>Rajeev Nath</w:t>
                                </w:r>
                              </w:p>
                              <w:p w14:paraId="053CFF66" w14:textId="79037792" w:rsidR="008E7210" w:rsidRPr="00515774" w:rsidRDefault="008E7210">
                                <w:pPr>
                                  <w:pStyle w:val="NoSpacing"/>
                                  <w:jc w:val="right"/>
                                  <w:rPr>
                                    <w:b/>
                                    <w:bCs/>
                                    <w:color w:val="0F4761" w:themeColor="accent1" w:themeShade="BF"/>
                                    <w:sz w:val="28"/>
                                    <w:szCs w:val="28"/>
                                  </w:rPr>
                                </w:pPr>
                              </w:p>
                              <w:sdt>
                                <w:sdtPr>
                                  <w:rPr>
                                    <w:b/>
                                    <w:bCs/>
                                    <w:color w:val="0F4761" w:themeColor="accent1" w:themeShade="BF"/>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01E9B0A" w14:textId="47B89944" w:rsidR="008E7210" w:rsidRPr="00515774" w:rsidRDefault="00DB4FAD">
                                    <w:pPr>
                                      <w:pStyle w:val="NoSpacing"/>
                                      <w:jc w:val="right"/>
                                      <w:rPr>
                                        <w:b/>
                                        <w:bCs/>
                                        <w:color w:val="0F4761" w:themeColor="accent1" w:themeShade="BF"/>
                                        <w:sz w:val="20"/>
                                        <w:szCs w:val="20"/>
                                      </w:rPr>
                                    </w:pPr>
                                    <w:r w:rsidRPr="00515774">
                                      <w:rPr>
                                        <w:b/>
                                        <w:bCs/>
                                        <w:color w:val="0F4761" w:themeColor="accent1" w:themeShade="BF"/>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9144995"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50F1520" w14:textId="485C4AB7" w:rsidR="00DB4FAD" w:rsidRPr="00515774" w:rsidRDefault="00DB4FAD" w:rsidP="00DB4FAD">
                          <w:pPr>
                            <w:spacing w:after="80"/>
                            <w:jc w:val="center"/>
                            <w:rPr>
                              <w:b/>
                              <w:bCs/>
                              <w:color w:val="0F4761" w:themeColor="accent1" w:themeShade="BF"/>
                            </w:rPr>
                          </w:pPr>
                          <w:r w:rsidRPr="00515774">
                            <w:rPr>
                              <w:b/>
                              <w:bCs/>
                              <w:color w:val="0F4761" w:themeColor="accent1" w:themeShade="BF"/>
                            </w:rPr>
                            <w:t xml:space="preserve">Module: ACCA6026 </w:t>
                          </w:r>
                          <w:r w:rsidR="00EE5D13" w:rsidRPr="00515774">
                            <w:rPr>
                              <w:b/>
                              <w:bCs/>
                              <w:color w:val="0F4761" w:themeColor="accent1" w:themeShade="BF"/>
                            </w:rPr>
                            <w:t xml:space="preserve">- </w:t>
                          </w:r>
                          <w:r w:rsidRPr="00515774">
                            <w:rPr>
                              <w:b/>
                              <w:bCs/>
                              <w:color w:val="0F4761" w:themeColor="accent1" w:themeShade="BF"/>
                            </w:rPr>
                            <w:t>Data Warehousing &amp; Data Mining</w:t>
                          </w:r>
                        </w:p>
                        <w:p w14:paraId="22134F0C" w14:textId="487C3D04" w:rsidR="00EE5D13" w:rsidRDefault="00EE5D13" w:rsidP="00EE5D13">
                          <w:pPr>
                            <w:spacing w:after="80"/>
                            <w:rPr>
                              <w:b/>
                              <w:bCs/>
                              <w:color w:val="0F4761" w:themeColor="accent1" w:themeShade="BF"/>
                            </w:rPr>
                          </w:pPr>
                          <w:r w:rsidRPr="00515774">
                            <w:rPr>
                              <w:b/>
                              <w:bCs/>
                              <w:color w:val="0F4761" w:themeColor="accent1" w:themeShade="BF"/>
                            </w:rPr>
                            <w:t xml:space="preserve">                  Assignment: Component 1 - Data Warehousing</w:t>
                          </w:r>
                        </w:p>
                        <w:p w14:paraId="3DAD8D03" w14:textId="29CFF07D" w:rsidR="00B81B4C" w:rsidRPr="00515774" w:rsidRDefault="00B81B4C" w:rsidP="00EE5D13">
                          <w:pPr>
                            <w:spacing w:after="80"/>
                            <w:rPr>
                              <w:b/>
                              <w:bCs/>
                              <w:color w:val="0F4761" w:themeColor="accent1" w:themeShade="BF"/>
                            </w:rPr>
                          </w:pPr>
                          <w:r>
                            <w:rPr>
                              <w:b/>
                              <w:bCs/>
                              <w:color w:val="0F4761" w:themeColor="accent1" w:themeShade="BF"/>
                            </w:rPr>
                            <w:t xml:space="preserve">                  </w:t>
                          </w:r>
                          <w:r w:rsidR="00C36D37">
                            <w:rPr>
                              <w:b/>
                              <w:bCs/>
                              <w:color w:val="0F4761" w:themeColor="accent1" w:themeShade="BF"/>
                            </w:rPr>
                            <w:t xml:space="preserve">Lecturer: </w:t>
                          </w:r>
                          <w:r w:rsidR="007F1EE5" w:rsidRPr="007F1EE5">
                            <w:rPr>
                              <w:b/>
                              <w:bCs/>
                              <w:color w:val="0F4761" w:themeColor="accent1" w:themeShade="BF"/>
                            </w:rPr>
                            <w:t>Rajeev Nath</w:t>
                          </w:r>
                        </w:p>
                        <w:p w14:paraId="053CFF66" w14:textId="79037792" w:rsidR="008E7210" w:rsidRPr="00515774" w:rsidRDefault="008E7210">
                          <w:pPr>
                            <w:pStyle w:val="NoSpacing"/>
                            <w:jc w:val="right"/>
                            <w:rPr>
                              <w:b/>
                              <w:bCs/>
                              <w:color w:val="0F4761" w:themeColor="accent1" w:themeShade="BF"/>
                              <w:sz w:val="28"/>
                              <w:szCs w:val="28"/>
                            </w:rPr>
                          </w:pPr>
                        </w:p>
                        <w:sdt>
                          <w:sdtPr>
                            <w:rPr>
                              <w:b/>
                              <w:bCs/>
                              <w:color w:val="0F4761" w:themeColor="accent1" w:themeShade="BF"/>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01E9B0A" w14:textId="47B89944" w:rsidR="008E7210" w:rsidRPr="00515774" w:rsidRDefault="00DB4FAD">
                              <w:pPr>
                                <w:pStyle w:val="NoSpacing"/>
                                <w:jc w:val="right"/>
                                <w:rPr>
                                  <w:b/>
                                  <w:bCs/>
                                  <w:color w:val="0F4761" w:themeColor="accent1" w:themeShade="BF"/>
                                  <w:sz w:val="20"/>
                                  <w:szCs w:val="20"/>
                                </w:rPr>
                              </w:pPr>
                              <w:r w:rsidRPr="00515774">
                                <w:rPr>
                                  <w:b/>
                                  <w:bCs/>
                                  <w:color w:val="0F4761" w:themeColor="accent1" w:themeShade="BF"/>
                                  <w:sz w:val="20"/>
                                  <w:szCs w:val="20"/>
                                </w:rPr>
                                <w:t xml:space="preserve">     </w:t>
                              </w:r>
                            </w:p>
                          </w:sdtContent>
                        </w:sdt>
                      </w:txbxContent>
                    </v:textbox>
                    <w10:wrap type="square" anchorx="page" anchory="page"/>
                  </v:shape>
                </w:pict>
              </mc:Fallback>
            </mc:AlternateContent>
          </w:r>
        </w:p>
        <w:p w14:paraId="3F03EE4F" w14:textId="7A6F7E5C" w:rsidR="008E7210" w:rsidRDefault="00C307B7">
          <w:r>
            <w:rPr>
              <w:noProof/>
            </w:rPr>
            <mc:AlternateContent>
              <mc:Choice Requires="wps">
                <w:drawing>
                  <wp:anchor distT="0" distB="0" distL="114300" distR="114300" simplePos="0" relativeHeight="251659264" behindDoc="0" locked="0" layoutInCell="1" allowOverlap="1" wp14:anchorId="22B8B76A" wp14:editId="1743F8EC">
                    <wp:simplePos x="0" y="0"/>
                    <wp:positionH relativeFrom="page">
                      <wp:posOffset>221993</wp:posOffset>
                    </wp:positionH>
                    <wp:positionV relativeFrom="page">
                      <wp:posOffset>4593142</wp:posOffset>
                    </wp:positionV>
                    <wp:extent cx="7315200" cy="1754505"/>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7545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2E7DD8" w14:textId="70FCFBC8" w:rsidR="008E7210" w:rsidRDefault="00000000" w:rsidP="002B6451">
                                <w:pPr>
                                  <w:rPr>
                                    <w:color w:val="156082" w:themeColor="accent1"/>
                                    <w:sz w:val="64"/>
                                    <w:szCs w:val="64"/>
                                  </w:rPr>
                                </w:pPr>
                                <w:sdt>
                                  <w:sdtPr>
                                    <w:rPr>
                                      <w:b/>
                                      <w:bCs/>
                                      <w:color w:val="1B3A5C"/>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307B7" w:rsidRPr="00C307B7">
                                      <w:rPr>
                                        <w:b/>
                                        <w:bCs/>
                                        <w:color w:val="1B3A5C"/>
                                        <w:sz w:val="40"/>
                                        <w:szCs w:val="40"/>
                                      </w:rPr>
                                      <w:t>Strategic Data Warehousing for NHS</w:t>
                                    </w:r>
                                    <w:r w:rsidR="00C307B7">
                                      <w:rPr>
                                        <w:b/>
                                        <w:bCs/>
                                        <w:color w:val="1B3A5C"/>
                                        <w:sz w:val="40"/>
                                        <w:szCs w:val="40"/>
                                      </w:rPr>
                                      <w:t xml:space="preserve"> </w:t>
                                    </w:r>
                                    <w:r w:rsidR="00C307B7" w:rsidRPr="00C307B7">
                                      <w:rPr>
                                        <w:b/>
                                        <w:bCs/>
                                        <w:color w:val="1B3A5C"/>
                                        <w:sz w:val="40"/>
                                        <w:szCs w:val="40"/>
                                      </w:rPr>
                                      <w:t>England</w:t>
                                    </w:r>
                                  </w:sdtContent>
                                </w:sdt>
                              </w:p>
                              <w:sdt>
                                <w:sdtPr>
                                  <w:rPr>
                                    <w:rFonts w:ascii="Calibri" w:eastAsia="Calibri" w:hAnsi="Calibri" w:cs="Calibri"/>
                                    <w:b/>
                                    <w:bCs/>
                                    <w:color w:val="1B3A5C"/>
                                    <w:kern w:val="0"/>
                                    <w:sz w:val="30"/>
                                    <w:szCs w:val="30"/>
                                    <w:lang w:eastAsia="en-GB"/>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F9E6536" w14:textId="0E80691D" w:rsidR="008E7210" w:rsidRDefault="002B6451" w:rsidP="002B6451">
                                    <w:pPr>
                                      <w:rPr>
                                        <w:smallCaps/>
                                        <w:color w:val="404040" w:themeColor="text1" w:themeTint="BF"/>
                                        <w:sz w:val="36"/>
                                        <w:szCs w:val="36"/>
                                      </w:rPr>
                                    </w:pPr>
                                    <w:r w:rsidRPr="002B6451">
                                      <w:rPr>
                                        <w:rFonts w:ascii="Calibri" w:eastAsia="Calibri" w:hAnsi="Calibri" w:cs="Calibri"/>
                                        <w:b/>
                                        <w:bCs/>
                                        <w:color w:val="1B3A5C"/>
                                        <w:kern w:val="0"/>
                                        <w:sz w:val="30"/>
                                        <w:szCs w:val="30"/>
                                        <w:lang w:eastAsia="en-GB"/>
                                        <w14:ligatures w14:val="none"/>
                                      </w:rPr>
                                      <w:t>Consolidating Fragmented Healthcare Data to Enable Evidence-Based Decision-Making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2B8B76A" id="Text Box 163" o:spid="_x0000_s1028" type="#_x0000_t202" style="position:absolute;margin-left:17.5pt;margin-top:361.65pt;width:8in;height:138.1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" filled="f" stroked="f" strokeweight=".5pt">
                    <v:textbox inset="126pt,0,54pt,0">
                      <w:txbxContent>
                        <w:p w14:paraId="012E7DD8" w14:textId="70FCFBC8" w:rsidR="008E7210" w:rsidRDefault="00000000" w:rsidP="002B6451">
                          <w:pPr>
                            <w:rPr>
                              <w:color w:val="156082" w:themeColor="accent1"/>
                              <w:sz w:val="64"/>
                              <w:szCs w:val="64"/>
                            </w:rPr>
                          </w:pPr>
                          <w:sdt>
                            <w:sdtPr>
                              <w:rPr>
                                <w:b/>
                                <w:bCs/>
                                <w:color w:val="1B3A5C"/>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307B7" w:rsidRPr="00C307B7">
                                <w:rPr>
                                  <w:b/>
                                  <w:bCs/>
                                  <w:color w:val="1B3A5C"/>
                                  <w:sz w:val="40"/>
                                  <w:szCs w:val="40"/>
                                </w:rPr>
                                <w:t>Strategic Data Warehousing for NHS</w:t>
                              </w:r>
                              <w:r w:rsidR="00C307B7">
                                <w:rPr>
                                  <w:b/>
                                  <w:bCs/>
                                  <w:color w:val="1B3A5C"/>
                                  <w:sz w:val="40"/>
                                  <w:szCs w:val="40"/>
                                </w:rPr>
                                <w:t xml:space="preserve"> </w:t>
                              </w:r>
                              <w:r w:rsidR="00C307B7" w:rsidRPr="00C307B7">
                                <w:rPr>
                                  <w:b/>
                                  <w:bCs/>
                                  <w:color w:val="1B3A5C"/>
                                  <w:sz w:val="40"/>
                                  <w:szCs w:val="40"/>
                                </w:rPr>
                                <w:t>England</w:t>
                              </w:r>
                            </w:sdtContent>
                          </w:sdt>
                        </w:p>
                        <w:sdt>
                          <w:sdtPr>
                            <w:rPr>
                              <w:rFonts w:ascii="Calibri" w:eastAsia="Calibri" w:hAnsi="Calibri" w:cs="Calibri"/>
                              <w:b/>
                              <w:bCs/>
                              <w:color w:val="1B3A5C"/>
                              <w:kern w:val="0"/>
                              <w:sz w:val="30"/>
                              <w:szCs w:val="30"/>
                              <w:lang w:eastAsia="en-GB"/>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F9E6536" w14:textId="0E80691D" w:rsidR="008E7210" w:rsidRDefault="002B6451" w:rsidP="002B6451">
                              <w:pPr>
                                <w:rPr>
                                  <w:smallCaps/>
                                  <w:color w:val="404040" w:themeColor="text1" w:themeTint="BF"/>
                                  <w:sz w:val="36"/>
                                  <w:szCs w:val="36"/>
                                </w:rPr>
                              </w:pPr>
                              <w:r w:rsidRPr="002B6451">
                                <w:rPr>
                                  <w:rFonts w:ascii="Calibri" w:eastAsia="Calibri" w:hAnsi="Calibri" w:cs="Calibri"/>
                                  <w:b/>
                                  <w:bCs/>
                                  <w:color w:val="1B3A5C"/>
                                  <w:kern w:val="0"/>
                                  <w:sz w:val="30"/>
                                  <w:szCs w:val="30"/>
                                  <w:lang w:eastAsia="en-GB"/>
                                  <w14:ligatures w14:val="none"/>
                                </w:rPr>
                                <w:t>Consolidating Fragmented Healthcare Data to Enable Evidence-Based Decision-Making</w:t>
                              </w:r>
                            </w:p>
                          </w:sdtContent>
                        </w:sdt>
                      </w:txbxContent>
                    </v:textbox>
                    <w10:wrap type="square" anchorx="page" anchory="page"/>
                  </v:shape>
                </w:pict>
              </mc:Fallback>
            </mc:AlternateContent>
          </w:r>
          <w:r w:rsidR="008E7210">
            <w:br w:type="page"/>
          </w:r>
        </w:p>
      </w:sdtContent>
    </w:sdt>
    <w:sdt>
      <w:sdtPr>
        <w:rPr>
          <w:rFonts w:asciiTheme="minorHAnsi" w:eastAsiaTheme="minorHAnsi" w:hAnsiTheme="minorHAnsi" w:cstheme="minorBidi"/>
          <w:color w:val="auto"/>
          <w:kern w:val="2"/>
          <w:sz w:val="24"/>
          <w:szCs w:val="24"/>
          <w:lang w:eastAsia="en-US"/>
          <w14:ligatures w14:val="standardContextual"/>
        </w:rPr>
        <w:id w:val="116649403"/>
        <w:docPartObj>
          <w:docPartGallery w:val="Table of Contents"/>
          <w:docPartUnique/>
        </w:docPartObj>
      </w:sdtPr>
      <w:sdtEndPr>
        <w:rPr>
          <w:b/>
          <w:bCs/>
        </w:rPr>
      </w:sdtEndPr>
      <w:sdtContent>
        <w:p w14:paraId="34C4E316" w14:textId="5C13ED0D" w:rsidR="00DA6542" w:rsidRDefault="00DA6542">
          <w:pPr>
            <w:pStyle w:val="TOCHeading"/>
          </w:pPr>
          <w:r>
            <w:t>Table of Contents</w:t>
          </w:r>
        </w:p>
        <w:p w14:paraId="6F47D668" w14:textId="6C366B7E" w:rsidR="00921386" w:rsidRDefault="00DA654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328656" w:history="1">
            <w:r w:rsidR="00921386" w:rsidRPr="00B856E4">
              <w:rPr>
                <w:rStyle w:val="Hyperlink"/>
                <w:b/>
                <w:bCs/>
                <w:noProof/>
              </w:rPr>
              <w:t>Task 1: Understanding the Case for a Data Warehouse (For the CEO and Board)</w:t>
            </w:r>
            <w:r w:rsidR="00921386">
              <w:rPr>
                <w:noProof/>
                <w:webHidden/>
              </w:rPr>
              <w:tab/>
            </w:r>
            <w:r w:rsidR="00921386">
              <w:rPr>
                <w:noProof/>
                <w:webHidden/>
              </w:rPr>
              <w:fldChar w:fldCharType="begin"/>
            </w:r>
            <w:r w:rsidR="00921386">
              <w:rPr>
                <w:noProof/>
                <w:webHidden/>
              </w:rPr>
              <w:instrText xml:space="preserve"> PAGEREF _Toc236328656 \h </w:instrText>
            </w:r>
            <w:r w:rsidR="00921386">
              <w:rPr>
                <w:noProof/>
                <w:webHidden/>
              </w:rPr>
            </w:r>
            <w:r w:rsidR="00921386">
              <w:rPr>
                <w:noProof/>
                <w:webHidden/>
              </w:rPr>
              <w:fldChar w:fldCharType="separate"/>
            </w:r>
            <w:r w:rsidR="00921386">
              <w:rPr>
                <w:noProof/>
                <w:webHidden/>
              </w:rPr>
              <w:t>3</w:t>
            </w:r>
            <w:r w:rsidR="00921386">
              <w:rPr>
                <w:noProof/>
                <w:webHidden/>
              </w:rPr>
              <w:fldChar w:fldCharType="end"/>
            </w:r>
          </w:hyperlink>
        </w:p>
        <w:p w14:paraId="31F9497F" w14:textId="271A48D9" w:rsidR="00921386" w:rsidRDefault="00921386">
          <w:pPr>
            <w:pStyle w:val="TOC2"/>
            <w:tabs>
              <w:tab w:val="right" w:leader="dot" w:pos="9016"/>
            </w:tabs>
            <w:rPr>
              <w:rFonts w:eastAsiaTheme="minorEastAsia"/>
              <w:noProof/>
              <w:lang w:eastAsia="en-GB"/>
            </w:rPr>
          </w:pPr>
          <w:hyperlink w:anchor="_Toc236328657" w:history="1">
            <w:r w:rsidRPr="00B856E4">
              <w:rPr>
                <w:rStyle w:val="Hyperlink"/>
                <w:b/>
                <w:bCs/>
                <w:noProof/>
              </w:rPr>
              <w:t>1.1 OLTP vs. Data Warehouse</w:t>
            </w:r>
            <w:r>
              <w:rPr>
                <w:noProof/>
                <w:webHidden/>
              </w:rPr>
              <w:tab/>
            </w:r>
            <w:r>
              <w:rPr>
                <w:noProof/>
                <w:webHidden/>
              </w:rPr>
              <w:fldChar w:fldCharType="begin"/>
            </w:r>
            <w:r>
              <w:rPr>
                <w:noProof/>
                <w:webHidden/>
              </w:rPr>
              <w:instrText xml:space="preserve"> PAGEREF _Toc236328657 \h </w:instrText>
            </w:r>
            <w:r>
              <w:rPr>
                <w:noProof/>
                <w:webHidden/>
              </w:rPr>
            </w:r>
            <w:r>
              <w:rPr>
                <w:noProof/>
                <w:webHidden/>
              </w:rPr>
              <w:fldChar w:fldCharType="separate"/>
            </w:r>
            <w:r>
              <w:rPr>
                <w:noProof/>
                <w:webHidden/>
              </w:rPr>
              <w:t>3</w:t>
            </w:r>
            <w:r>
              <w:rPr>
                <w:noProof/>
                <w:webHidden/>
              </w:rPr>
              <w:fldChar w:fldCharType="end"/>
            </w:r>
          </w:hyperlink>
        </w:p>
        <w:p w14:paraId="43854E66" w14:textId="043601A6" w:rsidR="00921386" w:rsidRDefault="00921386">
          <w:pPr>
            <w:pStyle w:val="TOC2"/>
            <w:tabs>
              <w:tab w:val="right" w:leader="dot" w:pos="9016"/>
            </w:tabs>
            <w:rPr>
              <w:rFonts w:eastAsiaTheme="minorEastAsia"/>
              <w:noProof/>
              <w:lang w:eastAsia="en-GB"/>
            </w:rPr>
          </w:pPr>
          <w:hyperlink w:anchor="_Toc236328658" w:history="1">
            <w:r w:rsidRPr="00B856E4">
              <w:rPr>
                <w:rStyle w:val="Hyperlink"/>
                <w:b/>
                <w:bCs/>
                <w:noProof/>
              </w:rPr>
              <w:t>1.2 Data Warehouse Architecture &amp; ETL</w:t>
            </w:r>
            <w:r>
              <w:rPr>
                <w:noProof/>
                <w:webHidden/>
              </w:rPr>
              <w:tab/>
            </w:r>
            <w:r>
              <w:rPr>
                <w:noProof/>
                <w:webHidden/>
              </w:rPr>
              <w:fldChar w:fldCharType="begin"/>
            </w:r>
            <w:r>
              <w:rPr>
                <w:noProof/>
                <w:webHidden/>
              </w:rPr>
              <w:instrText xml:space="preserve"> PAGEREF _Toc236328658 \h </w:instrText>
            </w:r>
            <w:r>
              <w:rPr>
                <w:noProof/>
                <w:webHidden/>
              </w:rPr>
            </w:r>
            <w:r>
              <w:rPr>
                <w:noProof/>
                <w:webHidden/>
              </w:rPr>
              <w:fldChar w:fldCharType="separate"/>
            </w:r>
            <w:r>
              <w:rPr>
                <w:noProof/>
                <w:webHidden/>
              </w:rPr>
              <w:t>3</w:t>
            </w:r>
            <w:r>
              <w:rPr>
                <w:noProof/>
                <w:webHidden/>
              </w:rPr>
              <w:fldChar w:fldCharType="end"/>
            </w:r>
          </w:hyperlink>
        </w:p>
        <w:p w14:paraId="6C1D80E9" w14:textId="7A171FAF" w:rsidR="00921386" w:rsidRDefault="00921386">
          <w:pPr>
            <w:pStyle w:val="TOC2"/>
            <w:tabs>
              <w:tab w:val="right" w:leader="dot" w:pos="9016"/>
            </w:tabs>
            <w:rPr>
              <w:rFonts w:eastAsiaTheme="minorEastAsia"/>
              <w:noProof/>
              <w:lang w:eastAsia="en-GB"/>
            </w:rPr>
          </w:pPr>
          <w:hyperlink w:anchor="_Toc236328659" w:history="1">
            <w:r w:rsidRPr="00B856E4">
              <w:rPr>
                <w:rStyle w:val="Hyperlink"/>
                <w:b/>
                <w:bCs/>
                <w:noProof/>
              </w:rPr>
              <w:t>1.3 Data Marts for Management Decision-Making</w:t>
            </w:r>
            <w:r>
              <w:rPr>
                <w:noProof/>
                <w:webHidden/>
              </w:rPr>
              <w:tab/>
            </w:r>
            <w:r>
              <w:rPr>
                <w:noProof/>
                <w:webHidden/>
              </w:rPr>
              <w:fldChar w:fldCharType="begin"/>
            </w:r>
            <w:r>
              <w:rPr>
                <w:noProof/>
                <w:webHidden/>
              </w:rPr>
              <w:instrText xml:space="preserve"> PAGEREF _Toc236328659 \h </w:instrText>
            </w:r>
            <w:r>
              <w:rPr>
                <w:noProof/>
                <w:webHidden/>
              </w:rPr>
            </w:r>
            <w:r>
              <w:rPr>
                <w:noProof/>
                <w:webHidden/>
              </w:rPr>
              <w:fldChar w:fldCharType="separate"/>
            </w:r>
            <w:r>
              <w:rPr>
                <w:noProof/>
                <w:webHidden/>
              </w:rPr>
              <w:t>5</w:t>
            </w:r>
            <w:r>
              <w:rPr>
                <w:noProof/>
                <w:webHidden/>
              </w:rPr>
              <w:fldChar w:fldCharType="end"/>
            </w:r>
          </w:hyperlink>
        </w:p>
        <w:p w14:paraId="42E74D07" w14:textId="591BB95A" w:rsidR="00921386" w:rsidRDefault="00921386">
          <w:pPr>
            <w:pStyle w:val="TOC2"/>
            <w:tabs>
              <w:tab w:val="right" w:leader="dot" w:pos="9016"/>
            </w:tabs>
            <w:rPr>
              <w:rFonts w:eastAsiaTheme="minorEastAsia"/>
              <w:noProof/>
              <w:lang w:eastAsia="en-GB"/>
            </w:rPr>
          </w:pPr>
          <w:hyperlink w:anchor="_Toc236328660" w:history="1">
            <w:r w:rsidRPr="00B856E4">
              <w:rPr>
                <w:rStyle w:val="Hyperlink"/>
                <w:b/>
                <w:bCs/>
                <w:noProof/>
              </w:rPr>
              <w:t>1.4 OLTP Normalisation vs. Data Warehouse Dimensional Modelling</w:t>
            </w:r>
            <w:r>
              <w:rPr>
                <w:noProof/>
                <w:webHidden/>
              </w:rPr>
              <w:tab/>
            </w:r>
            <w:r>
              <w:rPr>
                <w:noProof/>
                <w:webHidden/>
              </w:rPr>
              <w:fldChar w:fldCharType="begin"/>
            </w:r>
            <w:r>
              <w:rPr>
                <w:noProof/>
                <w:webHidden/>
              </w:rPr>
              <w:instrText xml:space="preserve"> PAGEREF _Toc236328660 \h </w:instrText>
            </w:r>
            <w:r>
              <w:rPr>
                <w:noProof/>
                <w:webHidden/>
              </w:rPr>
            </w:r>
            <w:r>
              <w:rPr>
                <w:noProof/>
                <w:webHidden/>
              </w:rPr>
              <w:fldChar w:fldCharType="separate"/>
            </w:r>
            <w:r>
              <w:rPr>
                <w:noProof/>
                <w:webHidden/>
              </w:rPr>
              <w:t>6</w:t>
            </w:r>
            <w:r>
              <w:rPr>
                <w:noProof/>
                <w:webHidden/>
              </w:rPr>
              <w:fldChar w:fldCharType="end"/>
            </w:r>
          </w:hyperlink>
        </w:p>
        <w:p w14:paraId="3E82CC0D" w14:textId="5142FEC7" w:rsidR="00921386" w:rsidRDefault="00921386">
          <w:pPr>
            <w:pStyle w:val="TOC1"/>
            <w:tabs>
              <w:tab w:val="right" w:leader="dot" w:pos="9016"/>
            </w:tabs>
            <w:rPr>
              <w:rFonts w:eastAsiaTheme="minorEastAsia"/>
              <w:noProof/>
              <w:lang w:eastAsia="en-GB"/>
            </w:rPr>
          </w:pPr>
          <w:hyperlink w:anchor="_Toc236328661" w:history="1">
            <w:r w:rsidRPr="00B856E4">
              <w:rPr>
                <w:rStyle w:val="Hyperlink"/>
                <w:b/>
                <w:bCs/>
                <w:noProof/>
              </w:rPr>
              <w:t>Task 2: Star Schema Design and Implementation Plan</w:t>
            </w:r>
            <w:r>
              <w:rPr>
                <w:noProof/>
                <w:webHidden/>
              </w:rPr>
              <w:tab/>
            </w:r>
            <w:r>
              <w:rPr>
                <w:noProof/>
                <w:webHidden/>
              </w:rPr>
              <w:fldChar w:fldCharType="begin"/>
            </w:r>
            <w:r>
              <w:rPr>
                <w:noProof/>
                <w:webHidden/>
              </w:rPr>
              <w:instrText xml:space="preserve"> PAGEREF _Toc236328661 \h </w:instrText>
            </w:r>
            <w:r>
              <w:rPr>
                <w:noProof/>
                <w:webHidden/>
              </w:rPr>
            </w:r>
            <w:r>
              <w:rPr>
                <w:noProof/>
                <w:webHidden/>
              </w:rPr>
              <w:fldChar w:fldCharType="separate"/>
            </w:r>
            <w:r>
              <w:rPr>
                <w:noProof/>
                <w:webHidden/>
              </w:rPr>
              <w:t>7</w:t>
            </w:r>
            <w:r>
              <w:rPr>
                <w:noProof/>
                <w:webHidden/>
              </w:rPr>
              <w:fldChar w:fldCharType="end"/>
            </w:r>
          </w:hyperlink>
        </w:p>
        <w:p w14:paraId="3ADAE5A4" w14:textId="15ACA358" w:rsidR="00921386" w:rsidRDefault="00921386">
          <w:pPr>
            <w:pStyle w:val="TOC2"/>
            <w:tabs>
              <w:tab w:val="right" w:leader="dot" w:pos="9016"/>
            </w:tabs>
            <w:rPr>
              <w:rFonts w:eastAsiaTheme="minorEastAsia"/>
              <w:noProof/>
              <w:lang w:eastAsia="en-GB"/>
            </w:rPr>
          </w:pPr>
          <w:hyperlink w:anchor="_Toc236328662" w:history="1">
            <w:r w:rsidRPr="00B856E4">
              <w:rPr>
                <w:rStyle w:val="Hyperlink"/>
                <w:b/>
                <w:bCs/>
                <w:noProof/>
              </w:rPr>
              <w:t>2.1 Source System Identification</w:t>
            </w:r>
            <w:r>
              <w:rPr>
                <w:noProof/>
                <w:webHidden/>
              </w:rPr>
              <w:tab/>
            </w:r>
            <w:r>
              <w:rPr>
                <w:noProof/>
                <w:webHidden/>
              </w:rPr>
              <w:fldChar w:fldCharType="begin"/>
            </w:r>
            <w:r>
              <w:rPr>
                <w:noProof/>
                <w:webHidden/>
              </w:rPr>
              <w:instrText xml:space="preserve"> PAGEREF _Toc236328662 \h </w:instrText>
            </w:r>
            <w:r>
              <w:rPr>
                <w:noProof/>
                <w:webHidden/>
              </w:rPr>
            </w:r>
            <w:r>
              <w:rPr>
                <w:noProof/>
                <w:webHidden/>
              </w:rPr>
              <w:fldChar w:fldCharType="separate"/>
            </w:r>
            <w:r>
              <w:rPr>
                <w:noProof/>
                <w:webHidden/>
              </w:rPr>
              <w:t>7</w:t>
            </w:r>
            <w:r>
              <w:rPr>
                <w:noProof/>
                <w:webHidden/>
              </w:rPr>
              <w:fldChar w:fldCharType="end"/>
            </w:r>
          </w:hyperlink>
        </w:p>
        <w:p w14:paraId="7AA89306" w14:textId="61DAF06B" w:rsidR="00921386" w:rsidRDefault="00921386">
          <w:pPr>
            <w:pStyle w:val="TOC2"/>
            <w:tabs>
              <w:tab w:val="right" w:leader="dot" w:pos="9016"/>
            </w:tabs>
            <w:rPr>
              <w:rFonts w:eastAsiaTheme="minorEastAsia"/>
              <w:noProof/>
              <w:lang w:eastAsia="en-GB"/>
            </w:rPr>
          </w:pPr>
          <w:hyperlink w:anchor="_Toc236328663" w:history="1">
            <w:r w:rsidRPr="00B856E4">
              <w:rPr>
                <w:rStyle w:val="Hyperlink"/>
                <w:b/>
                <w:bCs/>
                <w:noProof/>
              </w:rPr>
              <w:t>2.2 Star Schema Design</w:t>
            </w:r>
            <w:r>
              <w:rPr>
                <w:noProof/>
                <w:webHidden/>
              </w:rPr>
              <w:tab/>
            </w:r>
            <w:r>
              <w:rPr>
                <w:noProof/>
                <w:webHidden/>
              </w:rPr>
              <w:fldChar w:fldCharType="begin"/>
            </w:r>
            <w:r>
              <w:rPr>
                <w:noProof/>
                <w:webHidden/>
              </w:rPr>
              <w:instrText xml:space="preserve"> PAGEREF _Toc236328663 \h </w:instrText>
            </w:r>
            <w:r>
              <w:rPr>
                <w:noProof/>
                <w:webHidden/>
              </w:rPr>
            </w:r>
            <w:r>
              <w:rPr>
                <w:noProof/>
                <w:webHidden/>
              </w:rPr>
              <w:fldChar w:fldCharType="separate"/>
            </w:r>
            <w:r>
              <w:rPr>
                <w:noProof/>
                <w:webHidden/>
              </w:rPr>
              <w:t>8</w:t>
            </w:r>
            <w:r>
              <w:rPr>
                <w:noProof/>
                <w:webHidden/>
              </w:rPr>
              <w:fldChar w:fldCharType="end"/>
            </w:r>
          </w:hyperlink>
        </w:p>
        <w:p w14:paraId="301D5434" w14:textId="4AD4CD69" w:rsidR="00921386" w:rsidRDefault="00921386">
          <w:pPr>
            <w:pStyle w:val="TOC2"/>
            <w:tabs>
              <w:tab w:val="right" w:leader="dot" w:pos="9016"/>
            </w:tabs>
            <w:rPr>
              <w:rFonts w:eastAsiaTheme="minorEastAsia"/>
              <w:noProof/>
              <w:lang w:eastAsia="en-GB"/>
            </w:rPr>
          </w:pPr>
          <w:hyperlink w:anchor="_Toc236328664" w:history="1">
            <w:r w:rsidRPr="00B856E4">
              <w:rPr>
                <w:rStyle w:val="Hyperlink"/>
                <w:b/>
                <w:bCs/>
                <w:noProof/>
              </w:rPr>
              <w:t>2.3 Data Marts and Schema</w:t>
            </w:r>
            <w:r>
              <w:rPr>
                <w:noProof/>
                <w:webHidden/>
              </w:rPr>
              <w:tab/>
            </w:r>
            <w:r>
              <w:rPr>
                <w:noProof/>
                <w:webHidden/>
              </w:rPr>
              <w:fldChar w:fldCharType="begin"/>
            </w:r>
            <w:r>
              <w:rPr>
                <w:noProof/>
                <w:webHidden/>
              </w:rPr>
              <w:instrText xml:space="preserve"> PAGEREF _Toc236328664 \h </w:instrText>
            </w:r>
            <w:r>
              <w:rPr>
                <w:noProof/>
                <w:webHidden/>
              </w:rPr>
            </w:r>
            <w:r>
              <w:rPr>
                <w:noProof/>
                <w:webHidden/>
              </w:rPr>
              <w:fldChar w:fldCharType="separate"/>
            </w:r>
            <w:r>
              <w:rPr>
                <w:noProof/>
                <w:webHidden/>
              </w:rPr>
              <w:t>10</w:t>
            </w:r>
            <w:r>
              <w:rPr>
                <w:noProof/>
                <w:webHidden/>
              </w:rPr>
              <w:fldChar w:fldCharType="end"/>
            </w:r>
          </w:hyperlink>
        </w:p>
        <w:p w14:paraId="70340EA7" w14:textId="04E6AB47" w:rsidR="00921386" w:rsidRDefault="00921386">
          <w:pPr>
            <w:pStyle w:val="TOC2"/>
            <w:tabs>
              <w:tab w:val="right" w:leader="dot" w:pos="9016"/>
            </w:tabs>
            <w:rPr>
              <w:rFonts w:eastAsiaTheme="minorEastAsia"/>
              <w:noProof/>
              <w:lang w:eastAsia="en-GB"/>
            </w:rPr>
          </w:pPr>
          <w:hyperlink w:anchor="_Toc236328665" w:history="1">
            <w:r w:rsidRPr="00B856E4">
              <w:rPr>
                <w:rStyle w:val="Hyperlink"/>
                <w:b/>
                <w:bCs/>
                <w:noProof/>
              </w:rPr>
              <w:t>2.4 ETL Plan</w:t>
            </w:r>
            <w:r>
              <w:rPr>
                <w:noProof/>
                <w:webHidden/>
              </w:rPr>
              <w:tab/>
            </w:r>
            <w:r>
              <w:rPr>
                <w:noProof/>
                <w:webHidden/>
              </w:rPr>
              <w:fldChar w:fldCharType="begin"/>
            </w:r>
            <w:r>
              <w:rPr>
                <w:noProof/>
                <w:webHidden/>
              </w:rPr>
              <w:instrText xml:space="preserve"> PAGEREF _Toc236328665 \h </w:instrText>
            </w:r>
            <w:r>
              <w:rPr>
                <w:noProof/>
                <w:webHidden/>
              </w:rPr>
            </w:r>
            <w:r>
              <w:rPr>
                <w:noProof/>
                <w:webHidden/>
              </w:rPr>
              <w:fldChar w:fldCharType="separate"/>
            </w:r>
            <w:r>
              <w:rPr>
                <w:noProof/>
                <w:webHidden/>
              </w:rPr>
              <w:t>10</w:t>
            </w:r>
            <w:r>
              <w:rPr>
                <w:noProof/>
                <w:webHidden/>
              </w:rPr>
              <w:fldChar w:fldCharType="end"/>
            </w:r>
          </w:hyperlink>
        </w:p>
        <w:p w14:paraId="18230C9D" w14:textId="2674C89B" w:rsidR="00921386" w:rsidRDefault="00921386">
          <w:pPr>
            <w:pStyle w:val="TOC2"/>
            <w:tabs>
              <w:tab w:val="right" w:leader="dot" w:pos="9016"/>
            </w:tabs>
            <w:rPr>
              <w:rFonts w:eastAsiaTheme="minorEastAsia"/>
              <w:noProof/>
              <w:lang w:eastAsia="en-GB"/>
            </w:rPr>
          </w:pPr>
          <w:hyperlink w:anchor="_Toc236328666" w:history="1">
            <w:r w:rsidRPr="00B856E4">
              <w:rPr>
                <w:rStyle w:val="Hyperlink"/>
                <w:b/>
                <w:bCs/>
                <w:noProof/>
              </w:rPr>
              <w:t>2.5 Data Quality &amp; Governance</w:t>
            </w:r>
            <w:r>
              <w:rPr>
                <w:noProof/>
                <w:webHidden/>
              </w:rPr>
              <w:tab/>
            </w:r>
            <w:r>
              <w:rPr>
                <w:noProof/>
                <w:webHidden/>
              </w:rPr>
              <w:fldChar w:fldCharType="begin"/>
            </w:r>
            <w:r>
              <w:rPr>
                <w:noProof/>
                <w:webHidden/>
              </w:rPr>
              <w:instrText xml:space="preserve"> PAGEREF _Toc236328666 \h </w:instrText>
            </w:r>
            <w:r>
              <w:rPr>
                <w:noProof/>
                <w:webHidden/>
              </w:rPr>
            </w:r>
            <w:r>
              <w:rPr>
                <w:noProof/>
                <w:webHidden/>
              </w:rPr>
              <w:fldChar w:fldCharType="separate"/>
            </w:r>
            <w:r>
              <w:rPr>
                <w:noProof/>
                <w:webHidden/>
              </w:rPr>
              <w:t>12</w:t>
            </w:r>
            <w:r>
              <w:rPr>
                <w:noProof/>
                <w:webHidden/>
              </w:rPr>
              <w:fldChar w:fldCharType="end"/>
            </w:r>
          </w:hyperlink>
        </w:p>
        <w:p w14:paraId="13A7A4E6" w14:textId="73427231" w:rsidR="00921386" w:rsidRDefault="00921386">
          <w:pPr>
            <w:pStyle w:val="TOC1"/>
            <w:tabs>
              <w:tab w:val="right" w:leader="dot" w:pos="9016"/>
            </w:tabs>
            <w:rPr>
              <w:rFonts w:eastAsiaTheme="minorEastAsia"/>
              <w:noProof/>
              <w:lang w:eastAsia="en-GB"/>
            </w:rPr>
          </w:pPr>
          <w:hyperlink w:anchor="_Toc236328667" w:history="1">
            <w:r w:rsidRPr="00B856E4">
              <w:rPr>
                <w:rStyle w:val="Hyperlink"/>
                <w:b/>
                <w:bCs/>
                <w:noProof/>
              </w:rPr>
              <w:t>Conclusion</w:t>
            </w:r>
            <w:r>
              <w:rPr>
                <w:noProof/>
                <w:webHidden/>
              </w:rPr>
              <w:tab/>
            </w:r>
            <w:r>
              <w:rPr>
                <w:noProof/>
                <w:webHidden/>
              </w:rPr>
              <w:fldChar w:fldCharType="begin"/>
            </w:r>
            <w:r>
              <w:rPr>
                <w:noProof/>
                <w:webHidden/>
              </w:rPr>
              <w:instrText xml:space="preserve"> PAGEREF _Toc236328667 \h </w:instrText>
            </w:r>
            <w:r>
              <w:rPr>
                <w:noProof/>
                <w:webHidden/>
              </w:rPr>
            </w:r>
            <w:r>
              <w:rPr>
                <w:noProof/>
                <w:webHidden/>
              </w:rPr>
              <w:fldChar w:fldCharType="separate"/>
            </w:r>
            <w:r>
              <w:rPr>
                <w:noProof/>
                <w:webHidden/>
              </w:rPr>
              <w:t>12</w:t>
            </w:r>
            <w:r>
              <w:rPr>
                <w:noProof/>
                <w:webHidden/>
              </w:rPr>
              <w:fldChar w:fldCharType="end"/>
            </w:r>
          </w:hyperlink>
        </w:p>
        <w:p w14:paraId="216DD86F" w14:textId="0D7E0416" w:rsidR="00921386" w:rsidRDefault="00921386">
          <w:pPr>
            <w:pStyle w:val="TOC1"/>
            <w:tabs>
              <w:tab w:val="right" w:leader="dot" w:pos="9016"/>
            </w:tabs>
            <w:rPr>
              <w:rFonts w:eastAsiaTheme="minorEastAsia"/>
              <w:noProof/>
              <w:lang w:eastAsia="en-GB"/>
            </w:rPr>
          </w:pPr>
          <w:hyperlink w:anchor="_Toc236328668" w:history="1">
            <w:r w:rsidRPr="00B856E4">
              <w:rPr>
                <w:rStyle w:val="Hyperlink"/>
                <w:b/>
                <w:bCs/>
                <w:noProof/>
              </w:rPr>
              <w:t>References</w:t>
            </w:r>
            <w:r>
              <w:rPr>
                <w:noProof/>
                <w:webHidden/>
              </w:rPr>
              <w:tab/>
            </w:r>
            <w:r>
              <w:rPr>
                <w:noProof/>
                <w:webHidden/>
              </w:rPr>
              <w:fldChar w:fldCharType="begin"/>
            </w:r>
            <w:r>
              <w:rPr>
                <w:noProof/>
                <w:webHidden/>
              </w:rPr>
              <w:instrText xml:space="preserve"> PAGEREF _Toc236328668 \h </w:instrText>
            </w:r>
            <w:r>
              <w:rPr>
                <w:noProof/>
                <w:webHidden/>
              </w:rPr>
            </w:r>
            <w:r>
              <w:rPr>
                <w:noProof/>
                <w:webHidden/>
              </w:rPr>
              <w:fldChar w:fldCharType="separate"/>
            </w:r>
            <w:r>
              <w:rPr>
                <w:noProof/>
                <w:webHidden/>
              </w:rPr>
              <w:t>13</w:t>
            </w:r>
            <w:r>
              <w:rPr>
                <w:noProof/>
                <w:webHidden/>
              </w:rPr>
              <w:fldChar w:fldCharType="end"/>
            </w:r>
          </w:hyperlink>
        </w:p>
        <w:p w14:paraId="00488A2E" w14:textId="0E14DBBD" w:rsidR="00DA6542" w:rsidRDefault="00DA6542">
          <w:r>
            <w:rPr>
              <w:b/>
              <w:bCs/>
            </w:rPr>
            <w:fldChar w:fldCharType="end"/>
          </w:r>
        </w:p>
      </w:sdtContent>
    </w:sdt>
    <w:p w14:paraId="78F77A2C" w14:textId="77777777" w:rsidR="00840A0F" w:rsidRDefault="00840A0F" w:rsidP="00045309"/>
    <w:p w14:paraId="2EEB7453" w14:textId="6FFC2F11" w:rsidR="00840A0F" w:rsidRDefault="00840A0F">
      <w:pPr>
        <w:pStyle w:val="TableofFigures"/>
        <w:tabs>
          <w:tab w:val="right" w:leader="dot" w:pos="9016"/>
        </w:tabs>
        <w:rPr>
          <w:rFonts w:eastAsiaTheme="minorEastAsia"/>
          <w:caps w:val="0"/>
          <w:noProof/>
          <w:sz w:val="24"/>
          <w:szCs w:val="24"/>
          <w:lang w:eastAsia="en-GB"/>
        </w:rPr>
      </w:pPr>
      <w:r>
        <w:fldChar w:fldCharType="begin"/>
      </w:r>
      <w:r>
        <w:instrText xml:space="preserve"> TOC \h \z \c "Figure" </w:instrText>
      </w:r>
      <w:r>
        <w:fldChar w:fldCharType="separate"/>
      </w:r>
      <w:hyperlink w:anchor="_Toc236151059" w:history="1">
        <w:r w:rsidRPr="00275629">
          <w:rPr>
            <w:rStyle w:val="Hyperlink"/>
            <w:noProof/>
          </w:rPr>
          <w:t>Figure 1 - Proposed NHS England data warehouse architecture and ETL flow.</w:t>
        </w:r>
        <w:r>
          <w:rPr>
            <w:noProof/>
            <w:webHidden/>
          </w:rPr>
          <w:tab/>
        </w:r>
        <w:r>
          <w:rPr>
            <w:noProof/>
            <w:webHidden/>
          </w:rPr>
          <w:fldChar w:fldCharType="begin"/>
        </w:r>
        <w:r>
          <w:rPr>
            <w:noProof/>
            <w:webHidden/>
          </w:rPr>
          <w:instrText xml:space="preserve"> PAGEREF _Toc236151059 \h </w:instrText>
        </w:r>
        <w:r>
          <w:rPr>
            <w:noProof/>
            <w:webHidden/>
          </w:rPr>
        </w:r>
        <w:r>
          <w:rPr>
            <w:noProof/>
            <w:webHidden/>
          </w:rPr>
          <w:fldChar w:fldCharType="separate"/>
        </w:r>
        <w:r>
          <w:rPr>
            <w:noProof/>
            <w:webHidden/>
          </w:rPr>
          <w:t>4</w:t>
        </w:r>
        <w:r>
          <w:rPr>
            <w:noProof/>
            <w:webHidden/>
          </w:rPr>
          <w:fldChar w:fldCharType="end"/>
        </w:r>
      </w:hyperlink>
    </w:p>
    <w:p w14:paraId="19DA4D7A" w14:textId="6BDE16BE" w:rsidR="00840A0F" w:rsidRDefault="00840A0F">
      <w:pPr>
        <w:pStyle w:val="TableofFigures"/>
        <w:tabs>
          <w:tab w:val="right" w:leader="dot" w:pos="9016"/>
        </w:tabs>
        <w:rPr>
          <w:rFonts w:eastAsiaTheme="minorEastAsia"/>
          <w:caps w:val="0"/>
          <w:noProof/>
          <w:sz w:val="24"/>
          <w:szCs w:val="24"/>
          <w:lang w:eastAsia="en-GB"/>
        </w:rPr>
      </w:pPr>
      <w:hyperlink w:anchor="_Toc236151060" w:history="1">
        <w:r w:rsidRPr="00275629">
          <w:rPr>
            <w:rStyle w:val="Hyperlink"/>
            <w:noProof/>
          </w:rPr>
          <w:t>Figure 2 - Star schema for NHS patient activity, illustrating facts and dimensions.</w:t>
        </w:r>
        <w:r>
          <w:rPr>
            <w:noProof/>
            <w:webHidden/>
          </w:rPr>
          <w:tab/>
        </w:r>
        <w:r>
          <w:rPr>
            <w:noProof/>
            <w:webHidden/>
          </w:rPr>
          <w:fldChar w:fldCharType="begin"/>
        </w:r>
        <w:r>
          <w:rPr>
            <w:noProof/>
            <w:webHidden/>
          </w:rPr>
          <w:instrText xml:space="preserve"> PAGEREF _Toc236151060 \h </w:instrText>
        </w:r>
        <w:r>
          <w:rPr>
            <w:noProof/>
            <w:webHidden/>
          </w:rPr>
        </w:r>
        <w:r>
          <w:rPr>
            <w:noProof/>
            <w:webHidden/>
          </w:rPr>
          <w:fldChar w:fldCharType="separate"/>
        </w:r>
        <w:r>
          <w:rPr>
            <w:noProof/>
            <w:webHidden/>
          </w:rPr>
          <w:t>7</w:t>
        </w:r>
        <w:r>
          <w:rPr>
            <w:noProof/>
            <w:webHidden/>
          </w:rPr>
          <w:fldChar w:fldCharType="end"/>
        </w:r>
      </w:hyperlink>
    </w:p>
    <w:p w14:paraId="66DAF312" w14:textId="2DDD15E4" w:rsidR="00840A0F" w:rsidRDefault="00840A0F">
      <w:pPr>
        <w:pStyle w:val="TableofFigures"/>
        <w:tabs>
          <w:tab w:val="right" w:leader="dot" w:pos="9016"/>
        </w:tabs>
        <w:rPr>
          <w:rFonts w:eastAsiaTheme="minorEastAsia"/>
          <w:caps w:val="0"/>
          <w:noProof/>
          <w:sz w:val="24"/>
          <w:szCs w:val="24"/>
          <w:lang w:eastAsia="en-GB"/>
        </w:rPr>
      </w:pPr>
      <w:hyperlink w:anchor="_Toc236151061" w:history="1">
        <w:r w:rsidRPr="00275629">
          <w:rPr>
            <w:rStyle w:val="Hyperlink"/>
            <w:noProof/>
          </w:rPr>
          <w:t>Figure 3 - Fact constellation for the NHS England data warehouse, showing master-data, metadata, and aggregate tables.</w:t>
        </w:r>
        <w:r>
          <w:rPr>
            <w:noProof/>
            <w:webHidden/>
          </w:rPr>
          <w:tab/>
        </w:r>
        <w:r>
          <w:rPr>
            <w:noProof/>
            <w:webHidden/>
          </w:rPr>
          <w:fldChar w:fldCharType="begin"/>
        </w:r>
        <w:r>
          <w:rPr>
            <w:noProof/>
            <w:webHidden/>
          </w:rPr>
          <w:instrText xml:space="preserve"> PAGEREF _Toc236151061 \h </w:instrText>
        </w:r>
        <w:r>
          <w:rPr>
            <w:noProof/>
            <w:webHidden/>
          </w:rPr>
        </w:r>
        <w:r>
          <w:rPr>
            <w:noProof/>
            <w:webHidden/>
          </w:rPr>
          <w:fldChar w:fldCharType="separate"/>
        </w:r>
        <w:r>
          <w:rPr>
            <w:noProof/>
            <w:webHidden/>
          </w:rPr>
          <w:t>9</w:t>
        </w:r>
        <w:r>
          <w:rPr>
            <w:noProof/>
            <w:webHidden/>
          </w:rPr>
          <w:fldChar w:fldCharType="end"/>
        </w:r>
      </w:hyperlink>
    </w:p>
    <w:p w14:paraId="11943908" w14:textId="77777777" w:rsidR="006A58A4" w:rsidRDefault="00840A0F" w:rsidP="00045309">
      <w:r>
        <w:fldChar w:fldCharType="end"/>
      </w:r>
    </w:p>
    <w:p w14:paraId="6A331C56" w14:textId="26924962" w:rsidR="002647AA" w:rsidRDefault="002647AA">
      <w:pPr>
        <w:pStyle w:val="TableofFigures"/>
        <w:tabs>
          <w:tab w:val="right" w:leader="dot" w:pos="9016"/>
        </w:tabs>
        <w:rPr>
          <w:rFonts w:eastAsiaTheme="minorEastAsia"/>
          <w:caps w:val="0"/>
          <w:noProof/>
          <w:sz w:val="24"/>
          <w:szCs w:val="24"/>
          <w:lang w:eastAsia="en-GB"/>
        </w:rPr>
      </w:pPr>
      <w:r>
        <w:fldChar w:fldCharType="begin"/>
      </w:r>
      <w:r>
        <w:instrText xml:space="preserve"> TOC \h \z \c "Table" </w:instrText>
      </w:r>
      <w:r>
        <w:fldChar w:fldCharType="separate"/>
      </w:r>
      <w:hyperlink w:anchor="_Toc236327516" w:history="1">
        <w:r w:rsidRPr="00387993">
          <w:rPr>
            <w:rStyle w:val="Hyperlink"/>
            <w:noProof/>
          </w:rPr>
          <w:t>Table 1 - Simplified ETL plan by source system</w:t>
        </w:r>
        <w:r>
          <w:rPr>
            <w:noProof/>
            <w:webHidden/>
          </w:rPr>
          <w:tab/>
        </w:r>
        <w:r>
          <w:rPr>
            <w:noProof/>
            <w:webHidden/>
          </w:rPr>
          <w:fldChar w:fldCharType="begin"/>
        </w:r>
        <w:r>
          <w:rPr>
            <w:noProof/>
            <w:webHidden/>
          </w:rPr>
          <w:instrText xml:space="preserve"> PAGEREF _Toc236327516 \h </w:instrText>
        </w:r>
        <w:r>
          <w:rPr>
            <w:noProof/>
            <w:webHidden/>
          </w:rPr>
        </w:r>
        <w:r>
          <w:rPr>
            <w:noProof/>
            <w:webHidden/>
          </w:rPr>
          <w:fldChar w:fldCharType="separate"/>
        </w:r>
        <w:r>
          <w:rPr>
            <w:noProof/>
            <w:webHidden/>
          </w:rPr>
          <w:t>11</w:t>
        </w:r>
        <w:r>
          <w:rPr>
            <w:noProof/>
            <w:webHidden/>
          </w:rPr>
          <w:fldChar w:fldCharType="end"/>
        </w:r>
      </w:hyperlink>
    </w:p>
    <w:p w14:paraId="45D2FDE9" w14:textId="4521912E" w:rsidR="002647AA" w:rsidRDefault="002647AA">
      <w:pPr>
        <w:pStyle w:val="TableofFigures"/>
        <w:tabs>
          <w:tab w:val="right" w:leader="dot" w:pos="9016"/>
        </w:tabs>
        <w:rPr>
          <w:rFonts w:eastAsiaTheme="minorEastAsia"/>
          <w:caps w:val="0"/>
          <w:noProof/>
          <w:sz w:val="24"/>
          <w:szCs w:val="24"/>
          <w:lang w:eastAsia="en-GB"/>
        </w:rPr>
      </w:pPr>
      <w:hyperlink w:anchor="_Toc236327517" w:history="1">
        <w:r w:rsidRPr="00387993">
          <w:rPr>
            <w:rStyle w:val="Hyperlink"/>
            <w:noProof/>
          </w:rPr>
          <w:t>Table 2 - ETL subsystem coverage by incremental load process (Phase 3).</w:t>
        </w:r>
        <w:r>
          <w:rPr>
            <w:noProof/>
            <w:webHidden/>
          </w:rPr>
          <w:tab/>
        </w:r>
        <w:r>
          <w:rPr>
            <w:noProof/>
            <w:webHidden/>
          </w:rPr>
          <w:fldChar w:fldCharType="begin"/>
        </w:r>
        <w:r>
          <w:rPr>
            <w:noProof/>
            <w:webHidden/>
          </w:rPr>
          <w:instrText xml:space="preserve"> PAGEREF _Toc236327517 \h </w:instrText>
        </w:r>
        <w:r>
          <w:rPr>
            <w:noProof/>
            <w:webHidden/>
          </w:rPr>
        </w:r>
        <w:r>
          <w:rPr>
            <w:noProof/>
            <w:webHidden/>
          </w:rPr>
          <w:fldChar w:fldCharType="separate"/>
        </w:r>
        <w:r>
          <w:rPr>
            <w:noProof/>
            <w:webHidden/>
          </w:rPr>
          <w:t>11</w:t>
        </w:r>
        <w:r>
          <w:rPr>
            <w:noProof/>
            <w:webHidden/>
          </w:rPr>
          <w:fldChar w:fldCharType="end"/>
        </w:r>
      </w:hyperlink>
    </w:p>
    <w:p w14:paraId="4445B34E" w14:textId="4A63B859" w:rsidR="006A58A4" w:rsidRPr="006A58A4" w:rsidRDefault="002647AA" w:rsidP="006A58A4">
      <w:r>
        <w:fldChar w:fldCharType="end"/>
      </w:r>
    </w:p>
    <w:p w14:paraId="33F2C1AD" w14:textId="77777777" w:rsidR="006A58A4" w:rsidRDefault="006A58A4" w:rsidP="00045309"/>
    <w:p w14:paraId="43B355DA" w14:textId="77777777" w:rsidR="006A58A4" w:rsidRDefault="006A58A4" w:rsidP="00045309"/>
    <w:p w14:paraId="11F5E809" w14:textId="6F2A4559" w:rsidR="00D915F7" w:rsidRPr="00045309" w:rsidRDefault="00D1219F" w:rsidP="00045309">
      <w:r w:rsidRPr="006A58A4">
        <w:br w:type="page"/>
      </w:r>
      <w:bookmarkStart w:id="0" w:name="_Toc235956577"/>
      <w:r w:rsidR="00D915F7" w:rsidRPr="00D915F7">
        <w:rPr>
          <w:b/>
          <w:bCs/>
        </w:rPr>
        <w:lastRenderedPageBreak/>
        <w:t>Introduction and Purpose of this Report</w:t>
      </w:r>
      <w:bookmarkEnd w:id="0"/>
    </w:p>
    <w:p w14:paraId="5D91ED41" w14:textId="4C4D7A6D" w:rsidR="00F80A70" w:rsidRDefault="00795DB7" w:rsidP="00D1219F">
      <w:pPr>
        <w:jc w:val="both"/>
        <w:rPr>
          <w:rFonts w:ascii="Calibri" w:hAnsi="Calibri" w:cs="Calibri"/>
          <w:sz w:val="28"/>
          <w:szCs w:val="28"/>
        </w:rPr>
      </w:pPr>
      <w:r w:rsidRPr="00795DB7">
        <w:rPr>
          <w:rFonts w:ascii="Calibri" w:hAnsi="Calibri" w:cs="Calibri"/>
          <w:sz w:val="28"/>
          <w:szCs w:val="28"/>
        </w:rPr>
        <w:t xml:space="preserve">NHS England manages one of the most complicated healthcare environments in the world, where enormous amounts of data on patients, treatment processes, </w:t>
      </w:r>
      <w:r w:rsidR="00C02273" w:rsidRPr="00795DB7">
        <w:rPr>
          <w:rFonts w:ascii="Calibri" w:hAnsi="Calibri" w:cs="Calibri"/>
          <w:sz w:val="28"/>
          <w:szCs w:val="28"/>
        </w:rPr>
        <w:t>workforces,</w:t>
      </w:r>
      <w:r w:rsidRPr="00795DB7">
        <w:rPr>
          <w:rFonts w:ascii="Calibri" w:hAnsi="Calibri" w:cs="Calibri"/>
          <w:sz w:val="28"/>
          <w:szCs w:val="28"/>
        </w:rPr>
        <w:t xml:space="preserve"> and finances are created daily. Nevertheless, the current data cannot be accessed in real time due to being stored in separate operational systems such as electronic patient records (EPR) and patient administration systems (PAS). As a result, senior managers are deprived of the opportunity to have a consolidated picture of how the organization performs at any given moment in time. Such a situation is not just a mere speculation; NHS England has already recognized the issue in practice by starting the national roll-out of the Federated Data Platform (FDP) from April 2024. This infrastructure programme is aimed at linking separate trust-level systems </w:t>
      </w:r>
      <w:r w:rsidR="00643C6E" w:rsidRPr="00795DB7">
        <w:rPr>
          <w:rFonts w:ascii="Calibri" w:hAnsi="Calibri" w:cs="Calibri"/>
          <w:sz w:val="28"/>
          <w:szCs w:val="28"/>
        </w:rPr>
        <w:t>to</w:t>
      </w:r>
      <w:r w:rsidRPr="00795DB7">
        <w:rPr>
          <w:rFonts w:ascii="Calibri" w:hAnsi="Calibri" w:cs="Calibri"/>
          <w:sz w:val="28"/>
          <w:szCs w:val="28"/>
        </w:rPr>
        <w:t xml:space="preserve"> manage waiting list, discharge </w:t>
      </w:r>
      <w:r w:rsidR="00C02273" w:rsidRPr="00795DB7">
        <w:rPr>
          <w:rFonts w:ascii="Calibri" w:hAnsi="Calibri" w:cs="Calibri"/>
          <w:sz w:val="28"/>
          <w:szCs w:val="28"/>
        </w:rPr>
        <w:t>plans,</w:t>
      </w:r>
      <w:r w:rsidRPr="00795DB7">
        <w:rPr>
          <w:rFonts w:ascii="Calibri" w:hAnsi="Calibri" w:cs="Calibri"/>
          <w:sz w:val="28"/>
          <w:szCs w:val="28"/>
        </w:rPr>
        <w:t xml:space="preserve"> and capacity in a consolidated way at a national level [1]. This report, produced as a consultant on external data warehouse implementation, will explain why NHS England needs an additional data warehouse instead of its transactional systems and provide a design and a strategy of its implementation (Task 1 and Task 2, respectively).</w:t>
      </w:r>
    </w:p>
    <w:p w14:paraId="49991503" w14:textId="45E3F477" w:rsidR="00795DB7" w:rsidRDefault="00795DB7" w:rsidP="00D1219F">
      <w:pPr>
        <w:jc w:val="both"/>
        <w:rPr>
          <w:rFonts w:ascii="Calibri" w:hAnsi="Calibri" w:cs="Calibri"/>
          <w:sz w:val="28"/>
          <w:szCs w:val="28"/>
        </w:rPr>
      </w:pPr>
    </w:p>
    <w:p w14:paraId="5526444F" w14:textId="77777777" w:rsidR="00795DB7" w:rsidRDefault="00795DB7">
      <w:pPr>
        <w:rPr>
          <w:rFonts w:ascii="Calibri" w:hAnsi="Calibri" w:cs="Calibri"/>
          <w:sz w:val="28"/>
          <w:szCs w:val="28"/>
        </w:rPr>
      </w:pPr>
      <w:r>
        <w:rPr>
          <w:rFonts w:ascii="Calibri" w:hAnsi="Calibri" w:cs="Calibri"/>
          <w:sz w:val="28"/>
          <w:szCs w:val="28"/>
        </w:rPr>
        <w:br w:type="page"/>
      </w:r>
    </w:p>
    <w:p w14:paraId="4CEBA5ED" w14:textId="77777777" w:rsidR="00B4075F" w:rsidRPr="00B4075F" w:rsidRDefault="00B4075F" w:rsidP="00B4075F">
      <w:pPr>
        <w:pStyle w:val="Heading1"/>
        <w:rPr>
          <w:b/>
          <w:bCs/>
        </w:rPr>
      </w:pPr>
      <w:bookmarkStart w:id="1" w:name="_Toc235956578"/>
      <w:bookmarkStart w:id="2" w:name="_Toc236328656"/>
      <w:r w:rsidRPr="00B4075F">
        <w:rPr>
          <w:b/>
          <w:bCs/>
        </w:rPr>
        <w:lastRenderedPageBreak/>
        <w:t>Task 1: Understanding the Case for a Data Warehouse (For the CEO and Board)</w:t>
      </w:r>
      <w:bookmarkEnd w:id="1"/>
      <w:bookmarkEnd w:id="2"/>
    </w:p>
    <w:p w14:paraId="22A89F04" w14:textId="58D8DA4C" w:rsidR="00465B9C" w:rsidRPr="00465B9C" w:rsidRDefault="00465B9C" w:rsidP="00465B9C">
      <w:pPr>
        <w:pStyle w:val="Heading2"/>
        <w:rPr>
          <w:b/>
          <w:bCs/>
        </w:rPr>
      </w:pPr>
      <w:bookmarkStart w:id="3" w:name="_Toc235956579"/>
      <w:bookmarkStart w:id="4" w:name="_Toc236328657"/>
      <w:r w:rsidRPr="00465B9C">
        <w:rPr>
          <w:b/>
          <w:bCs/>
        </w:rPr>
        <w:t>1.1 OLTP vs. Data Warehouse</w:t>
      </w:r>
      <w:bookmarkEnd w:id="3"/>
      <w:bookmarkEnd w:id="4"/>
    </w:p>
    <w:p w14:paraId="797BFBDD" w14:textId="6B9C4462" w:rsidR="007629E2" w:rsidRPr="007629E2" w:rsidRDefault="007629E2" w:rsidP="007629E2">
      <w:pPr>
        <w:jc w:val="both"/>
        <w:rPr>
          <w:rFonts w:ascii="Calibri" w:hAnsi="Calibri" w:cs="Calibri"/>
          <w:sz w:val="28"/>
          <w:szCs w:val="28"/>
        </w:rPr>
      </w:pPr>
      <w:r w:rsidRPr="007629E2">
        <w:rPr>
          <w:rFonts w:ascii="Calibri" w:hAnsi="Calibri" w:cs="Calibri"/>
          <w:sz w:val="28"/>
          <w:szCs w:val="28"/>
        </w:rPr>
        <w:t>NHS England uses OLTP systems in its routine work: EPR, PAS and workforce systems, collecting events in real time</w:t>
      </w:r>
      <w:r w:rsidR="00D043FA">
        <w:rPr>
          <w:rFonts w:ascii="Calibri" w:hAnsi="Calibri" w:cs="Calibri"/>
          <w:sz w:val="28"/>
          <w:szCs w:val="28"/>
        </w:rPr>
        <w:t>,</w:t>
      </w:r>
      <w:r w:rsidRPr="007629E2">
        <w:rPr>
          <w:rFonts w:ascii="Calibri" w:hAnsi="Calibri" w:cs="Calibri"/>
          <w:sz w:val="28"/>
          <w:szCs w:val="28"/>
        </w:rPr>
        <w:t xml:space="preserve"> recording a referral, changing the bed status, noting a shift. OLTP is based on a normalised relational model, which provides minimal redundancy of data and ensures instant application of every change, like a discharge, since operational people </w:t>
      </w:r>
      <w:r w:rsidR="00643C6E" w:rsidRPr="007629E2">
        <w:rPr>
          <w:rFonts w:ascii="Calibri" w:hAnsi="Calibri" w:cs="Calibri"/>
          <w:sz w:val="28"/>
          <w:szCs w:val="28"/>
        </w:rPr>
        <w:t>must</w:t>
      </w:r>
      <w:r w:rsidRPr="007629E2">
        <w:rPr>
          <w:rFonts w:ascii="Calibri" w:hAnsi="Calibri" w:cs="Calibri"/>
          <w:sz w:val="28"/>
          <w:szCs w:val="28"/>
        </w:rPr>
        <w:t xml:space="preserve"> see a single current version of reality [2]. This type of software provides transactional consistency and efficiency for single-record operations, but not analysis of millions of historical records.</w:t>
      </w:r>
    </w:p>
    <w:p w14:paraId="247A464C" w14:textId="3733A468" w:rsidR="007629E2" w:rsidRPr="007629E2" w:rsidRDefault="007629E2" w:rsidP="007629E2">
      <w:pPr>
        <w:jc w:val="both"/>
        <w:rPr>
          <w:rFonts w:ascii="Calibri" w:hAnsi="Calibri" w:cs="Calibri"/>
          <w:sz w:val="28"/>
          <w:szCs w:val="28"/>
        </w:rPr>
      </w:pPr>
      <w:r w:rsidRPr="007629E2">
        <w:rPr>
          <w:rFonts w:ascii="Calibri" w:hAnsi="Calibri" w:cs="Calibri"/>
          <w:sz w:val="28"/>
          <w:szCs w:val="28"/>
        </w:rPr>
        <w:t>Data warehousing is completely different in its nature. According to Inmon [3], data warehouse is a subject-oriented, integrated, time-</w:t>
      </w:r>
      <w:r w:rsidR="00C02273" w:rsidRPr="007629E2">
        <w:rPr>
          <w:rFonts w:ascii="Calibri" w:hAnsi="Calibri" w:cs="Calibri"/>
          <w:sz w:val="28"/>
          <w:szCs w:val="28"/>
        </w:rPr>
        <w:t>variant,</w:t>
      </w:r>
      <w:r w:rsidRPr="007629E2">
        <w:rPr>
          <w:rFonts w:ascii="Calibri" w:hAnsi="Calibri" w:cs="Calibri"/>
          <w:sz w:val="28"/>
          <w:szCs w:val="28"/>
        </w:rPr>
        <w:t xml:space="preserve"> and non-volatile collection of data used for management decision-making. Unlike operational systems, a warehouse keeps history, and thus allows to compare, for instance, average length of stay over five years, or admission trends in certain regions: things that cannot be answered by OLTP, whose design is oriented to point queries [4]. While OLTP data is stored in dozens of separated silos</w:t>
      </w:r>
      <w:r w:rsidR="00D043FA">
        <w:rPr>
          <w:rFonts w:ascii="Calibri" w:hAnsi="Calibri" w:cs="Calibri"/>
          <w:sz w:val="28"/>
          <w:szCs w:val="28"/>
        </w:rPr>
        <w:t>,</w:t>
      </w:r>
      <w:r w:rsidRPr="007629E2">
        <w:rPr>
          <w:rFonts w:ascii="Calibri" w:hAnsi="Calibri" w:cs="Calibri"/>
          <w:sz w:val="28"/>
          <w:szCs w:val="28"/>
        </w:rPr>
        <w:t xml:space="preserve"> each trust has one PAS, each hospital has its EPR</w:t>
      </w:r>
      <w:r w:rsidR="00D043FA">
        <w:rPr>
          <w:rFonts w:ascii="Calibri" w:hAnsi="Calibri" w:cs="Calibri"/>
          <w:sz w:val="28"/>
          <w:szCs w:val="28"/>
        </w:rPr>
        <w:t>,</w:t>
      </w:r>
      <w:r w:rsidRPr="007629E2">
        <w:rPr>
          <w:rFonts w:ascii="Calibri" w:hAnsi="Calibri" w:cs="Calibri"/>
          <w:sz w:val="28"/>
          <w:szCs w:val="28"/>
        </w:rPr>
        <w:t xml:space="preserve"> data warehouse combines all these sources into one consistent database with shared definitions, e.g. one definition of "readmission".</w:t>
      </w:r>
    </w:p>
    <w:p w14:paraId="620DC8F9" w14:textId="2BEED763" w:rsidR="00795DB7" w:rsidRDefault="007629E2" w:rsidP="007629E2">
      <w:pPr>
        <w:jc w:val="both"/>
        <w:rPr>
          <w:rFonts w:ascii="Calibri" w:hAnsi="Calibri" w:cs="Calibri"/>
          <w:sz w:val="28"/>
          <w:szCs w:val="28"/>
        </w:rPr>
      </w:pPr>
      <w:r w:rsidRPr="007629E2">
        <w:rPr>
          <w:rFonts w:ascii="Calibri" w:hAnsi="Calibri" w:cs="Calibri"/>
          <w:sz w:val="28"/>
          <w:szCs w:val="28"/>
        </w:rPr>
        <w:t>Thus, for the Board, the advantage of a data warehouse investment is this: no matter what EPR or PAS will do, the same work in the same hospitals, it will add an analytical level to operational databases.</w:t>
      </w:r>
    </w:p>
    <w:p w14:paraId="3470C70D" w14:textId="0DD3CF60" w:rsidR="00E3103D" w:rsidRPr="00E3103D" w:rsidRDefault="00E3103D" w:rsidP="00E3103D">
      <w:pPr>
        <w:pStyle w:val="Heading2"/>
        <w:rPr>
          <w:b/>
          <w:bCs/>
        </w:rPr>
      </w:pPr>
      <w:bookmarkStart w:id="5" w:name="_Toc235956580"/>
      <w:bookmarkStart w:id="6" w:name="_Toc236328658"/>
      <w:r w:rsidRPr="00E3103D">
        <w:rPr>
          <w:b/>
          <w:bCs/>
        </w:rPr>
        <w:t>1.2 Data Warehouse Architecture &amp; ETL</w:t>
      </w:r>
      <w:bookmarkEnd w:id="5"/>
      <w:bookmarkEnd w:id="6"/>
    </w:p>
    <w:p w14:paraId="55761886" w14:textId="2239148B" w:rsidR="00353880" w:rsidRDefault="009F7A0A" w:rsidP="007629E2">
      <w:pPr>
        <w:jc w:val="both"/>
        <w:rPr>
          <w:rFonts w:ascii="Calibri" w:hAnsi="Calibri" w:cs="Calibri"/>
          <w:sz w:val="28"/>
          <w:szCs w:val="28"/>
        </w:rPr>
      </w:pPr>
      <w:r w:rsidRPr="009F7A0A">
        <w:rPr>
          <w:rFonts w:ascii="Calibri" w:hAnsi="Calibri" w:cs="Calibri"/>
          <w:sz w:val="28"/>
          <w:szCs w:val="28"/>
        </w:rPr>
        <w:t>Data warehouses can be conceptualized as a pipeline process having four parts: sources, the place where extraction and transformation occur, the data warehouse itself, and the data marts and report generation tools that senior management looks at each day. This is illustrated by Figure 1 with reference to the NHS England systems.</w:t>
      </w:r>
    </w:p>
    <w:p w14:paraId="68F82CC4" w14:textId="77777777" w:rsidR="00170E81" w:rsidRDefault="009F7A0A" w:rsidP="00170E81">
      <w:pPr>
        <w:keepNext/>
        <w:jc w:val="both"/>
      </w:pPr>
      <w:r>
        <w:rPr>
          <w:rFonts w:ascii="Calibri" w:hAnsi="Calibri" w:cs="Calibri"/>
          <w:noProof/>
          <w:sz w:val="28"/>
          <w:szCs w:val="28"/>
        </w:rPr>
        <w:lastRenderedPageBreak/>
        <w:drawing>
          <wp:inline distT="0" distB="0" distL="0" distR="0" wp14:anchorId="147179C6" wp14:editId="5FAACACC">
            <wp:extent cx="5731510" cy="2700020"/>
            <wp:effectExtent l="0" t="0" r="2540" b="5080"/>
            <wp:docPr id="3729779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977928" name="Picture 37297792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00020"/>
                    </a:xfrm>
                    <a:prstGeom prst="rect">
                      <a:avLst/>
                    </a:prstGeom>
                  </pic:spPr>
                </pic:pic>
              </a:graphicData>
            </a:graphic>
          </wp:inline>
        </w:drawing>
      </w:r>
    </w:p>
    <w:p w14:paraId="63740DC9" w14:textId="13C874C4" w:rsidR="009F7A0A" w:rsidRDefault="00170E81" w:rsidP="00170E81">
      <w:pPr>
        <w:pStyle w:val="Caption"/>
        <w:jc w:val="both"/>
      </w:pPr>
      <w:bookmarkStart w:id="7" w:name="_Toc236151059"/>
      <w:r>
        <w:t xml:space="preserve">Figure </w:t>
      </w:r>
      <w:r w:rsidR="003A5506">
        <w:fldChar w:fldCharType="begin"/>
      </w:r>
      <w:r w:rsidR="003A5506">
        <w:instrText xml:space="preserve"> SEQ Figure \* ARABIC </w:instrText>
      </w:r>
      <w:r w:rsidR="003A5506">
        <w:fldChar w:fldCharType="separate"/>
      </w:r>
      <w:r w:rsidR="003A5506">
        <w:rPr>
          <w:noProof/>
        </w:rPr>
        <w:t>1</w:t>
      </w:r>
      <w:r w:rsidR="003A5506">
        <w:rPr>
          <w:noProof/>
        </w:rPr>
        <w:fldChar w:fldCharType="end"/>
      </w:r>
      <w:r>
        <w:t xml:space="preserve"> - </w:t>
      </w:r>
      <w:r w:rsidRPr="00465327">
        <w:t>Proposed NHS England data warehouse architecture and ETL flow.</w:t>
      </w:r>
      <w:bookmarkEnd w:id="7"/>
    </w:p>
    <w:p w14:paraId="233C16CA" w14:textId="77777777" w:rsidR="00420F8E" w:rsidRPr="00420F8E" w:rsidRDefault="00420F8E" w:rsidP="00420F8E">
      <w:pPr>
        <w:jc w:val="both"/>
        <w:rPr>
          <w:rFonts w:ascii="Calibri" w:hAnsi="Calibri" w:cs="Calibri"/>
          <w:sz w:val="28"/>
          <w:szCs w:val="28"/>
        </w:rPr>
      </w:pPr>
      <w:r w:rsidRPr="00420F8E">
        <w:rPr>
          <w:rFonts w:ascii="Calibri" w:hAnsi="Calibri" w:cs="Calibri"/>
          <w:sz w:val="28"/>
          <w:szCs w:val="28"/>
        </w:rPr>
        <w:t>The internal data sources of NHS England come in different categories as follows: the EPR and PAS provide data about patients and clinical activity; the Electronic Staff Record (ESR) provides data on shift patterns, agency use and sickness absence – a national workforce and payroll system for all NHS trusts [5]; financial and costing systems provide data on tariff-based income and expenditure; and community and mental health systems provide multi-agency longitudinal care record.</w:t>
      </w:r>
    </w:p>
    <w:p w14:paraId="4C7DB6A7" w14:textId="2F2A923B" w:rsidR="00420F8E" w:rsidRPr="00420F8E" w:rsidRDefault="00420F8E" w:rsidP="00420F8E">
      <w:pPr>
        <w:jc w:val="both"/>
        <w:rPr>
          <w:rFonts w:ascii="Calibri" w:hAnsi="Calibri" w:cs="Calibri"/>
          <w:sz w:val="28"/>
          <w:szCs w:val="28"/>
        </w:rPr>
      </w:pPr>
      <w:r w:rsidRPr="00420F8E">
        <w:rPr>
          <w:rFonts w:ascii="Calibri" w:hAnsi="Calibri" w:cs="Calibri"/>
          <w:sz w:val="28"/>
          <w:szCs w:val="28"/>
        </w:rPr>
        <w:t xml:space="preserve">ETL processes transform data into usable information in NHS data warehouses in a reliable way by taking data from a replica of each operational database in an overnight operation or low-impact change data capture manner, such that clinicians using EPR or PAS during daytime never query tables which are being copied [6]. In the transformation process, which is done in an isolated staging area, the duplicate NHS numbers are </w:t>
      </w:r>
      <w:r w:rsidR="00C748F4" w:rsidRPr="00420F8E">
        <w:rPr>
          <w:rFonts w:ascii="Calibri" w:hAnsi="Calibri" w:cs="Calibri"/>
          <w:sz w:val="28"/>
          <w:szCs w:val="28"/>
        </w:rPr>
        <w:t>removed,</w:t>
      </w:r>
      <w:r w:rsidRPr="00420F8E">
        <w:rPr>
          <w:rFonts w:ascii="Calibri" w:hAnsi="Calibri" w:cs="Calibri"/>
          <w:sz w:val="28"/>
          <w:szCs w:val="28"/>
        </w:rPr>
        <w:t xml:space="preserve"> and the date formats, ICD-10 codes and patient identifiers are standardized and pseudonymised. The load phase finally writes the cleansed data into dimensional tables of the warehouse at </w:t>
      </w:r>
      <w:r w:rsidR="00C02273" w:rsidRPr="00420F8E">
        <w:rPr>
          <w:rFonts w:ascii="Calibri" w:hAnsi="Calibri" w:cs="Calibri"/>
          <w:sz w:val="28"/>
          <w:szCs w:val="28"/>
        </w:rPr>
        <w:t>nighttime</w:t>
      </w:r>
      <w:r w:rsidRPr="00420F8E">
        <w:rPr>
          <w:rFonts w:ascii="Calibri" w:hAnsi="Calibri" w:cs="Calibri"/>
          <w:sz w:val="28"/>
          <w:szCs w:val="28"/>
        </w:rPr>
        <w:t xml:space="preserve"> when there is minimum clinical activity.</w:t>
      </w:r>
    </w:p>
    <w:p w14:paraId="3EB8F876" w14:textId="77777777" w:rsidR="00420F8E" w:rsidRPr="00420F8E" w:rsidRDefault="00420F8E" w:rsidP="00420F8E">
      <w:pPr>
        <w:jc w:val="both"/>
        <w:rPr>
          <w:rFonts w:ascii="Calibri" w:hAnsi="Calibri" w:cs="Calibri"/>
          <w:sz w:val="28"/>
          <w:szCs w:val="28"/>
        </w:rPr>
      </w:pPr>
      <w:r w:rsidRPr="00420F8E">
        <w:rPr>
          <w:rFonts w:ascii="Calibri" w:hAnsi="Calibri" w:cs="Calibri"/>
          <w:sz w:val="28"/>
          <w:szCs w:val="28"/>
        </w:rPr>
        <w:t>Concerning the delivery strategy, the authors recommend using the "bus architecture" of Kimball and Ross consisting of conformed dimensions and reuse of the Patient, Time and Hospital dimensions across all subject areas, rather than the top-down enterprise-wide solution of Inmon, since NHS England will be able to implement a working data mart in a matter of months for a region or directorate rather than years for the monolithic build [4].</w:t>
      </w:r>
    </w:p>
    <w:p w14:paraId="6D323469" w14:textId="549754AB" w:rsidR="00170E81" w:rsidRDefault="00420F8E" w:rsidP="00420F8E">
      <w:pPr>
        <w:jc w:val="both"/>
        <w:rPr>
          <w:rFonts w:ascii="Calibri" w:hAnsi="Calibri" w:cs="Calibri"/>
          <w:sz w:val="28"/>
          <w:szCs w:val="28"/>
        </w:rPr>
      </w:pPr>
      <w:r w:rsidRPr="00420F8E">
        <w:rPr>
          <w:rFonts w:ascii="Calibri" w:hAnsi="Calibri" w:cs="Calibri"/>
          <w:sz w:val="28"/>
          <w:szCs w:val="28"/>
        </w:rPr>
        <w:lastRenderedPageBreak/>
        <w:t xml:space="preserve">To reassure the CEO of NHS in a direct way: the extraction process reads from a replica or a transaction-log copy of each source database but not from the live tables, which the clinicians and administrators update; thus, the ETL process does not lock any record or slow down any bedside screen. The transformation and loading take place in an infrastructure separate from the one in which the hospital operations take place in a designated overnight maintenance window according to NHS data volume expectations. Before the go-live, the warehouse will run in parallel with existing manual reporting for a period of trial </w:t>
      </w:r>
      <w:r w:rsidR="00643C6E" w:rsidRPr="00420F8E">
        <w:rPr>
          <w:rFonts w:ascii="Calibri" w:hAnsi="Calibri" w:cs="Calibri"/>
          <w:sz w:val="28"/>
          <w:szCs w:val="28"/>
        </w:rPr>
        <w:t>for</w:t>
      </w:r>
      <w:r w:rsidRPr="00420F8E">
        <w:rPr>
          <w:rFonts w:ascii="Calibri" w:hAnsi="Calibri" w:cs="Calibri"/>
          <w:sz w:val="28"/>
          <w:szCs w:val="28"/>
        </w:rPr>
        <w:t xml:space="preserve"> the leadership to be sure that figures match.</w:t>
      </w:r>
    </w:p>
    <w:p w14:paraId="716FD15F" w14:textId="7BE8732B" w:rsidR="00DB2DA7" w:rsidRPr="00DB2DA7" w:rsidRDefault="00DB2DA7" w:rsidP="00DB2DA7">
      <w:pPr>
        <w:pStyle w:val="Heading2"/>
        <w:rPr>
          <w:b/>
          <w:bCs/>
        </w:rPr>
      </w:pPr>
      <w:bookmarkStart w:id="8" w:name="_Toc235956581"/>
      <w:bookmarkStart w:id="9" w:name="_Toc236328659"/>
      <w:r w:rsidRPr="00DB2DA7">
        <w:rPr>
          <w:b/>
          <w:bCs/>
        </w:rPr>
        <w:t>1.3 Data Marts for Management Decision-Making</w:t>
      </w:r>
      <w:bookmarkEnd w:id="8"/>
      <w:bookmarkEnd w:id="9"/>
    </w:p>
    <w:p w14:paraId="689C6265" w14:textId="77777777" w:rsidR="00A04395" w:rsidRPr="00A04395" w:rsidRDefault="00A04395" w:rsidP="00A04395">
      <w:pPr>
        <w:jc w:val="both"/>
        <w:rPr>
          <w:rFonts w:ascii="Calibri" w:hAnsi="Calibri" w:cs="Calibri"/>
          <w:sz w:val="28"/>
          <w:szCs w:val="28"/>
        </w:rPr>
      </w:pPr>
      <w:r w:rsidRPr="00A04395">
        <w:rPr>
          <w:rFonts w:ascii="Calibri" w:hAnsi="Calibri" w:cs="Calibri"/>
          <w:sz w:val="28"/>
          <w:szCs w:val="28"/>
        </w:rPr>
        <w:t>In this case, the three key decision makers need the same data just from a different perspective, which is the exact purpose of the creation of dependent data marts – extracts of the same integrated warehouse but with a focus on a certain subject matter instead of independent databases with their own definitions [4].</w:t>
      </w:r>
    </w:p>
    <w:p w14:paraId="556E5C2F" w14:textId="77777777" w:rsidR="00A04395" w:rsidRPr="00A04395" w:rsidRDefault="00A04395" w:rsidP="00A04395">
      <w:pPr>
        <w:jc w:val="both"/>
        <w:rPr>
          <w:rFonts w:ascii="Calibri" w:hAnsi="Calibri" w:cs="Calibri"/>
          <w:sz w:val="28"/>
          <w:szCs w:val="28"/>
        </w:rPr>
      </w:pPr>
      <w:r w:rsidRPr="00A04395">
        <w:rPr>
          <w:rFonts w:ascii="Calibri" w:hAnsi="Calibri" w:cs="Calibri"/>
          <w:sz w:val="28"/>
          <w:szCs w:val="28"/>
        </w:rPr>
        <w:t>For the Chief Executive, an Executive/Strategic data mart should have information about the Key Performance Indicators of the organisation: the RTT compliance on the national level, overall bed occupancy and patient flow bottlenecks per region, which are needed for trend dashboards from national to regional and down to trust level but not to patients.</w:t>
      </w:r>
    </w:p>
    <w:p w14:paraId="17218F31" w14:textId="77777777" w:rsidR="00A04395" w:rsidRPr="00A04395" w:rsidRDefault="00A04395" w:rsidP="00A04395">
      <w:pPr>
        <w:jc w:val="both"/>
        <w:rPr>
          <w:rFonts w:ascii="Calibri" w:hAnsi="Calibri" w:cs="Calibri"/>
          <w:sz w:val="28"/>
          <w:szCs w:val="28"/>
        </w:rPr>
      </w:pPr>
      <w:r w:rsidRPr="00A04395">
        <w:rPr>
          <w:rFonts w:ascii="Calibri" w:hAnsi="Calibri" w:cs="Calibri"/>
          <w:sz w:val="28"/>
          <w:szCs w:val="28"/>
        </w:rPr>
        <w:t>For the Finance Director, a Finance data mart should have information about the cost per patient episode in comparison to the national tariff, budget versus actual spendings of trusts and directorates, agency staffing cost trends.</w:t>
      </w:r>
    </w:p>
    <w:p w14:paraId="0C6F15A6" w14:textId="1F827846" w:rsidR="00A04395" w:rsidRPr="00A04395" w:rsidRDefault="00A04395" w:rsidP="00A04395">
      <w:pPr>
        <w:jc w:val="both"/>
        <w:rPr>
          <w:rFonts w:ascii="Calibri" w:hAnsi="Calibri" w:cs="Calibri"/>
          <w:sz w:val="28"/>
          <w:szCs w:val="28"/>
        </w:rPr>
      </w:pPr>
      <w:r w:rsidRPr="00A04395">
        <w:rPr>
          <w:rFonts w:ascii="Calibri" w:hAnsi="Calibri" w:cs="Calibri"/>
          <w:sz w:val="28"/>
          <w:szCs w:val="28"/>
        </w:rPr>
        <w:t xml:space="preserve">For the Medical Director, a Clinical Quality data mart should have readmission rates, mortality, patient safety </w:t>
      </w:r>
      <w:r w:rsidR="00C02273" w:rsidRPr="00A04395">
        <w:rPr>
          <w:rFonts w:ascii="Calibri" w:hAnsi="Calibri" w:cs="Calibri"/>
          <w:sz w:val="28"/>
          <w:szCs w:val="28"/>
        </w:rPr>
        <w:t>incidents,</w:t>
      </w:r>
      <w:r w:rsidRPr="00A04395">
        <w:rPr>
          <w:rFonts w:ascii="Calibri" w:hAnsi="Calibri" w:cs="Calibri"/>
          <w:sz w:val="28"/>
          <w:szCs w:val="28"/>
        </w:rPr>
        <w:t xml:space="preserve"> and patient satisfaction segmented by specialty and hospital to check the quality of care.</w:t>
      </w:r>
    </w:p>
    <w:p w14:paraId="7D41A3FB" w14:textId="77777777" w:rsidR="00A04395" w:rsidRPr="00A04395" w:rsidRDefault="00A04395" w:rsidP="00A04395">
      <w:pPr>
        <w:jc w:val="both"/>
        <w:rPr>
          <w:rFonts w:ascii="Calibri" w:hAnsi="Calibri" w:cs="Calibri"/>
          <w:sz w:val="28"/>
          <w:szCs w:val="28"/>
        </w:rPr>
      </w:pPr>
      <w:r w:rsidRPr="00A04395">
        <w:rPr>
          <w:rFonts w:ascii="Calibri" w:hAnsi="Calibri" w:cs="Calibri"/>
          <w:sz w:val="28"/>
          <w:szCs w:val="28"/>
        </w:rPr>
        <w:t>As all three data marts are created from the same warehouse and use the same Time, Hospital/Region and Patient-cohorts dimensions, when the capacity problem of the Chief Executive arises for a particular region, it would match exactly with the costs that the Finance Director would see and the outcomes of the Medical Director in respect of that region: this "whose numbers are right" discussion that arises within organisations having independent departmental spreadsheets is deliberately avoided from the very beginning [4].</w:t>
      </w:r>
    </w:p>
    <w:p w14:paraId="1B56F132" w14:textId="673193CD" w:rsidR="00DB2DA7" w:rsidRDefault="00A04395" w:rsidP="00A04395">
      <w:pPr>
        <w:jc w:val="both"/>
        <w:rPr>
          <w:rFonts w:ascii="Calibri" w:hAnsi="Calibri" w:cs="Calibri"/>
          <w:sz w:val="28"/>
          <w:szCs w:val="28"/>
        </w:rPr>
      </w:pPr>
      <w:r w:rsidRPr="00A04395">
        <w:rPr>
          <w:rFonts w:ascii="Calibri" w:hAnsi="Calibri" w:cs="Calibri"/>
          <w:sz w:val="28"/>
          <w:szCs w:val="28"/>
        </w:rPr>
        <w:lastRenderedPageBreak/>
        <w:t>This reuse of the dimensions used in the warehouse is described by Kimball and Ross using the so-called bus matrix – a simple table that matches the subject areas (patient activity, finance, workforce) with the shared dimensions used by these subject areas [4]. For the NHS England it means, for instance, that when the CEO drills from the RTT national dashboard down to a particular region, then to a particular trust, and finally to a particular ward, the Finance Director can instantly drill into the same hierarchy and see the costs of that ward, while neither of directors needs to derive his own definition of "ward" or "trust".</w:t>
      </w:r>
    </w:p>
    <w:p w14:paraId="3DD86B5A" w14:textId="3C93D174" w:rsidR="00680B5E" w:rsidRPr="00680B5E" w:rsidRDefault="00680B5E" w:rsidP="00680B5E">
      <w:pPr>
        <w:pStyle w:val="Heading2"/>
        <w:rPr>
          <w:b/>
          <w:bCs/>
        </w:rPr>
      </w:pPr>
      <w:bookmarkStart w:id="10" w:name="_Toc235956582"/>
      <w:bookmarkStart w:id="11" w:name="_Toc236328660"/>
      <w:r w:rsidRPr="00680B5E">
        <w:rPr>
          <w:b/>
          <w:bCs/>
        </w:rPr>
        <w:t>1.4 OLTP Normalisation vs. Data Warehouse Dimensional Modelling</w:t>
      </w:r>
      <w:bookmarkEnd w:id="10"/>
      <w:bookmarkEnd w:id="11"/>
    </w:p>
    <w:p w14:paraId="38B6D9B2" w14:textId="2AF5ADD5" w:rsidR="003F46F5" w:rsidRPr="003F46F5" w:rsidRDefault="003F46F5" w:rsidP="003F46F5">
      <w:pPr>
        <w:jc w:val="both"/>
        <w:rPr>
          <w:rFonts w:ascii="Calibri" w:hAnsi="Calibri" w:cs="Calibri"/>
          <w:sz w:val="28"/>
          <w:szCs w:val="28"/>
        </w:rPr>
      </w:pPr>
      <w:r w:rsidRPr="003F46F5">
        <w:rPr>
          <w:rFonts w:ascii="Calibri" w:hAnsi="Calibri" w:cs="Calibri"/>
          <w:sz w:val="28"/>
          <w:szCs w:val="28"/>
        </w:rPr>
        <w:t xml:space="preserve">Systems such as PAS are normalized and generally achieve third normal form (3NF), where information like patient, ward, procedure, and staff data are spread over several interrelated tables in order to avoid redundancies such that when you update the patient address, for example, you only need to modify one row [7]. This ensures the integrity of data during transactional write operations, but </w:t>
      </w:r>
      <w:r w:rsidR="00C748F4" w:rsidRPr="003F46F5">
        <w:rPr>
          <w:rFonts w:ascii="Calibri" w:hAnsi="Calibri" w:cs="Calibri"/>
          <w:sz w:val="28"/>
          <w:szCs w:val="28"/>
        </w:rPr>
        <w:t>analysing</w:t>
      </w:r>
      <w:r w:rsidRPr="003F46F5">
        <w:rPr>
          <w:rFonts w:ascii="Calibri" w:hAnsi="Calibri" w:cs="Calibri"/>
          <w:sz w:val="28"/>
          <w:szCs w:val="28"/>
        </w:rPr>
        <w:t xml:space="preserve"> this information necessitates joining these several tables, which becomes difficult and time-consuming when there are millions of rows of data.</w:t>
      </w:r>
    </w:p>
    <w:p w14:paraId="088C2602" w14:textId="7F582821" w:rsidR="00A04395" w:rsidRDefault="003F46F5" w:rsidP="003F46F5">
      <w:pPr>
        <w:jc w:val="both"/>
        <w:rPr>
          <w:rFonts w:ascii="Calibri" w:hAnsi="Calibri" w:cs="Calibri"/>
          <w:sz w:val="28"/>
          <w:szCs w:val="28"/>
        </w:rPr>
      </w:pPr>
      <w:r w:rsidRPr="003F46F5">
        <w:rPr>
          <w:rFonts w:ascii="Calibri" w:hAnsi="Calibri" w:cs="Calibri"/>
          <w:sz w:val="28"/>
          <w:szCs w:val="28"/>
        </w:rPr>
        <w:t xml:space="preserve">Dimensional </w:t>
      </w:r>
      <w:r w:rsidR="00D0413A" w:rsidRPr="003F46F5">
        <w:rPr>
          <w:rFonts w:ascii="Calibri" w:hAnsi="Calibri" w:cs="Calibri"/>
          <w:sz w:val="28"/>
          <w:szCs w:val="28"/>
        </w:rPr>
        <w:t>modelling</w:t>
      </w:r>
      <w:r w:rsidRPr="003F46F5">
        <w:rPr>
          <w:rFonts w:ascii="Calibri" w:hAnsi="Calibri" w:cs="Calibri"/>
          <w:sz w:val="28"/>
          <w:szCs w:val="28"/>
        </w:rPr>
        <w:t xml:space="preserve"> is the approach usually followed when building data warehouses. It </w:t>
      </w:r>
      <w:r w:rsidR="00643C6E" w:rsidRPr="003F46F5">
        <w:rPr>
          <w:rFonts w:ascii="Calibri" w:hAnsi="Calibri" w:cs="Calibri"/>
          <w:sz w:val="28"/>
          <w:szCs w:val="28"/>
        </w:rPr>
        <w:t>involves</w:t>
      </w:r>
      <w:r w:rsidRPr="003F46F5">
        <w:rPr>
          <w:rFonts w:ascii="Calibri" w:hAnsi="Calibri" w:cs="Calibri"/>
          <w:sz w:val="28"/>
          <w:szCs w:val="28"/>
        </w:rPr>
        <w:t xml:space="preserve"> </w:t>
      </w:r>
      <w:r w:rsidR="00D0413A" w:rsidRPr="003F46F5">
        <w:rPr>
          <w:rFonts w:ascii="Calibri" w:hAnsi="Calibri" w:cs="Calibri"/>
          <w:sz w:val="28"/>
          <w:szCs w:val="28"/>
        </w:rPr>
        <w:t>deformalizing</w:t>
      </w:r>
      <w:r w:rsidRPr="003F46F5">
        <w:rPr>
          <w:rFonts w:ascii="Calibri" w:hAnsi="Calibri" w:cs="Calibri"/>
          <w:sz w:val="28"/>
          <w:szCs w:val="28"/>
        </w:rPr>
        <w:t xml:space="preserve"> the data into a star schema, which consists of a single fact table containing the additive measures as well as several dimension tables containing textual attributes for filtering and grouping [8]. Figure 2 below shows a sample star schema of NHS patient activity. The fact table is named </w:t>
      </w:r>
      <w:proofErr w:type="spellStart"/>
      <w:r w:rsidRPr="003F46F5">
        <w:rPr>
          <w:rFonts w:ascii="Calibri" w:hAnsi="Calibri" w:cs="Calibri"/>
          <w:sz w:val="28"/>
          <w:szCs w:val="28"/>
        </w:rPr>
        <w:t>FACT_</w:t>
      </w:r>
      <w:r w:rsidR="00C02273" w:rsidRPr="003F46F5">
        <w:rPr>
          <w:rFonts w:ascii="Calibri" w:hAnsi="Calibri" w:cs="Calibri"/>
          <w:sz w:val="28"/>
          <w:szCs w:val="28"/>
        </w:rPr>
        <w:t>PatientActivity</w:t>
      </w:r>
      <w:proofErr w:type="spellEnd"/>
      <w:r w:rsidR="00C02273" w:rsidRPr="003F46F5">
        <w:rPr>
          <w:rFonts w:ascii="Calibri" w:hAnsi="Calibri" w:cs="Calibri"/>
          <w:sz w:val="28"/>
          <w:szCs w:val="28"/>
        </w:rPr>
        <w:t>,</w:t>
      </w:r>
      <w:r w:rsidRPr="003F46F5">
        <w:rPr>
          <w:rFonts w:ascii="Calibri" w:hAnsi="Calibri" w:cs="Calibri"/>
          <w:sz w:val="28"/>
          <w:szCs w:val="28"/>
        </w:rPr>
        <w:t xml:space="preserve"> and it contains all the measures while the dimension tables are </w:t>
      </w:r>
      <w:proofErr w:type="spellStart"/>
      <w:r w:rsidRPr="003F46F5">
        <w:rPr>
          <w:rFonts w:ascii="Calibri" w:hAnsi="Calibri" w:cs="Calibri"/>
          <w:sz w:val="28"/>
          <w:szCs w:val="28"/>
        </w:rPr>
        <w:t>DIM_Patient</w:t>
      </w:r>
      <w:proofErr w:type="spellEnd"/>
      <w:r w:rsidRPr="003F46F5">
        <w:rPr>
          <w:rFonts w:ascii="Calibri" w:hAnsi="Calibri" w:cs="Calibri"/>
          <w:sz w:val="28"/>
          <w:szCs w:val="28"/>
        </w:rPr>
        <w:t xml:space="preserve">, </w:t>
      </w:r>
      <w:proofErr w:type="spellStart"/>
      <w:r w:rsidRPr="003F46F5">
        <w:rPr>
          <w:rFonts w:ascii="Calibri" w:hAnsi="Calibri" w:cs="Calibri"/>
          <w:sz w:val="28"/>
          <w:szCs w:val="28"/>
        </w:rPr>
        <w:t>DIM_Time</w:t>
      </w:r>
      <w:proofErr w:type="spellEnd"/>
      <w:r w:rsidRPr="003F46F5">
        <w:rPr>
          <w:rFonts w:ascii="Calibri" w:hAnsi="Calibri" w:cs="Calibri"/>
          <w:sz w:val="28"/>
          <w:szCs w:val="28"/>
        </w:rPr>
        <w:t xml:space="preserve">, </w:t>
      </w:r>
      <w:proofErr w:type="spellStart"/>
      <w:r w:rsidRPr="003F46F5">
        <w:rPr>
          <w:rFonts w:ascii="Calibri" w:hAnsi="Calibri" w:cs="Calibri"/>
          <w:sz w:val="28"/>
          <w:szCs w:val="28"/>
        </w:rPr>
        <w:t>DIM_Treatment</w:t>
      </w:r>
      <w:proofErr w:type="spellEnd"/>
      <w:r w:rsidRPr="003F46F5">
        <w:rPr>
          <w:rFonts w:ascii="Calibri" w:hAnsi="Calibri" w:cs="Calibri"/>
          <w:sz w:val="28"/>
          <w:szCs w:val="28"/>
        </w:rPr>
        <w:t xml:space="preserve"> and </w:t>
      </w:r>
      <w:proofErr w:type="spellStart"/>
      <w:r w:rsidRPr="003F46F5">
        <w:rPr>
          <w:rFonts w:ascii="Calibri" w:hAnsi="Calibri" w:cs="Calibri"/>
          <w:sz w:val="28"/>
          <w:szCs w:val="28"/>
        </w:rPr>
        <w:t>DIM_Hospital</w:t>
      </w:r>
      <w:proofErr w:type="spellEnd"/>
      <w:r w:rsidRPr="003F46F5">
        <w:rPr>
          <w:rFonts w:ascii="Calibri" w:hAnsi="Calibri" w:cs="Calibri"/>
          <w:sz w:val="28"/>
          <w:szCs w:val="28"/>
        </w:rPr>
        <w:t>.</w:t>
      </w:r>
    </w:p>
    <w:p w14:paraId="4794600D" w14:textId="77777777" w:rsidR="00A71BC2" w:rsidRDefault="009B2CC6" w:rsidP="00A71BC2">
      <w:pPr>
        <w:keepNext/>
        <w:jc w:val="both"/>
      </w:pPr>
      <w:r>
        <w:rPr>
          <w:rFonts w:ascii="Calibri" w:hAnsi="Calibri" w:cs="Calibri"/>
          <w:noProof/>
          <w:sz w:val="28"/>
          <w:szCs w:val="28"/>
        </w:rPr>
        <w:lastRenderedPageBreak/>
        <w:drawing>
          <wp:inline distT="0" distB="0" distL="0" distR="0" wp14:anchorId="02B8268D" wp14:editId="1FFE12BE">
            <wp:extent cx="5731510" cy="3345180"/>
            <wp:effectExtent l="0" t="0" r="2540" b="7620"/>
            <wp:docPr id="10035446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44605" name="Picture 1003544605"/>
                    <pic:cNvPicPr/>
                  </pic:nvPicPr>
                  <pic:blipFill>
                    <a:blip r:embed="rId12">
                      <a:extLst>
                        <a:ext uri="{28A0092B-C50C-407E-A947-70E740481C1C}">
                          <a14:useLocalDpi xmlns:a14="http://schemas.microsoft.com/office/drawing/2010/main" val="0"/>
                        </a:ext>
                      </a:extLst>
                    </a:blip>
                    <a:stretch>
                      <a:fillRect/>
                    </a:stretch>
                  </pic:blipFill>
                  <pic:spPr>
                    <a:xfrm>
                      <a:off x="0" y="0"/>
                      <a:ext cx="5731510" cy="3345180"/>
                    </a:xfrm>
                    <a:prstGeom prst="rect">
                      <a:avLst/>
                    </a:prstGeom>
                  </pic:spPr>
                </pic:pic>
              </a:graphicData>
            </a:graphic>
          </wp:inline>
        </w:drawing>
      </w:r>
    </w:p>
    <w:p w14:paraId="07CCFC0E" w14:textId="151D23F4" w:rsidR="003F46F5" w:rsidRDefault="00A71BC2" w:rsidP="00A71BC2">
      <w:pPr>
        <w:pStyle w:val="Caption"/>
        <w:jc w:val="both"/>
      </w:pPr>
      <w:bookmarkStart w:id="12" w:name="_Toc236151060"/>
      <w:r>
        <w:t xml:space="preserve">Figure </w:t>
      </w:r>
      <w:r w:rsidR="003A5506">
        <w:fldChar w:fldCharType="begin"/>
      </w:r>
      <w:r w:rsidR="003A5506">
        <w:instrText xml:space="preserve"> SEQ Figure \* ARABIC </w:instrText>
      </w:r>
      <w:r w:rsidR="003A5506">
        <w:fldChar w:fldCharType="separate"/>
      </w:r>
      <w:r w:rsidR="003A5506">
        <w:rPr>
          <w:noProof/>
        </w:rPr>
        <w:t>2</w:t>
      </w:r>
      <w:r w:rsidR="003A5506">
        <w:rPr>
          <w:noProof/>
        </w:rPr>
        <w:fldChar w:fldCharType="end"/>
      </w:r>
      <w:r>
        <w:t xml:space="preserve"> - </w:t>
      </w:r>
      <w:r w:rsidRPr="00456C57">
        <w:t>Star schema for NHS patient activity, illustrating facts and dimensions.</w:t>
      </w:r>
      <w:bookmarkEnd w:id="12"/>
    </w:p>
    <w:p w14:paraId="2B6AFDAC" w14:textId="77777777" w:rsidR="00A71BC2" w:rsidRDefault="00A71BC2" w:rsidP="00A71BC2">
      <w:pPr>
        <w:rPr>
          <w:i/>
          <w:iCs/>
          <w:color w:val="0E2841" w:themeColor="text2"/>
          <w:sz w:val="18"/>
          <w:szCs w:val="18"/>
        </w:rPr>
      </w:pPr>
    </w:p>
    <w:p w14:paraId="06BFD3F6" w14:textId="5F1B5761" w:rsidR="00A71BC2" w:rsidRDefault="00D0413A" w:rsidP="00A71BC2">
      <w:pPr>
        <w:jc w:val="both"/>
        <w:rPr>
          <w:rFonts w:ascii="Calibri" w:hAnsi="Calibri" w:cs="Calibri"/>
          <w:sz w:val="28"/>
          <w:szCs w:val="28"/>
        </w:rPr>
      </w:pPr>
      <w:r w:rsidRPr="00D0413A">
        <w:rPr>
          <w:rFonts w:ascii="Calibri" w:hAnsi="Calibri" w:cs="Calibri"/>
          <w:sz w:val="28"/>
          <w:szCs w:val="28"/>
        </w:rPr>
        <w:t>The consequence of repeating the descriptive facts in each row is an intentional compromise: it gets rid of the complexity of join operations, making the query return within seconds instead of minutes and understandable to a manager, not just a database expert. Surrogate keys (and not the actual keys from the source system, such as a patient's id or the hospital's id) connect each fact row to the relevant dimensions, which also enables the data warehouse to keep track of how an attribute, like the hospital's region, evolves over time and thus does not break the historical reports. From the point of view of the IT Director, the difference lies in the intended use, not in the correctness of the model.</w:t>
      </w:r>
    </w:p>
    <w:p w14:paraId="67E81E32" w14:textId="77777777" w:rsidR="00A71BC2" w:rsidRDefault="00A71BC2" w:rsidP="00A71BC2">
      <w:pPr>
        <w:jc w:val="both"/>
        <w:rPr>
          <w:rFonts w:ascii="Calibri" w:hAnsi="Calibri" w:cs="Calibri"/>
          <w:sz w:val="28"/>
          <w:szCs w:val="28"/>
        </w:rPr>
      </w:pPr>
    </w:p>
    <w:p w14:paraId="07928D3D" w14:textId="77777777" w:rsidR="00C901D0" w:rsidRPr="00C901D0" w:rsidRDefault="00C901D0" w:rsidP="00C901D0">
      <w:pPr>
        <w:pStyle w:val="Heading1"/>
        <w:rPr>
          <w:b/>
          <w:bCs/>
        </w:rPr>
      </w:pPr>
      <w:bookmarkStart w:id="13" w:name="_Toc235956583"/>
      <w:bookmarkStart w:id="14" w:name="_Toc236328661"/>
      <w:r w:rsidRPr="00C901D0">
        <w:rPr>
          <w:b/>
          <w:bCs/>
        </w:rPr>
        <w:t>Task 2: Star Schema Design and Implementation Plan</w:t>
      </w:r>
      <w:bookmarkEnd w:id="13"/>
      <w:bookmarkEnd w:id="14"/>
    </w:p>
    <w:p w14:paraId="257F5A5A" w14:textId="41EC6BF3" w:rsidR="00FC6B99" w:rsidRPr="00FC6B99" w:rsidRDefault="00FC6B99" w:rsidP="00FC6B99">
      <w:pPr>
        <w:pStyle w:val="Heading2"/>
        <w:rPr>
          <w:b/>
          <w:bCs/>
        </w:rPr>
      </w:pPr>
      <w:bookmarkStart w:id="15" w:name="_Toc235956584"/>
      <w:bookmarkStart w:id="16" w:name="_Toc236328662"/>
      <w:r w:rsidRPr="00FC6B99">
        <w:rPr>
          <w:b/>
          <w:bCs/>
        </w:rPr>
        <w:t>2.1 Source System Identification</w:t>
      </w:r>
      <w:bookmarkEnd w:id="15"/>
      <w:bookmarkEnd w:id="16"/>
    </w:p>
    <w:p w14:paraId="4C39DA49" w14:textId="7F5C1491" w:rsidR="00A71BC2" w:rsidRDefault="008D5D0E" w:rsidP="00A71BC2">
      <w:pPr>
        <w:jc w:val="both"/>
        <w:rPr>
          <w:rFonts w:ascii="Calibri" w:hAnsi="Calibri" w:cs="Calibri"/>
          <w:sz w:val="28"/>
          <w:szCs w:val="28"/>
        </w:rPr>
      </w:pPr>
      <w:r w:rsidRPr="008D5D0E">
        <w:rPr>
          <w:rFonts w:ascii="Calibri" w:hAnsi="Calibri" w:cs="Calibri"/>
          <w:sz w:val="28"/>
          <w:szCs w:val="28"/>
        </w:rPr>
        <w:t xml:space="preserve">The source systems for NHS England’s data warehouse will include both internal and external sources. Internally: EPR and PAS provide patient demographic, admission, discharge, and ICD-10 diagnosis; the Electronic Staff Record (ESR) provides information on workforce that includes shift details, agency usage, and </w:t>
      </w:r>
      <w:r w:rsidRPr="008D5D0E">
        <w:rPr>
          <w:rFonts w:ascii="Calibri" w:hAnsi="Calibri" w:cs="Calibri"/>
          <w:sz w:val="28"/>
          <w:szCs w:val="28"/>
        </w:rPr>
        <w:lastRenderedPageBreak/>
        <w:t xml:space="preserve">sickness absence [5]; finance and costing systems provide treatment costs and tariff income; and theatres, diagnostics, and community/mental health systems provide information on clinical activity outside the acute setting. Externally: GP referral information coded in SNOMED CT goes into PAS at the time of referral, while ONS population data and NHS England published reference costs and RTT waiting-time targets [9] help compare the performance of each region to the national level. Each of the sources provides data at a different refresh rate ranging from continuously updated clinical data to nationally produced figures </w:t>
      </w:r>
      <w:r w:rsidR="00C02273" w:rsidRPr="008D5D0E">
        <w:rPr>
          <w:rFonts w:ascii="Calibri" w:hAnsi="Calibri" w:cs="Calibri"/>
          <w:sz w:val="28"/>
          <w:szCs w:val="28"/>
        </w:rPr>
        <w:t>monthly</w:t>
      </w:r>
      <w:r w:rsidRPr="008D5D0E">
        <w:rPr>
          <w:rFonts w:ascii="Calibri" w:hAnsi="Calibri" w:cs="Calibri"/>
          <w:sz w:val="28"/>
          <w:szCs w:val="28"/>
        </w:rPr>
        <w:t>.</w:t>
      </w:r>
    </w:p>
    <w:p w14:paraId="7469693C" w14:textId="70F80DC8" w:rsidR="0036433A" w:rsidRPr="0036433A" w:rsidRDefault="0036433A" w:rsidP="0036433A">
      <w:pPr>
        <w:pStyle w:val="Heading2"/>
        <w:rPr>
          <w:b/>
          <w:bCs/>
        </w:rPr>
      </w:pPr>
      <w:bookmarkStart w:id="17" w:name="_Toc235956585"/>
      <w:bookmarkStart w:id="18" w:name="_Toc236328663"/>
      <w:r w:rsidRPr="0036433A">
        <w:rPr>
          <w:b/>
          <w:bCs/>
        </w:rPr>
        <w:t>2.2 Star Schema Design</w:t>
      </w:r>
      <w:bookmarkEnd w:id="17"/>
      <w:bookmarkEnd w:id="18"/>
    </w:p>
    <w:p w14:paraId="2F5E4F80" w14:textId="5B056794" w:rsidR="00551931" w:rsidRDefault="00551931" w:rsidP="00A71BC2">
      <w:pPr>
        <w:jc w:val="both"/>
        <w:rPr>
          <w:rFonts w:ascii="Calibri" w:hAnsi="Calibri" w:cs="Calibri"/>
          <w:sz w:val="28"/>
          <w:szCs w:val="28"/>
        </w:rPr>
      </w:pPr>
      <w:r w:rsidRPr="00551931">
        <w:rPr>
          <w:rFonts w:ascii="Calibri" w:hAnsi="Calibri" w:cs="Calibri"/>
          <w:sz w:val="28"/>
          <w:szCs w:val="28"/>
        </w:rPr>
        <w:t xml:space="preserve">Following the four-step design methodology of Kimball and Ross as Business process → Grain → Dimensions → Facts, the first process is modelling of Patient Activity where the Grain is specified clearly as one row per complete patient episode. Every subsequent design decision </w:t>
      </w:r>
      <w:r w:rsidR="00C02273" w:rsidRPr="00551931">
        <w:rPr>
          <w:rFonts w:ascii="Calibri" w:hAnsi="Calibri" w:cs="Calibri"/>
          <w:sz w:val="28"/>
          <w:szCs w:val="28"/>
        </w:rPr>
        <w:t>flow</w:t>
      </w:r>
      <w:r w:rsidRPr="00551931">
        <w:rPr>
          <w:rFonts w:ascii="Calibri" w:hAnsi="Calibri" w:cs="Calibri"/>
          <w:sz w:val="28"/>
          <w:szCs w:val="28"/>
        </w:rPr>
        <w:t xml:space="preserve"> from this one statement [4]. In this report, we propose a fact constellation i.e., multiple fact tables with conformed dimensions, instead of an isolated star, as the operational subject matter of NHS England spans across more than one related subject areas [8]. The two fact tables are illustrated in Figure 3. </w:t>
      </w:r>
      <w:proofErr w:type="spellStart"/>
      <w:r w:rsidRPr="00551931">
        <w:rPr>
          <w:rFonts w:ascii="Calibri" w:hAnsi="Calibri" w:cs="Calibri"/>
          <w:sz w:val="28"/>
          <w:szCs w:val="28"/>
        </w:rPr>
        <w:t>FACT_PatientEpisode</w:t>
      </w:r>
      <w:proofErr w:type="spellEnd"/>
      <w:r w:rsidRPr="00551931">
        <w:rPr>
          <w:rFonts w:ascii="Calibri" w:hAnsi="Calibri" w:cs="Calibri"/>
          <w:sz w:val="28"/>
          <w:szCs w:val="28"/>
        </w:rPr>
        <w:t xml:space="preserve"> is the transaction grain fact table which has one row per complete patient episode and contains additive measures viz. length of stay, waiting days, cost of the episode and bed days. </w:t>
      </w:r>
      <w:proofErr w:type="spellStart"/>
      <w:r w:rsidRPr="00551931">
        <w:rPr>
          <w:rFonts w:ascii="Calibri" w:hAnsi="Calibri" w:cs="Calibri"/>
          <w:sz w:val="28"/>
          <w:szCs w:val="28"/>
        </w:rPr>
        <w:t>FACT_MonthlyPerformance</w:t>
      </w:r>
      <w:proofErr w:type="spellEnd"/>
      <w:r w:rsidRPr="00551931">
        <w:rPr>
          <w:rFonts w:ascii="Calibri" w:hAnsi="Calibri" w:cs="Calibri"/>
          <w:sz w:val="28"/>
          <w:szCs w:val="28"/>
        </w:rPr>
        <w:t xml:space="preserve"> is an aggregate grain fact table with (month × hospital × specialty) grain that pre-computes the required metrics viz. RTT Compliance percentage, Bed Occupancy percentage, Readmission rate and Mortality index so that dashboard reports of executives are free from scanning millions of episode level rows each time the board opens a report [4].</w:t>
      </w:r>
    </w:p>
    <w:p w14:paraId="11BCF8F1" w14:textId="77777777" w:rsidR="00551931" w:rsidRDefault="00551931">
      <w:pPr>
        <w:rPr>
          <w:rFonts w:ascii="Calibri" w:hAnsi="Calibri" w:cs="Calibri"/>
          <w:sz w:val="28"/>
          <w:szCs w:val="28"/>
        </w:rPr>
      </w:pPr>
      <w:r>
        <w:rPr>
          <w:rFonts w:ascii="Calibri" w:hAnsi="Calibri" w:cs="Calibri"/>
          <w:sz w:val="28"/>
          <w:szCs w:val="28"/>
        </w:rPr>
        <w:br w:type="page"/>
      </w:r>
    </w:p>
    <w:p w14:paraId="2D45793D" w14:textId="77777777" w:rsidR="003A5506" w:rsidRDefault="00BE0AF8" w:rsidP="003A5506">
      <w:pPr>
        <w:keepNext/>
        <w:jc w:val="both"/>
      </w:pPr>
      <w:r>
        <w:rPr>
          <w:rFonts w:ascii="Calibri" w:hAnsi="Calibri" w:cs="Calibri"/>
          <w:noProof/>
          <w:sz w:val="28"/>
          <w:szCs w:val="28"/>
        </w:rPr>
        <w:lastRenderedPageBreak/>
        <w:drawing>
          <wp:inline distT="0" distB="0" distL="0" distR="0" wp14:anchorId="1894E77E" wp14:editId="4825729D">
            <wp:extent cx="5731510" cy="3061335"/>
            <wp:effectExtent l="0" t="0" r="2540" b="5715"/>
            <wp:docPr id="18816180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618091" name="Picture 188161809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61335"/>
                    </a:xfrm>
                    <a:prstGeom prst="rect">
                      <a:avLst/>
                    </a:prstGeom>
                  </pic:spPr>
                </pic:pic>
              </a:graphicData>
            </a:graphic>
          </wp:inline>
        </w:drawing>
      </w:r>
    </w:p>
    <w:p w14:paraId="7852D160" w14:textId="619ADCD4" w:rsidR="00A71BC2" w:rsidRDefault="003A5506" w:rsidP="003A5506">
      <w:pPr>
        <w:pStyle w:val="Caption"/>
        <w:jc w:val="both"/>
      </w:pPr>
      <w:bookmarkStart w:id="19" w:name="_Toc236151061"/>
      <w:r>
        <w:t xml:space="preserve">Figure </w:t>
      </w:r>
      <w:r>
        <w:fldChar w:fldCharType="begin"/>
      </w:r>
      <w:r>
        <w:instrText xml:space="preserve"> SEQ Figure \* ARABIC </w:instrText>
      </w:r>
      <w:r>
        <w:fldChar w:fldCharType="separate"/>
      </w:r>
      <w:r>
        <w:rPr>
          <w:noProof/>
        </w:rPr>
        <w:t>3</w:t>
      </w:r>
      <w:r>
        <w:rPr>
          <w:noProof/>
        </w:rPr>
        <w:fldChar w:fldCharType="end"/>
      </w:r>
      <w:r>
        <w:t xml:space="preserve"> - </w:t>
      </w:r>
      <w:r w:rsidRPr="005E55C5">
        <w:t xml:space="preserve">Fact constellation for the NHS England data warehouse, showing master-data, </w:t>
      </w:r>
      <w:r w:rsidR="00C02273" w:rsidRPr="005E55C5">
        <w:t>metadata,</w:t>
      </w:r>
      <w:r w:rsidRPr="005E55C5">
        <w:t xml:space="preserve"> and aggregate tables.</w:t>
      </w:r>
      <w:bookmarkEnd w:id="19"/>
    </w:p>
    <w:p w14:paraId="25CD3234" w14:textId="659EE259" w:rsidR="00725BB0" w:rsidRPr="00725BB0" w:rsidRDefault="00725BB0" w:rsidP="00725BB0">
      <w:pPr>
        <w:jc w:val="both"/>
        <w:rPr>
          <w:rFonts w:ascii="Calibri" w:hAnsi="Calibri" w:cs="Calibri"/>
          <w:sz w:val="28"/>
          <w:szCs w:val="28"/>
        </w:rPr>
      </w:pPr>
      <w:r w:rsidRPr="00725BB0">
        <w:rPr>
          <w:rFonts w:ascii="Calibri" w:hAnsi="Calibri" w:cs="Calibri"/>
          <w:sz w:val="28"/>
          <w:szCs w:val="28"/>
        </w:rPr>
        <w:t xml:space="preserve">Both fact tables have the same five conformed dimensions, explicitly separated into master data and metadata as the brief requires. </w:t>
      </w:r>
      <w:proofErr w:type="spellStart"/>
      <w:r w:rsidRPr="00725BB0">
        <w:rPr>
          <w:rFonts w:ascii="Calibri" w:hAnsi="Calibri" w:cs="Calibri"/>
          <w:sz w:val="28"/>
          <w:szCs w:val="28"/>
        </w:rPr>
        <w:t>DIM_Patient</w:t>
      </w:r>
      <w:proofErr w:type="spellEnd"/>
      <w:r w:rsidRPr="00725BB0">
        <w:rPr>
          <w:rFonts w:ascii="Calibri" w:hAnsi="Calibri" w:cs="Calibri"/>
          <w:sz w:val="28"/>
          <w:szCs w:val="28"/>
        </w:rPr>
        <w:t xml:space="preserve"> and </w:t>
      </w:r>
      <w:proofErr w:type="spellStart"/>
      <w:r w:rsidRPr="00725BB0">
        <w:rPr>
          <w:rFonts w:ascii="Calibri" w:hAnsi="Calibri" w:cs="Calibri"/>
          <w:sz w:val="28"/>
          <w:szCs w:val="28"/>
        </w:rPr>
        <w:t>DIM_Staff</w:t>
      </w:r>
      <w:proofErr w:type="spellEnd"/>
      <w:r w:rsidRPr="00725BB0">
        <w:rPr>
          <w:rFonts w:ascii="Calibri" w:hAnsi="Calibri" w:cs="Calibri"/>
          <w:sz w:val="28"/>
          <w:szCs w:val="28"/>
        </w:rPr>
        <w:t xml:space="preserve"> are both master data dimensions that contain the two entities, crucial for the organization: patients, anonymized for their privacy, and staff members, who have role and grade. </w:t>
      </w:r>
      <w:proofErr w:type="spellStart"/>
      <w:r w:rsidRPr="00725BB0">
        <w:rPr>
          <w:rFonts w:ascii="Calibri" w:hAnsi="Calibri" w:cs="Calibri"/>
          <w:sz w:val="28"/>
          <w:szCs w:val="28"/>
        </w:rPr>
        <w:t>DIM_Hospital</w:t>
      </w:r>
      <w:proofErr w:type="spellEnd"/>
      <w:r w:rsidRPr="00725BB0">
        <w:rPr>
          <w:rFonts w:ascii="Calibri" w:hAnsi="Calibri" w:cs="Calibri"/>
          <w:sz w:val="28"/>
          <w:szCs w:val="28"/>
        </w:rPr>
        <w:t xml:space="preserve"> is also a master data dimension containing information about the trust, its region and the type of care delivered there. </w:t>
      </w:r>
      <w:proofErr w:type="spellStart"/>
      <w:r w:rsidRPr="00725BB0">
        <w:rPr>
          <w:rFonts w:ascii="Calibri" w:hAnsi="Calibri" w:cs="Calibri"/>
          <w:sz w:val="28"/>
          <w:szCs w:val="28"/>
        </w:rPr>
        <w:t>DIM_Time</w:t>
      </w:r>
      <w:proofErr w:type="spellEnd"/>
      <w:r w:rsidRPr="00725BB0">
        <w:rPr>
          <w:rFonts w:ascii="Calibri" w:hAnsi="Calibri" w:cs="Calibri"/>
          <w:sz w:val="28"/>
          <w:szCs w:val="28"/>
        </w:rPr>
        <w:t xml:space="preserve"> is a standard calendar dimension calibrated to the NHS fiscal year (from April to March). Finally, </w:t>
      </w:r>
      <w:proofErr w:type="spellStart"/>
      <w:r w:rsidRPr="00725BB0">
        <w:rPr>
          <w:rFonts w:ascii="Calibri" w:hAnsi="Calibri" w:cs="Calibri"/>
          <w:sz w:val="28"/>
          <w:szCs w:val="28"/>
        </w:rPr>
        <w:t>DIM_ServiceType</w:t>
      </w:r>
      <w:proofErr w:type="spellEnd"/>
      <w:r w:rsidRPr="00725BB0">
        <w:rPr>
          <w:rFonts w:ascii="Calibri" w:hAnsi="Calibri" w:cs="Calibri"/>
          <w:sz w:val="28"/>
          <w:szCs w:val="28"/>
        </w:rPr>
        <w:t xml:space="preserve"> is a metadata dimension: unlike other dimensions, it does not contain information about any real-life entities; instead, it contains codes that classify an activity</w:t>
      </w:r>
      <w:r w:rsidR="00F30C1F">
        <w:rPr>
          <w:rFonts w:ascii="Calibri" w:hAnsi="Calibri" w:cs="Calibri"/>
          <w:sz w:val="28"/>
          <w:szCs w:val="28"/>
        </w:rPr>
        <w:t>,</w:t>
      </w:r>
      <w:r w:rsidRPr="00725BB0">
        <w:rPr>
          <w:rFonts w:ascii="Calibri" w:hAnsi="Calibri" w:cs="Calibri"/>
          <w:sz w:val="28"/>
          <w:szCs w:val="28"/>
        </w:rPr>
        <w:t xml:space="preserve"> ICD-10 diagnostic categories, specialty, service line</w:t>
      </w:r>
      <w:r w:rsidR="00F30C1F">
        <w:rPr>
          <w:rFonts w:ascii="Calibri" w:hAnsi="Calibri" w:cs="Calibri"/>
          <w:sz w:val="28"/>
          <w:szCs w:val="28"/>
        </w:rPr>
        <w:t>,</w:t>
      </w:r>
      <w:r w:rsidRPr="00725BB0">
        <w:rPr>
          <w:rFonts w:ascii="Calibri" w:hAnsi="Calibri" w:cs="Calibri"/>
          <w:sz w:val="28"/>
          <w:szCs w:val="28"/>
        </w:rPr>
        <w:t xml:space="preserve"> allowing us to classify episodes based on “what kind of care”, rather than “who” or “where”.</w:t>
      </w:r>
    </w:p>
    <w:p w14:paraId="33BBCC79" w14:textId="7B57557E" w:rsidR="003A5506" w:rsidRDefault="00725BB0" w:rsidP="00725BB0">
      <w:pPr>
        <w:jc w:val="both"/>
        <w:rPr>
          <w:rFonts w:ascii="Calibri" w:hAnsi="Calibri" w:cs="Calibri"/>
          <w:sz w:val="28"/>
          <w:szCs w:val="28"/>
        </w:rPr>
      </w:pPr>
      <w:r w:rsidRPr="00725BB0">
        <w:rPr>
          <w:rFonts w:ascii="Calibri" w:hAnsi="Calibri" w:cs="Calibri"/>
          <w:sz w:val="28"/>
          <w:szCs w:val="28"/>
        </w:rPr>
        <w:t xml:space="preserve">Each of the dimensions is explicitly flat and denormalized, that is, consists of a single wide table without any sub-tables, because the performance and simplicity gain for user queries exceed the storage overhead created [8]. As hospitals can change and people can change their roles over time, </w:t>
      </w:r>
      <w:proofErr w:type="spellStart"/>
      <w:r w:rsidRPr="00725BB0">
        <w:rPr>
          <w:rFonts w:ascii="Calibri" w:hAnsi="Calibri" w:cs="Calibri"/>
          <w:sz w:val="28"/>
          <w:szCs w:val="28"/>
        </w:rPr>
        <w:t>DIM_Hospital</w:t>
      </w:r>
      <w:proofErr w:type="spellEnd"/>
      <w:r w:rsidRPr="00725BB0">
        <w:rPr>
          <w:rFonts w:ascii="Calibri" w:hAnsi="Calibri" w:cs="Calibri"/>
          <w:sz w:val="28"/>
          <w:szCs w:val="28"/>
        </w:rPr>
        <w:t xml:space="preserve"> and </w:t>
      </w:r>
      <w:proofErr w:type="spellStart"/>
      <w:r w:rsidRPr="00725BB0">
        <w:rPr>
          <w:rFonts w:ascii="Calibri" w:hAnsi="Calibri" w:cs="Calibri"/>
          <w:sz w:val="28"/>
          <w:szCs w:val="28"/>
        </w:rPr>
        <w:t>DIM_Staff</w:t>
      </w:r>
      <w:proofErr w:type="spellEnd"/>
      <w:r w:rsidRPr="00725BB0">
        <w:rPr>
          <w:rFonts w:ascii="Calibri" w:hAnsi="Calibri" w:cs="Calibri"/>
          <w:sz w:val="28"/>
          <w:szCs w:val="28"/>
        </w:rPr>
        <w:t xml:space="preserve"> should be implemented as Type 2 slowly changing dimensions: each time some tracked attribute of the record changes, a new row, with a new surrogate key, should be created so that past episodes could be still classified according to the organizational structure at the time of the episode occurrence </w:t>
      </w:r>
      <w:r w:rsidRPr="00725BB0">
        <w:rPr>
          <w:rFonts w:ascii="Calibri" w:hAnsi="Calibri" w:cs="Calibri"/>
          <w:sz w:val="28"/>
          <w:szCs w:val="28"/>
        </w:rPr>
        <w:lastRenderedPageBreak/>
        <w:t>[4]. The chosen constellation structure allows us to add a new fact table in the future, say, for workforce scheduling, and use existing Time, Hospital and Staff dimensions, which is the main reason for conformed bus architecture.</w:t>
      </w:r>
    </w:p>
    <w:p w14:paraId="0DB12A3D" w14:textId="2BDD44E2" w:rsidR="00A9252E" w:rsidRPr="00A9252E" w:rsidRDefault="00A9252E" w:rsidP="00A9252E">
      <w:pPr>
        <w:pStyle w:val="Heading2"/>
        <w:rPr>
          <w:b/>
          <w:bCs/>
        </w:rPr>
      </w:pPr>
      <w:bookmarkStart w:id="20" w:name="_Toc235956586"/>
      <w:bookmarkStart w:id="21" w:name="_Toc236328664"/>
      <w:r w:rsidRPr="00A9252E">
        <w:rPr>
          <w:b/>
          <w:bCs/>
        </w:rPr>
        <w:t>2.3 Data Marts and Schema</w:t>
      </w:r>
      <w:bookmarkEnd w:id="20"/>
      <w:bookmarkEnd w:id="21"/>
    </w:p>
    <w:p w14:paraId="5EC238AE" w14:textId="3224C850" w:rsidR="00640D9E" w:rsidRPr="00640D9E" w:rsidRDefault="00BE33DB" w:rsidP="00640D9E">
      <w:pPr>
        <w:jc w:val="both"/>
        <w:rPr>
          <w:rFonts w:ascii="Calibri" w:hAnsi="Calibri" w:cs="Calibri"/>
          <w:sz w:val="28"/>
          <w:szCs w:val="28"/>
        </w:rPr>
      </w:pPr>
      <w:r w:rsidRPr="00BE33DB">
        <w:rPr>
          <w:rFonts w:ascii="Calibri" w:hAnsi="Calibri" w:cs="Calibri"/>
          <w:sz w:val="28"/>
          <w:szCs w:val="28"/>
        </w:rPr>
        <w:t>Three dependent data marts are proposed, each a filtered, subject-specific view of the constellation described in 2.2 and shown flowing from the warehouse in Figure 1, rather than a separately built database.</w:t>
      </w:r>
      <w:r>
        <w:rPr>
          <w:rFonts w:ascii="Calibri" w:hAnsi="Calibri" w:cs="Calibri"/>
          <w:sz w:val="28"/>
          <w:szCs w:val="28"/>
        </w:rPr>
        <w:t xml:space="preserve"> </w:t>
      </w:r>
      <w:r w:rsidR="00640D9E" w:rsidRPr="00640D9E">
        <w:rPr>
          <w:rFonts w:ascii="Calibri" w:hAnsi="Calibri" w:cs="Calibri"/>
          <w:sz w:val="28"/>
          <w:szCs w:val="28"/>
        </w:rPr>
        <w:t xml:space="preserve">The Finance data mart includes a </w:t>
      </w:r>
      <w:proofErr w:type="spellStart"/>
      <w:r w:rsidR="00640D9E" w:rsidRPr="00640D9E">
        <w:rPr>
          <w:rFonts w:ascii="Calibri" w:hAnsi="Calibri" w:cs="Calibri"/>
          <w:sz w:val="28"/>
          <w:szCs w:val="28"/>
        </w:rPr>
        <w:t>FACT_FinancialActivity</w:t>
      </w:r>
      <w:proofErr w:type="spellEnd"/>
      <w:r w:rsidR="00640D9E" w:rsidRPr="00640D9E">
        <w:rPr>
          <w:rFonts w:ascii="Calibri" w:hAnsi="Calibri" w:cs="Calibri"/>
          <w:sz w:val="28"/>
          <w:szCs w:val="28"/>
        </w:rPr>
        <w:t xml:space="preserve"> table (tariffs income, actual costs, budget variances) together with </w:t>
      </w:r>
      <w:proofErr w:type="spellStart"/>
      <w:r w:rsidR="00640D9E" w:rsidRPr="00640D9E">
        <w:rPr>
          <w:rFonts w:ascii="Calibri" w:hAnsi="Calibri" w:cs="Calibri"/>
          <w:sz w:val="28"/>
          <w:szCs w:val="28"/>
        </w:rPr>
        <w:t>DIM_Time</w:t>
      </w:r>
      <w:proofErr w:type="spellEnd"/>
      <w:r w:rsidR="00640D9E" w:rsidRPr="00640D9E">
        <w:rPr>
          <w:rFonts w:ascii="Calibri" w:hAnsi="Calibri" w:cs="Calibri"/>
          <w:sz w:val="28"/>
          <w:szCs w:val="28"/>
        </w:rPr>
        <w:t xml:space="preserve">, </w:t>
      </w:r>
      <w:proofErr w:type="spellStart"/>
      <w:r w:rsidR="00640D9E" w:rsidRPr="00640D9E">
        <w:rPr>
          <w:rFonts w:ascii="Calibri" w:hAnsi="Calibri" w:cs="Calibri"/>
          <w:sz w:val="28"/>
          <w:szCs w:val="28"/>
        </w:rPr>
        <w:t>DIM_Hospital</w:t>
      </w:r>
      <w:proofErr w:type="spellEnd"/>
      <w:r w:rsidR="00640D9E" w:rsidRPr="00640D9E">
        <w:rPr>
          <w:rFonts w:ascii="Calibri" w:hAnsi="Calibri" w:cs="Calibri"/>
          <w:sz w:val="28"/>
          <w:szCs w:val="28"/>
        </w:rPr>
        <w:t xml:space="preserve">, </w:t>
      </w:r>
      <w:proofErr w:type="spellStart"/>
      <w:r w:rsidR="00640D9E" w:rsidRPr="00640D9E">
        <w:rPr>
          <w:rFonts w:ascii="Calibri" w:hAnsi="Calibri" w:cs="Calibri"/>
          <w:sz w:val="28"/>
          <w:szCs w:val="28"/>
        </w:rPr>
        <w:t>DIM_ServiceType</w:t>
      </w:r>
      <w:proofErr w:type="spellEnd"/>
      <w:r w:rsidR="00640D9E" w:rsidRPr="00640D9E">
        <w:rPr>
          <w:rFonts w:ascii="Calibri" w:hAnsi="Calibri" w:cs="Calibri"/>
          <w:sz w:val="28"/>
          <w:szCs w:val="28"/>
        </w:rPr>
        <w:t xml:space="preserve"> and a mart-specific </w:t>
      </w:r>
      <w:proofErr w:type="spellStart"/>
      <w:r w:rsidR="00640D9E" w:rsidRPr="00640D9E">
        <w:rPr>
          <w:rFonts w:ascii="Calibri" w:hAnsi="Calibri" w:cs="Calibri"/>
          <w:sz w:val="28"/>
          <w:szCs w:val="28"/>
        </w:rPr>
        <w:t>DIM_CostCentre</w:t>
      </w:r>
      <w:proofErr w:type="spellEnd"/>
      <w:r w:rsidR="00640D9E" w:rsidRPr="00640D9E">
        <w:rPr>
          <w:rFonts w:ascii="Calibri" w:hAnsi="Calibri" w:cs="Calibri"/>
          <w:sz w:val="28"/>
          <w:szCs w:val="28"/>
        </w:rPr>
        <w:t xml:space="preserve"> table for analysis by the Finance Director. The Operations data mart includes a </w:t>
      </w:r>
      <w:proofErr w:type="spellStart"/>
      <w:r w:rsidR="00640D9E" w:rsidRPr="00640D9E">
        <w:rPr>
          <w:rFonts w:ascii="Calibri" w:hAnsi="Calibri" w:cs="Calibri"/>
          <w:sz w:val="28"/>
          <w:szCs w:val="28"/>
        </w:rPr>
        <w:t>FACT_PatientFlow</w:t>
      </w:r>
      <w:proofErr w:type="spellEnd"/>
      <w:r w:rsidR="00640D9E" w:rsidRPr="00640D9E">
        <w:rPr>
          <w:rFonts w:ascii="Calibri" w:hAnsi="Calibri" w:cs="Calibri"/>
          <w:sz w:val="28"/>
          <w:szCs w:val="28"/>
        </w:rPr>
        <w:t xml:space="preserve"> table (admissions, discharges, bed occupancy percentage, RTT waiting time days) with </w:t>
      </w:r>
      <w:proofErr w:type="spellStart"/>
      <w:r w:rsidR="00640D9E" w:rsidRPr="00640D9E">
        <w:rPr>
          <w:rFonts w:ascii="Calibri" w:hAnsi="Calibri" w:cs="Calibri"/>
          <w:sz w:val="28"/>
          <w:szCs w:val="28"/>
        </w:rPr>
        <w:t>DIM_Time</w:t>
      </w:r>
      <w:proofErr w:type="spellEnd"/>
      <w:r w:rsidR="00640D9E" w:rsidRPr="00640D9E">
        <w:rPr>
          <w:rFonts w:ascii="Calibri" w:hAnsi="Calibri" w:cs="Calibri"/>
          <w:sz w:val="28"/>
          <w:szCs w:val="28"/>
        </w:rPr>
        <w:t xml:space="preserve">, </w:t>
      </w:r>
      <w:proofErr w:type="spellStart"/>
      <w:r w:rsidR="00640D9E" w:rsidRPr="00640D9E">
        <w:rPr>
          <w:rFonts w:ascii="Calibri" w:hAnsi="Calibri" w:cs="Calibri"/>
          <w:sz w:val="28"/>
          <w:szCs w:val="28"/>
        </w:rPr>
        <w:t>DIM_Hospital</w:t>
      </w:r>
      <w:proofErr w:type="spellEnd"/>
      <w:r w:rsidR="00640D9E" w:rsidRPr="00640D9E">
        <w:rPr>
          <w:rFonts w:ascii="Calibri" w:hAnsi="Calibri" w:cs="Calibri"/>
          <w:sz w:val="28"/>
          <w:szCs w:val="28"/>
        </w:rPr>
        <w:t xml:space="preserve"> and a mart-specific </w:t>
      </w:r>
      <w:proofErr w:type="spellStart"/>
      <w:r w:rsidR="00640D9E" w:rsidRPr="00640D9E">
        <w:rPr>
          <w:rFonts w:ascii="Calibri" w:hAnsi="Calibri" w:cs="Calibri"/>
          <w:sz w:val="28"/>
          <w:szCs w:val="28"/>
        </w:rPr>
        <w:t>DIM_Ward</w:t>
      </w:r>
      <w:proofErr w:type="spellEnd"/>
      <w:r w:rsidR="00640D9E" w:rsidRPr="00640D9E">
        <w:rPr>
          <w:rFonts w:ascii="Calibri" w:hAnsi="Calibri" w:cs="Calibri"/>
          <w:sz w:val="28"/>
          <w:szCs w:val="28"/>
        </w:rPr>
        <w:t xml:space="preserve"> table for capacity and flow monitoring. The Clinical Quality data mart includes a </w:t>
      </w:r>
      <w:proofErr w:type="spellStart"/>
      <w:r w:rsidR="00640D9E" w:rsidRPr="00640D9E">
        <w:rPr>
          <w:rFonts w:ascii="Calibri" w:hAnsi="Calibri" w:cs="Calibri"/>
          <w:sz w:val="28"/>
          <w:szCs w:val="28"/>
        </w:rPr>
        <w:t>FACT_ClinicalOutcome</w:t>
      </w:r>
      <w:proofErr w:type="spellEnd"/>
      <w:r w:rsidR="00640D9E" w:rsidRPr="00640D9E">
        <w:rPr>
          <w:rFonts w:ascii="Calibri" w:hAnsi="Calibri" w:cs="Calibri"/>
          <w:sz w:val="28"/>
          <w:szCs w:val="28"/>
        </w:rPr>
        <w:t xml:space="preserve"> table (readmission rate, mortality index, safety incidents, satisfaction score) with </w:t>
      </w:r>
      <w:proofErr w:type="spellStart"/>
      <w:r w:rsidR="00640D9E" w:rsidRPr="00640D9E">
        <w:rPr>
          <w:rFonts w:ascii="Calibri" w:hAnsi="Calibri" w:cs="Calibri"/>
          <w:sz w:val="28"/>
          <w:szCs w:val="28"/>
        </w:rPr>
        <w:t>DIM_Time</w:t>
      </w:r>
      <w:proofErr w:type="spellEnd"/>
      <w:r w:rsidR="00640D9E" w:rsidRPr="00640D9E">
        <w:rPr>
          <w:rFonts w:ascii="Calibri" w:hAnsi="Calibri" w:cs="Calibri"/>
          <w:sz w:val="28"/>
          <w:szCs w:val="28"/>
        </w:rPr>
        <w:t xml:space="preserve">, </w:t>
      </w:r>
      <w:proofErr w:type="spellStart"/>
      <w:r w:rsidR="00640D9E" w:rsidRPr="00640D9E">
        <w:rPr>
          <w:rFonts w:ascii="Calibri" w:hAnsi="Calibri" w:cs="Calibri"/>
          <w:sz w:val="28"/>
          <w:szCs w:val="28"/>
        </w:rPr>
        <w:t>DIM_Hospital</w:t>
      </w:r>
      <w:proofErr w:type="spellEnd"/>
      <w:r w:rsidR="00640D9E" w:rsidRPr="00640D9E">
        <w:rPr>
          <w:rFonts w:ascii="Calibri" w:hAnsi="Calibri" w:cs="Calibri"/>
          <w:sz w:val="28"/>
          <w:szCs w:val="28"/>
        </w:rPr>
        <w:t xml:space="preserve"> and </w:t>
      </w:r>
      <w:proofErr w:type="spellStart"/>
      <w:r w:rsidR="00640D9E" w:rsidRPr="00640D9E">
        <w:rPr>
          <w:rFonts w:ascii="Calibri" w:hAnsi="Calibri" w:cs="Calibri"/>
          <w:sz w:val="28"/>
          <w:szCs w:val="28"/>
        </w:rPr>
        <w:t>DIM_ServiceType</w:t>
      </w:r>
      <w:proofErr w:type="spellEnd"/>
      <w:r w:rsidR="00640D9E" w:rsidRPr="00640D9E">
        <w:rPr>
          <w:rFonts w:ascii="Calibri" w:hAnsi="Calibri" w:cs="Calibri"/>
          <w:sz w:val="28"/>
          <w:szCs w:val="28"/>
        </w:rPr>
        <w:t xml:space="preserve"> for monitoring of standards by the Medical Director. Creating such data marts, rather than separate databases or a single combined mart, prevents the inconsistencies and duplication inherent in a spider-web-like “departmental extracts” approach warned about by Kimball and Ross [4].</w:t>
      </w:r>
    </w:p>
    <w:p w14:paraId="6ADC40E2" w14:textId="6E968B9E" w:rsidR="00725BB0" w:rsidRDefault="00640D9E" w:rsidP="00640D9E">
      <w:pPr>
        <w:jc w:val="both"/>
        <w:rPr>
          <w:rFonts w:ascii="Calibri" w:hAnsi="Calibri" w:cs="Calibri"/>
          <w:sz w:val="28"/>
          <w:szCs w:val="28"/>
        </w:rPr>
      </w:pPr>
      <w:r w:rsidRPr="00640D9E">
        <w:rPr>
          <w:rFonts w:ascii="Calibri" w:hAnsi="Calibri" w:cs="Calibri"/>
          <w:sz w:val="28"/>
          <w:szCs w:val="28"/>
        </w:rPr>
        <w:t>Three marts instead of one big mart or multiple smaller ones is a deliberate trade-off</w:t>
      </w:r>
      <w:r w:rsidR="00F30C1F">
        <w:rPr>
          <w:rFonts w:ascii="Calibri" w:hAnsi="Calibri" w:cs="Calibri"/>
          <w:sz w:val="28"/>
          <w:szCs w:val="28"/>
        </w:rPr>
        <w:t xml:space="preserve">, </w:t>
      </w:r>
      <w:r w:rsidRPr="00640D9E">
        <w:rPr>
          <w:rFonts w:ascii="Calibri" w:hAnsi="Calibri" w:cs="Calibri"/>
          <w:sz w:val="28"/>
          <w:szCs w:val="28"/>
        </w:rPr>
        <w:t xml:space="preserve">every mart maps directly to a current accountable role (Finance Director, Operations lead, Medical Director), so the owner and access control are obvious, but all three will still be using only </w:t>
      </w:r>
      <w:proofErr w:type="spellStart"/>
      <w:r w:rsidRPr="00640D9E">
        <w:rPr>
          <w:rFonts w:ascii="Calibri" w:hAnsi="Calibri" w:cs="Calibri"/>
          <w:sz w:val="28"/>
          <w:szCs w:val="28"/>
        </w:rPr>
        <w:t>FACT_PatientEpisode</w:t>
      </w:r>
      <w:proofErr w:type="spellEnd"/>
      <w:r w:rsidRPr="00640D9E">
        <w:rPr>
          <w:rFonts w:ascii="Calibri" w:hAnsi="Calibri" w:cs="Calibri"/>
          <w:sz w:val="28"/>
          <w:szCs w:val="28"/>
        </w:rPr>
        <w:t xml:space="preserve"> and </w:t>
      </w:r>
      <w:proofErr w:type="spellStart"/>
      <w:r w:rsidRPr="00640D9E">
        <w:rPr>
          <w:rFonts w:ascii="Calibri" w:hAnsi="Calibri" w:cs="Calibri"/>
          <w:sz w:val="28"/>
          <w:szCs w:val="28"/>
        </w:rPr>
        <w:t>FACT_MonthlyPerformance</w:t>
      </w:r>
      <w:proofErr w:type="spellEnd"/>
      <w:r w:rsidRPr="00640D9E">
        <w:rPr>
          <w:rFonts w:ascii="Calibri" w:hAnsi="Calibri" w:cs="Calibri"/>
          <w:sz w:val="28"/>
          <w:szCs w:val="28"/>
        </w:rPr>
        <w:t xml:space="preserve">, so there is no need for separate ETL process per mart. Operations mart </w:t>
      </w:r>
      <w:r w:rsidR="00643C6E" w:rsidRPr="00640D9E">
        <w:rPr>
          <w:rFonts w:ascii="Calibri" w:hAnsi="Calibri" w:cs="Calibri"/>
          <w:sz w:val="28"/>
          <w:szCs w:val="28"/>
        </w:rPr>
        <w:t>can</w:t>
      </w:r>
      <w:r w:rsidRPr="00640D9E">
        <w:rPr>
          <w:rFonts w:ascii="Calibri" w:hAnsi="Calibri" w:cs="Calibri"/>
          <w:sz w:val="28"/>
          <w:szCs w:val="28"/>
        </w:rPr>
        <w:t xml:space="preserve"> produce a continuously updated daily aggregate on top of </w:t>
      </w:r>
      <w:proofErr w:type="spellStart"/>
      <w:r w:rsidRPr="00640D9E">
        <w:rPr>
          <w:rFonts w:ascii="Calibri" w:hAnsi="Calibri" w:cs="Calibri"/>
          <w:sz w:val="28"/>
          <w:szCs w:val="28"/>
        </w:rPr>
        <w:t>FACT_MonthlyPerformance</w:t>
      </w:r>
      <w:proofErr w:type="spellEnd"/>
      <w:r w:rsidRPr="00640D9E">
        <w:rPr>
          <w:rFonts w:ascii="Calibri" w:hAnsi="Calibri" w:cs="Calibri"/>
          <w:sz w:val="28"/>
          <w:szCs w:val="28"/>
        </w:rPr>
        <w:t>, instead of recalculating bed occupancy each time based on the raw episodes, ensuring responsiveness of ward-level dashboard all day long.</w:t>
      </w:r>
    </w:p>
    <w:p w14:paraId="368A5993" w14:textId="31492F9F" w:rsidR="001A7117" w:rsidRDefault="001A7117" w:rsidP="001A7117">
      <w:pPr>
        <w:pStyle w:val="Heading2"/>
        <w:rPr>
          <w:b/>
          <w:bCs/>
        </w:rPr>
      </w:pPr>
      <w:bookmarkStart w:id="22" w:name="_Toc235956587"/>
      <w:bookmarkStart w:id="23" w:name="_Toc236328665"/>
      <w:r w:rsidRPr="001A7117">
        <w:rPr>
          <w:b/>
          <w:bCs/>
        </w:rPr>
        <w:t>2.4 ETL Plan</w:t>
      </w:r>
      <w:bookmarkEnd w:id="22"/>
      <w:bookmarkEnd w:id="23"/>
    </w:p>
    <w:p w14:paraId="3516DC91" w14:textId="63E65E09" w:rsidR="001A7117" w:rsidRDefault="009539CC" w:rsidP="001A7117">
      <w:pPr>
        <w:jc w:val="both"/>
        <w:rPr>
          <w:rFonts w:ascii="Calibri" w:hAnsi="Calibri" w:cs="Calibri"/>
          <w:sz w:val="28"/>
          <w:szCs w:val="28"/>
        </w:rPr>
      </w:pPr>
      <w:r w:rsidRPr="009539CC">
        <w:rPr>
          <w:rFonts w:ascii="Calibri" w:hAnsi="Calibri" w:cs="Calibri"/>
          <w:sz w:val="28"/>
          <w:szCs w:val="28"/>
        </w:rPr>
        <w:t>Table 1 summarises, for each warehouse table, where its data originates and the transformations ETL must apply before loading.</w:t>
      </w:r>
    </w:p>
    <w:p w14:paraId="3B7F8D68" w14:textId="77777777" w:rsidR="000D1E75" w:rsidRPr="001A7117" w:rsidRDefault="000D1E75" w:rsidP="001A7117">
      <w:pPr>
        <w:jc w:val="both"/>
        <w:rPr>
          <w:rFonts w:ascii="Calibri" w:hAnsi="Calibri" w:cs="Calibri"/>
          <w:sz w:val="28"/>
          <w:szCs w:val="28"/>
        </w:rPr>
      </w:pPr>
    </w:p>
    <w:p w14:paraId="14DEDF24" w14:textId="25973676" w:rsidR="00083B52" w:rsidRDefault="00083B52" w:rsidP="00083B52">
      <w:pPr>
        <w:pStyle w:val="Caption"/>
        <w:keepNext/>
      </w:pPr>
      <w:bookmarkStart w:id="24" w:name="_Toc236327516"/>
      <w:r>
        <w:lastRenderedPageBreak/>
        <w:t xml:space="preserve">Table </w:t>
      </w:r>
      <w:r>
        <w:fldChar w:fldCharType="begin"/>
      </w:r>
      <w:r>
        <w:instrText xml:space="preserve"> SEQ Table \* ARABIC </w:instrText>
      </w:r>
      <w:r>
        <w:fldChar w:fldCharType="separate"/>
      </w:r>
      <w:r w:rsidR="008920BA">
        <w:rPr>
          <w:noProof/>
        </w:rPr>
        <w:t>1</w:t>
      </w:r>
      <w:r>
        <w:fldChar w:fldCharType="end"/>
      </w:r>
      <w:r>
        <w:t xml:space="preserve"> - </w:t>
      </w:r>
      <w:r w:rsidR="00C75021">
        <w:rPr>
          <w:color w:val="444444"/>
          <w:sz w:val="19"/>
          <w:szCs w:val="19"/>
        </w:rPr>
        <w:t>Simplified ETL plan by source system</w:t>
      </w:r>
      <w:bookmarkEnd w:id="24"/>
    </w:p>
    <w:tbl>
      <w:tblPr>
        <w:tblW w:w="9100" w:type="dxa"/>
        <w:tblBorders>
          <w:top w:val="single" w:sz="4" w:space="0" w:color="1B3A5C"/>
          <w:left w:val="single" w:sz="4" w:space="0" w:color="1B3A5C"/>
          <w:bottom w:val="single" w:sz="4" w:space="0" w:color="1B3A5C"/>
          <w:right w:val="single" w:sz="4" w:space="0" w:color="1B3A5C"/>
          <w:insideH w:val="single" w:sz="2" w:space="0" w:color="AAAAAA"/>
          <w:insideV w:val="single" w:sz="2" w:space="0" w:color="AAAAAA"/>
        </w:tblBorders>
        <w:tblCellMar>
          <w:left w:w="10" w:type="dxa"/>
          <w:right w:w="10" w:type="dxa"/>
        </w:tblCellMar>
        <w:tblLook w:val="04A0" w:firstRow="1" w:lastRow="0" w:firstColumn="1" w:lastColumn="0" w:noHBand="0" w:noVBand="1"/>
      </w:tblPr>
      <w:tblGrid>
        <w:gridCol w:w="2400"/>
        <w:gridCol w:w="2400"/>
        <w:gridCol w:w="4300"/>
      </w:tblGrid>
      <w:tr w:rsidR="00CB6FC0" w14:paraId="4650333F" w14:textId="77777777" w:rsidTr="00F70CE5">
        <w:tc>
          <w:tcPr>
            <w:tcW w:w="2400" w:type="dxa"/>
            <w:shd w:val="clear" w:color="auto" w:fill="DCEAF5"/>
            <w:tcMar>
              <w:top w:w="80" w:type="dxa"/>
              <w:left w:w="100" w:type="dxa"/>
              <w:bottom w:w="80" w:type="dxa"/>
              <w:right w:w="100" w:type="dxa"/>
            </w:tcMar>
            <w:vAlign w:val="center"/>
          </w:tcPr>
          <w:p w14:paraId="54481DE5" w14:textId="77777777" w:rsidR="00CB6FC0" w:rsidRDefault="00CB6FC0" w:rsidP="00F70CE5">
            <w:r>
              <w:rPr>
                <w:b/>
                <w:bCs/>
                <w:sz w:val="19"/>
                <w:szCs w:val="19"/>
              </w:rPr>
              <w:t>Source System</w:t>
            </w:r>
          </w:p>
        </w:tc>
        <w:tc>
          <w:tcPr>
            <w:tcW w:w="2400" w:type="dxa"/>
            <w:shd w:val="clear" w:color="auto" w:fill="DCEAF5"/>
            <w:tcMar>
              <w:top w:w="80" w:type="dxa"/>
              <w:left w:w="100" w:type="dxa"/>
              <w:bottom w:w="80" w:type="dxa"/>
              <w:right w:w="100" w:type="dxa"/>
            </w:tcMar>
            <w:vAlign w:val="center"/>
          </w:tcPr>
          <w:p w14:paraId="6DAFAE7C" w14:textId="77777777" w:rsidR="00CB6FC0" w:rsidRDefault="00CB6FC0" w:rsidP="00F70CE5">
            <w:r>
              <w:rPr>
                <w:b/>
                <w:bCs/>
                <w:sz w:val="19"/>
                <w:szCs w:val="19"/>
              </w:rPr>
              <w:t>Target Table(s)</w:t>
            </w:r>
          </w:p>
        </w:tc>
        <w:tc>
          <w:tcPr>
            <w:tcW w:w="4300" w:type="dxa"/>
            <w:shd w:val="clear" w:color="auto" w:fill="DCEAF5"/>
            <w:tcMar>
              <w:top w:w="80" w:type="dxa"/>
              <w:left w:w="100" w:type="dxa"/>
              <w:bottom w:w="80" w:type="dxa"/>
              <w:right w:w="100" w:type="dxa"/>
            </w:tcMar>
            <w:vAlign w:val="center"/>
          </w:tcPr>
          <w:p w14:paraId="07C5B227" w14:textId="77777777" w:rsidR="00CB6FC0" w:rsidRDefault="00CB6FC0" w:rsidP="00F70CE5">
            <w:r>
              <w:rPr>
                <w:b/>
                <w:bCs/>
                <w:sz w:val="19"/>
                <w:szCs w:val="19"/>
              </w:rPr>
              <w:t>Key Transformations</w:t>
            </w:r>
          </w:p>
        </w:tc>
      </w:tr>
      <w:tr w:rsidR="00CB6FC0" w14:paraId="786A9198" w14:textId="77777777" w:rsidTr="00F70CE5">
        <w:tc>
          <w:tcPr>
            <w:tcW w:w="2400" w:type="dxa"/>
            <w:tcMar>
              <w:top w:w="80" w:type="dxa"/>
              <w:left w:w="100" w:type="dxa"/>
              <w:bottom w:w="80" w:type="dxa"/>
              <w:right w:w="100" w:type="dxa"/>
            </w:tcMar>
            <w:vAlign w:val="center"/>
          </w:tcPr>
          <w:p w14:paraId="0DCAD0C1" w14:textId="77777777" w:rsidR="00CB6FC0" w:rsidRDefault="00CB6FC0" w:rsidP="00F70CE5">
            <w:r>
              <w:rPr>
                <w:sz w:val="19"/>
                <w:szCs w:val="19"/>
              </w:rPr>
              <w:t>EPR / PAS</w:t>
            </w:r>
          </w:p>
        </w:tc>
        <w:tc>
          <w:tcPr>
            <w:tcW w:w="2400" w:type="dxa"/>
            <w:tcMar>
              <w:top w:w="80" w:type="dxa"/>
              <w:left w:w="100" w:type="dxa"/>
              <w:bottom w:w="80" w:type="dxa"/>
              <w:right w:w="100" w:type="dxa"/>
            </w:tcMar>
            <w:vAlign w:val="center"/>
          </w:tcPr>
          <w:p w14:paraId="38B73FED" w14:textId="77777777" w:rsidR="00CB6FC0" w:rsidRDefault="00CB6FC0" w:rsidP="00F70CE5">
            <w:proofErr w:type="spellStart"/>
            <w:r>
              <w:rPr>
                <w:sz w:val="19"/>
                <w:szCs w:val="19"/>
              </w:rPr>
              <w:t>DIM_Patient</w:t>
            </w:r>
            <w:proofErr w:type="spellEnd"/>
            <w:r>
              <w:rPr>
                <w:sz w:val="19"/>
                <w:szCs w:val="19"/>
              </w:rPr>
              <w:t xml:space="preserve">, </w:t>
            </w:r>
            <w:proofErr w:type="spellStart"/>
            <w:r>
              <w:rPr>
                <w:sz w:val="19"/>
                <w:szCs w:val="19"/>
              </w:rPr>
              <w:t>FACT_PatientEpisode</w:t>
            </w:r>
            <w:proofErr w:type="spellEnd"/>
          </w:p>
        </w:tc>
        <w:tc>
          <w:tcPr>
            <w:tcW w:w="4300" w:type="dxa"/>
            <w:tcMar>
              <w:top w:w="80" w:type="dxa"/>
              <w:left w:w="100" w:type="dxa"/>
              <w:bottom w:w="80" w:type="dxa"/>
              <w:right w:w="100" w:type="dxa"/>
            </w:tcMar>
            <w:vAlign w:val="center"/>
          </w:tcPr>
          <w:p w14:paraId="691C2955" w14:textId="77777777" w:rsidR="00CB6FC0" w:rsidRDefault="00CB6FC0" w:rsidP="00F70CE5">
            <w:r>
              <w:rPr>
                <w:sz w:val="19"/>
                <w:szCs w:val="19"/>
              </w:rPr>
              <w:t>De-duplicate NHS numbers; pseudonymise identifiers; standardise ICD-10 codes and date formats</w:t>
            </w:r>
          </w:p>
        </w:tc>
      </w:tr>
      <w:tr w:rsidR="00CB6FC0" w14:paraId="460CD372" w14:textId="77777777" w:rsidTr="00F70CE5">
        <w:tc>
          <w:tcPr>
            <w:tcW w:w="2400" w:type="dxa"/>
            <w:tcMar>
              <w:top w:w="80" w:type="dxa"/>
              <w:left w:w="100" w:type="dxa"/>
              <w:bottom w:w="80" w:type="dxa"/>
              <w:right w:w="100" w:type="dxa"/>
            </w:tcMar>
            <w:vAlign w:val="center"/>
          </w:tcPr>
          <w:p w14:paraId="2B606DC1" w14:textId="77777777" w:rsidR="00CB6FC0" w:rsidRDefault="00CB6FC0" w:rsidP="00F70CE5">
            <w:r>
              <w:rPr>
                <w:sz w:val="19"/>
                <w:szCs w:val="19"/>
              </w:rPr>
              <w:t>ESR (workforce)</w:t>
            </w:r>
          </w:p>
        </w:tc>
        <w:tc>
          <w:tcPr>
            <w:tcW w:w="2400" w:type="dxa"/>
            <w:tcMar>
              <w:top w:w="80" w:type="dxa"/>
              <w:left w:w="100" w:type="dxa"/>
              <w:bottom w:w="80" w:type="dxa"/>
              <w:right w:w="100" w:type="dxa"/>
            </w:tcMar>
            <w:vAlign w:val="center"/>
          </w:tcPr>
          <w:p w14:paraId="2D5F5091" w14:textId="77777777" w:rsidR="00CB6FC0" w:rsidRDefault="00CB6FC0" w:rsidP="00F70CE5">
            <w:proofErr w:type="spellStart"/>
            <w:r>
              <w:rPr>
                <w:sz w:val="19"/>
                <w:szCs w:val="19"/>
              </w:rPr>
              <w:t>DIM_Staff</w:t>
            </w:r>
            <w:proofErr w:type="spellEnd"/>
          </w:p>
        </w:tc>
        <w:tc>
          <w:tcPr>
            <w:tcW w:w="4300" w:type="dxa"/>
            <w:tcMar>
              <w:top w:w="80" w:type="dxa"/>
              <w:left w:w="100" w:type="dxa"/>
              <w:bottom w:w="80" w:type="dxa"/>
              <w:right w:w="100" w:type="dxa"/>
            </w:tcMar>
            <w:vAlign w:val="center"/>
          </w:tcPr>
          <w:p w14:paraId="3CA2A125" w14:textId="77777777" w:rsidR="00CB6FC0" w:rsidRDefault="00CB6FC0" w:rsidP="00F70CE5">
            <w:r>
              <w:rPr>
                <w:sz w:val="19"/>
                <w:szCs w:val="19"/>
              </w:rPr>
              <w:t>Standardise role/grade codes; apply Type 2 SCD for role and trust changes</w:t>
            </w:r>
          </w:p>
        </w:tc>
      </w:tr>
      <w:tr w:rsidR="00CB6FC0" w14:paraId="0C80504B" w14:textId="77777777" w:rsidTr="00F70CE5">
        <w:tc>
          <w:tcPr>
            <w:tcW w:w="2400" w:type="dxa"/>
            <w:tcMar>
              <w:top w:w="80" w:type="dxa"/>
              <w:left w:w="100" w:type="dxa"/>
              <w:bottom w:w="80" w:type="dxa"/>
              <w:right w:w="100" w:type="dxa"/>
            </w:tcMar>
            <w:vAlign w:val="center"/>
          </w:tcPr>
          <w:p w14:paraId="75188F6F" w14:textId="77777777" w:rsidR="00CB6FC0" w:rsidRDefault="00CB6FC0" w:rsidP="00F70CE5">
            <w:r>
              <w:rPr>
                <w:sz w:val="19"/>
                <w:szCs w:val="19"/>
              </w:rPr>
              <w:t>Finance / costing system</w:t>
            </w:r>
          </w:p>
        </w:tc>
        <w:tc>
          <w:tcPr>
            <w:tcW w:w="2400" w:type="dxa"/>
            <w:tcMar>
              <w:top w:w="80" w:type="dxa"/>
              <w:left w:w="100" w:type="dxa"/>
              <w:bottom w:w="80" w:type="dxa"/>
              <w:right w:w="100" w:type="dxa"/>
            </w:tcMar>
            <w:vAlign w:val="center"/>
          </w:tcPr>
          <w:p w14:paraId="4A43790E" w14:textId="77777777" w:rsidR="00CB6FC0" w:rsidRDefault="00CB6FC0" w:rsidP="00F70CE5">
            <w:proofErr w:type="spellStart"/>
            <w:r>
              <w:rPr>
                <w:sz w:val="19"/>
                <w:szCs w:val="19"/>
              </w:rPr>
              <w:t>FACT_FinancialActivity</w:t>
            </w:r>
            <w:proofErr w:type="spellEnd"/>
          </w:p>
        </w:tc>
        <w:tc>
          <w:tcPr>
            <w:tcW w:w="4300" w:type="dxa"/>
            <w:tcMar>
              <w:top w:w="80" w:type="dxa"/>
              <w:left w:w="100" w:type="dxa"/>
              <w:bottom w:w="80" w:type="dxa"/>
              <w:right w:w="100" w:type="dxa"/>
            </w:tcMar>
            <w:vAlign w:val="center"/>
          </w:tcPr>
          <w:p w14:paraId="1987DEF0" w14:textId="77777777" w:rsidR="00CB6FC0" w:rsidRDefault="00CB6FC0" w:rsidP="00F70CE5">
            <w:r>
              <w:rPr>
                <w:sz w:val="19"/>
                <w:szCs w:val="19"/>
              </w:rPr>
              <w:t>Standardise currency and cost units; aggregate transaction-level costs to episode grain; reconcile against national tariff</w:t>
            </w:r>
          </w:p>
        </w:tc>
      </w:tr>
      <w:tr w:rsidR="00CB6FC0" w14:paraId="2EA65AA5" w14:textId="77777777" w:rsidTr="00F70CE5">
        <w:tc>
          <w:tcPr>
            <w:tcW w:w="2400" w:type="dxa"/>
            <w:tcMar>
              <w:top w:w="80" w:type="dxa"/>
              <w:left w:w="100" w:type="dxa"/>
              <w:bottom w:w="80" w:type="dxa"/>
              <w:right w:w="100" w:type="dxa"/>
            </w:tcMar>
            <w:vAlign w:val="center"/>
          </w:tcPr>
          <w:p w14:paraId="3194FC14" w14:textId="77777777" w:rsidR="00CB6FC0" w:rsidRDefault="00CB6FC0" w:rsidP="00F70CE5">
            <w:r>
              <w:rPr>
                <w:sz w:val="19"/>
                <w:szCs w:val="19"/>
              </w:rPr>
              <w:t>GP referral &amp; national reference data</w:t>
            </w:r>
          </w:p>
        </w:tc>
        <w:tc>
          <w:tcPr>
            <w:tcW w:w="2400" w:type="dxa"/>
            <w:tcMar>
              <w:top w:w="80" w:type="dxa"/>
              <w:left w:w="100" w:type="dxa"/>
              <w:bottom w:w="80" w:type="dxa"/>
              <w:right w:w="100" w:type="dxa"/>
            </w:tcMar>
            <w:vAlign w:val="center"/>
          </w:tcPr>
          <w:p w14:paraId="3B9752E6" w14:textId="77777777" w:rsidR="00CB6FC0" w:rsidRDefault="00CB6FC0" w:rsidP="00F70CE5">
            <w:proofErr w:type="spellStart"/>
            <w:r>
              <w:rPr>
                <w:sz w:val="19"/>
                <w:szCs w:val="19"/>
              </w:rPr>
              <w:t>DIM_Time</w:t>
            </w:r>
            <w:proofErr w:type="spellEnd"/>
            <w:r>
              <w:rPr>
                <w:sz w:val="19"/>
                <w:szCs w:val="19"/>
              </w:rPr>
              <w:t>, aggregate benchmark tables</w:t>
            </w:r>
          </w:p>
        </w:tc>
        <w:tc>
          <w:tcPr>
            <w:tcW w:w="4300" w:type="dxa"/>
            <w:tcMar>
              <w:top w:w="80" w:type="dxa"/>
              <w:left w:w="100" w:type="dxa"/>
              <w:bottom w:w="80" w:type="dxa"/>
              <w:right w:w="100" w:type="dxa"/>
            </w:tcMar>
            <w:vAlign w:val="center"/>
          </w:tcPr>
          <w:p w14:paraId="37540DE8" w14:textId="77777777" w:rsidR="00CB6FC0" w:rsidRDefault="00CB6FC0" w:rsidP="00F70CE5">
            <w:r>
              <w:rPr>
                <w:sz w:val="19"/>
                <w:szCs w:val="19"/>
              </w:rPr>
              <w:t>Validate against published NHS England statistics; aggregate to monthly grain</w:t>
            </w:r>
          </w:p>
        </w:tc>
      </w:tr>
    </w:tbl>
    <w:p w14:paraId="3BB55AEB" w14:textId="77777777" w:rsidR="00640D9E" w:rsidRDefault="00640D9E" w:rsidP="00640D9E">
      <w:pPr>
        <w:jc w:val="both"/>
        <w:rPr>
          <w:rFonts w:ascii="Calibri" w:hAnsi="Calibri" w:cs="Calibri"/>
          <w:sz w:val="28"/>
          <w:szCs w:val="28"/>
        </w:rPr>
      </w:pPr>
    </w:p>
    <w:p w14:paraId="34695393" w14:textId="40749305" w:rsidR="000207E5" w:rsidRDefault="000207E5" w:rsidP="00640D9E">
      <w:pPr>
        <w:jc w:val="both"/>
        <w:rPr>
          <w:rFonts w:ascii="Calibri" w:hAnsi="Calibri" w:cs="Calibri"/>
          <w:sz w:val="28"/>
          <w:szCs w:val="28"/>
        </w:rPr>
      </w:pPr>
      <w:r w:rsidRPr="000207E5">
        <w:rPr>
          <w:rFonts w:ascii="Calibri" w:hAnsi="Calibri" w:cs="Calibri"/>
          <w:sz w:val="28"/>
          <w:szCs w:val="28"/>
        </w:rPr>
        <w:t>Table 2, adapted from Kimball and Caserta's ETL subsystem methodology [6], maps each incremental load process onto the ETL subsystems it touches during build and test.</w:t>
      </w:r>
    </w:p>
    <w:p w14:paraId="66E70C6A" w14:textId="6FF41332" w:rsidR="008920BA" w:rsidRDefault="008920BA" w:rsidP="008920BA">
      <w:pPr>
        <w:pStyle w:val="Caption"/>
        <w:keepNext/>
      </w:pPr>
      <w:bookmarkStart w:id="25" w:name="_Toc236327517"/>
      <w:r>
        <w:t xml:space="preserve">Table </w:t>
      </w:r>
      <w:r>
        <w:fldChar w:fldCharType="begin"/>
      </w:r>
      <w:r>
        <w:instrText xml:space="preserve"> SEQ Table \* ARABIC </w:instrText>
      </w:r>
      <w:r>
        <w:fldChar w:fldCharType="separate"/>
      </w:r>
      <w:r>
        <w:rPr>
          <w:noProof/>
        </w:rPr>
        <w:t>2</w:t>
      </w:r>
      <w:r>
        <w:fldChar w:fldCharType="end"/>
      </w:r>
      <w:r>
        <w:t xml:space="preserve"> - </w:t>
      </w:r>
      <w:r w:rsidRPr="004425DF">
        <w:t>ETL subsystem coverage by incremental load process (Phase 3).</w:t>
      </w:r>
      <w:bookmarkEnd w:id="25"/>
    </w:p>
    <w:tbl>
      <w:tblPr>
        <w:tblW w:w="9100" w:type="dxa"/>
        <w:tblBorders>
          <w:top w:val="single" w:sz="4" w:space="0" w:color="1B3A5C"/>
          <w:left w:val="single" w:sz="4" w:space="0" w:color="1B3A5C"/>
          <w:bottom w:val="single" w:sz="4" w:space="0" w:color="1B3A5C"/>
          <w:right w:val="single" w:sz="4" w:space="0" w:color="1B3A5C"/>
          <w:insideH w:val="single" w:sz="2" w:space="0" w:color="AAAAAA"/>
          <w:insideV w:val="single" w:sz="2" w:space="0" w:color="AAAAAA"/>
        </w:tblBorders>
        <w:tblCellMar>
          <w:left w:w="10" w:type="dxa"/>
          <w:right w:w="10" w:type="dxa"/>
        </w:tblCellMar>
        <w:tblLook w:val="04A0" w:firstRow="1" w:lastRow="0" w:firstColumn="1" w:lastColumn="0" w:noHBand="0" w:noVBand="1"/>
      </w:tblPr>
      <w:tblGrid>
        <w:gridCol w:w="4300"/>
        <w:gridCol w:w="1200"/>
        <w:gridCol w:w="1200"/>
        <w:gridCol w:w="1200"/>
        <w:gridCol w:w="1200"/>
      </w:tblGrid>
      <w:tr w:rsidR="00FB3D5B" w:rsidRPr="00FB3D5B" w14:paraId="5373BC0E" w14:textId="77777777" w:rsidTr="0039526B">
        <w:trPr>
          <w:trHeight w:val="2600"/>
        </w:trPr>
        <w:tc>
          <w:tcPr>
            <w:tcW w:w="4300" w:type="dxa"/>
            <w:shd w:val="clear" w:color="auto" w:fill="DCEAF5"/>
            <w:tcMar>
              <w:top w:w="80" w:type="dxa"/>
              <w:left w:w="100" w:type="dxa"/>
              <w:bottom w:w="80" w:type="dxa"/>
              <w:right w:w="100" w:type="dxa"/>
            </w:tcMar>
            <w:vAlign w:val="center"/>
          </w:tcPr>
          <w:p w14:paraId="00AB7024" w14:textId="77777777" w:rsidR="00FB3D5B" w:rsidRPr="00FB3D5B" w:rsidRDefault="00FB3D5B" w:rsidP="00FB3D5B">
            <w:pPr>
              <w:spacing w:after="0" w:line="240" w:lineRule="auto"/>
              <w:rPr>
                <w:rFonts w:ascii="Calibri" w:eastAsia="Calibri" w:hAnsi="Calibri" w:cs="Calibri"/>
                <w:kern w:val="0"/>
                <w:sz w:val="22"/>
                <w:szCs w:val="22"/>
                <w:lang w:eastAsia="en-GB"/>
                <w14:ligatures w14:val="none"/>
              </w:rPr>
            </w:pPr>
            <w:r w:rsidRPr="00FB3D5B">
              <w:rPr>
                <w:rFonts w:ascii="Calibri" w:eastAsia="Calibri" w:hAnsi="Calibri" w:cs="Calibri"/>
                <w:b/>
                <w:bCs/>
                <w:kern w:val="0"/>
                <w:sz w:val="19"/>
                <w:szCs w:val="19"/>
                <w:lang w:eastAsia="en-GB"/>
                <w14:ligatures w14:val="none"/>
              </w:rPr>
              <w:t>Phase 3 — Develop Incremental Load Process</w:t>
            </w:r>
          </w:p>
        </w:tc>
        <w:tc>
          <w:tcPr>
            <w:tcW w:w="1200" w:type="dxa"/>
            <w:tcMar>
              <w:top w:w="100" w:type="dxa"/>
              <w:left w:w="60" w:type="dxa"/>
              <w:bottom w:w="100" w:type="dxa"/>
              <w:right w:w="60" w:type="dxa"/>
            </w:tcMar>
            <w:textDirection w:val="btLr"/>
            <w:vAlign w:val="center"/>
          </w:tcPr>
          <w:p w14:paraId="4BF9B3FC"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r w:rsidRPr="00FB3D5B">
              <w:rPr>
                <w:rFonts w:ascii="Calibri" w:eastAsia="Calibri" w:hAnsi="Calibri" w:cs="Calibri"/>
                <w:b/>
                <w:bCs/>
                <w:kern w:val="0"/>
                <w:sz w:val="18"/>
                <w:szCs w:val="18"/>
                <w:lang w:eastAsia="en-GB"/>
                <w14:ligatures w14:val="none"/>
              </w:rPr>
              <w:t>Extracting Data</w:t>
            </w:r>
          </w:p>
        </w:tc>
        <w:tc>
          <w:tcPr>
            <w:tcW w:w="1200" w:type="dxa"/>
            <w:tcMar>
              <w:top w:w="100" w:type="dxa"/>
              <w:left w:w="60" w:type="dxa"/>
              <w:bottom w:w="100" w:type="dxa"/>
              <w:right w:w="60" w:type="dxa"/>
            </w:tcMar>
            <w:textDirection w:val="btLr"/>
            <w:vAlign w:val="center"/>
          </w:tcPr>
          <w:p w14:paraId="457AB4C2"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r w:rsidRPr="00FB3D5B">
              <w:rPr>
                <w:rFonts w:ascii="Calibri" w:eastAsia="Calibri" w:hAnsi="Calibri" w:cs="Calibri"/>
                <w:b/>
                <w:bCs/>
                <w:kern w:val="0"/>
                <w:sz w:val="18"/>
                <w:szCs w:val="18"/>
                <w:lang w:eastAsia="en-GB"/>
                <w14:ligatures w14:val="none"/>
              </w:rPr>
              <w:t>Cleaning &amp; Conforming</w:t>
            </w:r>
          </w:p>
        </w:tc>
        <w:tc>
          <w:tcPr>
            <w:tcW w:w="1200" w:type="dxa"/>
            <w:tcMar>
              <w:top w:w="100" w:type="dxa"/>
              <w:left w:w="60" w:type="dxa"/>
              <w:bottom w:w="100" w:type="dxa"/>
              <w:right w:w="60" w:type="dxa"/>
            </w:tcMar>
            <w:textDirection w:val="btLr"/>
            <w:vAlign w:val="center"/>
          </w:tcPr>
          <w:p w14:paraId="0F755AE2"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r w:rsidRPr="00FB3D5B">
              <w:rPr>
                <w:rFonts w:ascii="Calibri" w:eastAsia="Calibri" w:hAnsi="Calibri" w:cs="Calibri"/>
                <w:b/>
                <w:bCs/>
                <w:kern w:val="0"/>
                <w:sz w:val="18"/>
                <w:szCs w:val="18"/>
                <w:lang w:eastAsia="en-GB"/>
                <w14:ligatures w14:val="none"/>
              </w:rPr>
              <w:t>Delivering for Presentation</w:t>
            </w:r>
          </w:p>
        </w:tc>
        <w:tc>
          <w:tcPr>
            <w:tcW w:w="1200" w:type="dxa"/>
            <w:tcMar>
              <w:top w:w="100" w:type="dxa"/>
              <w:left w:w="60" w:type="dxa"/>
              <w:bottom w:w="100" w:type="dxa"/>
              <w:right w:w="60" w:type="dxa"/>
            </w:tcMar>
            <w:textDirection w:val="btLr"/>
            <w:vAlign w:val="center"/>
          </w:tcPr>
          <w:p w14:paraId="242C52DD"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r w:rsidRPr="00FB3D5B">
              <w:rPr>
                <w:rFonts w:ascii="Calibri" w:eastAsia="Calibri" w:hAnsi="Calibri" w:cs="Calibri"/>
                <w:b/>
                <w:bCs/>
                <w:kern w:val="0"/>
                <w:sz w:val="18"/>
                <w:szCs w:val="18"/>
                <w:lang w:eastAsia="en-GB"/>
                <w14:ligatures w14:val="none"/>
              </w:rPr>
              <w:t>Managing the ETL Environment</w:t>
            </w:r>
          </w:p>
        </w:tc>
      </w:tr>
      <w:tr w:rsidR="00FB3D5B" w:rsidRPr="00FB3D5B" w14:paraId="48EA30DC" w14:textId="77777777" w:rsidTr="0039526B">
        <w:tc>
          <w:tcPr>
            <w:tcW w:w="4300" w:type="dxa"/>
            <w:tcMar>
              <w:top w:w="80" w:type="dxa"/>
              <w:left w:w="100" w:type="dxa"/>
              <w:bottom w:w="80" w:type="dxa"/>
              <w:right w:w="100" w:type="dxa"/>
            </w:tcMar>
            <w:vAlign w:val="center"/>
          </w:tcPr>
          <w:p w14:paraId="1A0241C6" w14:textId="77777777" w:rsidR="00FB3D5B" w:rsidRPr="00FB3D5B" w:rsidRDefault="00FB3D5B" w:rsidP="00FB3D5B">
            <w:pPr>
              <w:spacing w:after="0" w:line="240" w:lineRule="auto"/>
              <w:rPr>
                <w:rFonts w:ascii="Calibri" w:eastAsia="Calibri" w:hAnsi="Calibri" w:cs="Calibri"/>
                <w:kern w:val="0"/>
                <w:sz w:val="22"/>
                <w:szCs w:val="22"/>
                <w:lang w:eastAsia="en-GB"/>
                <w14:ligatures w14:val="none"/>
              </w:rPr>
            </w:pPr>
            <w:r w:rsidRPr="00FB3D5B">
              <w:rPr>
                <w:rFonts w:ascii="Calibri" w:eastAsia="Calibri" w:hAnsi="Calibri" w:cs="Calibri"/>
                <w:kern w:val="0"/>
                <w:sz w:val="19"/>
                <w:szCs w:val="19"/>
                <w:lang w:eastAsia="en-GB"/>
                <w14:ligatures w14:val="none"/>
              </w:rPr>
              <w:t xml:space="preserve">Build and test the </w:t>
            </w:r>
            <w:proofErr w:type="spellStart"/>
            <w:r w:rsidRPr="00FB3D5B">
              <w:rPr>
                <w:rFonts w:ascii="Calibri" w:eastAsia="Calibri" w:hAnsi="Calibri" w:cs="Calibri"/>
                <w:kern w:val="0"/>
                <w:sz w:val="19"/>
                <w:szCs w:val="19"/>
                <w:lang w:eastAsia="en-GB"/>
                <w14:ligatures w14:val="none"/>
              </w:rPr>
              <w:t>DIM_Patient</w:t>
            </w:r>
            <w:proofErr w:type="spellEnd"/>
            <w:r w:rsidRPr="00FB3D5B">
              <w:rPr>
                <w:rFonts w:ascii="Calibri" w:eastAsia="Calibri" w:hAnsi="Calibri" w:cs="Calibri"/>
                <w:kern w:val="0"/>
                <w:sz w:val="19"/>
                <w:szCs w:val="19"/>
                <w:lang w:eastAsia="en-GB"/>
                <w14:ligatures w14:val="none"/>
              </w:rPr>
              <w:t xml:space="preserve">, </w:t>
            </w:r>
            <w:proofErr w:type="spellStart"/>
            <w:r w:rsidRPr="00FB3D5B">
              <w:rPr>
                <w:rFonts w:ascii="Calibri" w:eastAsia="Calibri" w:hAnsi="Calibri" w:cs="Calibri"/>
                <w:kern w:val="0"/>
                <w:sz w:val="19"/>
                <w:szCs w:val="19"/>
                <w:lang w:eastAsia="en-GB"/>
                <w14:ligatures w14:val="none"/>
              </w:rPr>
              <w:t>DIM_Staff</w:t>
            </w:r>
            <w:proofErr w:type="spellEnd"/>
            <w:r w:rsidRPr="00FB3D5B">
              <w:rPr>
                <w:rFonts w:ascii="Calibri" w:eastAsia="Calibri" w:hAnsi="Calibri" w:cs="Calibri"/>
                <w:kern w:val="0"/>
                <w:sz w:val="19"/>
                <w:szCs w:val="19"/>
                <w:lang w:eastAsia="en-GB"/>
                <w14:ligatures w14:val="none"/>
              </w:rPr>
              <w:t xml:space="preserve"> and </w:t>
            </w:r>
            <w:proofErr w:type="spellStart"/>
            <w:r w:rsidRPr="00FB3D5B">
              <w:rPr>
                <w:rFonts w:ascii="Calibri" w:eastAsia="Calibri" w:hAnsi="Calibri" w:cs="Calibri"/>
                <w:kern w:val="0"/>
                <w:sz w:val="19"/>
                <w:szCs w:val="19"/>
                <w:lang w:eastAsia="en-GB"/>
                <w14:ligatures w14:val="none"/>
              </w:rPr>
              <w:t>DIM_Hospital</w:t>
            </w:r>
            <w:proofErr w:type="spellEnd"/>
            <w:r w:rsidRPr="00FB3D5B">
              <w:rPr>
                <w:rFonts w:ascii="Calibri" w:eastAsia="Calibri" w:hAnsi="Calibri" w:cs="Calibri"/>
                <w:kern w:val="0"/>
                <w:sz w:val="19"/>
                <w:szCs w:val="19"/>
                <w:lang w:eastAsia="en-GB"/>
                <w14:ligatures w14:val="none"/>
              </w:rPr>
              <w:t xml:space="preserve"> incremental load processes</w:t>
            </w:r>
          </w:p>
        </w:tc>
        <w:tc>
          <w:tcPr>
            <w:tcW w:w="1200" w:type="dxa"/>
            <w:tcMar>
              <w:top w:w="80" w:type="dxa"/>
              <w:left w:w="60" w:type="dxa"/>
              <w:bottom w:w="80" w:type="dxa"/>
              <w:right w:w="60" w:type="dxa"/>
            </w:tcMar>
            <w:vAlign w:val="center"/>
          </w:tcPr>
          <w:p w14:paraId="63A216DA"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r w:rsidRPr="00FB3D5B">
              <w:rPr>
                <w:rFonts w:ascii="Calibri" w:eastAsia="Calibri" w:hAnsi="Calibri" w:cs="Calibri"/>
                <w:b/>
                <w:bCs/>
                <w:kern w:val="0"/>
                <w:sz w:val="20"/>
                <w:szCs w:val="20"/>
                <w:lang w:eastAsia="en-GB"/>
                <w14:ligatures w14:val="none"/>
              </w:rPr>
              <w:t>X</w:t>
            </w:r>
          </w:p>
        </w:tc>
        <w:tc>
          <w:tcPr>
            <w:tcW w:w="1200" w:type="dxa"/>
            <w:tcMar>
              <w:top w:w="80" w:type="dxa"/>
              <w:left w:w="60" w:type="dxa"/>
              <w:bottom w:w="80" w:type="dxa"/>
              <w:right w:w="60" w:type="dxa"/>
            </w:tcMar>
            <w:vAlign w:val="center"/>
          </w:tcPr>
          <w:p w14:paraId="5C53A5CD"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r w:rsidRPr="00FB3D5B">
              <w:rPr>
                <w:rFonts w:ascii="Calibri" w:eastAsia="Calibri" w:hAnsi="Calibri" w:cs="Calibri"/>
                <w:b/>
                <w:bCs/>
                <w:kern w:val="0"/>
                <w:sz w:val="20"/>
                <w:szCs w:val="20"/>
                <w:lang w:eastAsia="en-GB"/>
                <w14:ligatures w14:val="none"/>
              </w:rPr>
              <w:t>X</w:t>
            </w:r>
          </w:p>
        </w:tc>
        <w:tc>
          <w:tcPr>
            <w:tcW w:w="1200" w:type="dxa"/>
            <w:tcMar>
              <w:top w:w="80" w:type="dxa"/>
              <w:left w:w="60" w:type="dxa"/>
              <w:bottom w:w="80" w:type="dxa"/>
              <w:right w:w="60" w:type="dxa"/>
            </w:tcMar>
            <w:vAlign w:val="center"/>
          </w:tcPr>
          <w:p w14:paraId="100C85F0"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r w:rsidRPr="00FB3D5B">
              <w:rPr>
                <w:rFonts w:ascii="Calibri" w:eastAsia="Calibri" w:hAnsi="Calibri" w:cs="Calibri"/>
                <w:b/>
                <w:bCs/>
                <w:kern w:val="0"/>
                <w:sz w:val="20"/>
                <w:szCs w:val="20"/>
                <w:lang w:eastAsia="en-GB"/>
                <w14:ligatures w14:val="none"/>
              </w:rPr>
              <w:t>X</w:t>
            </w:r>
          </w:p>
        </w:tc>
        <w:tc>
          <w:tcPr>
            <w:tcW w:w="1200" w:type="dxa"/>
            <w:tcMar>
              <w:top w:w="80" w:type="dxa"/>
              <w:left w:w="60" w:type="dxa"/>
              <w:bottom w:w="80" w:type="dxa"/>
              <w:right w:w="60" w:type="dxa"/>
            </w:tcMar>
            <w:vAlign w:val="center"/>
          </w:tcPr>
          <w:p w14:paraId="4B7B0135"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p>
        </w:tc>
      </w:tr>
      <w:tr w:rsidR="00FB3D5B" w:rsidRPr="00FB3D5B" w14:paraId="403844A9" w14:textId="77777777" w:rsidTr="0039526B">
        <w:tc>
          <w:tcPr>
            <w:tcW w:w="4300" w:type="dxa"/>
            <w:tcMar>
              <w:top w:w="80" w:type="dxa"/>
              <w:left w:w="100" w:type="dxa"/>
              <w:bottom w:w="80" w:type="dxa"/>
              <w:right w:w="100" w:type="dxa"/>
            </w:tcMar>
            <w:vAlign w:val="center"/>
          </w:tcPr>
          <w:p w14:paraId="5B614342" w14:textId="77777777" w:rsidR="00FB3D5B" w:rsidRPr="00FB3D5B" w:rsidRDefault="00FB3D5B" w:rsidP="00FB3D5B">
            <w:pPr>
              <w:spacing w:after="0" w:line="240" w:lineRule="auto"/>
              <w:rPr>
                <w:rFonts w:ascii="Calibri" w:eastAsia="Calibri" w:hAnsi="Calibri" w:cs="Calibri"/>
                <w:kern w:val="0"/>
                <w:sz w:val="22"/>
                <w:szCs w:val="22"/>
                <w:lang w:eastAsia="en-GB"/>
                <w14:ligatures w14:val="none"/>
              </w:rPr>
            </w:pPr>
            <w:r w:rsidRPr="00FB3D5B">
              <w:rPr>
                <w:rFonts w:ascii="Calibri" w:eastAsia="Calibri" w:hAnsi="Calibri" w:cs="Calibri"/>
                <w:kern w:val="0"/>
                <w:sz w:val="19"/>
                <w:szCs w:val="19"/>
                <w:lang w:eastAsia="en-GB"/>
                <w14:ligatures w14:val="none"/>
              </w:rPr>
              <w:t xml:space="preserve">Build and test the </w:t>
            </w:r>
            <w:proofErr w:type="spellStart"/>
            <w:r w:rsidRPr="00FB3D5B">
              <w:rPr>
                <w:rFonts w:ascii="Calibri" w:eastAsia="Calibri" w:hAnsi="Calibri" w:cs="Calibri"/>
                <w:kern w:val="0"/>
                <w:sz w:val="19"/>
                <w:szCs w:val="19"/>
                <w:lang w:eastAsia="en-GB"/>
                <w14:ligatures w14:val="none"/>
              </w:rPr>
              <w:t>FACT_PatientEpisode</w:t>
            </w:r>
            <w:proofErr w:type="spellEnd"/>
            <w:r w:rsidRPr="00FB3D5B">
              <w:rPr>
                <w:rFonts w:ascii="Calibri" w:eastAsia="Calibri" w:hAnsi="Calibri" w:cs="Calibri"/>
                <w:kern w:val="0"/>
                <w:sz w:val="19"/>
                <w:szCs w:val="19"/>
                <w:lang w:eastAsia="en-GB"/>
                <w14:ligatures w14:val="none"/>
              </w:rPr>
              <w:t xml:space="preserve"> incremental load process</w:t>
            </w:r>
          </w:p>
        </w:tc>
        <w:tc>
          <w:tcPr>
            <w:tcW w:w="1200" w:type="dxa"/>
            <w:tcMar>
              <w:top w:w="80" w:type="dxa"/>
              <w:left w:w="60" w:type="dxa"/>
              <w:bottom w:w="80" w:type="dxa"/>
              <w:right w:w="60" w:type="dxa"/>
            </w:tcMar>
            <w:vAlign w:val="center"/>
          </w:tcPr>
          <w:p w14:paraId="3D5E24ED"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r w:rsidRPr="00FB3D5B">
              <w:rPr>
                <w:rFonts w:ascii="Calibri" w:eastAsia="Calibri" w:hAnsi="Calibri" w:cs="Calibri"/>
                <w:b/>
                <w:bCs/>
                <w:kern w:val="0"/>
                <w:sz w:val="20"/>
                <w:szCs w:val="20"/>
                <w:lang w:eastAsia="en-GB"/>
                <w14:ligatures w14:val="none"/>
              </w:rPr>
              <w:t>X</w:t>
            </w:r>
          </w:p>
        </w:tc>
        <w:tc>
          <w:tcPr>
            <w:tcW w:w="1200" w:type="dxa"/>
            <w:tcMar>
              <w:top w:w="80" w:type="dxa"/>
              <w:left w:w="60" w:type="dxa"/>
              <w:bottom w:w="80" w:type="dxa"/>
              <w:right w:w="60" w:type="dxa"/>
            </w:tcMar>
            <w:vAlign w:val="center"/>
          </w:tcPr>
          <w:p w14:paraId="5FBB6BCA"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r w:rsidRPr="00FB3D5B">
              <w:rPr>
                <w:rFonts w:ascii="Calibri" w:eastAsia="Calibri" w:hAnsi="Calibri" w:cs="Calibri"/>
                <w:b/>
                <w:bCs/>
                <w:kern w:val="0"/>
                <w:sz w:val="20"/>
                <w:szCs w:val="20"/>
                <w:lang w:eastAsia="en-GB"/>
                <w14:ligatures w14:val="none"/>
              </w:rPr>
              <w:t>X</w:t>
            </w:r>
          </w:p>
        </w:tc>
        <w:tc>
          <w:tcPr>
            <w:tcW w:w="1200" w:type="dxa"/>
            <w:tcMar>
              <w:top w:w="80" w:type="dxa"/>
              <w:left w:w="60" w:type="dxa"/>
              <w:bottom w:w="80" w:type="dxa"/>
              <w:right w:w="60" w:type="dxa"/>
            </w:tcMar>
            <w:vAlign w:val="center"/>
          </w:tcPr>
          <w:p w14:paraId="34232077"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r w:rsidRPr="00FB3D5B">
              <w:rPr>
                <w:rFonts w:ascii="Calibri" w:eastAsia="Calibri" w:hAnsi="Calibri" w:cs="Calibri"/>
                <w:b/>
                <w:bCs/>
                <w:kern w:val="0"/>
                <w:sz w:val="20"/>
                <w:szCs w:val="20"/>
                <w:lang w:eastAsia="en-GB"/>
                <w14:ligatures w14:val="none"/>
              </w:rPr>
              <w:t>X</w:t>
            </w:r>
          </w:p>
        </w:tc>
        <w:tc>
          <w:tcPr>
            <w:tcW w:w="1200" w:type="dxa"/>
            <w:tcMar>
              <w:top w:w="80" w:type="dxa"/>
              <w:left w:w="60" w:type="dxa"/>
              <w:bottom w:w="80" w:type="dxa"/>
              <w:right w:w="60" w:type="dxa"/>
            </w:tcMar>
            <w:vAlign w:val="center"/>
          </w:tcPr>
          <w:p w14:paraId="42A14747"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p>
        </w:tc>
      </w:tr>
      <w:tr w:rsidR="00FB3D5B" w:rsidRPr="00FB3D5B" w14:paraId="0533F7E2" w14:textId="77777777" w:rsidTr="0039526B">
        <w:tc>
          <w:tcPr>
            <w:tcW w:w="4300" w:type="dxa"/>
            <w:tcMar>
              <w:top w:w="80" w:type="dxa"/>
              <w:left w:w="100" w:type="dxa"/>
              <w:bottom w:w="80" w:type="dxa"/>
              <w:right w:w="100" w:type="dxa"/>
            </w:tcMar>
            <w:vAlign w:val="center"/>
          </w:tcPr>
          <w:p w14:paraId="49AEE761" w14:textId="77777777" w:rsidR="00FB3D5B" w:rsidRPr="00FB3D5B" w:rsidRDefault="00FB3D5B" w:rsidP="00FB3D5B">
            <w:pPr>
              <w:spacing w:after="0" w:line="240" w:lineRule="auto"/>
              <w:rPr>
                <w:rFonts w:ascii="Calibri" w:eastAsia="Calibri" w:hAnsi="Calibri" w:cs="Calibri"/>
                <w:kern w:val="0"/>
                <w:sz w:val="22"/>
                <w:szCs w:val="22"/>
                <w:lang w:eastAsia="en-GB"/>
                <w14:ligatures w14:val="none"/>
              </w:rPr>
            </w:pPr>
            <w:r w:rsidRPr="00FB3D5B">
              <w:rPr>
                <w:rFonts w:ascii="Calibri" w:eastAsia="Calibri" w:hAnsi="Calibri" w:cs="Calibri"/>
                <w:kern w:val="0"/>
                <w:sz w:val="19"/>
                <w:szCs w:val="19"/>
                <w:lang w:eastAsia="en-GB"/>
                <w14:ligatures w14:val="none"/>
              </w:rPr>
              <w:t xml:space="preserve">Build and test the </w:t>
            </w:r>
            <w:proofErr w:type="spellStart"/>
            <w:r w:rsidRPr="00FB3D5B">
              <w:rPr>
                <w:rFonts w:ascii="Calibri" w:eastAsia="Calibri" w:hAnsi="Calibri" w:cs="Calibri"/>
                <w:kern w:val="0"/>
                <w:sz w:val="19"/>
                <w:szCs w:val="19"/>
                <w:lang w:eastAsia="en-GB"/>
                <w14:ligatures w14:val="none"/>
              </w:rPr>
              <w:t>FACT_MonthlyPerformance</w:t>
            </w:r>
            <w:proofErr w:type="spellEnd"/>
            <w:r w:rsidRPr="00FB3D5B">
              <w:rPr>
                <w:rFonts w:ascii="Calibri" w:eastAsia="Calibri" w:hAnsi="Calibri" w:cs="Calibri"/>
                <w:kern w:val="0"/>
                <w:sz w:val="19"/>
                <w:szCs w:val="19"/>
                <w:lang w:eastAsia="en-GB"/>
                <w14:ligatures w14:val="none"/>
              </w:rPr>
              <w:t xml:space="preserve"> aggregate table load</w:t>
            </w:r>
          </w:p>
        </w:tc>
        <w:tc>
          <w:tcPr>
            <w:tcW w:w="1200" w:type="dxa"/>
            <w:tcMar>
              <w:top w:w="80" w:type="dxa"/>
              <w:left w:w="60" w:type="dxa"/>
              <w:bottom w:w="80" w:type="dxa"/>
              <w:right w:w="60" w:type="dxa"/>
            </w:tcMar>
            <w:vAlign w:val="center"/>
          </w:tcPr>
          <w:p w14:paraId="55EF41DD"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p>
        </w:tc>
        <w:tc>
          <w:tcPr>
            <w:tcW w:w="1200" w:type="dxa"/>
            <w:tcMar>
              <w:top w:w="80" w:type="dxa"/>
              <w:left w:w="60" w:type="dxa"/>
              <w:bottom w:w="80" w:type="dxa"/>
              <w:right w:w="60" w:type="dxa"/>
            </w:tcMar>
            <w:vAlign w:val="center"/>
          </w:tcPr>
          <w:p w14:paraId="56BE9C04"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p>
        </w:tc>
        <w:tc>
          <w:tcPr>
            <w:tcW w:w="1200" w:type="dxa"/>
            <w:tcMar>
              <w:top w:w="80" w:type="dxa"/>
              <w:left w:w="60" w:type="dxa"/>
              <w:bottom w:w="80" w:type="dxa"/>
              <w:right w:w="60" w:type="dxa"/>
            </w:tcMar>
            <w:vAlign w:val="center"/>
          </w:tcPr>
          <w:p w14:paraId="69743266"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r w:rsidRPr="00FB3D5B">
              <w:rPr>
                <w:rFonts w:ascii="Calibri" w:eastAsia="Calibri" w:hAnsi="Calibri" w:cs="Calibri"/>
                <w:b/>
                <w:bCs/>
                <w:kern w:val="0"/>
                <w:sz w:val="20"/>
                <w:szCs w:val="20"/>
                <w:lang w:eastAsia="en-GB"/>
                <w14:ligatures w14:val="none"/>
              </w:rPr>
              <w:t>X</w:t>
            </w:r>
          </w:p>
        </w:tc>
        <w:tc>
          <w:tcPr>
            <w:tcW w:w="1200" w:type="dxa"/>
            <w:tcMar>
              <w:top w:w="80" w:type="dxa"/>
              <w:left w:w="60" w:type="dxa"/>
              <w:bottom w:w="80" w:type="dxa"/>
              <w:right w:w="60" w:type="dxa"/>
            </w:tcMar>
            <w:vAlign w:val="center"/>
          </w:tcPr>
          <w:p w14:paraId="29BE50F1"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p>
        </w:tc>
      </w:tr>
      <w:tr w:rsidR="00FB3D5B" w:rsidRPr="00FB3D5B" w14:paraId="7515A11C" w14:textId="77777777" w:rsidTr="0039526B">
        <w:tc>
          <w:tcPr>
            <w:tcW w:w="4300" w:type="dxa"/>
            <w:tcMar>
              <w:top w:w="80" w:type="dxa"/>
              <w:left w:w="100" w:type="dxa"/>
              <w:bottom w:w="80" w:type="dxa"/>
              <w:right w:w="100" w:type="dxa"/>
            </w:tcMar>
            <w:vAlign w:val="center"/>
          </w:tcPr>
          <w:p w14:paraId="35B953C5" w14:textId="77777777" w:rsidR="00FB3D5B" w:rsidRPr="00FB3D5B" w:rsidRDefault="00FB3D5B" w:rsidP="00FB3D5B">
            <w:pPr>
              <w:spacing w:after="0" w:line="240" w:lineRule="auto"/>
              <w:rPr>
                <w:rFonts w:ascii="Calibri" w:eastAsia="Calibri" w:hAnsi="Calibri" w:cs="Calibri"/>
                <w:kern w:val="0"/>
                <w:sz w:val="22"/>
                <w:szCs w:val="22"/>
                <w:lang w:eastAsia="en-GB"/>
                <w14:ligatures w14:val="none"/>
              </w:rPr>
            </w:pPr>
            <w:r w:rsidRPr="00FB3D5B">
              <w:rPr>
                <w:rFonts w:ascii="Calibri" w:eastAsia="Calibri" w:hAnsi="Calibri" w:cs="Calibri"/>
                <w:kern w:val="0"/>
                <w:sz w:val="19"/>
                <w:szCs w:val="19"/>
                <w:lang w:eastAsia="en-GB"/>
                <w14:ligatures w14:val="none"/>
              </w:rPr>
              <w:t>Design, build and test the ETL scheduling and automation</w:t>
            </w:r>
          </w:p>
        </w:tc>
        <w:tc>
          <w:tcPr>
            <w:tcW w:w="1200" w:type="dxa"/>
            <w:tcMar>
              <w:top w:w="80" w:type="dxa"/>
              <w:left w:w="60" w:type="dxa"/>
              <w:bottom w:w="80" w:type="dxa"/>
              <w:right w:w="60" w:type="dxa"/>
            </w:tcMar>
            <w:vAlign w:val="center"/>
          </w:tcPr>
          <w:p w14:paraId="21CF8F06"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p>
        </w:tc>
        <w:tc>
          <w:tcPr>
            <w:tcW w:w="1200" w:type="dxa"/>
            <w:tcMar>
              <w:top w:w="80" w:type="dxa"/>
              <w:left w:w="60" w:type="dxa"/>
              <w:bottom w:w="80" w:type="dxa"/>
              <w:right w:w="60" w:type="dxa"/>
            </w:tcMar>
            <w:vAlign w:val="center"/>
          </w:tcPr>
          <w:p w14:paraId="32AEA695"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r w:rsidRPr="00FB3D5B">
              <w:rPr>
                <w:rFonts w:ascii="Calibri" w:eastAsia="Calibri" w:hAnsi="Calibri" w:cs="Calibri"/>
                <w:b/>
                <w:bCs/>
                <w:kern w:val="0"/>
                <w:sz w:val="20"/>
                <w:szCs w:val="20"/>
                <w:lang w:eastAsia="en-GB"/>
                <w14:ligatures w14:val="none"/>
              </w:rPr>
              <w:t>X</w:t>
            </w:r>
          </w:p>
        </w:tc>
        <w:tc>
          <w:tcPr>
            <w:tcW w:w="1200" w:type="dxa"/>
            <w:tcMar>
              <w:top w:w="80" w:type="dxa"/>
              <w:left w:w="60" w:type="dxa"/>
              <w:bottom w:w="80" w:type="dxa"/>
              <w:right w:w="60" w:type="dxa"/>
            </w:tcMar>
            <w:vAlign w:val="center"/>
          </w:tcPr>
          <w:p w14:paraId="71396DF4"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r w:rsidRPr="00FB3D5B">
              <w:rPr>
                <w:rFonts w:ascii="Calibri" w:eastAsia="Calibri" w:hAnsi="Calibri" w:cs="Calibri"/>
                <w:b/>
                <w:bCs/>
                <w:kern w:val="0"/>
                <w:sz w:val="20"/>
                <w:szCs w:val="20"/>
                <w:lang w:eastAsia="en-GB"/>
                <w14:ligatures w14:val="none"/>
              </w:rPr>
              <w:t>X</w:t>
            </w:r>
          </w:p>
        </w:tc>
        <w:tc>
          <w:tcPr>
            <w:tcW w:w="1200" w:type="dxa"/>
            <w:tcMar>
              <w:top w:w="80" w:type="dxa"/>
              <w:left w:w="60" w:type="dxa"/>
              <w:bottom w:w="80" w:type="dxa"/>
              <w:right w:w="60" w:type="dxa"/>
            </w:tcMar>
            <w:vAlign w:val="center"/>
          </w:tcPr>
          <w:p w14:paraId="433C22F3" w14:textId="77777777" w:rsidR="00FB3D5B" w:rsidRPr="00FB3D5B" w:rsidRDefault="00FB3D5B" w:rsidP="00FB3D5B">
            <w:pPr>
              <w:spacing w:after="0" w:line="240" w:lineRule="auto"/>
              <w:jc w:val="center"/>
              <w:rPr>
                <w:rFonts w:ascii="Calibri" w:eastAsia="Calibri" w:hAnsi="Calibri" w:cs="Calibri"/>
                <w:kern w:val="0"/>
                <w:sz w:val="22"/>
                <w:szCs w:val="22"/>
                <w:lang w:eastAsia="en-GB"/>
                <w14:ligatures w14:val="none"/>
              </w:rPr>
            </w:pPr>
            <w:r w:rsidRPr="00FB3D5B">
              <w:rPr>
                <w:rFonts w:ascii="Calibri" w:eastAsia="Calibri" w:hAnsi="Calibri" w:cs="Calibri"/>
                <w:b/>
                <w:bCs/>
                <w:kern w:val="0"/>
                <w:sz w:val="20"/>
                <w:szCs w:val="20"/>
                <w:lang w:eastAsia="en-GB"/>
                <w14:ligatures w14:val="none"/>
              </w:rPr>
              <w:t>X</w:t>
            </w:r>
          </w:p>
        </w:tc>
      </w:tr>
    </w:tbl>
    <w:p w14:paraId="375583FC" w14:textId="77777777" w:rsidR="000207E5" w:rsidRDefault="000207E5" w:rsidP="00640D9E">
      <w:pPr>
        <w:jc w:val="both"/>
        <w:rPr>
          <w:rFonts w:ascii="Calibri" w:hAnsi="Calibri" w:cs="Calibri"/>
          <w:sz w:val="28"/>
          <w:szCs w:val="28"/>
        </w:rPr>
      </w:pPr>
    </w:p>
    <w:p w14:paraId="51F25642" w14:textId="77777777" w:rsidR="00955D40" w:rsidRDefault="00955D40" w:rsidP="00640D9E">
      <w:pPr>
        <w:jc w:val="both"/>
        <w:rPr>
          <w:rFonts w:ascii="Calibri" w:hAnsi="Calibri" w:cs="Calibri"/>
          <w:sz w:val="28"/>
          <w:szCs w:val="28"/>
        </w:rPr>
      </w:pPr>
    </w:p>
    <w:p w14:paraId="3B25084E" w14:textId="5F3AE616" w:rsidR="006C6DE2" w:rsidRPr="006C6DE2" w:rsidRDefault="006C6DE2" w:rsidP="006C6DE2">
      <w:pPr>
        <w:pStyle w:val="Heading2"/>
        <w:rPr>
          <w:b/>
          <w:bCs/>
        </w:rPr>
      </w:pPr>
      <w:bookmarkStart w:id="26" w:name="_Toc235956588"/>
      <w:bookmarkStart w:id="27" w:name="_Toc236328666"/>
      <w:r w:rsidRPr="006C6DE2">
        <w:rPr>
          <w:b/>
          <w:bCs/>
        </w:rPr>
        <w:lastRenderedPageBreak/>
        <w:t>2.5 Data Quality &amp; Governance</w:t>
      </w:r>
      <w:bookmarkEnd w:id="26"/>
      <w:bookmarkEnd w:id="27"/>
    </w:p>
    <w:p w14:paraId="21FEE77F" w14:textId="443DE495" w:rsidR="00CB6FC0" w:rsidRDefault="00994316" w:rsidP="00640D9E">
      <w:pPr>
        <w:jc w:val="both"/>
        <w:rPr>
          <w:rFonts w:ascii="Calibri" w:hAnsi="Calibri" w:cs="Calibri"/>
          <w:sz w:val="28"/>
          <w:szCs w:val="28"/>
        </w:rPr>
      </w:pPr>
      <w:r w:rsidRPr="00994316">
        <w:rPr>
          <w:rFonts w:ascii="Calibri" w:hAnsi="Calibri" w:cs="Calibri"/>
          <w:sz w:val="28"/>
          <w:szCs w:val="28"/>
        </w:rPr>
        <w:t>The quality of data needs to be evaluated based on accuracy, completeness, consistency, and timeliness [10]. Governance involves role-based access control that limits access to data marts only for authorized individuals, anonymization of patient identifiers, and adherence to Data Protection Act 2018, UK GDPR, and the principles outlined by the National Data Guardian Caldicott [11], [12]. Assurance is required to be provided yearly through NHS Data Security and Protection Toolkit [13] and a governance model like DAMA-DMBOK ensuring data ownership within all trusts contributing to the warehouse [14].</w:t>
      </w:r>
    </w:p>
    <w:p w14:paraId="698B5FA6" w14:textId="77777777" w:rsidR="00945A36" w:rsidRPr="00945A36" w:rsidRDefault="00945A36" w:rsidP="00945A36">
      <w:pPr>
        <w:pStyle w:val="Heading1"/>
        <w:rPr>
          <w:b/>
          <w:bCs/>
        </w:rPr>
      </w:pPr>
      <w:bookmarkStart w:id="28" w:name="_Toc235956589"/>
      <w:bookmarkStart w:id="29" w:name="_Toc236328667"/>
      <w:r w:rsidRPr="00945A36">
        <w:rPr>
          <w:b/>
          <w:bCs/>
        </w:rPr>
        <w:t>Conclusion</w:t>
      </w:r>
      <w:bookmarkEnd w:id="28"/>
      <w:bookmarkEnd w:id="29"/>
    </w:p>
    <w:p w14:paraId="12960D21" w14:textId="71B29444" w:rsidR="00994316" w:rsidRDefault="00DC006F" w:rsidP="00DC006F">
      <w:pPr>
        <w:jc w:val="both"/>
        <w:rPr>
          <w:rFonts w:ascii="Calibri" w:hAnsi="Calibri" w:cs="Calibri"/>
          <w:sz w:val="28"/>
          <w:szCs w:val="28"/>
        </w:rPr>
      </w:pPr>
      <w:r w:rsidRPr="00DC006F">
        <w:rPr>
          <w:rFonts w:ascii="Calibri" w:hAnsi="Calibri" w:cs="Calibri"/>
          <w:sz w:val="28"/>
          <w:szCs w:val="28"/>
        </w:rPr>
        <w:t>NHS England should adopt a Kimball-style dimensional data warehouse, developed incrementally around conformed Patient, Time, Hospital and Staff dimensions with dedicated data marts for the Chief Executive, Finance Director and Medical Director, without disrupting the EPR, PAS and ESR systems used in daily operations. This approach aligns with the ongoing Federated Data Platform rollout, demonstrating that the proposed architecture is practical and proven at NHS scale [1]. The techniques used throughout this report, including conformed dimensions, aggregate fact tables, Type 2 slowly changing dimensions and strong data governance, are also widely applied in industries such as retail, logistics and finance, making them valuable transferable skills.</w:t>
      </w:r>
    </w:p>
    <w:p w14:paraId="016B4561" w14:textId="77777777" w:rsidR="00FB3D5B" w:rsidRDefault="00FB3D5B" w:rsidP="00DC006F">
      <w:pPr>
        <w:jc w:val="both"/>
        <w:rPr>
          <w:rFonts w:ascii="Calibri" w:hAnsi="Calibri" w:cs="Calibri"/>
          <w:sz w:val="28"/>
          <w:szCs w:val="28"/>
        </w:rPr>
      </w:pPr>
    </w:p>
    <w:p w14:paraId="47112ED2" w14:textId="77777777" w:rsidR="00FB3D5B" w:rsidRDefault="00FB3D5B" w:rsidP="00DC006F">
      <w:pPr>
        <w:jc w:val="both"/>
        <w:rPr>
          <w:rFonts w:ascii="Calibri" w:hAnsi="Calibri" w:cs="Calibri"/>
          <w:sz w:val="28"/>
          <w:szCs w:val="28"/>
        </w:rPr>
      </w:pPr>
    </w:p>
    <w:p w14:paraId="5B1BFAD1" w14:textId="77777777" w:rsidR="00FB3D5B" w:rsidRDefault="00FB3D5B" w:rsidP="00DC006F">
      <w:pPr>
        <w:jc w:val="both"/>
        <w:rPr>
          <w:rFonts w:ascii="Calibri" w:hAnsi="Calibri" w:cs="Calibri"/>
          <w:sz w:val="28"/>
          <w:szCs w:val="28"/>
        </w:rPr>
      </w:pPr>
    </w:p>
    <w:p w14:paraId="591142D8" w14:textId="77777777" w:rsidR="00FB3D5B" w:rsidRDefault="00FB3D5B" w:rsidP="00DC006F">
      <w:pPr>
        <w:jc w:val="both"/>
        <w:rPr>
          <w:rFonts w:ascii="Calibri" w:hAnsi="Calibri" w:cs="Calibri"/>
          <w:sz w:val="28"/>
          <w:szCs w:val="28"/>
        </w:rPr>
      </w:pPr>
    </w:p>
    <w:p w14:paraId="0E73DD5A" w14:textId="77777777" w:rsidR="00FB3D5B" w:rsidRDefault="00FB3D5B" w:rsidP="00DC006F">
      <w:pPr>
        <w:jc w:val="both"/>
        <w:rPr>
          <w:rFonts w:ascii="Calibri" w:hAnsi="Calibri" w:cs="Calibri"/>
          <w:sz w:val="28"/>
          <w:szCs w:val="28"/>
        </w:rPr>
      </w:pPr>
    </w:p>
    <w:p w14:paraId="7F126B39" w14:textId="77777777" w:rsidR="00FB3D5B" w:rsidRDefault="00FB3D5B" w:rsidP="00DC006F">
      <w:pPr>
        <w:jc w:val="both"/>
        <w:rPr>
          <w:rFonts w:ascii="Calibri" w:hAnsi="Calibri" w:cs="Calibri"/>
          <w:sz w:val="28"/>
          <w:szCs w:val="28"/>
        </w:rPr>
      </w:pPr>
    </w:p>
    <w:p w14:paraId="0B7DE23C" w14:textId="77777777" w:rsidR="00D80B2F" w:rsidRPr="00D80B2F" w:rsidRDefault="00D80B2F" w:rsidP="00D80B2F">
      <w:pPr>
        <w:pStyle w:val="Heading1"/>
        <w:rPr>
          <w:b/>
          <w:bCs/>
        </w:rPr>
      </w:pPr>
      <w:bookmarkStart w:id="30" w:name="_Toc235956590"/>
      <w:bookmarkStart w:id="31" w:name="_Toc236328668"/>
      <w:r w:rsidRPr="00D80B2F">
        <w:rPr>
          <w:b/>
          <w:bCs/>
        </w:rPr>
        <w:lastRenderedPageBreak/>
        <w:t>References</w:t>
      </w:r>
      <w:bookmarkEnd w:id="30"/>
      <w:bookmarkEnd w:id="31"/>
    </w:p>
    <w:p w14:paraId="1744C7F9" w14:textId="668AA96E" w:rsidR="0097696E" w:rsidRPr="0097696E" w:rsidRDefault="0097696E" w:rsidP="00F30C1F">
      <w:pPr>
        <w:rPr>
          <w:rFonts w:ascii="Calibri" w:hAnsi="Calibri" w:cs="Calibri"/>
          <w:sz w:val="28"/>
          <w:szCs w:val="28"/>
        </w:rPr>
      </w:pPr>
      <w:r w:rsidRPr="0097696E">
        <w:rPr>
          <w:rFonts w:ascii="Calibri" w:hAnsi="Calibri" w:cs="Calibri"/>
          <w:sz w:val="28"/>
          <w:szCs w:val="28"/>
        </w:rPr>
        <w:t>[1] NHS England, “NHS Federated Data Platform,” NHS England, 2024. [Online]. Available: https://www.england.nhs.uk/digitaltechnology/nhs-federated-data-platform/</w:t>
      </w:r>
    </w:p>
    <w:p w14:paraId="44B84E09" w14:textId="4B39F7EF" w:rsidR="0097696E" w:rsidRPr="0097696E" w:rsidRDefault="0097696E" w:rsidP="00F30C1F">
      <w:pPr>
        <w:rPr>
          <w:rFonts w:ascii="Calibri" w:hAnsi="Calibri" w:cs="Calibri"/>
          <w:sz w:val="28"/>
          <w:szCs w:val="28"/>
        </w:rPr>
      </w:pPr>
      <w:r w:rsidRPr="0097696E">
        <w:rPr>
          <w:rFonts w:ascii="Calibri" w:hAnsi="Calibri" w:cs="Calibri"/>
          <w:sz w:val="28"/>
          <w:szCs w:val="28"/>
        </w:rPr>
        <w:t>[2] S. Chaudhuri and U. Dayal, “An overview of data warehousing and OLAP technology,” ACM SIGMOD Record, vol. 26, no. 1, pp. 65–74, 1997.</w:t>
      </w:r>
    </w:p>
    <w:p w14:paraId="6D967A0C" w14:textId="596F821E" w:rsidR="0097696E" w:rsidRPr="0097696E" w:rsidRDefault="0097696E" w:rsidP="00F30C1F">
      <w:pPr>
        <w:rPr>
          <w:rFonts w:ascii="Calibri" w:hAnsi="Calibri" w:cs="Calibri"/>
          <w:sz w:val="28"/>
          <w:szCs w:val="28"/>
        </w:rPr>
      </w:pPr>
      <w:r w:rsidRPr="0097696E">
        <w:rPr>
          <w:rFonts w:ascii="Calibri" w:hAnsi="Calibri" w:cs="Calibri"/>
          <w:sz w:val="28"/>
          <w:szCs w:val="28"/>
        </w:rPr>
        <w:t>[3] W. H. Inmon, Building the Data Warehouse, 4th ed. Indianapolis, IN, USA: Wiley, 2005.</w:t>
      </w:r>
    </w:p>
    <w:p w14:paraId="40D502D7" w14:textId="11293F00" w:rsidR="0097696E" w:rsidRPr="0097696E" w:rsidRDefault="0097696E" w:rsidP="00F30C1F">
      <w:pPr>
        <w:rPr>
          <w:rFonts w:ascii="Calibri" w:hAnsi="Calibri" w:cs="Calibri"/>
          <w:sz w:val="28"/>
          <w:szCs w:val="28"/>
        </w:rPr>
      </w:pPr>
      <w:r w:rsidRPr="0097696E">
        <w:rPr>
          <w:rFonts w:ascii="Calibri" w:hAnsi="Calibri" w:cs="Calibri"/>
          <w:sz w:val="28"/>
          <w:szCs w:val="28"/>
        </w:rPr>
        <w:t xml:space="preserve">[4] R. Kimball and M. Ross, The Data Warehouse Toolkit: The Definitive Guide to Dimensional </w:t>
      </w:r>
      <w:proofErr w:type="spellStart"/>
      <w:r w:rsidRPr="0097696E">
        <w:rPr>
          <w:rFonts w:ascii="Calibri" w:hAnsi="Calibri" w:cs="Calibri"/>
          <w:sz w:val="28"/>
          <w:szCs w:val="28"/>
        </w:rPr>
        <w:t>Modeling</w:t>
      </w:r>
      <w:proofErr w:type="spellEnd"/>
      <w:r w:rsidRPr="0097696E">
        <w:rPr>
          <w:rFonts w:ascii="Calibri" w:hAnsi="Calibri" w:cs="Calibri"/>
          <w:sz w:val="28"/>
          <w:szCs w:val="28"/>
        </w:rPr>
        <w:t>, 3rd ed. Indianapolis, IN, USA: Wiley, 2013.</w:t>
      </w:r>
    </w:p>
    <w:p w14:paraId="46DABBE9" w14:textId="43106B81" w:rsidR="0097696E" w:rsidRPr="0097696E" w:rsidRDefault="0097696E" w:rsidP="00F30C1F">
      <w:pPr>
        <w:rPr>
          <w:rFonts w:ascii="Calibri" w:hAnsi="Calibri" w:cs="Calibri"/>
          <w:sz w:val="28"/>
          <w:szCs w:val="28"/>
        </w:rPr>
      </w:pPr>
      <w:r w:rsidRPr="0097696E">
        <w:rPr>
          <w:rFonts w:ascii="Calibri" w:hAnsi="Calibri" w:cs="Calibri"/>
          <w:sz w:val="28"/>
          <w:szCs w:val="28"/>
        </w:rPr>
        <w:t>[5] NHS Business Services Authority, “Electronic Staff Record (ESR) Workforce Services,” NHSBSA, 2024. [Online]. Available: https://www.nhsbsa.nhs.uk/electronic-staff-record-esr-workforce-services</w:t>
      </w:r>
    </w:p>
    <w:p w14:paraId="5067B043" w14:textId="58C9017A" w:rsidR="0097696E" w:rsidRPr="0097696E" w:rsidRDefault="0097696E" w:rsidP="00F30C1F">
      <w:pPr>
        <w:rPr>
          <w:rFonts w:ascii="Calibri" w:hAnsi="Calibri" w:cs="Calibri"/>
          <w:sz w:val="28"/>
          <w:szCs w:val="28"/>
        </w:rPr>
      </w:pPr>
      <w:r w:rsidRPr="0097696E">
        <w:rPr>
          <w:rFonts w:ascii="Calibri" w:hAnsi="Calibri" w:cs="Calibri"/>
          <w:sz w:val="28"/>
          <w:szCs w:val="28"/>
        </w:rPr>
        <w:t>[6] R. Kimball and J. Caserta, The Data Warehouse ETL Toolkit: Practical Techniques for Extracting, Cleaning, Conforming, and Delivering Data. Indianapolis, IN, USA: Wiley, 2004.</w:t>
      </w:r>
    </w:p>
    <w:p w14:paraId="34E1D348" w14:textId="6E11642B" w:rsidR="0097696E" w:rsidRPr="0097696E" w:rsidRDefault="0097696E" w:rsidP="00F30C1F">
      <w:pPr>
        <w:rPr>
          <w:rFonts w:ascii="Calibri" w:hAnsi="Calibri" w:cs="Calibri"/>
          <w:sz w:val="28"/>
          <w:szCs w:val="28"/>
        </w:rPr>
      </w:pPr>
      <w:r w:rsidRPr="0097696E">
        <w:rPr>
          <w:rFonts w:ascii="Calibri" w:hAnsi="Calibri" w:cs="Calibri"/>
          <w:sz w:val="28"/>
          <w:szCs w:val="28"/>
        </w:rPr>
        <w:t xml:space="preserve">[7] E. F. Codd, “A relational model of data for </w:t>
      </w:r>
      <w:proofErr w:type="gramStart"/>
      <w:r w:rsidRPr="0097696E">
        <w:rPr>
          <w:rFonts w:ascii="Calibri" w:hAnsi="Calibri" w:cs="Calibri"/>
          <w:sz w:val="28"/>
          <w:szCs w:val="28"/>
        </w:rPr>
        <w:t>large shared</w:t>
      </w:r>
      <w:proofErr w:type="gramEnd"/>
      <w:r w:rsidRPr="0097696E">
        <w:rPr>
          <w:rFonts w:ascii="Calibri" w:hAnsi="Calibri" w:cs="Calibri"/>
          <w:sz w:val="28"/>
          <w:szCs w:val="28"/>
        </w:rPr>
        <w:t xml:space="preserve"> data banks,” Communications of the ACM, vol. 13, no. 6, pp. 377–387, 1970.</w:t>
      </w:r>
    </w:p>
    <w:p w14:paraId="56733BEF" w14:textId="31530EDA" w:rsidR="0097696E" w:rsidRPr="0097696E" w:rsidRDefault="0097696E" w:rsidP="00F30C1F">
      <w:pPr>
        <w:rPr>
          <w:rFonts w:ascii="Calibri" w:hAnsi="Calibri" w:cs="Calibri"/>
          <w:sz w:val="28"/>
          <w:szCs w:val="28"/>
        </w:rPr>
      </w:pPr>
      <w:r w:rsidRPr="0097696E">
        <w:rPr>
          <w:rFonts w:ascii="Calibri" w:hAnsi="Calibri" w:cs="Calibri"/>
          <w:sz w:val="28"/>
          <w:szCs w:val="28"/>
        </w:rPr>
        <w:t xml:space="preserve">[8] M. </w:t>
      </w:r>
      <w:proofErr w:type="spellStart"/>
      <w:r w:rsidRPr="0097696E">
        <w:rPr>
          <w:rFonts w:ascii="Calibri" w:hAnsi="Calibri" w:cs="Calibri"/>
          <w:sz w:val="28"/>
          <w:szCs w:val="28"/>
        </w:rPr>
        <w:t>Golfarelli</w:t>
      </w:r>
      <w:proofErr w:type="spellEnd"/>
      <w:r w:rsidRPr="0097696E">
        <w:rPr>
          <w:rFonts w:ascii="Calibri" w:hAnsi="Calibri" w:cs="Calibri"/>
          <w:sz w:val="28"/>
          <w:szCs w:val="28"/>
        </w:rPr>
        <w:t xml:space="preserve"> and S. Rizzi, Data Warehouse Design: Modern Principles and Methodologies. New York, NY, USA: McGraw-Hill, 2009.</w:t>
      </w:r>
    </w:p>
    <w:p w14:paraId="1DCF244E" w14:textId="3618C586" w:rsidR="0097696E" w:rsidRPr="0097696E" w:rsidRDefault="0097696E" w:rsidP="00F30C1F">
      <w:pPr>
        <w:rPr>
          <w:rFonts w:ascii="Calibri" w:hAnsi="Calibri" w:cs="Calibri"/>
          <w:sz w:val="28"/>
          <w:szCs w:val="28"/>
        </w:rPr>
      </w:pPr>
      <w:r w:rsidRPr="0097696E">
        <w:rPr>
          <w:rFonts w:ascii="Calibri" w:hAnsi="Calibri" w:cs="Calibri"/>
          <w:sz w:val="28"/>
          <w:szCs w:val="28"/>
        </w:rPr>
        <w:t>[9] NHS England, “Statistics » Referral to Treatment (RTT) Waiting Times,” NHS England, 2024. [Online]. Available: https://www.england.nhs.uk/statistics/statistical-work-areas/rtt-waiting-times/</w:t>
      </w:r>
    </w:p>
    <w:p w14:paraId="2EB08E11" w14:textId="1865B672" w:rsidR="0097696E" w:rsidRPr="0097696E" w:rsidRDefault="0097696E" w:rsidP="00F30C1F">
      <w:pPr>
        <w:rPr>
          <w:rFonts w:ascii="Calibri" w:hAnsi="Calibri" w:cs="Calibri"/>
          <w:sz w:val="28"/>
          <w:szCs w:val="28"/>
        </w:rPr>
      </w:pPr>
      <w:r w:rsidRPr="0097696E">
        <w:rPr>
          <w:rFonts w:ascii="Calibri" w:hAnsi="Calibri" w:cs="Calibri"/>
          <w:sz w:val="28"/>
          <w:szCs w:val="28"/>
        </w:rPr>
        <w:t>[10] R. Y. Wang and D. M. Strong, “Beyond accuracy: What data quality means to data consumers,” Journal of Management Information Systems, vol. 12, no. 4, pp. 5–33, 1996.</w:t>
      </w:r>
    </w:p>
    <w:p w14:paraId="4646F1D3" w14:textId="6D31E4BC" w:rsidR="0097696E" w:rsidRPr="0097696E" w:rsidRDefault="0097696E" w:rsidP="00F30C1F">
      <w:pPr>
        <w:rPr>
          <w:rFonts w:ascii="Calibri" w:hAnsi="Calibri" w:cs="Calibri"/>
          <w:sz w:val="28"/>
          <w:szCs w:val="28"/>
        </w:rPr>
      </w:pPr>
      <w:r w:rsidRPr="0097696E">
        <w:rPr>
          <w:rFonts w:ascii="Calibri" w:hAnsi="Calibri" w:cs="Calibri"/>
          <w:sz w:val="28"/>
          <w:szCs w:val="28"/>
        </w:rPr>
        <w:t>[11] UK Government, “Data Protection Act 2018,” legislation.gov.uk, 2018. [Online]. Available: https://www.legislation.gov.uk/ukpga/2018/12/contents</w:t>
      </w:r>
    </w:p>
    <w:p w14:paraId="2AB808B7" w14:textId="40EF5956" w:rsidR="0097696E" w:rsidRPr="0097696E" w:rsidRDefault="0097696E" w:rsidP="00F30C1F">
      <w:pPr>
        <w:rPr>
          <w:rFonts w:ascii="Calibri" w:hAnsi="Calibri" w:cs="Calibri"/>
          <w:sz w:val="28"/>
          <w:szCs w:val="28"/>
        </w:rPr>
      </w:pPr>
      <w:r w:rsidRPr="0097696E">
        <w:rPr>
          <w:rFonts w:ascii="Calibri" w:hAnsi="Calibri" w:cs="Calibri"/>
          <w:sz w:val="28"/>
          <w:szCs w:val="28"/>
        </w:rPr>
        <w:lastRenderedPageBreak/>
        <w:t>[12] National Data Guardian, “The Caldicott Principles,” GOV.UK, 2020. [Online]. Available: https://www.gov.uk/government/publications/the-caldicott-principles</w:t>
      </w:r>
    </w:p>
    <w:p w14:paraId="71331EE2" w14:textId="5D27E0A7" w:rsidR="0097696E" w:rsidRPr="0097696E" w:rsidRDefault="0097696E" w:rsidP="00F30C1F">
      <w:pPr>
        <w:rPr>
          <w:rFonts w:ascii="Calibri" w:hAnsi="Calibri" w:cs="Calibri"/>
          <w:sz w:val="28"/>
          <w:szCs w:val="28"/>
        </w:rPr>
      </w:pPr>
      <w:r w:rsidRPr="0097696E">
        <w:rPr>
          <w:rFonts w:ascii="Calibri" w:hAnsi="Calibri" w:cs="Calibri"/>
          <w:sz w:val="28"/>
          <w:szCs w:val="28"/>
        </w:rPr>
        <w:t>[13] NHS England Digital, “Data Security and Protection Toolkit,” NHS England Digital, 2024. [Online]. Available: https://www.dsptoolkit.nhs.uk/</w:t>
      </w:r>
    </w:p>
    <w:p w14:paraId="5830FC3D" w14:textId="4E698F06" w:rsidR="00874203" w:rsidRPr="00725BB0" w:rsidRDefault="0097696E" w:rsidP="00F30C1F">
      <w:pPr>
        <w:rPr>
          <w:rFonts w:ascii="Calibri" w:hAnsi="Calibri" w:cs="Calibri"/>
          <w:sz w:val="28"/>
          <w:szCs w:val="28"/>
        </w:rPr>
      </w:pPr>
      <w:r w:rsidRPr="0097696E">
        <w:rPr>
          <w:rFonts w:ascii="Calibri" w:hAnsi="Calibri" w:cs="Calibri"/>
          <w:sz w:val="28"/>
          <w:szCs w:val="28"/>
        </w:rPr>
        <w:t>[14] DAMA International, DAMA-DMBOK: Data Management Body of Knowledge, 2nd ed. Basking Ridge, NJ, USA: Technics Publications, 2017.</w:t>
      </w:r>
    </w:p>
    <w:sectPr w:rsidR="00874203" w:rsidRPr="00725BB0" w:rsidSect="004F062B">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7EE6E" w14:textId="77777777" w:rsidR="009139CE" w:rsidRDefault="009139CE" w:rsidP="004F062B">
      <w:pPr>
        <w:spacing w:after="0" w:line="240" w:lineRule="auto"/>
      </w:pPr>
      <w:r>
        <w:separator/>
      </w:r>
    </w:p>
  </w:endnote>
  <w:endnote w:type="continuationSeparator" w:id="0">
    <w:p w14:paraId="58E7B6ED" w14:textId="77777777" w:rsidR="009139CE" w:rsidRDefault="009139CE" w:rsidP="004F0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4516160"/>
      <w:docPartObj>
        <w:docPartGallery w:val="Page Numbers (Bottom of Page)"/>
        <w:docPartUnique/>
      </w:docPartObj>
    </w:sdtPr>
    <w:sdtEndPr>
      <w:rPr>
        <w:color w:val="7F7F7F" w:themeColor="background1" w:themeShade="7F"/>
        <w:spacing w:val="60"/>
      </w:rPr>
    </w:sdtEndPr>
    <w:sdtContent>
      <w:p w14:paraId="6E114B3E" w14:textId="639E3401" w:rsidR="004F062B" w:rsidRDefault="004F062B">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0599C86A" w14:textId="77777777" w:rsidR="004F062B" w:rsidRDefault="004F0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39808" w14:textId="77777777" w:rsidR="009139CE" w:rsidRDefault="009139CE" w:rsidP="004F062B">
      <w:pPr>
        <w:spacing w:after="0" w:line="240" w:lineRule="auto"/>
      </w:pPr>
      <w:r>
        <w:separator/>
      </w:r>
    </w:p>
  </w:footnote>
  <w:footnote w:type="continuationSeparator" w:id="0">
    <w:p w14:paraId="37C10D35" w14:textId="77777777" w:rsidR="009139CE" w:rsidRDefault="009139CE" w:rsidP="004F06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D7F4B" w14:textId="40E71FC6" w:rsidR="004F062B" w:rsidRDefault="004F062B" w:rsidP="004F062B">
    <w:pPr>
      <w:jc w:val="right"/>
    </w:pPr>
    <w:r>
      <w:rPr>
        <w:color w:val="888888"/>
        <w:sz w:val="16"/>
        <w:szCs w:val="16"/>
      </w:rPr>
      <w:t>ACCA6026 — Data Warehousing &amp; Data Mining</w:t>
    </w:r>
  </w:p>
  <w:p w14:paraId="1AC884D9" w14:textId="199D4184" w:rsidR="00921386" w:rsidRDefault="009213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0CC"/>
    <w:rsid w:val="000207E5"/>
    <w:rsid w:val="00035696"/>
    <w:rsid w:val="00045309"/>
    <w:rsid w:val="00083B52"/>
    <w:rsid w:val="000D1E75"/>
    <w:rsid w:val="000D302A"/>
    <w:rsid w:val="00170E81"/>
    <w:rsid w:val="00192344"/>
    <w:rsid w:val="001A7117"/>
    <w:rsid w:val="002647AA"/>
    <w:rsid w:val="002B6451"/>
    <w:rsid w:val="00353880"/>
    <w:rsid w:val="0036433A"/>
    <w:rsid w:val="003A5506"/>
    <w:rsid w:val="003F46F5"/>
    <w:rsid w:val="00420F8E"/>
    <w:rsid w:val="00465B9C"/>
    <w:rsid w:val="004B6506"/>
    <w:rsid w:val="004E0087"/>
    <w:rsid w:val="004F062B"/>
    <w:rsid w:val="00515774"/>
    <w:rsid w:val="00551931"/>
    <w:rsid w:val="005A716B"/>
    <w:rsid w:val="00607AA5"/>
    <w:rsid w:val="00640D9E"/>
    <w:rsid w:val="00643C6E"/>
    <w:rsid w:val="00680B5E"/>
    <w:rsid w:val="006A58A4"/>
    <w:rsid w:val="006C6DE2"/>
    <w:rsid w:val="006E390A"/>
    <w:rsid w:val="00725BB0"/>
    <w:rsid w:val="007629E2"/>
    <w:rsid w:val="00795DB7"/>
    <w:rsid w:val="007F1EE5"/>
    <w:rsid w:val="00840A0F"/>
    <w:rsid w:val="00860135"/>
    <w:rsid w:val="00874203"/>
    <w:rsid w:val="008920BA"/>
    <w:rsid w:val="00893C4F"/>
    <w:rsid w:val="008D5D0E"/>
    <w:rsid w:val="008E7210"/>
    <w:rsid w:val="009139CE"/>
    <w:rsid w:val="00921386"/>
    <w:rsid w:val="00945A36"/>
    <w:rsid w:val="00950C8D"/>
    <w:rsid w:val="009539CC"/>
    <w:rsid w:val="00955D40"/>
    <w:rsid w:val="0097696E"/>
    <w:rsid w:val="00994316"/>
    <w:rsid w:val="009A4DDC"/>
    <w:rsid w:val="009B2CC6"/>
    <w:rsid w:val="009F7A0A"/>
    <w:rsid w:val="00A04395"/>
    <w:rsid w:val="00A16F65"/>
    <w:rsid w:val="00A71BC2"/>
    <w:rsid w:val="00A9252E"/>
    <w:rsid w:val="00A92CEB"/>
    <w:rsid w:val="00AE7111"/>
    <w:rsid w:val="00B176EB"/>
    <w:rsid w:val="00B370CC"/>
    <w:rsid w:val="00B4075F"/>
    <w:rsid w:val="00B40842"/>
    <w:rsid w:val="00B81B4C"/>
    <w:rsid w:val="00B940FE"/>
    <w:rsid w:val="00BC4270"/>
    <w:rsid w:val="00BE0AF8"/>
    <w:rsid w:val="00BE33DB"/>
    <w:rsid w:val="00BF6079"/>
    <w:rsid w:val="00C02273"/>
    <w:rsid w:val="00C307B7"/>
    <w:rsid w:val="00C36D37"/>
    <w:rsid w:val="00C41E5A"/>
    <w:rsid w:val="00C44C4E"/>
    <w:rsid w:val="00C56461"/>
    <w:rsid w:val="00C748F4"/>
    <w:rsid w:val="00C75021"/>
    <w:rsid w:val="00C901D0"/>
    <w:rsid w:val="00CB6FC0"/>
    <w:rsid w:val="00CD49EA"/>
    <w:rsid w:val="00D0413A"/>
    <w:rsid w:val="00D043FA"/>
    <w:rsid w:val="00D1219F"/>
    <w:rsid w:val="00D80B2F"/>
    <w:rsid w:val="00D915F7"/>
    <w:rsid w:val="00DA6542"/>
    <w:rsid w:val="00DB2DA7"/>
    <w:rsid w:val="00DB4FAD"/>
    <w:rsid w:val="00DC006F"/>
    <w:rsid w:val="00E032E6"/>
    <w:rsid w:val="00E3103D"/>
    <w:rsid w:val="00E34297"/>
    <w:rsid w:val="00E347E8"/>
    <w:rsid w:val="00E72925"/>
    <w:rsid w:val="00EE5D13"/>
    <w:rsid w:val="00F30C1F"/>
    <w:rsid w:val="00F44C1E"/>
    <w:rsid w:val="00F47BE8"/>
    <w:rsid w:val="00F80A70"/>
    <w:rsid w:val="00FB3D5B"/>
    <w:rsid w:val="00FC6211"/>
    <w:rsid w:val="00FC6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0916B"/>
  <w15:chartTrackingRefBased/>
  <w15:docId w15:val="{5150D6C9-17B7-4199-AB9A-8D37A999B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0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70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70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70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70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70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70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70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70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0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70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70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70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70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70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70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70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70CC"/>
    <w:rPr>
      <w:rFonts w:eastAsiaTheme="majorEastAsia" w:cstheme="majorBidi"/>
      <w:color w:val="272727" w:themeColor="text1" w:themeTint="D8"/>
    </w:rPr>
  </w:style>
  <w:style w:type="paragraph" w:styleId="Title">
    <w:name w:val="Title"/>
    <w:basedOn w:val="Normal"/>
    <w:next w:val="Normal"/>
    <w:link w:val="TitleChar"/>
    <w:uiPriority w:val="10"/>
    <w:qFormat/>
    <w:rsid w:val="00B370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0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70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70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70CC"/>
    <w:pPr>
      <w:spacing w:before="160"/>
      <w:jc w:val="center"/>
    </w:pPr>
    <w:rPr>
      <w:i/>
      <w:iCs/>
      <w:color w:val="404040" w:themeColor="text1" w:themeTint="BF"/>
    </w:rPr>
  </w:style>
  <w:style w:type="character" w:customStyle="1" w:styleId="QuoteChar">
    <w:name w:val="Quote Char"/>
    <w:basedOn w:val="DefaultParagraphFont"/>
    <w:link w:val="Quote"/>
    <w:uiPriority w:val="29"/>
    <w:rsid w:val="00B370CC"/>
    <w:rPr>
      <w:i/>
      <w:iCs/>
      <w:color w:val="404040" w:themeColor="text1" w:themeTint="BF"/>
    </w:rPr>
  </w:style>
  <w:style w:type="paragraph" w:styleId="ListParagraph">
    <w:name w:val="List Paragraph"/>
    <w:basedOn w:val="Normal"/>
    <w:uiPriority w:val="34"/>
    <w:qFormat/>
    <w:rsid w:val="00B370CC"/>
    <w:pPr>
      <w:ind w:left="720"/>
      <w:contextualSpacing/>
    </w:pPr>
  </w:style>
  <w:style w:type="character" w:styleId="IntenseEmphasis">
    <w:name w:val="Intense Emphasis"/>
    <w:basedOn w:val="DefaultParagraphFont"/>
    <w:uiPriority w:val="21"/>
    <w:qFormat/>
    <w:rsid w:val="00B370CC"/>
    <w:rPr>
      <w:i/>
      <w:iCs/>
      <w:color w:val="0F4761" w:themeColor="accent1" w:themeShade="BF"/>
    </w:rPr>
  </w:style>
  <w:style w:type="paragraph" w:styleId="IntenseQuote">
    <w:name w:val="Intense Quote"/>
    <w:basedOn w:val="Normal"/>
    <w:next w:val="Normal"/>
    <w:link w:val="IntenseQuoteChar"/>
    <w:uiPriority w:val="30"/>
    <w:qFormat/>
    <w:rsid w:val="00B370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70CC"/>
    <w:rPr>
      <w:i/>
      <w:iCs/>
      <w:color w:val="0F4761" w:themeColor="accent1" w:themeShade="BF"/>
    </w:rPr>
  </w:style>
  <w:style w:type="character" w:styleId="IntenseReference">
    <w:name w:val="Intense Reference"/>
    <w:basedOn w:val="DefaultParagraphFont"/>
    <w:uiPriority w:val="32"/>
    <w:qFormat/>
    <w:rsid w:val="00B370CC"/>
    <w:rPr>
      <w:b/>
      <w:bCs/>
      <w:smallCaps/>
      <w:color w:val="0F4761" w:themeColor="accent1" w:themeShade="BF"/>
      <w:spacing w:val="5"/>
    </w:rPr>
  </w:style>
  <w:style w:type="paragraph" w:styleId="NoSpacing">
    <w:name w:val="No Spacing"/>
    <w:link w:val="NoSpacingChar"/>
    <w:uiPriority w:val="1"/>
    <w:qFormat/>
    <w:rsid w:val="00E72925"/>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72925"/>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DA654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A6542"/>
    <w:pPr>
      <w:spacing w:after="100"/>
    </w:pPr>
  </w:style>
  <w:style w:type="character" w:styleId="Hyperlink">
    <w:name w:val="Hyperlink"/>
    <w:basedOn w:val="DefaultParagraphFont"/>
    <w:uiPriority w:val="99"/>
    <w:unhideWhenUsed/>
    <w:rsid w:val="00DA6542"/>
    <w:rPr>
      <w:color w:val="467886" w:themeColor="hyperlink"/>
      <w:u w:val="single"/>
    </w:rPr>
  </w:style>
  <w:style w:type="paragraph" w:styleId="Header">
    <w:name w:val="header"/>
    <w:basedOn w:val="Normal"/>
    <w:link w:val="HeaderChar"/>
    <w:uiPriority w:val="99"/>
    <w:unhideWhenUsed/>
    <w:rsid w:val="004F06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62B"/>
  </w:style>
  <w:style w:type="paragraph" w:styleId="Footer">
    <w:name w:val="footer"/>
    <w:basedOn w:val="Normal"/>
    <w:link w:val="FooterChar"/>
    <w:uiPriority w:val="99"/>
    <w:unhideWhenUsed/>
    <w:rsid w:val="004F06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62B"/>
  </w:style>
  <w:style w:type="paragraph" w:styleId="Caption">
    <w:name w:val="caption"/>
    <w:basedOn w:val="Normal"/>
    <w:next w:val="Normal"/>
    <w:uiPriority w:val="35"/>
    <w:unhideWhenUsed/>
    <w:qFormat/>
    <w:rsid w:val="00170E81"/>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C56461"/>
    <w:pPr>
      <w:spacing w:after="100"/>
      <w:ind w:left="240"/>
    </w:pPr>
  </w:style>
  <w:style w:type="paragraph" w:styleId="TableofFigures">
    <w:name w:val="table of figures"/>
    <w:basedOn w:val="Normal"/>
    <w:next w:val="Normal"/>
    <w:uiPriority w:val="99"/>
    <w:unhideWhenUsed/>
    <w:rsid w:val="00607AA5"/>
    <w:pPr>
      <w:spacing w:after="0"/>
      <w:ind w:left="480" w:hanging="480"/>
    </w:pPr>
    <w:rPr>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2321711@student.uwtsd.ac.uk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1EF5FE-C7A1-43B0-A671-2B4777BC2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15</Pages>
  <Words>3440</Words>
  <Characters>19612</Characters>
  <Application>Microsoft Office Word</Application>
  <DocSecurity>0</DocSecurity>
  <Lines>163</Lines>
  <Paragraphs>46</Paragraphs>
  <ScaleCrop>false</ScaleCrop>
  <Company/>
  <LinksUpToDate>false</LinksUpToDate>
  <CharactersWithSpaces>23006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Data Warehousing for NHS England</dc:title>
  <dc:subject>Consolidating Fragmented Healthcare Data to Enable Evidence-Based Decision-Making</dc:subject>
  <dc:creator>Constantin Ovidiu Strinu (2321711)</dc:creator>
  <cp:keywords/>
  <dc:description/>
  <cp:lastModifiedBy>Constantin Ovidiu Strinu (2321711)</cp:lastModifiedBy>
  <cp:revision>81</cp:revision>
  <dcterms:created xsi:type="dcterms:W3CDTF">2026-07-26T17:30:00Z</dcterms:created>
  <dcterms:modified xsi:type="dcterms:W3CDTF">2026-07-30T17:30:00Z</dcterms:modified>
</cp:coreProperties>
</file>