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spacing w:line="288" w:lineRule="auto"/>
        <w:rPr>
          <w:rFonts w:ascii="Times New Roman" w:cs="Times New Roman" w:hAnsi="Times New Roman" w:eastAsia="Times New Roman"/>
          <w:b w:val="1"/>
          <w:bCs w:val="1"/>
          <w:sz w:val="24"/>
          <w:szCs w:val="24"/>
          <w:u w:val="single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 xml:space="preserve">Title Page 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Signed Declaration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 xml:space="preserve">Abstract 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Acknowledgements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 xml:space="preserve">Introduction 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Literature Review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Chapter 1 Religion in China during the war years 1914-1945</w:t>
      </w:r>
    </w:p>
    <w:p>
      <w:pPr>
        <w:pStyle w:val="Body"/>
        <w:numPr>
          <w:ilvl w:val="0"/>
          <w:numId w:val="3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 xml:space="preserve">Aftermath of the boxer rebellion </w:t>
      </w:r>
    </w:p>
    <w:p>
      <w:pPr>
        <w:pStyle w:val="Body"/>
        <w:numPr>
          <w:ilvl w:val="0"/>
          <w:numId w:val="4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New culture movement 1910s &amp;1920s</w:t>
      </w:r>
    </w:p>
    <w:p>
      <w:pPr>
        <w:pStyle w:val="Body"/>
        <w:numPr>
          <w:ilvl w:val="0"/>
          <w:numId w:val="5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Nationalist party 1912</w:t>
      </w:r>
    </w:p>
    <w:p>
      <w:pPr>
        <w:pStyle w:val="Body"/>
        <w:numPr>
          <w:ilvl w:val="0"/>
          <w:numId w:val="6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Imperialism</w:t>
      </w:r>
    </w:p>
    <w:p>
      <w:pPr>
        <w:pStyle w:val="Body"/>
        <w:numPr>
          <w:ilvl w:val="0"/>
          <w:numId w:val="7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1921 Chinese Communist Party founded</w:t>
      </w:r>
    </w:p>
    <w:p>
      <w:pPr>
        <w:pStyle w:val="Body"/>
        <w:numPr>
          <w:ilvl w:val="0"/>
          <w:numId w:val="8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1923 Anti-Christian Movement</w:t>
      </w:r>
    </w:p>
    <w:p>
      <w:pPr>
        <w:pStyle w:val="Body"/>
        <w:numPr>
          <w:ilvl w:val="0"/>
          <w:numId w:val="9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Second Sino-Japanese war 1937-1945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Chapter 2 Feminism in China during 1914-1945</w:t>
      </w:r>
    </w:p>
    <w:p>
      <w:pPr>
        <w:pStyle w:val="Body"/>
        <w:numPr>
          <w:ilvl w:val="0"/>
          <w:numId w:val="10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In 1927 China began to see feminists emerge</w:t>
      </w:r>
      <w:r>
        <w:rPr>
          <w:rFonts w:ascii="Times New Roman" w:cs="Times New Roman" w:hAnsi="Times New Roman" w:eastAsia="Times New Roman"/>
          <w:sz w:val="24"/>
          <w:szCs w:val="24"/>
          <w:vertAlign w:val="superscript"/>
        </w:rPr>
        <w:footnoteReference w:id="1"/>
      </w:r>
    </w:p>
    <w:p>
      <w:pPr>
        <w:pStyle w:val="Body"/>
        <w:numPr>
          <w:ilvl w:val="0"/>
          <w:numId w:val="11"/>
        </w:numPr>
        <w:spacing w:line="288" w:lineRule="auto"/>
        <w:ind w:left="180"/>
        <w:rPr>
          <w:rFonts w:ascii="Times New Roman" w:cs="Times New Roman" w:hAnsi="Times New Roman" w:eastAsia="Times New Roman"/>
          <w:position w:val="-2"/>
          <w:sz w:val="24"/>
          <w:szCs w:val="24"/>
        </w:rPr>
      </w:pPr>
      <w:r>
        <w:rPr>
          <w:rFonts w:ascii="Times New Roman"/>
          <w:sz w:val="24"/>
          <w:szCs w:val="24"/>
          <w:rtl w:val="0"/>
          <w:lang w:val="en-US"/>
        </w:rPr>
        <w:t>Traditional role subjected to women by Confucius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Chapter 3 Marie Monsen: The Awakening: Revival in China, a work of the Holy Spirit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Chapter 4 Gladys Aylward : The Little Woman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 xml:space="preserve">Chapter 5 Comparing legacies </w:t>
      </w:r>
    </w:p>
    <w:p>
      <w:pPr>
        <w:pStyle w:val="Body"/>
        <w:spacing w:line="288" w:lineRule="auto"/>
        <w:rPr>
          <w:rFonts w:ascii="Times New Roman" w:cs="Times New Roman" w:hAnsi="Times New Roman" w:eastAsia="Times New Roman"/>
          <w:i w:val="1"/>
          <w:iCs w:val="1"/>
          <w:sz w:val="24"/>
          <w:szCs w:val="24"/>
          <w:u w:val="single"/>
        </w:rPr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 xml:space="preserve">Chapter 6 Conclusion </w:t>
      </w:r>
    </w:p>
    <w:p>
      <w:pPr>
        <w:pStyle w:val="Body"/>
        <w:spacing w:line="288" w:lineRule="auto"/>
      </w:pPr>
      <w:r>
        <w:rPr>
          <w:rFonts w:ascii="Times New Roman"/>
          <w:i w:val="1"/>
          <w:iCs w:val="1"/>
          <w:sz w:val="24"/>
          <w:szCs w:val="24"/>
          <w:u w:val="single"/>
          <w:rtl w:val="0"/>
          <w:lang w:val="en-US"/>
        </w:rPr>
        <w:t>Bibliography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Footnote"/>
        <w:bidi w:val="0"/>
      </w:pPr>
      <w:r>
        <w:rPr>
          <w:vertAlign w:val="superscript"/>
        </w:rPr>
        <w:footnoteRef/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Davies, K. (2015) </w:t>
      </w:r>
      <w:r>
        <w:rPr>
          <w:rFonts w:ascii="Helvetica" w:cs="Arial Unicode MS" w:hAnsi="Arial Unicode MS" w:eastAsia="Arial Unicode MS"/>
          <w:i w:val="1"/>
          <w:iCs w:val="1"/>
          <w:rtl w:val="0"/>
          <w:lang w:val="en-US"/>
        </w:rPr>
        <w:t>Feminists Movements in China.</w:t>
      </w:r>
      <w:r>
        <w:rPr>
          <w:rFonts w:ascii="Helvetica" w:cs="Arial Unicode MS" w:hAnsi="Arial Unicode MS" w:eastAsia="Arial Unicode MS"/>
          <w:rtl w:val="0"/>
          <w:lang w:val="en-US"/>
        </w:rPr>
        <w:t xml:space="preserve"> </w:t>
      </w:r>
      <w:hyperlink r:id="rId1" w:history="1">
        <w:r>
          <w:rPr>
            <w:rStyle w:val="Hyperlink.0"/>
            <w:rFonts w:ascii="Helvetica" w:cs="Arial Unicode MS" w:hAnsi="Arial Unicode MS" w:eastAsia="Arial Unicode MS"/>
            <w:rtl w:val="0"/>
            <w:lang w:val="en-US"/>
          </w:rPr>
          <w:t>https://history.libraries.wsu.edu/spring2015/2015/01/19/womens-rights-as-they-effect-the-country/</w:t>
        </w:r>
      </w:hyperlink>
      <w:r>
        <w:rPr>
          <w:rFonts w:ascii="Helvetica" w:cs="Arial Unicode MS" w:hAnsi="Arial Unicode MS" w:eastAsia="Arial Unicode MS"/>
          <w:rtl w:val="0"/>
          <w:lang w:val="en-US"/>
        </w:rPr>
        <w:t xml:space="preserve"> [Accessed 5 Dec.2017]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Header &amp; Footer"/>
      <w:tabs>
        <w:tab w:val="center" w:pos="4819"/>
        <w:tab w:val="right" w:pos="9638"/>
        <w:tab w:val="clear" w:pos="9020"/>
      </w:tabs>
      <w:jc w:val="left"/>
    </w:pPr>
    <w:r>
      <w:rPr>
        <w:rtl w:val="0"/>
        <w:lang w:val="fr-FR"/>
      </w:rPr>
      <w:tab/>
      <w:t xml:space="preserve">Contents Page </w:t>
    </w:r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1">
    <w:multiLevelType w:val="multilevel"/>
    <w:lvl w:ilvl="0">
      <w:start w:val="1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num" w:pos="360"/>
          <w:tab w:val="clear" w:pos="0"/>
        </w:tabs>
        <w:ind w:left="3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num" w:pos="540"/>
          <w:tab w:val="clear" w:pos="0"/>
        </w:tabs>
        <w:ind w:left="5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num" w:pos="720"/>
          <w:tab w:val="clear" w:pos="0"/>
        </w:tabs>
        <w:ind w:left="7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num" w:pos="900"/>
          <w:tab w:val="clear" w:pos="0"/>
        </w:tabs>
        <w:ind w:left="90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num" w:pos="1080"/>
          <w:tab w:val="clear" w:pos="0"/>
        </w:tabs>
        <w:ind w:left="108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num" w:pos="1260"/>
          <w:tab w:val="clear" w:pos="0"/>
        </w:tabs>
        <w:ind w:left="126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num" w:pos="1440"/>
          <w:tab w:val="clear" w:pos="0"/>
        </w:tabs>
        <w:ind w:left="144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num" w:pos="1620"/>
          <w:tab w:val="clear" w:pos="0"/>
        </w:tabs>
        <w:ind w:left="1620" w:hanging="180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color w:val="000000"/>
        <w:spacing w:val="0"/>
        <w:kern w:val="0"/>
        <w:position w:val="-2"/>
        <w:sz w:val="22"/>
        <w:szCs w:val="22"/>
        <w:u w:val="none"/>
        <w:vertAlign w:val="baseline"/>
      </w:rPr>
    </w:lvl>
  </w:abstractNum>
  <w:abstractNum w:abstractNumId="2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3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4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5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6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7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8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9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abstractNum w:abstractNumId="10">
    <w:multiLevelType w:val="multilevel"/>
    <w:styleLink w:val="List 0"/>
    <w:lvl w:ilvl="0">
      <w:start w:val="0"/>
      <w:numFmt w:val="bullet"/>
      <w:suff w:val="tab"/>
      <w:lvlText w:val="•"/>
      <w:lvlJc w:val="left"/>
      <w:pPr>
        <w:tabs>
          <w:tab w:val="num" w:pos="180"/>
          <w:tab w:val="clear" w:pos="0"/>
        </w:tabs>
        <w:ind w:left="180" w:hanging="180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1">
      <w:start w:val="1"/>
      <w:numFmt w:val="bullet"/>
      <w:suff w:val="tab"/>
      <w:lvlText w:val="•"/>
      <w:lvlJc w:val="left"/>
      <w:pPr>
        <w:tabs>
          <w:tab w:val="num" w:pos="376"/>
          <w:tab w:val="clear" w:pos="0"/>
        </w:tabs>
        <w:ind w:left="3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2">
      <w:start w:val="1"/>
      <w:numFmt w:val="bullet"/>
      <w:suff w:val="tab"/>
      <w:lvlText w:val="•"/>
      <w:lvlJc w:val="left"/>
      <w:pPr>
        <w:tabs>
          <w:tab w:val="num" w:pos="556"/>
          <w:tab w:val="clear" w:pos="0"/>
        </w:tabs>
        <w:ind w:left="5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3">
      <w:start w:val="1"/>
      <w:numFmt w:val="bullet"/>
      <w:suff w:val="tab"/>
      <w:lvlText w:val="•"/>
      <w:lvlJc w:val="left"/>
      <w:pPr>
        <w:tabs>
          <w:tab w:val="num" w:pos="736"/>
          <w:tab w:val="clear" w:pos="0"/>
        </w:tabs>
        <w:ind w:left="7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4">
      <w:start w:val="1"/>
      <w:numFmt w:val="bullet"/>
      <w:suff w:val="tab"/>
      <w:lvlText w:val="•"/>
      <w:lvlJc w:val="left"/>
      <w:pPr>
        <w:tabs>
          <w:tab w:val="num" w:pos="916"/>
          <w:tab w:val="clear" w:pos="0"/>
        </w:tabs>
        <w:ind w:left="91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5">
      <w:start w:val="1"/>
      <w:numFmt w:val="bullet"/>
      <w:suff w:val="tab"/>
      <w:lvlText w:val="•"/>
      <w:lvlJc w:val="left"/>
      <w:pPr>
        <w:tabs>
          <w:tab w:val="num" w:pos="1096"/>
          <w:tab w:val="clear" w:pos="0"/>
        </w:tabs>
        <w:ind w:left="109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6">
      <w:start w:val="1"/>
      <w:numFmt w:val="bullet"/>
      <w:suff w:val="tab"/>
      <w:lvlText w:val="•"/>
      <w:lvlJc w:val="left"/>
      <w:pPr>
        <w:tabs>
          <w:tab w:val="num" w:pos="1276"/>
          <w:tab w:val="clear" w:pos="0"/>
        </w:tabs>
        <w:ind w:left="127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7">
      <w:start w:val="1"/>
      <w:numFmt w:val="bullet"/>
      <w:suff w:val="tab"/>
      <w:lvlText w:val="•"/>
      <w:lvlJc w:val="left"/>
      <w:pPr>
        <w:tabs>
          <w:tab w:val="num" w:pos="1456"/>
          <w:tab w:val="clear" w:pos="0"/>
        </w:tabs>
        <w:ind w:left="145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  <w:lvl w:ilvl="8">
      <w:start w:val="1"/>
      <w:numFmt w:val="bullet"/>
      <w:suff w:val="tab"/>
      <w:lvlText w:val="•"/>
      <w:lvlJc w:val="left"/>
      <w:pPr>
        <w:tabs>
          <w:tab w:val="num" w:pos="1636"/>
          <w:tab w:val="clear" w:pos="0"/>
        </w:tabs>
        <w:ind w:left="1636" w:hanging="196"/>
      </w:pPr>
      <w:rPr>
        <w:rFonts w:ascii="Times New Roman" w:cs="Times New Roman" w:hAnsi="Times New Roman" w:eastAsia="Times New Roman"/>
        <w:position w:val="-2"/>
        <w:sz w:val="24"/>
        <w:szCs w:val="24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</w:numbering>
</file>

<file path=word/settings.xml><?xml version="1.0" encoding="utf-8"?>
<w:settings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" w:val="‘“(〔[{〈《「『【⦅〘〖«〝︵︷︹︻︽︿﹁﹃﹇﹙﹛﹝｢"/>
  <w:noLineBreaksBefore w:lang="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Arial Unicode MS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numbering" w:styleId="List 0">
    <w:name w:val="List 0"/>
    <w:basedOn w:val="Bullet"/>
    <w:next w:val="List 0"/>
    <w:pPr>
      <w:numPr>
        <w:numId w:val="1"/>
      </w:numPr>
    </w:pPr>
  </w:style>
  <w:style w:type="numbering" w:styleId="Bullet">
    <w:name w:val="Bullet"/>
    <w:next w:val="Bullet"/>
    <w:pPr>
      <w:numPr>
        <w:numId w:val="2"/>
      </w:numPr>
    </w:pPr>
  </w:style>
  <w:style w:type="paragraph" w:styleId="Footnote">
    <w:name w:val="Footnote"/>
    <w:next w:val="Footnote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Helvetica" w:hAnsi="Helvetica" w:eastAsia="Helvetica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</w:rPr>
  </w:style>
  <w:style w:type="character" w:styleId="Hyperlink.0">
    <w:name w:val="Hyperlink.0"/>
    <w:basedOn w:val="Hyperlink"/>
    <w:next w:val="Hyperlink.0"/>
    <w:rPr>
      <w:u w:val="single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s://history.libraries.wsu.edu/spring2015/2015/01/19/womens-rights-as-they-effect-the-country/" TargetMode="Externa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