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bidi w:val="0"/>
        <w:spacing w:after="0" w:line="240" w:lineRule="auto"/>
        <w:ind w:firstLine="0"/>
        <w:jc w:val="center"/>
        <w:outlineLvl w:val="9"/>
        <w:rPr>
          <w:rFonts w:hint="default" w:ascii="Times New Roman" w:hAnsi="Times New Roman" w:cs="Times New Roman" w:eastAsiaTheme="minorEastAsia"/>
          <w:b/>
          <w:bCs/>
          <w:color w:val="FF0000"/>
          <w:kern w:val="2"/>
          <w:sz w:val="22"/>
          <w:szCs w:val="22"/>
          <w:lang w:val="en-US" w:eastAsia="zh-CN"/>
        </w:rPr>
      </w:pPr>
    </w:p>
    <w:p>
      <w:pPr>
        <w:widowControl w:val="0"/>
        <w:bidi w:val="0"/>
        <w:spacing w:after="0" w:line="240" w:lineRule="auto"/>
        <w:ind w:firstLine="0"/>
        <w:jc w:val="center"/>
        <w:outlineLvl w:val="9"/>
        <w:rPr>
          <w:rFonts w:hint="default" w:ascii="Times New Roman" w:hAnsi="Times New Roman" w:cs="Times New Roman" w:eastAsiaTheme="minorEastAsia"/>
          <w:b/>
          <w:bCs/>
          <w:color w:val="FF0000"/>
          <w:kern w:val="2"/>
          <w:sz w:val="28"/>
          <w:szCs w:val="28"/>
          <w:lang w:eastAsia="zh-CN"/>
        </w:rPr>
      </w:pPr>
      <w:r>
        <w:rPr>
          <w:rFonts w:hint="default" w:ascii="Times New Roman" w:hAnsi="Times New Roman" w:cs="Times New Roman" w:eastAsiaTheme="minorEastAsia"/>
          <w:b/>
          <w:bCs/>
          <w:color w:val="FF0000"/>
          <w:kern w:val="2"/>
          <w:sz w:val="28"/>
          <w:szCs w:val="28"/>
          <w:lang w:eastAsia="zh-CN"/>
        </w:rPr>
        <w:t>Strategic Management of the Costco Companies</w:t>
      </w:r>
    </w:p>
    <w:p>
      <w:pPr>
        <w:tabs>
          <w:tab w:val="left" w:pos="6280"/>
        </w:tabs>
        <w:ind w:firstLine="0"/>
        <w:rPr>
          <w:rFonts w:ascii="Times New Roman" w:hAnsi="Times New Roman" w:eastAsia="Lucida Sans" w:cs="Times New Roman"/>
          <w:sz w:val="22"/>
          <w:szCs w:val="22"/>
        </w:rPr>
      </w:pPr>
      <w:r>
        <w:rPr>
          <w:rFonts w:ascii="Times New Roman" w:hAnsi="Times New Roman" w:eastAsia="Lucida Sans" w:cs="Times New Roman"/>
          <w:sz w:val="22"/>
          <w:szCs w:val="22"/>
        </w:rPr>
        <w:tab/>
      </w:r>
    </w:p>
    <w:p>
      <w:pPr>
        <w:ind w:firstLine="0"/>
        <w:jc w:val="center"/>
        <w:rPr>
          <w:rFonts w:ascii="Times New Roman" w:hAnsi="Times New Roman" w:eastAsia="Lucida Sans" w:cs="Times New Roman"/>
          <w:sz w:val="22"/>
          <w:szCs w:val="22"/>
        </w:rPr>
      </w:pPr>
    </w:p>
    <w:p>
      <w:pPr>
        <w:widowControl w:val="0"/>
        <w:spacing w:after="0" w:line="240" w:lineRule="auto"/>
        <w:ind w:firstLine="0"/>
        <w:jc w:val="center"/>
        <w:rPr>
          <w:rFonts w:ascii="Calibri" w:hAnsi="Calibri" w:eastAsia="宋体" w:cs="Times New Roman"/>
          <w:kern w:val="2"/>
          <w:sz w:val="22"/>
          <w:szCs w:val="22"/>
          <w:lang w:eastAsia="zh-CN"/>
        </w:rPr>
      </w:pPr>
      <w:r>
        <w:rPr>
          <w:rFonts w:ascii="Calibri" w:hAnsi="Calibri" w:eastAsia="宋体" w:cs="Times New Roman"/>
          <w:kern w:val="2"/>
          <w:sz w:val="22"/>
          <w:szCs w:val="22"/>
          <w:lang w:eastAsia="zh-CN"/>
        </w:rPr>
        <w:drawing>
          <wp:inline distT="0" distB="0" distL="114300" distR="114300">
            <wp:extent cx="5239385" cy="3065780"/>
            <wp:effectExtent l="0" t="0" r="18415" b="127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11"/>
                    <a:srcRect t="10236" b="34766"/>
                    <a:stretch>
                      <a:fillRect/>
                    </a:stretch>
                  </pic:blipFill>
                  <pic:spPr>
                    <a:xfrm>
                      <a:off x="0" y="0"/>
                      <a:ext cx="5239385" cy="3065780"/>
                    </a:xfrm>
                    <a:prstGeom prst="rect">
                      <a:avLst/>
                    </a:prstGeom>
                  </pic:spPr>
                </pic:pic>
              </a:graphicData>
            </a:graphic>
          </wp:inline>
        </w:drawing>
      </w:r>
    </w:p>
    <w:p>
      <w:pPr>
        <w:widowControl w:val="0"/>
        <w:bidi w:val="0"/>
        <w:spacing w:after="0" w:line="240" w:lineRule="auto"/>
        <w:ind w:firstLine="0"/>
        <w:jc w:val="center"/>
        <w:rPr>
          <w:rFonts w:hint="default" w:ascii="Times New Roman" w:hAnsi="Times New Roman" w:eastAsia="宋体" w:cs="Times New Roman"/>
          <w:b/>
          <w:bCs/>
          <w:color w:val="FF0000"/>
          <w:kern w:val="2"/>
          <w:sz w:val="22"/>
          <w:szCs w:val="22"/>
          <w:lang w:val="en-US" w:eastAsia="zh-CN"/>
        </w:rPr>
      </w:pPr>
      <w:r>
        <w:rPr>
          <w:rFonts w:hint="eastAsia" w:ascii="Times New Roman" w:hAnsi="Times New Roman" w:eastAsia="宋体" w:cs="Times New Roman"/>
          <w:b/>
          <w:bCs/>
          <w:color w:val="FF0000"/>
          <w:kern w:val="2"/>
          <w:sz w:val="22"/>
          <w:szCs w:val="22"/>
          <w:lang w:val="en-US" w:eastAsia="zh-CN"/>
        </w:rPr>
        <w:t xml:space="preserve">April </w:t>
      </w:r>
      <w:r>
        <w:rPr>
          <w:rFonts w:hint="default" w:ascii="Times New Roman" w:hAnsi="Times New Roman" w:eastAsia="宋体" w:cs="Times New Roman"/>
          <w:b/>
          <w:bCs/>
          <w:color w:val="FF0000"/>
          <w:kern w:val="2"/>
          <w:sz w:val="22"/>
          <w:szCs w:val="22"/>
          <w:lang w:val="en-US" w:eastAsia="zh-CN"/>
        </w:rPr>
        <w:t>202</w:t>
      </w:r>
      <w:r>
        <w:rPr>
          <w:rFonts w:hint="eastAsia" w:ascii="Times New Roman" w:hAnsi="Times New Roman" w:eastAsia="宋体" w:cs="Times New Roman"/>
          <w:b/>
          <w:bCs/>
          <w:color w:val="FF0000"/>
          <w:kern w:val="2"/>
          <w:sz w:val="22"/>
          <w:szCs w:val="22"/>
          <w:lang w:val="en-US" w:eastAsia="zh-CN"/>
        </w:rPr>
        <w:t>3</w:t>
      </w:r>
    </w:p>
    <w:p>
      <w:pPr>
        <w:widowControl w:val="0"/>
        <w:spacing w:after="0" w:line="240" w:lineRule="auto"/>
        <w:ind w:firstLine="0"/>
        <w:jc w:val="both"/>
        <w:rPr>
          <w:rFonts w:hint="eastAsia" w:ascii="Times New Roman" w:hAnsi="Times New Roman" w:eastAsia="宋体" w:cs="Times New Roman"/>
          <w:kern w:val="2"/>
          <w:sz w:val="22"/>
          <w:szCs w:val="22"/>
          <w:lang w:val="en-US" w:eastAsia="zh-CN"/>
        </w:rPr>
      </w:pPr>
    </w:p>
    <w:p>
      <w:pPr>
        <w:widowControl w:val="0"/>
        <w:spacing w:after="0" w:line="240" w:lineRule="auto"/>
        <w:ind w:firstLine="0"/>
        <w:jc w:val="both"/>
        <w:rPr>
          <w:rFonts w:hint="eastAsia" w:ascii="Times New Roman" w:hAnsi="Times New Roman" w:eastAsia="宋体" w:cs="Times New Roman"/>
          <w:kern w:val="2"/>
          <w:sz w:val="22"/>
          <w:szCs w:val="22"/>
          <w:lang w:val="en-US" w:eastAsia="zh-CN"/>
        </w:rPr>
      </w:pPr>
    </w:p>
    <w:p>
      <w:pPr>
        <w:widowControl w:val="0"/>
        <w:spacing w:after="0" w:line="240" w:lineRule="auto"/>
        <w:ind w:firstLine="0"/>
        <w:jc w:val="both"/>
        <w:rPr>
          <w:rFonts w:hint="eastAsia" w:ascii="Times New Roman" w:hAnsi="Times New Roman" w:eastAsia="宋体" w:cs="Times New Roman"/>
          <w:kern w:val="2"/>
          <w:sz w:val="22"/>
          <w:szCs w:val="22"/>
          <w:lang w:val="en-US" w:eastAsia="zh-CN"/>
        </w:rPr>
      </w:pPr>
    </w:p>
    <w:p>
      <w:pPr>
        <w:widowControl w:val="0"/>
        <w:spacing w:after="0" w:line="240" w:lineRule="auto"/>
        <w:ind w:firstLine="0"/>
        <w:jc w:val="both"/>
        <w:rPr>
          <w:rFonts w:hint="eastAsia" w:ascii="Times New Roman" w:hAnsi="Times New Roman" w:eastAsia="宋体" w:cs="Times New Roman"/>
          <w:kern w:val="2"/>
          <w:sz w:val="22"/>
          <w:szCs w:val="22"/>
          <w:lang w:val="en-US" w:eastAsia="zh-CN"/>
        </w:rPr>
      </w:pPr>
    </w:p>
    <w:p>
      <w:pPr>
        <w:widowControl w:val="0"/>
        <w:spacing w:after="0" w:line="240" w:lineRule="auto"/>
        <w:ind w:firstLine="0"/>
        <w:jc w:val="both"/>
        <w:rPr>
          <w:rFonts w:hint="eastAsia" w:ascii="Times New Roman" w:hAnsi="Times New Roman" w:eastAsia="宋体" w:cs="Times New Roman"/>
          <w:kern w:val="2"/>
          <w:sz w:val="22"/>
          <w:szCs w:val="22"/>
          <w:lang w:val="en-US" w:eastAsia="zh-CN"/>
        </w:rPr>
      </w:pPr>
    </w:p>
    <w:p>
      <w:pPr>
        <w:widowControl w:val="0"/>
        <w:spacing w:after="0" w:line="240" w:lineRule="auto"/>
        <w:ind w:firstLine="0"/>
        <w:jc w:val="both"/>
        <w:rPr>
          <w:rFonts w:hint="eastAsia" w:ascii="Times New Roman" w:hAnsi="Times New Roman" w:eastAsia="宋体" w:cs="Times New Roman"/>
          <w:kern w:val="2"/>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after="0" w:line="480" w:lineRule="auto"/>
        <w:ind w:firstLine="0"/>
        <w:jc w:val="both"/>
        <w:textAlignment w:val="auto"/>
        <w:rPr>
          <w:rFonts w:hint="default" w:ascii="Times New Roman" w:hAnsi="Times New Roman" w:eastAsia="宋体" w:cs="Times New Roman"/>
          <w:b/>
          <w:bCs/>
          <w:color w:val="FF0000"/>
          <w:kern w:val="2"/>
          <w:sz w:val="22"/>
          <w:szCs w:val="22"/>
          <w:lang w:val="en-US" w:eastAsia="zh-CN"/>
        </w:rPr>
      </w:pPr>
      <w:r>
        <w:rPr>
          <w:rFonts w:hint="eastAsia" w:ascii="Times New Roman" w:hAnsi="Times New Roman" w:eastAsia="宋体" w:cs="Times New Roman"/>
          <w:b/>
          <w:bCs/>
          <w:kern w:val="2"/>
          <w:sz w:val="22"/>
          <w:szCs w:val="22"/>
          <w:lang w:val="en-US" w:eastAsia="zh-CN"/>
        </w:rPr>
        <w:t xml:space="preserve">MODULE NAME：  </w:t>
      </w:r>
      <w:r>
        <w:rPr>
          <w:rFonts w:hint="eastAsia" w:ascii="Times New Roman" w:hAnsi="Times New Roman" w:eastAsia="宋体" w:cs="Times New Roman"/>
          <w:kern w:val="2"/>
          <w:sz w:val="22"/>
          <w:szCs w:val="22"/>
          <w:lang w:val="en-US" w:eastAsia="zh-CN"/>
        </w:rPr>
        <w:t xml:space="preserve">    </w:t>
      </w:r>
      <w:r>
        <w:rPr>
          <w:rFonts w:hint="eastAsia" w:ascii="Times New Roman" w:hAnsi="Times New Roman" w:eastAsia="宋体" w:cs="Times New Roman"/>
          <w:b/>
          <w:bCs/>
          <w:color w:val="FF0000"/>
          <w:kern w:val="2"/>
          <w:sz w:val="22"/>
          <w:szCs w:val="22"/>
          <w:lang w:val="en-US" w:eastAsia="zh-CN"/>
        </w:rPr>
        <w:t>Strategic Management</w:t>
      </w:r>
      <w:bookmarkStart w:id="63" w:name="_GoBack"/>
      <w:bookmarkEnd w:id="63"/>
      <w:r>
        <w:rPr>
          <w:rFonts w:hint="eastAsia" w:ascii="Times New Roman" w:hAnsi="Times New Roman" w:eastAsia="宋体" w:cs="Times New Roman"/>
          <w:b/>
          <w:bCs/>
          <w:color w:val="FF0000"/>
          <w:kern w:val="2"/>
          <w:sz w:val="22"/>
          <w:szCs w:val="22"/>
          <w:lang w:val="en-US" w:eastAsia="zh-CN"/>
        </w:rPr>
        <w:t xml:space="preserve"> (BMMB7013)</w:t>
      </w:r>
    </w:p>
    <w:p>
      <w:pPr>
        <w:keepNext w:val="0"/>
        <w:keepLines w:val="0"/>
        <w:pageBreakBefore w:val="0"/>
        <w:widowControl w:val="0"/>
        <w:kinsoku/>
        <w:wordWrap/>
        <w:overflowPunct/>
        <w:topLinePunct w:val="0"/>
        <w:autoSpaceDE/>
        <w:autoSpaceDN/>
        <w:bidi w:val="0"/>
        <w:adjustRightInd/>
        <w:snapToGrid/>
        <w:spacing w:after="0" w:line="480" w:lineRule="auto"/>
        <w:ind w:firstLine="0"/>
        <w:jc w:val="both"/>
        <w:textAlignment w:val="auto"/>
        <w:outlineLvl w:val="9"/>
        <w:rPr>
          <w:rFonts w:hint="default" w:ascii="Times New Roman" w:hAnsi="Times New Roman" w:eastAsia="宋体" w:cs="Times New Roman"/>
          <w:b/>
          <w:bCs/>
          <w:kern w:val="2"/>
          <w:sz w:val="22"/>
          <w:szCs w:val="22"/>
          <w:lang w:val="en-US" w:eastAsia="zh-CN"/>
        </w:rPr>
      </w:pPr>
      <w:r>
        <w:rPr>
          <w:rFonts w:hint="eastAsia" w:ascii="Times New Roman" w:hAnsi="Times New Roman" w:eastAsia="宋体" w:cs="Times New Roman"/>
          <w:b/>
          <w:bCs/>
          <w:kern w:val="2"/>
          <w:sz w:val="22"/>
          <w:szCs w:val="22"/>
          <w:lang w:val="en-US" w:eastAsia="zh-CN"/>
        </w:rPr>
        <w:t xml:space="preserve">NAME:      </w:t>
      </w:r>
      <w:r>
        <w:rPr>
          <w:rFonts w:hint="eastAsia" w:ascii="Times New Roman" w:hAnsi="Times New Roman" w:eastAsia="宋体" w:cs="Times New Roman"/>
          <w:kern w:val="2"/>
          <w:sz w:val="22"/>
          <w:szCs w:val="22"/>
          <w:lang w:val="en-US" w:eastAsia="zh-CN"/>
        </w:rPr>
        <w:t xml:space="preserve">      </w:t>
      </w:r>
      <w:r>
        <w:rPr>
          <w:rFonts w:hint="eastAsia" w:ascii="Times New Roman" w:hAnsi="Times New Roman" w:eastAsia="宋体" w:cs="Times New Roman"/>
          <w:b/>
          <w:bCs/>
          <w:kern w:val="2"/>
          <w:sz w:val="22"/>
          <w:szCs w:val="22"/>
          <w:lang w:val="en-US" w:eastAsia="zh-CN"/>
        </w:rPr>
        <w:t xml:space="preserve">   </w:t>
      </w:r>
      <w:r>
        <w:rPr>
          <w:rFonts w:hint="eastAsia" w:ascii="Times New Roman" w:hAnsi="Times New Roman" w:eastAsia="宋体" w:cs="Times New Roman"/>
          <w:b/>
          <w:bCs/>
          <w:color w:val="FF0000"/>
          <w:kern w:val="2"/>
          <w:sz w:val="22"/>
          <w:szCs w:val="22"/>
          <w:lang w:val="en-US" w:eastAsia="zh-CN"/>
        </w:rPr>
        <w:t xml:space="preserve">             Tian Gan</w:t>
      </w:r>
    </w:p>
    <w:p>
      <w:pPr>
        <w:keepNext w:val="0"/>
        <w:keepLines w:val="0"/>
        <w:pageBreakBefore w:val="0"/>
        <w:widowControl w:val="0"/>
        <w:kinsoku/>
        <w:wordWrap/>
        <w:overflowPunct/>
        <w:topLinePunct w:val="0"/>
        <w:autoSpaceDE/>
        <w:autoSpaceDN/>
        <w:bidi w:val="0"/>
        <w:adjustRightInd/>
        <w:snapToGrid/>
        <w:spacing w:after="0" w:line="480" w:lineRule="auto"/>
        <w:ind w:firstLine="0"/>
        <w:jc w:val="both"/>
        <w:textAlignment w:val="auto"/>
        <w:outlineLvl w:val="9"/>
        <w:rPr>
          <w:rFonts w:hint="eastAsia" w:ascii="Times New Roman" w:hAnsi="Times New Roman" w:eastAsia="宋体" w:cs="Times New Roman"/>
          <w:b/>
          <w:bCs/>
          <w:color w:val="FF0000"/>
          <w:kern w:val="2"/>
          <w:sz w:val="22"/>
          <w:szCs w:val="22"/>
          <w:lang w:val="en-US" w:eastAsia="zh-CN"/>
        </w:rPr>
      </w:pPr>
      <w:r>
        <w:rPr>
          <w:rFonts w:hint="eastAsia" w:ascii="Times New Roman" w:hAnsi="Times New Roman" w:eastAsia="宋体" w:cs="Times New Roman"/>
          <w:b/>
          <w:bCs/>
          <w:kern w:val="2"/>
          <w:sz w:val="22"/>
          <w:szCs w:val="22"/>
          <w:lang w:val="en-US" w:eastAsia="zh-CN"/>
        </w:rPr>
        <w:t xml:space="preserve">STUDENT NUMBER:  </w:t>
      </w:r>
      <w:r>
        <w:rPr>
          <w:rFonts w:hint="eastAsia" w:ascii="Times New Roman" w:hAnsi="Times New Roman" w:eastAsia="宋体" w:cs="Times New Roman"/>
          <w:color w:val="FF0000"/>
          <w:kern w:val="2"/>
          <w:sz w:val="22"/>
          <w:szCs w:val="22"/>
          <w:lang w:val="en-US" w:eastAsia="zh-CN"/>
        </w:rPr>
        <w:t xml:space="preserve"> </w:t>
      </w:r>
      <w:r>
        <w:rPr>
          <w:rFonts w:hint="eastAsia" w:ascii="Times New Roman" w:hAnsi="Times New Roman" w:eastAsia="宋体" w:cs="Times New Roman"/>
          <w:b/>
          <w:bCs/>
          <w:color w:val="FF0000"/>
          <w:kern w:val="2"/>
          <w:sz w:val="22"/>
          <w:szCs w:val="22"/>
          <w:lang w:val="en-US" w:eastAsia="zh-CN"/>
        </w:rPr>
        <w:t>2206225</w:t>
      </w:r>
    </w:p>
    <w:p>
      <w:pPr>
        <w:ind w:firstLine="0"/>
        <w:jc w:val="center"/>
        <w:rPr>
          <w:rFonts w:ascii="Times New Roman" w:hAnsi="Times New Roman" w:cs="Times New Roman"/>
          <w:b/>
          <w:sz w:val="22"/>
          <w:szCs w:val="22"/>
        </w:rPr>
      </w:pPr>
    </w:p>
    <w:p>
      <w:pPr>
        <w:ind w:firstLine="0"/>
        <w:rPr>
          <w:rFonts w:ascii="Times New Roman" w:hAnsi="Times New Roman" w:cs="Times New Roman"/>
          <w:sz w:val="22"/>
          <w:szCs w:val="22"/>
        </w:rPr>
      </w:pPr>
    </w:p>
    <w:p>
      <w:pPr>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pStyle w:val="2"/>
        <w:spacing w:line="480" w:lineRule="auto"/>
        <w:jc w:val="center"/>
        <w:rPr>
          <w:rFonts w:cs="Times New Roman"/>
          <w:szCs w:val="24"/>
        </w:rPr>
      </w:pPr>
      <w:bookmarkStart w:id="0" w:name="_Toc133247496"/>
      <w:bookmarkStart w:id="1" w:name="_Toc133198629"/>
      <w:bookmarkStart w:id="2" w:name="_Toc133046703"/>
      <w:r>
        <w:rPr>
          <w:rFonts w:cs="Times New Roman"/>
          <w:szCs w:val="24"/>
        </w:rPr>
        <w:t>Executive Summary</w:t>
      </w:r>
      <w:bookmarkEnd w:id="0"/>
      <w:bookmarkEnd w:id="1"/>
      <w:bookmarkEnd w:id="2"/>
    </w:p>
    <w:p>
      <w:pPr>
        <w:spacing w:after="0" w:line="480" w:lineRule="auto"/>
        <w:ind w:firstLine="720" w:firstLineChars="300"/>
        <w:rPr>
          <w:rFonts w:ascii="Times New Roman" w:hAnsi="Times New Roman" w:cs="Times New Roman"/>
          <w:sz w:val="24"/>
          <w:szCs w:val="24"/>
        </w:rPr>
      </w:pPr>
      <w:r>
        <w:rPr>
          <w:rFonts w:ascii="Times New Roman" w:hAnsi="Times New Roman" w:cs="Times New Roman"/>
          <w:sz w:val="24"/>
          <w:szCs w:val="24"/>
        </w:rPr>
        <w:t xml:space="preserve">Costco is a wholesale, retail company that has offered services in the highly competitive global industry for decades. In recent years, the company has faced multiple challenges following the sudden onset of the pandemic that severely impacted tits operations. This paper explores different strategic measures the company can undertake to enhance its performance in the highly competitive global market by improving its customer services. The strategic tools of analysis that has been applied include Bowman’s Strategy Clock analysis, PESTLE analysis, and Porter’s five analysis. The paper identifies a number of strategies that can be used to deliver personalized care such as  knowing its customers, reacting to the customers before they know that the company needs them, integrating effective technologies and contact across all the channels and further implementing real-time agent tools. </w:t>
      </w: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p>
      <w:pPr>
        <w:spacing w:after="0" w:line="480" w:lineRule="auto"/>
        <w:ind w:firstLine="720"/>
        <w:rPr>
          <w:rFonts w:ascii="Times New Roman" w:hAnsi="Times New Roman" w:cs="Times New Roman"/>
          <w:sz w:val="24"/>
          <w:szCs w:val="24"/>
        </w:rPr>
      </w:pPr>
    </w:p>
    <w:sdt>
      <w:sdtPr>
        <w:rPr>
          <w:rFonts w:cs="Times New Roman" w:eastAsiaTheme="minorHAnsi"/>
          <w:b w:val="0"/>
          <w:color w:val="auto"/>
          <w:kern w:val="2"/>
          <w:szCs w:val="24"/>
          <w14:ligatures w14:val="standardContextual"/>
        </w:rPr>
        <w:id w:val="403266353"/>
        <w:docPartObj>
          <w:docPartGallery w:val="Table of Contents"/>
          <w:docPartUnique/>
        </w:docPartObj>
      </w:sdtPr>
      <w:sdtEndPr>
        <w:rPr>
          <w:rFonts w:cs="Times New Roman" w:eastAsiaTheme="minorHAnsi"/>
          <w:b w:val="0"/>
          <w:bCs/>
          <w:color w:val="auto"/>
          <w:kern w:val="2"/>
          <w:szCs w:val="24"/>
          <w14:ligatures w14:val="standardContextual"/>
        </w:rPr>
      </w:sdtEndPr>
      <w:sdtContent>
        <w:p>
          <w:pPr>
            <w:pStyle w:val="24"/>
            <w:rPr>
              <w:lang w:val="en-US" w:eastAsia="en-US"/>
            </w:rPr>
          </w:pPr>
          <w:r>
            <w:rPr>
              <w:rFonts w:ascii="Times New Roman" w:hAnsi="Times New Roman" w:cs="Times New Roman" w:eastAsiaTheme="majorEastAsia"/>
              <w:b/>
              <w:color w:val="auto"/>
              <w:kern w:val="2"/>
              <w:sz w:val="24"/>
              <w:szCs w:val="24"/>
              <w:lang w:val="en-US" w:eastAsia="en-US" w:bidi="ar-SA"/>
              <w14:ligatures w14:val="standardContextual"/>
            </w:rPr>
            <w:t>Table of Contents</w:t>
          </w:r>
        </w:p>
        <w:p>
          <w:pPr>
            <w:pStyle w:val="10"/>
            <w:rPr>
              <w:rFonts w:ascii="Times New Roman" w:hAnsi="Times New Roman" w:cs="Times New Roman" w:eastAsiaTheme="minorEastAsia"/>
              <w:kern w:val="0"/>
              <w:sz w:val="24"/>
              <w:szCs w:val="24"/>
              <w14:ligatures w14:val="none"/>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"_Toc133247496" </w:instrText>
          </w:r>
          <w:r>
            <w:fldChar w:fldCharType="separate"/>
          </w:r>
          <w:r>
            <w:rPr>
              <w:rStyle w:val="17"/>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_Toc133247496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rPr>
              <w:rFonts w:ascii="Times New Roman" w:hAnsi="Times New Roman" w:cs="Times New Roman" w:eastAsiaTheme="minorEastAsia"/>
              <w:kern w:val="0"/>
              <w:sz w:val="24"/>
              <w:szCs w:val="24"/>
              <w14:ligatures w14:val="none"/>
            </w:rPr>
          </w:pPr>
          <w:r>
            <w:fldChar w:fldCharType="begin"/>
          </w:r>
          <w:r>
            <w:instrText xml:space="preserve"> HYPERLINK \l "_Toc133247497" </w:instrText>
          </w:r>
          <w:r>
            <w:fldChar w:fldCharType="separate"/>
          </w:r>
          <w:r>
            <w:rPr>
              <w:rStyle w:val="17"/>
              <w:rFonts w:ascii="Times New Roman" w:hAnsi="Times New Roman" w:cs="Times New Roman"/>
              <w:sz w:val="24"/>
              <w:szCs w:val="24"/>
            </w:rPr>
            <w:t>Company Overview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_Toc133247497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rPr>
              <w:rFonts w:ascii="Times New Roman" w:hAnsi="Times New Roman" w:cs="Times New Roman" w:eastAsiaTheme="minorEastAsia"/>
              <w:kern w:val="0"/>
              <w:sz w:val="24"/>
              <w:szCs w:val="24"/>
              <w14:ligatures w14:val="none"/>
            </w:rPr>
          </w:pPr>
          <w:r>
            <w:fldChar w:fldCharType="begin"/>
          </w:r>
          <w:r>
            <w:instrText xml:space="preserve"> HYPERLINK \l "_Toc133247498" </w:instrText>
          </w:r>
          <w:r>
            <w:fldChar w:fldCharType="separate"/>
          </w:r>
          <w:r>
            <w:rPr>
              <w:rStyle w:val="17"/>
              <w:rFonts w:ascii="Times New Roman" w:hAnsi="Times New Roman" w:cs="Times New Roman"/>
              <w:sz w:val="24"/>
              <w:szCs w:val="24"/>
            </w:rPr>
            <w:t>Strategic Analysis and Critical Evaluation of the Strategic Options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_Toc133247498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"_Toc133247499" </w:instrText>
          </w:r>
          <w:r>
            <w:fldChar w:fldCharType="separate"/>
          </w:r>
          <w:r>
            <w:rPr>
              <w:rStyle w:val="17"/>
              <w:rFonts w:ascii="Times New Roman" w:hAnsi="Times New Roman" w:cs="Times New Roman"/>
              <w:sz w:val="24"/>
              <w:szCs w:val="24"/>
            </w:rPr>
            <w:t>Bowman’s Strategy Clock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_Toc133247499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"_Toc133247500" </w:instrText>
          </w:r>
          <w:r>
            <w:fldChar w:fldCharType="separate"/>
          </w:r>
          <w:r>
            <w:rPr>
              <w:rStyle w:val="17"/>
              <w:rFonts w:ascii="Times New Roman" w:hAnsi="Times New Roman" w:cs="Times New Roman"/>
              <w:sz w:val="24"/>
              <w:szCs w:val="24"/>
            </w:rPr>
            <w:t>Low Price/Low-Value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"_Toc133247501" </w:instrText>
          </w:r>
          <w:r>
            <w:fldChar w:fldCharType="separate"/>
          </w:r>
          <w:r>
            <w:rPr>
              <w:rStyle w:val="17"/>
              <w:rFonts w:ascii="Times New Roman" w:hAnsi="Times New Roman" w:cs="Times New Roman"/>
              <w:sz w:val="24"/>
              <w:szCs w:val="24"/>
            </w:rPr>
            <w:t>Hybrid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"_Toc133247502" </w:instrText>
          </w:r>
          <w:r>
            <w:fldChar w:fldCharType="separate"/>
          </w:r>
          <w:r>
            <w:rPr>
              <w:rStyle w:val="17"/>
              <w:rFonts w:ascii="Times New Roman" w:hAnsi="Times New Roman" w:cs="Times New Roman"/>
              <w:sz w:val="24"/>
              <w:szCs w:val="24"/>
            </w:rPr>
            <w:t>Differentiation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_Toc133247502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"_Toc133247503" </w:instrText>
          </w:r>
          <w:r>
            <w:fldChar w:fldCharType="separate"/>
          </w:r>
          <w:r>
            <w:rPr>
              <w:rStyle w:val="17"/>
              <w:rFonts w:ascii="Times New Roman" w:hAnsi="Times New Roman" w:cs="Times New Roman"/>
              <w:sz w:val="24"/>
              <w:szCs w:val="24"/>
            </w:rPr>
            <w:t>Focused Differentiation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"_Toc133247504" </w:instrText>
          </w:r>
          <w:r>
            <w:fldChar w:fldCharType="separate"/>
          </w:r>
          <w:r>
            <w:rPr>
              <w:rStyle w:val="17"/>
              <w:rFonts w:ascii="Times New Roman" w:hAnsi="Times New Roman" w:cs="Times New Roman"/>
              <w:sz w:val="24"/>
              <w:szCs w:val="24"/>
            </w:rPr>
            <w:t>Increased Price/Standard Value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_Toc133247504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"_Toc133247505" </w:instrText>
          </w:r>
          <w:r>
            <w:fldChar w:fldCharType="separate"/>
          </w:r>
          <w:r>
            <w:rPr>
              <w:rStyle w:val="17"/>
              <w:rFonts w:ascii="Times New Roman" w:hAnsi="Times New Roman" w:cs="Times New Roman"/>
              <w:sz w:val="24"/>
              <w:szCs w:val="24"/>
            </w:rPr>
            <w:t>Low Price/High-Value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"_Toc133247506" </w:instrText>
          </w:r>
          <w:r>
            <w:fldChar w:fldCharType="separate"/>
          </w:r>
          <w:r>
            <w:rPr>
              <w:rStyle w:val="17"/>
              <w:rFonts w:ascii="Times New Roman" w:hAnsi="Times New Roman" w:cs="Times New Roman"/>
              <w:sz w:val="24"/>
              <w:szCs w:val="24"/>
            </w:rPr>
            <w:t>Porter’s Five Forces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_Toc133247506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"_Toc133247507" </w:instrText>
          </w:r>
          <w:r>
            <w:fldChar w:fldCharType="separate"/>
          </w:r>
          <w:r>
            <w:rPr>
              <w:rStyle w:val="17"/>
              <w:rFonts w:ascii="Times New Roman" w:hAnsi="Times New Roman" w:cs="Times New Roman"/>
              <w:sz w:val="24"/>
              <w:szCs w:val="24"/>
            </w:rPr>
            <w:t>Threats of new entrants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_Toc133247507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"_Toc133247508" </w:instrText>
          </w:r>
          <w:r>
            <w:fldChar w:fldCharType="separate"/>
          </w:r>
          <w:r>
            <w:rPr>
              <w:rStyle w:val="17"/>
              <w:rFonts w:ascii="Times New Roman" w:hAnsi="Times New Roman" w:cs="Times New Roman"/>
              <w:sz w:val="24"/>
              <w:szCs w:val="24"/>
            </w:rPr>
            <w:t>Bargaining Power of Suppliers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_Toc133247508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"_Toc133247509" </w:instrText>
          </w:r>
          <w:r>
            <w:fldChar w:fldCharType="separate"/>
          </w:r>
          <w:r>
            <w:rPr>
              <w:rStyle w:val="17"/>
              <w:rFonts w:ascii="Times New Roman" w:hAnsi="Times New Roman" w:cs="Times New Roman"/>
              <w:sz w:val="24"/>
              <w:szCs w:val="24"/>
            </w:rPr>
            <w:t>Bargaining power Customer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_Toc133247509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"_Toc133247510" </w:instrText>
          </w:r>
          <w:r>
            <w:fldChar w:fldCharType="separate"/>
          </w:r>
          <w:r>
            <w:rPr>
              <w:rStyle w:val="17"/>
              <w:rFonts w:ascii="Times New Roman" w:hAnsi="Times New Roman" w:cs="Times New Roman"/>
              <w:sz w:val="24"/>
              <w:szCs w:val="24"/>
            </w:rPr>
            <w:t>Threats of substitutes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_Toc133247510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"_Toc133247511" </w:instrText>
          </w:r>
          <w:r>
            <w:fldChar w:fldCharType="separate"/>
          </w:r>
          <w:r>
            <w:rPr>
              <w:rStyle w:val="17"/>
              <w:rFonts w:ascii="Times New Roman" w:hAnsi="Times New Roman" w:cs="Times New Roman"/>
              <w:sz w:val="24"/>
              <w:szCs w:val="24"/>
            </w:rPr>
            <w:t>Competitive rivalry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_Toc133247511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1"/>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"_Toc133247512" </w:instrText>
          </w:r>
          <w:r>
            <w:fldChar w:fldCharType="separate"/>
          </w:r>
          <w:r>
            <w:rPr>
              <w:rStyle w:val="17"/>
              <w:rFonts w:ascii="Times New Roman" w:hAnsi="Times New Roman" w:cs="Times New Roman"/>
              <w:sz w:val="24"/>
              <w:szCs w:val="24"/>
            </w:rPr>
            <w:t>PESTLE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_Toc133247512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"_Toc133247513" </w:instrText>
          </w:r>
          <w:r>
            <w:fldChar w:fldCharType="separate"/>
          </w:r>
          <w:r>
            <w:rPr>
              <w:rStyle w:val="17"/>
              <w:rFonts w:ascii="Times New Roman" w:hAnsi="Times New Roman" w:cs="Times New Roman"/>
              <w:sz w:val="24"/>
              <w:szCs w:val="24"/>
            </w:rPr>
            <w:t>Political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_Toc133247513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"_Toc133247514" </w:instrText>
          </w:r>
          <w:r>
            <w:fldChar w:fldCharType="separate"/>
          </w:r>
          <w:r>
            <w:rPr>
              <w:rStyle w:val="17"/>
              <w:rFonts w:ascii="Times New Roman" w:hAnsi="Times New Roman" w:cs="Times New Roman"/>
              <w:sz w:val="24"/>
              <w:szCs w:val="24"/>
            </w:rPr>
            <w:t>Economic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_Toc133247514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"_Toc133247515" </w:instrText>
          </w:r>
          <w:r>
            <w:fldChar w:fldCharType="separate"/>
          </w:r>
          <w:r>
            <w:rPr>
              <w:rStyle w:val="17"/>
              <w:rFonts w:ascii="Times New Roman" w:hAnsi="Times New Roman" w:cs="Times New Roman"/>
              <w:sz w:val="24"/>
              <w:szCs w:val="24"/>
            </w:rPr>
            <w:t>Social Factor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_Toc133247515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"_Toc133247516" </w:instrText>
          </w:r>
          <w:r>
            <w:fldChar w:fldCharType="separate"/>
          </w:r>
          <w:r>
            <w:rPr>
              <w:rStyle w:val="17"/>
              <w:rFonts w:ascii="Times New Roman" w:hAnsi="Times New Roman" w:cs="Times New Roman"/>
              <w:sz w:val="24"/>
              <w:szCs w:val="24"/>
            </w:rPr>
            <w:t>Technological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_Toc133247516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"_Toc133247517" </w:instrText>
          </w:r>
          <w:r>
            <w:fldChar w:fldCharType="separate"/>
          </w:r>
          <w:r>
            <w:rPr>
              <w:rStyle w:val="17"/>
              <w:rFonts w:ascii="Times New Roman" w:hAnsi="Times New Roman" w:cs="Times New Roman"/>
              <w:sz w:val="24"/>
              <w:szCs w:val="24"/>
            </w:rPr>
            <w:t>Environmental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_Toc133247517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rPr>
              <w:rFonts w:ascii="Times New Roman" w:hAnsi="Times New Roman" w:cs="Times New Roman" w:eastAsiaTheme="minorEastAsia"/>
              <w:kern w:val="0"/>
              <w:sz w:val="24"/>
              <w:szCs w:val="24"/>
              <w14:ligatures w14:val="none"/>
            </w:rPr>
          </w:pPr>
          <w:r>
            <w:fldChar w:fldCharType="begin"/>
          </w:r>
          <w:r>
            <w:instrText xml:space="preserve"> HYPERLINK \l "_Toc133247518" </w:instrText>
          </w:r>
          <w:r>
            <w:fldChar w:fldCharType="separate"/>
          </w:r>
          <w:r>
            <w:rPr>
              <w:rStyle w:val="17"/>
              <w:rFonts w:ascii="Times New Roman" w:hAnsi="Times New Roman" w:cs="Times New Roman"/>
              <w:sz w:val="24"/>
              <w:szCs w:val="24"/>
            </w:rPr>
            <w:t>Legal Factors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_Toc133247518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rPr>
              <w:rFonts w:ascii="Times New Roman" w:hAnsi="Times New Roman" w:cs="Times New Roman" w:eastAsiaTheme="minorEastAsia"/>
              <w:kern w:val="0"/>
              <w:sz w:val="24"/>
              <w:szCs w:val="24"/>
              <w14:ligatures w14:val="none"/>
            </w:rPr>
          </w:pPr>
          <w:r>
            <w:fldChar w:fldCharType="begin"/>
          </w:r>
          <w:r>
            <w:instrText xml:space="preserve"> HYPERLINK \l "_Toc133247519" </w:instrText>
          </w:r>
          <w:r>
            <w:fldChar w:fldCharType="separate"/>
          </w:r>
          <w:r>
            <w:rPr>
              <w:rStyle w:val="17"/>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_Toc133247519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rPr>
              <w:rFonts w:ascii="Times New Roman" w:hAnsi="Times New Roman" w:cs="Times New Roman" w:eastAsiaTheme="minorEastAsia"/>
              <w:kern w:val="0"/>
              <w:sz w:val="24"/>
              <w:szCs w:val="24"/>
              <w14:ligatures w14:val="none"/>
            </w:rPr>
          </w:pPr>
          <w:r>
            <w:fldChar w:fldCharType="begin"/>
          </w:r>
          <w:r>
            <w:instrText xml:space="preserve"> HYPERLINK \l "_Toc133247520" </w:instrText>
          </w:r>
          <w:r>
            <w:fldChar w:fldCharType="separate"/>
          </w:r>
          <w:r>
            <w:rPr>
              <w:rStyle w:val="17"/>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_Toc133247520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rPr>
              <w:rFonts w:ascii="Times New Roman" w:hAnsi="Times New Roman" w:cs="Times New Roman" w:eastAsiaTheme="minorEastAsia"/>
              <w:kern w:val="0"/>
              <w:sz w:val="24"/>
              <w:szCs w:val="24"/>
              <w14:ligatures w14:val="none"/>
            </w:rPr>
          </w:pPr>
          <w:r>
            <w:fldChar w:fldCharType="begin"/>
          </w:r>
          <w:r>
            <w:instrText xml:space="preserve"> HYPERLINK \l "_Toc133247521" </w:instrText>
          </w:r>
          <w:r>
            <w:fldChar w:fldCharType="separate"/>
          </w:r>
          <w:r>
            <w:rPr>
              <w:rStyle w:val="17"/>
              <w:rFonts w:ascii="Times New Roman" w:hAnsi="Times New Roman" w:cs="Times New Roman"/>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_Toc133247521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rPr>
              <w:rFonts w:ascii="Times New Roman" w:hAnsi="Times New Roman" w:cs="Times New Roman" w:eastAsiaTheme="minorEastAsia"/>
              <w:kern w:val="0"/>
              <w:sz w:val="24"/>
              <w:szCs w:val="24"/>
              <w14:ligatures w14:val="none"/>
            </w:rPr>
          </w:pPr>
          <w:r>
            <w:fldChar w:fldCharType="begin"/>
          </w:r>
          <w:r>
            <w:instrText xml:space="preserve"> HYPERLINK \l "_Toc133247522" </w:instrText>
          </w:r>
          <w:r>
            <w:fldChar w:fldCharType="separate"/>
          </w:r>
          <w:r>
            <w:rPr>
              <w:rStyle w:val="17"/>
              <w:rFonts w:ascii="Times New Roman" w:hAnsi="Times New Roman" w:cs="Times New Roman"/>
              <w:sz w:val="24"/>
              <w:szCs w:val="24"/>
              <w:shd w:val="clear" w:color="auto" w:fill="F7F7F8"/>
            </w:rPr>
            <w:t>Appendices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_Toc133247522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pStyle w:val="2"/>
        <w:spacing w:line="480" w:lineRule="auto"/>
        <w:rPr>
          <w:rFonts w:cs="Times New Roman"/>
          <w:szCs w:val="24"/>
        </w:rPr>
      </w:pPr>
      <w:bookmarkStart w:id="3" w:name="_Toc133247497"/>
      <w:bookmarkStart w:id="4" w:name="_Toc133198630"/>
      <w:r>
        <w:rPr>
          <w:rFonts w:cs="Times New Roman"/>
          <w:szCs w:val="24"/>
        </w:rPr>
        <w:t>Company Overview</w:t>
      </w:r>
      <w:bookmarkEnd w:id="3"/>
      <w:bookmarkEnd w:id="4"/>
    </w:p>
    <w:p>
      <w:pPr>
        <w:spacing w:after="0"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Costco Wholesale Corporation was founded in 1983 by Jeffrey Brotman and James Sinegal in San Diego, California. The company provides a wide range of products, including electronics, groceries, and household items (Costco Wholesale Corporation, n.d). Since its establishment, Costco has successfully operated in the global market, offering its products and services in different countries, including the United States, the United Kingdom, Canada, Mexico, Australia, Spain, and China (Grewal et al., 2020). It is currently, ranked the second-largest retailer in the United States, as shown in the appendix fig 2. One effective strategy that has enabled the company to maintain its space in the highly competitive global market is low pricing for its products. Costco has achieved this through bulk purchasing, selection of limited products, minimising its product promotion, and membership fees (</w:t>
      </w:r>
      <w:r>
        <w:rPr>
          <w:rFonts w:ascii="Times New Roman" w:hAnsi="Times New Roman" w:cs="Times New Roman"/>
          <w:color w:val="222222"/>
          <w:sz w:val="24"/>
          <w:szCs w:val="24"/>
          <w:shd w:val="clear" w:color="auto" w:fill="FFFFFF"/>
        </w:rPr>
        <w:t>Minahan et al., 2018</w:t>
      </w:r>
      <w:r>
        <w:rPr>
          <w:rFonts w:ascii="Times New Roman" w:hAnsi="Times New Roman" w:cs="Times New Roman"/>
          <w:sz w:val="24"/>
          <w:szCs w:val="24"/>
        </w:rPr>
        <w:t xml:space="preserve">). However, the sudden onset of the pandemic has significantly impacted the retail industry, forcing Costco to restructure its strategic direction for delivering innovative customer care. At the same time, it ensures and maintains future resilience and a sustainable competitive advantage (Grewal et al., 2020). This paper will effectively provide a critical analysis of the strategic measures and options that Costco can implement to recover from the pandemic's severe impacts and develop an effective base that can enable it to enhance the experience of its customers. </w:t>
      </w:r>
    </w:p>
    <w:p>
      <w:pPr>
        <w:pStyle w:val="2"/>
        <w:spacing w:line="480" w:lineRule="auto"/>
        <w:rPr>
          <w:rFonts w:cs="Times New Roman"/>
          <w:szCs w:val="24"/>
        </w:rPr>
      </w:pPr>
      <w:bookmarkStart w:id="5" w:name="_Toc133046705"/>
      <w:bookmarkStart w:id="6" w:name="_Toc133247498"/>
      <w:bookmarkStart w:id="7" w:name="_Toc133198631"/>
      <w:r>
        <w:rPr>
          <w:rFonts w:cs="Times New Roman"/>
          <w:szCs w:val="24"/>
        </w:rPr>
        <w:t>Strategic Analysis and Critical Evaluation of the Strategic Options</w:t>
      </w:r>
      <w:bookmarkEnd w:id="5"/>
      <w:bookmarkEnd w:id="6"/>
      <w:bookmarkEnd w:id="7"/>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 strategy is an organisation's long-term action plan to effectively achieve its goals and objectives (Werdhiastutie et al., 2020). Strategies enable organisations to develop and reshape their direction in response to challenges such as unsustainable competition and negative customer behaviours. Generally, strategic management involves formulating, evaluating, and implementing an organisation's strategies to achieve its objectives effectively (</w:t>
      </w:r>
      <w:r>
        <w:rPr>
          <w:rFonts w:ascii="Times New Roman" w:hAnsi="Times New Roman" w:cs="Times New Roman"/>
          <w:bCs/>
          <w:sz w:val="24"/>
          <w:szCs w:val="24"/>
        </w:rPr>
        <w:t>Hayes, 2014</w:t>
      </w:r>
      <w:r>
        <w:rPr>
          <w:rFonts w:ascii="Times New Roman" w:hAnsi="Times New Roman" w:cs="Times New Roman"/>
          <w:sz w:val="24"/>
          <w:szCs w:val="24"/>
        </w:rPr>
        <w:t>). Strategic management involves analysing an organisation's internal and external environments to effectively identify potential opportunities and threats and develop effective strategies to achieve the desired outcomes (</w:t>
      </w:r>
      <w:r>
        <w:rPr>
          <w:rFonts w:ascii="Times New Roman" w:hAnsi="Times New Roman" w:cs="Times New Roman"/>
          <w:bCs/>
          <w:sz w:val="24"/>
          <w:szCs w:val="24"/>
        </w:rPr>
        <w:t>Johnson, 2017</w:t>
      </w:r>
      <w:r>
        <w:rPr>
          <w:rFonts w:ascii="Times New Roman" w:hAnsi="Times New Roman" w:cs="Times New Roman"/>
          <w:sz w:val="24"/>
          <w:szCs w:val="24"/>
        </w:rPr>
        <w:t xml:space="preserve">). Conducting a strategic analysis is substantial as it enables organisations to formulate strategic planning that is helpful in decision-making and enhances the smooth running of the organisation.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Organizational performance and development are among the key indicators of a company success. As such, the company’s management must constantly conduct a strategic analysis that will enable them to determine and address the areas that are working well and those that require improvement (Fuertes et al., 2020). For an organisation to function efficiently, it is vital to consider how positive changes can be implemented. Notably, strategic analysis is fundamental if a company has a goal and mission to achieve. Strategic planning is a long-term task that involves a systematic and continuous investment of planning and resource (</w:t>
      </w:r>
      <w:r>
        <w:rPr>
          <w:rFonts w:ascii="Times New Roman" w:hAnsi="Times New Roman" w:cs="Times New Roman"/>
          <w:bCs/>
          <w:sz w:val="24"/>
          <w:szCs w:val="24"/>
        </w:rPr>
        <w:t>Garner et al., 2014; Grant, 2015</w:t>
      </w:r>
      <w:r>
        <w:rPr>
          <w:rFonts w:ascii="Times New Roman" w:hAnsi="Times New Roman" w:cs="Times New Roman"/>
          <w:sz w:val="24"/>
          <w:szCs w:val="24"/>
        </w:rPr>
        <w:t xml:space="preserve">). Costco Company will effectively develop a strategic management plan to reshape its direction and respond to the challenges presented by the pandemic. To achieve this, different frameworks for strategic management will be used to assess the internal and external environments of the company.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Strategic analysis and critical evaluation of the strategic options will be critical as it will assess Costco’s current position, identify the potential threats and opportunities and further determine the best course of action that can be used to achieve its objectives. A strategic analysis will enable the company to identify and understand the available growth opportunities and determine the best course of action (</w:t>
      </w:r>
      <w:r>
        <w:rPr>
          <w:rFonts w:ascii="Times New Roman" w:hAnsi="Times New Roman" w:cs="Times New Roman"/>
          <w:color w:val="222222"/>
          <w:sz w:val="24"/>
          <w:szCs w:val="24"/>
          <w:shd w:val="clear" w:color="auto" w:fill="FFFFFF"/>
        </w:rPr>
        <w:t>Kuokkanen and Sun, 2020</w:t>
      </w:r>
      <w:r>
        <w:rPr>
          <w:rFonts w:ascii="Times New Roman" w:hAnsi="Times New Roman" w:cs="Times New Roman"/>
          <w:sz w:val="24"/>
          <w:szCs w:val="24"/>
        </w:rPr>
        <w:t>). Secondly, this analysis will enhance the company’s ability to manage risks and further develop effective measures that can be used to mitigate the problems. This will include developing proper changes in the regulatory environment, responding to the shifts in consumer behaviour and providing proper solutions to the disruptions in the supply chains (Fuertes et al., 2020). Strategic analysis will also enable Costco to optimise its resource allocation by assessing the potential returns on investments and for various strategic options and identifying the appropriate options that are likely to yield the best results.</w:t>
      </w:r>
      <w:bookmarkStart w:id="8" w:name="_Toc133046706"/>
    </w:p>
    <w:p>
      <w:pPr>
        <w:pStyle w:val="3"/>
        <w:rPr>
          <w:rFonts w:cs="Times New Roman"/>
          <w:szCs w:val="24"/>
        </w:rPr>
      </w:pPr>
      <w:bookmarkStart w:id="9" w:name="_Toc133247499"/>
      <w:bookmarkStart w:id="10" w:name="_Toc133198632"/>
      <w:r>
        <w:rPr>
          <w:rFonts w:cs="Times New Roman"/>
          <w:szCs w:val="24"/>
        </w:rPr>
        <w:t>Bowman’s Strategy Clock</w:t>
      </w:r>
      <w:bookmarkEnd w:id="8"/>
      <w:bookmarkEnd w:id="9"/>
      <w:bookmarkEnd w:id="10"/>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Bowman's strategy clock is a vital tool for analysing a company's competitive position in the market and identifying the potential strategic options that can be used to achieve a competitive advantage (Desai, 2019). This tool enables organisations to effectively determine their current position in the market based on price and perceived value. This information is crucial for developing an effective strategy to help the organisation obtain a competitive base. Bowman's strategy clock provides an effective framework for identifying potential strategic alternatives for achieving better personalisation of customer care. Costco can easily develop effective strategies by utilising the eight positions on the clock to represent diverse competitive tactics. In addition, Bowman's Strategy Clock assists in assessing the viability of various strategies in light of the organisation's current competitive position (Weston and Nnadi, 2021). This can help organisations determine the most suitable strategies for their particular circumstances.</w:t>
      </w:r>
    </w:p>
    <w:p>
      <w:pPr>
        <w:pStyle w:val="4"/>
        <w:spacing w:line="480" w:lineRule="auto"/>
        <w:rPr>
          <w:rFonts w:cs="Times New Roman"/>
        </w:rPr>
      </w:pPr>
      <w:bookmarkStart w:id="11" w:name="_Toc133198633"/>
      <w:bookmarkStart w:id="12" w:name="_Toc133247500"/>
      <w:r>
        <w:rPr>
          <w:rFonts w:cs="Times New Roman"/>
        </w:rPr>
        <w:t>Low Price/Low-Value Strategy</w:t>
      </w:r>
      <w:bookmarkEnd w:id="11"/>
      <w:bookmarkEnd w:id="12"/>
    </w:p>
    <w:p>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Costco has already built a reputation for providing products and services at low prices, enabling it to attract many customers. However, following the high level of competition in the global market, it is appropriate for the company to explore other ways that can enable it to reduce costs and offer lower prices to its consumers. For example, the company can achieve this goal by optimising its supply chain (Weston and Nnadi 2021; </w:t>
      </w:r>
      <w:r>
        <w:rPr>
          <w:rFonts w:ascii="Times New Roman" w:hAnsi="Times New Roman" w:cs="Times New Roman"/>
          <w:bCs/>
          <w:sz w:val="24"/>
          <w:szCs w:val="24"/>
        </w:rPr>
        <w:t>McKinsey and Company 2020</w:t>
      </w:r>
      <w:r>
        <w:rPr>
          <w:rFonts w:ascii="Times New Roman" w:hAnsi="Times New Roman" w:cs="Times New Roman"/>
          <w:sz w:val="24"/>
          <w:szCs w:val="24"/>
        </w:rPr>
        <w:t>). To effectively enhance the experience and loyalty of the customers, Costco can use the White-Glove Customer Service, a premium level of service where customers receive personalized and high-quality support from the company. The company should also shift from reactive service centers to centers that undertake proactive control of the customer relationships (</w:t>
      </w:r>
      <w:r>
        <w:rPr>
          <w:rFonts w:ascii="Times New Roman" w:hAnsi="Times New Roman" w:cs="Times New Roman"/>
          <w:bCs/>
          <w:sz w:val="24"/>
          <w:szCs w:val="24"/>
        </w:rPr>
        <w:t>McKinsey and Company 2020</w:t>
      </w:r>
      <w:r>
        <w:rPr>
          <w:rFonts w:ascii="Times New Roman" w:hAnsi="Times New Roman" w:cs="Times New Roman"/>
          <w:sz w:val="24"/>
          <w:szCs w:val="24"/>
        </w:rPr>
        <w:t>). Using this strategy will help Costco to identify the individual needs of the customers and solve them on time. This predictive nature of engagement will enable the company to complete its purchase assistance, status updates, deliveries, appointments and effectively take other tasks with personalization, precision and minimal efforts (</w:t>
      </w:r>
      <w:r>
        <w:rPr>
          <w:rFonts w:ascii="Times New Roman" w:hAnsi="Times New Roman" w:cs="Times New Roman"/>
          <w:bCs/>
          <w:sz w:val="24"/>
          <w:szCs w:val="24"/>
        </w:rPr>
        <w:t>McKinsey and Company 2020</w:t>
      </w:r>
      <w:r>
        <w:rPr>
          <w:rFonts w:ascii="Times New Roman" w:hAnsi="Times New Roman" w:cs="Times New Roman"/>
          <w:sz w:val="24"/>
          <w:szCs w:val="24"/>
        </w:rPr>
        <w:t xml:space="preserve">). </w:t>
      </w:r>
    </w:p>
    <w:p>
      <w:pPr>
        <w:pStyle w:val="4"/>
        <w:spacing w:line="480" w:lineRule="auto"/>
        <w:rPr>
          <w:rFonts w:cs="Times New Roman"/>
        </w:rPr>
      </w:pPr>
      <w:bookmarkStart w:id="13" w:name="_Toc133198634"/>
      <w:bookmarkStart w:id="14" w:name="_Toc133247501"/>
      <w:r>
        <w:rPr>
          <w:rFonts w:cs="Times New Roman"/>
        </w:rPr>
        <w:t>Hybrid Strategy</w:t>
      </w:r>
      <w:bookmarkEnd w:id="13"/>
      <w:bookmarkEnd w:id="14"/>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 hybrid strategy involves incorporating distinctive features and advantages over competitors' offerings (Desai, 2019). The company can stand from its competitors by enhancing customer’s experience (Weston and Nnadi, 2021). Costco has already differentiated itself from its rivals by becoming a prominent retailer. Remaining competitive requires adopting a hybrid approach integrating new features and benefits with current business models as the market evolves. Introducing a customer loyalty program could expand Costco's portfolio of services (</w:t>
      </w:r>
      <w:r>
        <w:rPr>
          <w:rFonts w:ascii="Times New Roman" w:hAnsi="Times New Roman" w:cs="Times New Roman"/>
          <w:bCs/>
          <w:sz w:val="24"/>
          <w:szCs w:val="24"/>
        </w:rPr>
        <w:t>McKinsey and Company 2020)</w:t>
      </w:r>
      <w:r>
        <w:rPr>
          <w:rFonts w:ascii="Times New Roman" w:hAnsi="Times New Roman" w:cs="Times New Roman"/>
          <w:sz w:val="24"/>
          <w:szCs w:val="24"/>
        </w:rPr>
        <w:t xml:space="preserve">. Costco could increase the rates of customer retention by paying exceptional attention to their customer’s needs and responding swiftly to their needs. The company will obtain significant consumer insights by implementing a Costco loyalty program while offering tailored incentives.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Another possible offering from Costco could be a delivery service based on subscriptions. With the increase in online shopping comes consumers' demand for more convenient and stress-free delivery options. To satisfy customers' demands seeking routine home deliveries of their purchases, Costco may introduce a subscription-based delivery service (</w:t>
      </w:r>
      <w:r>
        <w:rPr>
          <w:rFonts w:ascii="Times New Roman" w:hAnsi="Times New Roman" w:cs="Times New Roman"/>
          <w:bCs/>
          <w:sz w:val="24"/>
          <w:szCs w:val="24"/>
        </w:rPr>
        <w:t>Lynch 2015</w:t>
      </w:r>
      <w:r>
        <w:rPr>
          <w:rFonts w:ascii="Times New Roman" w:hAnsi="Times New Roman" w:cs="Times New Roman"/>
          <w:sz w:val="24"/>
          <w:szCs w:val="24"/>
        </w:rPr>
        <w:t>). Costco should expand its online purchasing platform to effectively differentiate itself from its competition. Improving the online shopping experience of Costco's website could cater to a wider audience and offer convenience to customers who cannot visit physical stores due to time constraints. A streamlined purchasing procedure, a mobile app, and personalised product recommendations may be included.</w:t>
      </w:r>
    </w:p>
    <w:p>
      <w:pPr>
        <w:pStyle w:val="4"/>
        <w:spacing w:line="480" w:lineRule="auto"/>
        <w:rPr>
          <w:rFonts w:cs="Times New Roman"/>
        </w:rPr>
      </w:pPr>
      <w:bookmarkStart w:id="15" w:name="_Toc133198635"/>
      <w:bookmarkStart w:id="16" w:name="_Toc133247502"/>
      <w:r>
        <w:rPr>
          <w:rFonts w:cs="Times New Roman"/>
        </w:rPr>
        <w:t>Differentiation Strategy</w:t>
      </w:r>
      <w:bookmarkEnd w:id="15"/>
      <w:bookmarkEnd w:id="16"/>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highly competitive markets where standing out can be difficult, companies looking to differentiate themselves from their competitors may adopt a differentiation strategy as the best course of action (Weston and Nnadi, 2021). Providing unique and high-quality goods or services is essential for creating an edge over competitors, which helps businesses attract loyal consumers even if they have to charge more than usual. Costco can differentiate itself by offering exclusive products and services consistent with Costco's brand values while satisfying customer requirements is possible by providing products derived from local sources. A rising number of buyers prefer to purchase goods made locally while backing up small-scale ventures' growth. Costco's ability to partner with nearby farmers and producers allows them to offer distinctive merchandise not offered by competitors.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Adhering to its sustainability pledge could lower transportation costs and the company's carbon footprint. By supplying organic products, Costco can increase its uniqueness. The demand for organic products keeps increasing as more consumers become conscious about the environment and health. To appeal to those seeking eco-friendly options with superior quality standards at higher prices (Analog and Jane, 2019), Costco might consider adding organic produce items into its product line-up. Obtaining organic products from nearby farmers can help boost regional economic growth. Costco should consider offering a selection of health-focused products and services.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Many consumers are searching for products encouraging healthy living due to the increasing focus on health and wellness. By stocking up on various health-related merchandise like vitamins, supplements, and alternative medicines, Costco can establish its unique identity among rival merchants. In order to appeal to health-conscious customers, the company could provide additional services like health and wellness consultations combined with nutrition and exercise classes.</w:t>
      </w:r>
    </w:p>
    <w:p>
      <w:pPr>
        <w:pStyle w:val="4"/>
        <w:spacing w:line="480" w:lineRule="auto"/>
        <w:rPr>
          <w:rFonts w:cs="Times New Roman"/>
        </w:rPr>
      </w:pPr>
      <w:bookmarkStart w:id="17" w:name="_Toc133247503"/>
      <w:bookmarkStart w:id="18" w:name="_Toc133198636"/>
      <w:r>
        <w:rPr>
          <w:rFonts w:cs="Times New Roman"/>
        </w:rPr>
        <w:t>Focused Differentiation Strategy</w:t>
      </w:r>
      <w:bookmarkEnd w:id="17"/>
      <w:bookmarkEnd w:id="18"/>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wholesale club industry recognizes Costco as a prominent retail behemoth. The company serves individuals, families, and businesses. Reaching distinct market segments with premium and unique products or services at Costco requires a narrowly focused differentiation strategy. The company can effectively implement the differentiation strategy through the use of the white-glove customer service. For example, the White-Glove Customer Service will enable the company to build its brand loyalty by providing products that are of superior levels(Shah and Ahmad, 2019). Customers will be more likely to feel valued and appreciated which can result to increased brand loyalty. </w:t>
      </w:r>
    </w:p>
    <w:p>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Implementing the White-Glove Customer Service will give Costco a competitive advantage over other players as it will serve as a key differentiator to the company in a crowded marketplace (</w:t>
      </w:r>
      <w:r>
        <w:rPr>
          <w:rFonts w:ascii="Times New Roman" w:hAnsi="Times New Roman" w:cs="Times New Roman"/>
          <w:bCs/>
          <w:sz w:val="24"/>
          <w:szCs w:val="24"/>
        </w:rPr>
        <w:t>McKinsey and Company 2020</w:t>
      </w:r>
      <w:r>
        <w:rPr>
          <w:rFonts w:ascii="Times New Roman" w:hAnsi="Times New Roman" w:cs="Times New Roman"/>
          <w:sz w:val="24"/>
          <w:szCs w:val="24"/>
        </w:rPr>
        <w:t xml:space="preserve">). Many customers are always willing to pay more for products and services that they regard to be exceptional and this will help the company to stand out from its competitors. According to </w:t>
      </w:r>
      <w:r>
        <w:rPr>
          <w:rFonts w:ascii="Times New Roman" w:hAnsi="Times New Roman" w:cs="Times New Roman"/>
          <w:bCs/>
          <w:sz w:val="24"/>
          <w:szCs w:val="24"/>
        </w:rPr>
        <w:t>McKinsey and Company (2020</w:t>
      </w:r>
      <w:r>
        <w:rPr>
          <w:rFonts w:ascii="Times New Roman" w:hAnsi="Times New Roman" w:cs="Times New Roman"/>
          <w:sz w:val="24"/>
          <w:szCs w:val="24"/>
        </w:rPr>
        <w:t>) the White-Glove Customer Service can significantly increase the customer satisfaction of a company. The happy customers are always more likely to become a repeat customers and advocates for more products.  The white-glove customer service can significantly increase the customer satisfaction by addressing any issues and concerns effectively (</w:t>
      </w:r>
      <w:r>
        <w:rPr>
          <w:rFonts w:ascii="Times New Roman" w:hAnsi="Times New Roman" w:cs="Times New Roman"/>
          <w:bCs/>
          <w:sz w:val="24"/>
          <w:szCs w:val="24"/>
        </w:rPr>
        <w:t>McKinsey and Company 2020</w:t>
      </w:r>
      <w:r>
        <w:rPr>
          <w:rFonts w:ascii="Times New Roman" w:hAnsi="Times New Roman" w:cs="Times New Roman"/>
          <w:sz w:val="24"/>
          <w:szCs w:val="24"/>
        </w:rPr>
        <w:t xml:space="preserve">). </w:t>
      </w:r>
    </w:p>
    <w:p>
      <w:pPr>
        <w:pStyle w:val="4"/>
        <w:spacing w:line="480" w:lineRule="auto"/>
        <w:rPr>
          <w:rFonts w:cs="Times New Roman"/>
        </w:rPr>
      </w:pPr>
      <w:bookmarkStart w:id="19" w:name="_Toc133247504"/>
      <w:bookmarkStart w:id="20" w:name="_Toc133198637"/>
      <w:r>
        <w:rPr>
          <w:rFonts w:cs="Times New Roman"/>
        </w:rPr>
        <w:t>Increased Price/Standard Value Strategy</w:t>
      </w:r>
      <w:bookmarkEnd w:id="19"/>
      <w:bookmarkEnd w:id="20"/>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As a low-cost pioneer, Costco's business model is centred on offering its customers high-quality products and services at competitive prices. However, they might consider implementing an Increased Price/Standard Value Strategy to appeal to consumers willing to pay more for premium products or services. A possible strategy for Costco would be introducing luxury products or services presently unavailable in their stores (Yiran and Jiajia, 2021). For instance, they could provide upscale fashion labels, exclusive jeweler, and other luxury products that appeal to a more affluent market. These items would have a higher price point while maintaining the Costco-typical level of quality and value.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In addition, Costco could consider providing personalised services by matching “alike” personalities. This can be done by using advanced analytics as well as machine learning to route calls instead of automatically assigning the customers agents or through the use of simple rules (</w:t>
      </w:r>
      <w:r>
        <w:rPr>
          <w:rFonts w:ascii="Times New Roman" w:hAnsi="Times New Roman" w:cs="Times New Roman"/>
          <w:bCs/>
          <w:sz w:val="24"/>
          <w:szCs w:val="24"/>
        </w:rPr>
        <w:t>McKinsey and Company 2020</w:t>
      </w:r>
      <w:r>
        <w:rPr>
          <w:rFonts w:ascii="Times New Roman" w:hAnsi="Times New Roman" w:cs="Times New Roman"/>
          <w:sz w:val="24"/>
          <w:szCs w:val="24"/>
        </w:rPr>
        <w:t xml:space="preserve">). The modern techniques draw on individual data about individual callers and agents to effectively match calls with the most suitable agent. This approach is likely to enable the Costco Company to be successful in its interaction with the buyers, enhance the performance of the agents and further achieve better call outcomes. </w:t>
      </w:r>
    </w:p>
    <w:p>
      <w:pPr>
        <w:pStyle w:val="4"/>
        <w:spacing w:line="480" w:lineRule="auto"/>
        <w:rPr>
          <w:rFonts w:cs="Times New Roman"/>
        </w:rPr>
      </w:pPr>
      <w:bookmarkStart w:id="21" w:name="_Toc133247505"/>
      <w:bookmarkStart w:id="22" w:name="_Toc133198638"/>
      <w:r>
        <w:rPr>
          <w:rFonts w:cs="Times New Roman"/>
        </w:rPr>
        <w:t>Low Price/High-Value Strategy</w:t>
      </w:r>
      <w:bookmarkEnd w:id="21"/>
      <w:bookmarkEnd w:id="22"/>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Offering exceptional value to customers is central to Costco's business model as they strive to provide high-quality goods and services at reasonable prices while remaining profitable through streamlined processes (Simon et al., 2019). To appeal to consumers willing to pay more for premium products or services, they may consider implementing an Increased Price/Standard Value Strategy. Introducing new luxury items or services not presently offered in their stores could be a potential strategy for Costco. To appeal to a richer customer base, they could offer luxury products, including upscale fashion labels and exclusive jewelry. These products maintain Costco's characteristic levels of quality and value despite their increased pricing.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Costco could consider personalised services like custom-made travel packages and concierge assistance. Customisation of these services according to the distinct demands and Vikings of every client will come with an extra charge. Costco might consider implementing an Increased Price/Standard Value Strategy to increase its revenue and profitability. Considering the potential impact on the brand's image and customer loyalty is crucial. Customers may perceive Costco as a discount retailer, and introducing high-end products or services could compromise the brand's core value proposition. Before making any decisions, Costco would need to evaluate the potential benefits and risks associated with implementing an Increased Price/Standard Value Strategy (Weston and Nnadi, 2021). In addition, they may conduct market research to gauge consumer interest in premium products or services and evaluate the potential impact on the brand's image and reputation.</w:t>
      </w:r>
    </w:p>
    <w:p>
      <w:pPr>
        <w:pStyle w:val="3"/>
        <w:rPr>
          <w:rFonts w:cs="Times New Roman"/>
          <w:szCs w:val="24"/>
        </w:rPr>
      </w:pPr>
      <w:bookmarkStart w:id="23" w:name="_Toc133198639"/>
      <w:bookmarkStart w:id="24" w:name="_Toc133247506"/>
      <w:bookmarkStart w:id="25" w:name="_Toc133046707"/>
      <w:r>
        <w:rPr>
          <w:rFonts w:cs="Times New Roman"/>
          <w:szCs w:val="24"/>
        </w:rPr>
        <w:t>Porter’s Five Forces</w:t>
      </w:r>
      <w:bookmarkEnd w:id="23"/>
      <w:bookmarkEnd w:id="24"/>
      <w:bookmarkEnd w:id="25"/>
    </w:p>
    <w:p>
      <w:pPr>
        <w:spacing w:after="0"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Porter's Five Forces is a framework used for analysing the competitive forces within an industry (Goyal, 2020). This model enables business organisations to effectively understand the level of competition in their industry and the various factors that can affect their profitability. Costco can use Porter's Five Forces to analyse its competitive environment effectively and develop appropriate strategies to sustain its competitive advantage (Isabelle et al., 2020). The emergency team can establish and implement strategic measures tailored to its competitive environment using this market analysis strategy. This will help the organisation deliver innovative customer care and ensure future resilience (Anastasiu et al., 2020). Besides, this strategic model will also create a sustainable competitive advantage for the company against the backdrop of the COVID-19 pandemic. </w:t>
      </w:r>
    </w:p>
    <w:p>
      <w:pPr>
        <w:pStyle w:val="4"/>
        <w:spacing w:line="480" w:lineRule="auto"/>
        <w:rPr>
          <w:rFonts w:cs="Times New Roman"/>
        </w:rPr>
      </w:pPr>
      <w:bookmarkStart w:id="26" w:name="_Toc133198640"/>
      <w:bookmarkStart w:id="27" w:name="_Toc133247507"/>
      <w:r>
        <w:rPr>
          <w:rFonts w:cs="Times New Roman"/>
        </w:rPr>
        <w:t>Threats of new entrants</w:t>
      </w:r>
      <w:bookmarkEnd w:id="26"/>
      <w:bookmarkEnd w:id="27"/>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Entry into the retail industry is relatively cheap as it involves little capital. This has posed a significant threat of competition to Costco Company following the continuous entrance of many companies offering similar products as Costco (Ran, 2022). To solve the threat of new entrants, the company should first identify the barriers to entry into the market and assess how likely it is for new competitors to enter the market. This will effectively inform the decisions on how to differentiate the offerings of Costco and make it challenging for new entrants to replicate the exact business model used by the company. To effectively gain a competitive advantage over the new entrants, the company can differentiate itself from its competitors by developing its private label products, which can be exclusive to the store. This will enable it to give its customers a unique product that they may not get anywhere. </w:t>
      </w:r>
    </w:p>
    <w:p>
      <w:pPr>
        <w:pStyle w:val="4"/>
        <w:spacing w:line="480" w:lineRule="auto"/>
        <w:rPr>
          <w:rFonts w:cs="Times New Roman"/>
        </w:rPr>
      </w:pPr>
      <w:bookmarkStart w:id="28" w:name="_Toc133247508"/>
      <w:bookmarkStart w:id="29" w:name="_Toc133198641"/>
      <w:r>
        <w:rPr>
          <w:rFonts w:cs="Times New Roman"/>
        </w:rPr>
        <w:t>Bargaining Power of Suppliers</w:t>
      </w:r>
      <w:bookmarkEnd w:id="28"/>
      <w:bookmarkEnd w:id="29"/>
    </w:p>
    <w:p>
      <w:pPr>
        <w:spacing w:after="0" w:line="480" w:lineRule="auto"/>
        <w:ind w:firstLine="720"/>
        <w:rPr>
          <w:rFonts w:ascii="Times New Roman" w:hAnsi="Times New Roman" w:cs="Times New Roman"/>
          <w:sz w:val="24"/>
          <w:szCs w:val="24"/>
        </w:rPr>
      </w:pPr>
      <w:r>
        <w:rPr>
          <w:rFonts w:ascii="Times New Roman" w:hAnsi="Times New Roman" w:cs="Times New Roman"/>
          <w:bCs/>
          <w:sz w:val="24"/>
          <w:szCs w:val="24"/>
        </w:rPr>
        <w:t>T</w:t>
      </w:r>
      <w:r>
        <w:rPr>
          <w:rFonts w:ascii="Times New Roman" w:hAnsi="Times New Roman" w:cs="Times New Roman"/>
          <w:sz w:val="24"/>
          <w:szCs w:val="24"/>
        </w:rPr>
        <w:t xml:space="preserve">he bargaining power of suppliers refers to the ability of the suppliers to influence the terms and conditions of the purchasing decision of a business (Isabelle et al., 2020). Suppliers with strong bargaining power can increase the prices of the products and services they provide resulting in increased expenses and reduced profitability for the company. Besides, if a business is highly dependent on a single supplier, that supplier may have considerable bargaining power (Isabelle et al., 2020). To effectively curb these challenges, Costco Company will first assess and evaluate the bargaining power of the suppliers in the market and explore various available options that can help build stronger relationships with its suppliers. The company can also find other alternative suppliers to reduce the risk of price increases. This can be achieved effectively by implementing a strategic alliance with its suppliers by, for instance, getting into long-term contracts with suppliers to ensure a stable supply of goods at a fixed price (Isabelle et al., 2020). The company will further develop a strong purchasing power to negotiate lower prices for goods and services with the suppliers, thus reducing its operations costs and passing these savings to the customers in the form of lower prices that offers a competitive advantage. </w:t>
      </w:r>
    </w:p>
    <w:p>
      <w:pPr>
        <w:pStyle w:val="4"/>
        <w:spacing w:line="480" w:lineRule="auto"/>
        <w:rPr>
          <w:rFonts w:cs="Times New Roman"/>
        </w:rPr>
      </w:pPr>
      <w:bookmarkStart w:id="30" w:name="_Toc133247509"/>
      <w:bookmarkStart w:id="31" w:name="_Toc133198642"/>
      <w:r>
        <w:rPr>
          <w:rFonts w:cs="Times New Roman"/>
        </w:rPr>
        <w:t>Bargaining power Customer</w:t>
      </w:r>
      <w:bookmarkEnd w:id="30"/>
      <w:bookmarkEnd w:id="31"/>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Customer bargaining power refers to the ability of customers to influence the quality, prices, and terms of sale of products or services provided by a company. When customers have strong bargaining power, they are likely to have a greater influence on the organisation's operations and profitability (</w:t>
      </w:r>
      <w:r>
        <w:rPr>
          <w:rFonts w:ascii="Times New Roman" w:hAnsi="Times New Roman" w:cs="Times New Roman"/>
          <w:color w:val="222222"/>
          <w:sz w:val="24"/>
          <w:szCs w:val="24"/>
          <w:shd w:val="clear" w:color="auto" w:fill="FFFFFF"/>
        </w:rPr>
        <w:t>Çitilci and Akbalık, 2020</w:t>
      </w:r>
      <w:r>
        <w:rPr>
          <w:rFonts w:ascii="Times New Roman" w:hAnsi="Times New Roman" w:cs="Times New Roman"/>
          <w:sz w:val="24"/>
          <w:szCs w:val="24"/>
        </w:rPr>
        <w:t>). The bargaining power of customers in the market is determined by various factors such as the number of buyers, level of sophistication, the ability of customers to switch to alternative services and products, and the availability of information about the services and products offered by the company (</w:t>
      </w:r>
      <w:r>
        <w:rPr>
          <w:rFonts w:ascii="Times New Roman" w:hAnsi="Times New Roman" w:cs="Times New Roman"/>
          <w:color w:val="222222"/>
          <w:sz w:val="24"/>
          <w:szCs w:val="24"/>
          <w:shd w:val="clear" w:color="auto" w:fill="FFFFFF"/>
        </w:rPr>
        <w:t>Çitilci and Akbalık, 2020</w:t>
      </w:r>
      <w:r>
        <w:rPr>
          <w:rFonts w:ascii="Times New Roman" w:hAnsi="Times New Roman" w:cs="Times New Roman"/>
          <w:sz w:val="24"/>
          <w:szCs w:val="24"/>
        </w:rPr>
        <w:t>).</w:t>
      </w:r>
    </w:p>
    <w:p>
      <w:pPr>
        <w:spacing w:after="0" w:line="480" w:lineRule="auto"/>
        <w:rPr>
          <w:rFonts w:ascii="Times New Roman" w:hAnsi="Times New Roman" w:cs="Times New Roman"/>
          <w:sz w:val="24"/>
          <w:szCs w:val="24"/>
        </w:rPr>
      </w:pPr>
      <w:r>
        <w:rPr>
          <w:rFonts w:ascii="Times New Roman" w:hAnsi="Times New Roman" w:cs="Times New Roman"/>
          <w:sz w:val="24"/>
          <w:szCs w:val="24"/>
        </w:rPr>
        <w:t>Costco will effectively analyse and evaluate the buying power of its customers and explore the various ways of strengthening its relationship with the customers, such as improving the quality of services and products offered, lowing the prices of the products, or providing value propositions to retain its customers. The company will further develop effective membership programs that will provide additional discounts, among other benefits, to its members, thus creating a sense of exclusivity that can enable it to retain its customers.</w:t>
      </w:r>
    </w:p>
    <w:p>
      <w:pPr>
        <w:pStyle w:val="4"/>
        <w:spacing w:line="480" w:lineRule="auto"/>
        <w:rPr>
          <w:rFonts w:cs="Times New Roman"/>
        </w:rPr>
      </w:pPr>
      <w:bookmarkStart w:id="32" w:name="_Toc133198643"/>
      <w:bookmarkStart w:id="33" w:name="_Toc133247510"/>
      <w:r>
        <w:rPr>
          <w:rFonts w:cs="Times New Roman"/>
        </w:rPr>
        <w:t>Threats of substitutes</w:t>
      </w:r>
      <w:bookmarkEnd w:id="32"/>
      <w:bookmarkEnd w:id="33"/>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Substitutes are the availability of alternative products and services that can effectively satisfy the needs of the same customers and the products and services provided by a particular company. The existence of many substitute products and services can adversely affect the company's profitability as the customers are likely to switch to substitute products. This can also occur if the substitutes are more attractive in terms of quality and prices (Sarisa, 2021). To effectively solve the threats brought by the substitute products and services, the Costco Company will evaluate these threats, identify appropriate alternative products and services that could potentially replace its offerings, and further explore suitable ways to differentiate its products or enhance its value proposition. One strategy that can be used to achieve this is by offering a limited selection of high-quality products at low prices and creating a unique value proposition for the customers, and this will make it difficult for substitutes to compete with its products effectively. </w:t>
      </w:r>
    </w:p>
    <w:p>
      <w:pPr>
        <w:pStyle w:val="4"/>
        <w:spacing w:line="480" w:lineRule="auto"/>
        <w:rPr>
          <w:rFonts w:cs="Times New Roman"/>
        </w:rPr>
      </w:pPr>
      <w:bookmarkStart w:id="34" w:name="_Toc133198644"/>
      <w:bookmarkStart w:id="35" w:name="_Toc133247511"/>
      <w:r>
        <w:rPr>
          <w:rFonts w:cs="Times New Roman"/>
        </w:rPr>
        <w:t>Competitive rivalry</w:t>
      </w:r>
      <w:bookmarkEnd w:id="34"/>
      <w:bookmarkEnd w:id="35"/>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Competitive rivalry refers to the level and intensity of competition between the companies operating in the same market or industry</w:t>
      </w:r>
      <w:r>
        <w:rPr>
          <w:rFonts w:ascii="Times New Roman" w:hAnsi="Times New Roman" w:cs="Times New Roman"/>
          <w:color w:val="222222"/>
          <w:sz w:val="24"/>
          <w:szCs w:val="24"/>
          <w:shd w:val="clear" w:color="auto" w:fill="FFFFFF"/>
        </w:rPr>
        <w:t xml:space="preserve"> (Berman, 2018)</w:t>
      </w:r>
      <w:r>
        <w:rPr>
          <w:rFonts w:ascii="Times New Roman" w:hAnsi="Times New Roman" w:cs="Times New Roman"/>
          <w:sz w:val="24"/>
          <w:szCs w:val="24"/>
        </w:rPr>
        <w:t>. It is the degree to which firms within an industry compete for customers, profits, and market share. Multiple factors can influence the intensity of competitive rivalry, including the number and size of competitors, the degree of product differentiation, the rate of innovation, the availability of substitute goods or services, and the bargaining power of consumers and suppliers. Costco faces stiff competition from well-developed companies in the market, such as Amazon, Target, and Walmart (</w:t>
      </w:r>
      <w:r>
        <w:rPr>
          <w:rFonts w:ascii="Times New Roman" w:hAnsi="Times New Roman" w:cs="Times New Roman"/>
          <w:color w:val="222222"/>
          <w:sz w:val="24"/>
          <w:szCs w:val="24"/>
          <w:shd w:val="clear" w:color="auto" w:fill="FFFFFF"/>
        </w:rPr>
        <w:t>Berman, 2018)</w:t>
      </w:r>
      <w:r>
        <w:rPr>
          <w:rFonts w:ascii="Times New Roman" w:hAnsi="Times New Roman" w:cs="Times New Roman"/>
          <w:sz w:val="24"/>
          <w:szCs w:val="24"/>
        </w:rPr>
        <w:t xml:space="preserve">. To match the stiff competition in the market, Costco Company will effectively analyse the rivalry among the existing competitors by evaluating the intensity of competition in the market and exploring ways to differentiate the offerings of Costco or improve its value proposition to enable it to remain competitive. The company will further focus on providing high-quality products at relatively lower prices than its competitors and initiating multiple membership programs to provide a unique competitive advantage that will enable it to stand out in the industry. </w:t>
      </w:r>
    </w:p>
    <w:p>
      <w:pPr>
        <w:pStyle w:val="3"/>
        <w:rPr>
          <w:rFonts w:cs="Times New Roman"/>
          <w:szCs w:val="24"/>
        </w:rPr>
      </w:pPr>
      <w:bookmarkStart w:id="36" w:name="_Toc133247512"/>
      <w:bookmarkStart w:id="37" w:name="_Toc133046708"/>
      <w:bookmarkStart w:id="38" w:name="_Toc133198645"/>
      <w:r>
        <w:rPr>
          <w:rFonts w:cs="Times New Roman"/>
          <w:szCs w:val="24"/>
        </w:rPr>
        <w:t>PESTLE Analysis</w:t>
      </w:r>
      <w:bookmarkEnd w:id="36"/>
      <w:bookmarkEnd w:id="37"/>
      <w:bookmarkEnd w:id="38"/>
    </w:p>
    <w:p>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The Pestle analysis refers to a strategic tool used to analyse the external macro-environmental factors affecting business organisations. This analysis focuses on the political, economic, social, technological, legal and environmental factors affecting an organization (</w:t>
      </w:r>
      <w:r>
        <w:rPr>
          <w:rFonts w:ascii="Times New Roman" w:hAnsi="Times New Roman" w:cs="Times New Roman"/>
          <w:color w:val="222222"/>
          <w:sz w:val="24"/>
          <w:szCs w:val="24"/>
          <w:shd w:val="clear" w:color="auto" w:fill="FFFFFF"/>
        </w:rPr>
        <w:t>Çitilci and Akbalık, 2020)</w:t>
      </w:r>
      <w:r>
        <w:rPr>
          <w:rFonts w:ascii="Times New Roman" w:hAnsi="Times New Roman" w:cs="Times New Roman"/>
          <w:sz w:val="24"/>
          <w:szCs w:val="24"/>
        </w:rPr>
        <w:t xml:space="preserve">. By effectively analysing the six factors, Costco will gain a better understanding of the external environment in which it operates, and this will enable it to develop appropriate strategies to respond to potential threats and opportunities. </w:t>
      </w:r>
    </w:p>
    <w:p>
      <w:pPr>
        <w:pStyle w:val="4"/>
        <w:spacing w:line="480" w:lineRule="auto"/>
        <w:rPr>
          <w:rFonts w:cs="Times New Roman"/>
        </w:rPr>
      </w:pPr>
      <w:bookmarkStart w:id="39" w:name="_Toc133198646"/>
      <w:bookmarkStart w:id="40" w:name="_Toc133247513"/>
      <w:r>
        <w:rPr>
          <w:rFonts w:cs="Times New Roman"/>
        </w:rPr>
        <w:t>Political Factors</w:t>
      </w:r>
      <w:bookmarkEnd w:id="39"/>
      <w:bookmarkEnd w:id="40"/>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Costco operates in multiple countries globally, including the United States, Mexico, Canada, the United Kingdom, South Korea, Japan, Taiwan, Australia, Spain, Iceland, and France. These nations have different political environments, which could significantly impact the company's operations (Zheng, 2020). For instance, the United States and the United Kingdom can impose tariffs and other trade barriers on foreign-imported products. The enactment of these policies has made Costco incur higher costs for importing products from its suppliers, thus hindering it from offering its services and products at relatively lower prices to its customers. This has further affected its sales and profitability (Sharma et al., 2021).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Secondly, many nations have unfavourable labour regulations and strict laws governing intellectual property rights, such as trademarks and copyrights, which affects the company's profitability. To effectively solve the political issue in the different countries where it operates, the Costco Company will significantly identify the impact of government policies and regulations on the operations of Costco, such as trade policies, labour laws, and tax laws (Nguyen, 2019). The company will then explore the potential opportunities for government grants, tax incentives, and public-private partnerships to support innovative customer care initiatives. </w:t>
      </w:r>
    </w:p>
    <w:p>
      <w:pPr>
        <w:pStyle w:val="4"/>
        <w:spacing w:line="480" w:lineRule="auto"/>
        <w:rPr>
          <w:rFonts w:cs="Times New Roman"/>
        </w:rPr>
      </w:pPr>
      <w:bookmarkStart w:id="41" w:name="_Toc133198647"/>
      <w:bookmarkStart w:id="42" w:name="_Toc133247514"/>
      <w:r>
        <w:rPr>
          <w:rFonts w:cs="Times New Roman"/>
        </w:rPr>
        <w:t>Economic Factors</w:t>
      </w:r>
      <w:bookmarkEnd w:id="41"/>
      <w:bookmarkEnd w:id="42"/>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backdrop experienced by the Costco Company during the pandemic can be attributed to multiple economic factors. During the pandemic, the major factors that adversely affected the company include low expenditure and consumer purchasing power due to inflation and increased unemployment rates in many nations, including the United States, China, and the United Kingdom. This pandemic caused many consumers to experience financial difficulties, reducing their potential to purchase products. In the United States, inflation has been a concern due to rising prices of products and services (Ran, 2022), which has severely affected the profitability of Costco's company. Besides, the pandemic led to an increased unemployment rate which adversely reduced consumers' ability to spend.</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Additionally, inflation has been a key concern in many nations where Costco operates, which has severely impacted the buyers. To solve the economic problems affecting Costco, the company will first analyse the impacts of various economic factors such as interest rates, inflation, and consumer habits. The company will then leverage its buying power to negotiate for lower prices from the suppliers, pass on the cost savings to the customers, and invest in new technologies that can enhance efficiency and reduce costs. Notably, the pandemic greatly increased the transition to digital channels and remote work. Thus, Costco can leverage technology to provide consumers with a seamless and personalised shopping experience. This may involve offering online ordering and home delivery, implementing contactless payment systems, and utilising data analytics to comprehend consumer preferences and behaviour.</w:t>
      </w:r>
    </w:p>
    <w:p>
      <w:pPr>
        <w:pStyle w:val="4"/>
        <w:spacing w:line="480" w:lineRule="auto"/>
        <w:rPr>
          <w:rFonts w:cs="Times New Roman"/>
        </w:rPr>
      </w:pPr>
      <w:bookmarkStart w:id="43" w:name="_Toc133198648"/>
      <w:bookmarkStart w:id="44" w:name="_Toc133247515"/>
      <w:r>
        <w:rPr>
          <w:rFonts w:cs="Times New Roman"/>
        </w:rPr>
        <w:t>Social Factor</w:t>
      </w:r>
      <w:bookmarkEnd w:id="43"/>
      <w:bookmarkEnd w:id="44"/>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demand for Costco's products is substantially affected by social factors. As you mentioned, shifting consumer preferences and lifestyles can substantially impact product demand. For instance, the trend toward healthier lifestyles has increased demand for organic and natural products, which Costco has met with the Kirkland Signature brand (Ran, 2022). Consumers have become more aware of the health benefits of consuming organic and natural products, so the demand for healthier products has increased substantially in recent years. In response, Costco has increased the availability and affordability of its organic and natural product offerings. In terms of hygiene and safety, the pandemic has also significantly affected consumer behaviour.</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Consumers' increased awareness of the significance of sanitation and hygiene has increased demand for products like disinfectants, hand sanitisers, and masks. Costco has taken additional measures to ensure the safety of its customers and employees, including implementing social distancing measures and limiting the number of customers in its stores (Costco Wholesale Corporation, n.d). Moreover, as consumers have become more hesitant to leave their homes, the pandemic has also increased online shopping. Costco has expanded its online presence, making it simpler for customers to shop from their homes.</w:t>
      </w:r>
    </w:p>
    <w:p>
      <w:pPr>
        <w:pStyle w:val="4"/>
        <w:spacing w:line="480" w:lineRule="auto"/>
        <w:rPr>
          <w:rFonts w:cs="Times New Roman"/>
        </w:rPr>
      </w:pPr>
      <w:bookmarkStart w:id="45" w:name="_Toc133198649"/>
      <w:bookmarkStart w:id="46" w:name="_Toc133247516"/>
      <w:r>
        <w:rPr>
          <w:rFonts w:cs="Times New Roman"/>
        </w:rPr>
        <w:t>Technological Factors</w:t>
      </w:r>
      <w:bookmarkEnd w:id="45"/>
      <w:bookmarkEnd w:id="46"/>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Technological developments such as e-commerce and digitalisation have significantly impacted the retail industry (</w:t>
      </w:r>
      <w:r>
        <w:rPr>
          <w:rFonts w:ascii="Times New Roman" w:hAnsi="Times New Roman" w:cs="Times New Roman"/>
          <w:bCs/>
          <w:sz w:val="24"/>
          <w:szCs w:val="24"/>
        </w:rPr>
        <w:t>Dess et al. 2016)</w:t>
      </w:r>
      <w:r>
        <w:rPr>
          <w:rFonts w:ascii="Times New Roman" w:hAnsi="Times New Roman" w:cs="Times New Roman"/>
          <w:sz w:val="24"/>
          <w:szCs w:val="24"/>
        </w:rPr>
        <w:t xml:space="preserve">. The rise of online purchasing has altered consumers' shopping habits and forced traditional retailers to adapt or risk falling behind. Like many other traditional brick-and-mortar retailers, Costco was initially reluctant to adopt e-commerce. However, with the emergence of the COVID-19 pandemic, online shopping has significantly increased, making it a key strategy for the company to enhance its sales. To meet the evolving needs of its consumers, Costco will begin to invest in e-commerce and introduce same-day delivery services and curbside pickup. </w:t>
      </w:r>
    </w:p>
    <w:p>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bCs/>
          <w:sz w:val="24"/>
          <w:szCs w:val="24"/>
        </w:rPr>
        <w:t>McKinsey and Company (2020</w:t>
      </w:r>
      <w:r>
        <w:rPr>
          <w:rFonts w:ascii="Times New Roman" w:hAnsi="Times New Roman" w:cs="Times New Roman"/>
          <w:sz w:val="24"/>
          <w:szCs w:val="24"/>
        </w:rPr>
        <w:t>) technology and innovation plays significant roles in transforming various industries. The application of technology can enable Costco to develop superhuman agents such as the artificial intelligence and natural language processing can be leveraged to create and analyze personalised experiences. Technology will help Costco to enhance its customer experiences because technologies like sentiment analysis and voice recognition can be used to understand the emotions of the customers and improve their experiences (</w:t>
      </w:r>
      <w:r>
        <w:rPr>
          <w:rFonts w:ascii="Times New Roman" w:hAnsi="Times New Roman" w:cs="Times New Roman"/>
          <w:bCs/>
          <w:sz w:val="24"/>
          <w:szCs w:val="24"/>
        </w:rPr>
        <w:t>McKinsey and Company. 2020</w:t>
      </w:r>
      <w:r>
        <w:rPr>
          <w:rFonts w:ascii="Times New Roman" w:hAnsi="Times New Roman" w:cs="Times New Roman"/>
          <w:sz w:val="24"/>
          <w:szCs w:val="24"/>
        </w:rPr>
        <w:t xml:space="preserve">). For example, if a customer is frustrated or angry, the system can automatically route them to a more reliable and experienced agent who better equipped to handle their situation. After contacting the customers, the technologies will be enable the company to transcribe and analyze the customer interactions, identify the areas of improvement and enhance training opportunities for agents.  </w:t>
      </w:r>
    </w:p>
    <w:p>
      <w:pPr>
        <w:pStyle w:val="4"/>
        <w:spacing w:line="480" w:lineRule="auto"/>
        <w:rPr>
          <w:rFonts w:cs="Times New Roman"/>
        </w:rPr>
      </w:pPr>
      <w:bookmarkStart w:id="47" w:name="_Toc133198650"/>
      <w:bookmarkStart w:id="48" w:name="_Toc133247517"/>
      <w:r>
        <w:rPr>
          <w:rFonts w:cs="Times New Roman"/>
        </w:rPr>
        <w:t>Environmental Factors</w:t>
      </w:r>
      <w:bookmarkEnd w:id="47"/>
      <w:bookmarkEnd w:id="48"/>
    </w:p>
    <w:p>
      <w:pPr>
        <w:spacing w:after="0" w:line="480" w:lineRule="auto"/>
        <w:ind w:firstLine="720"/>
        <w:rPr>
          <w:rFonts w:ascii="Times New Roman" w:hAnsi="Times New Roman" w:cs="Times New Roman"/>
          <w:sz w:val="24"/>
          <w:szCs w:val="24"/>
        </w:rPr>
      </w:pPr>
      <w:r>
        <w:rPr>
          <w:rFonts w:ascii="Times New Roman" w:hAnsi="Times New Roman" w:cs="Times New Roman"/>
          <w:bCs/>
          <w:sz w:val="24"/>
          <w:szCs w:val="24"/>
        </w:rPr>
        <w:t>T</w:t>
      </w:r>
      <w:r>
        <w:rPr>
          <w:rFonts w:ascii="Times New Roman" w:hAnsi="Times New Roman" w:cs="Times New Roman"/>
          <w:sz w:val="24"/>
          <w:szCs w:val="24"/>
        </w:rPr>
        <w:t>he environmental factors in the PESTLE analysis refer to external factors that impact an organisation's operations and are beyond the organisation's control (Simoes, 2020). Like numerous other retailers, Costco must clearly recognise the significance of environmental sustainability for consumers in the global market. This can be achieved by implementing various strategies aimed at improving environmental sustainability. Among these measures include being committed to reducing plastic pollution by reducing packaging, using alternative materials whenever possible, and employing recyclable materials (</w:t>
      </w:r>
      <w:r>
        <w:rPr>
          <w:rFonts w:ascii="Times New Roman" w:hAnsi="Times New Roman" w:cs="Times New Roman"/>
          <w:bCs/>
          <w:sz w:val="24"/>
          <w:szCs w:val="24"/>
        </w:rPr>
        <w:t>Mintzberg,c 2009)</w:t>
      </w:r>
      <w:r>
        <w:rPr>
          <w:rFonts w:ascii="Times New Roman" w:hAnsi="Times New Roman" w:cs="Times New Roman"/>
          <w:sz w:val="24"/>
          <w:szCs w:val="24"/>
        </w:rPr>
        <w:t>. The company should also develop many sustainable packaging initiatives to reduce plastic use.</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Additionally, Costco should encourage its suppliers to adopt sustainable practices such as conserving water, reducing greenhouse gas emissions, and utilising renewable energy. This will enable it to reduce its negative environmental impact and further assist the suppliers in becoming more sustainable. Additionally, the company should invest in renewable energy sources like wind power, solar power, and fuel cells (</w:t>
      </w:r>
      <w:r>
        <w:rPr>
          <w:rFonts w:ascii="Times New Roman" w:hAnsi="Times New Roman" w:cs="Times New Roman"/>
          <w:bCs/>
          <w:sz w:val="24"/>
          <w:szCs w:val="24"/>
        </w:rPr>
        <w:t>Dess et al. 2016)</w:t>
      </w:r>
      <w:r>
        <w:rPr>
          <w:rFonts w:ascii="Times New Roman" w:hAnsi="Times New Roman" w:cs="Times New Roman"/>
          <w:sz w:val="24"/>
          <w:szCs w:val="24"/>
        </w:rPr>
        <w:t xml:space="preserve">. The company can also partner with many wind farms to produce renewable energy equivalent to the annual electricity. Costco can engage its employees in sustainability initiatives by educating and training them on sustainable practices, encouraging their participation in recycling and composting programs, and incentivizing their adoption of sustainable practices. </w:t>
      </w:r>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Furthermore, the Company can procure its products from suppliers engaging in environmentally responsible practices such as organic farming, waste reduction, and renewable energy. Costco can reduce its energy consumption by installing LED lighting, enhancing HVAC systems, and upgrading refrigeration systems, among other energy-efficient measures. This will reduce not only the company's energy costs but also its carbon footprint (</w:t>
      </w:r>
      <w:r>
        <w:rPr>
          <w:rFonts w:ascii="Times New Roman" w:hAnsi="Times New Roman" w:cs="Times New Roman"/>
          <w:color w:val="222222"/>
          <w:sz w:val="24"/>
          <w:szCs w:val="24"/>
          <w:shd w:val="clear" w:color="auto" w:fill="FFFFFF"/>
        </w:rPr>
        <w:t>Andriuškevičius and Štreimikienė, 2021</w:t>
      </w:r>
      <w:r>
        <w:rPr>
          <w:rFonts w:ascii="Times New Roman" w:hAnsi="Times New Roman" w:cs="Times New Roman"/>
          <w:sz w:val="24"/>
          <w:szCs w:val="24"/>
        </w:rPr>
        <w:t>).</w:t>
      </w:r>
    </w:p>
    <w:p>
      <w:pPr>
        <w:pStyle w:val="4"/>
        <w:spacing w:line="480" w:lineRule="auto"/>
        <w:rPr>
          <w:rFonts w:cs="Times New Roman"/>
        </w:rPr>
      </w:pPr>
      <w:bookmarkStart w:id="49" w:name="_Toc133198651"/>
      <w:bookmarkStart w:id="50" w:name="_Toc133247518"/>
      <w:r>
        <w:rPr>
          <w:rFonts w:cs="Times New Roman"/>
        </w:rPr>
        <w:t>Legal Factors</w:t>
      </w:r>
      <w:bookmarkEnd w:id="49"/>
      <w:bookmarkEnd w:id="50"/>
    </w:p>
    <w:p>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legal factors in the PESTLE Analysis refer to regulations, termination, laws, and policies that can impact a business company or industry (</w:t>
      </w:r>
      <w:r>
        <w:rPr>
          <w:rFonts w:ascii="Times New Roman" w:hAnsi="Times New Roman" w:cs="Times New Roman"/>
          <w:bCs/>
          <w:sz w:val="24"/>
          <w:szCs w:val="24"/>
        </w:rPr>
        <w:t>Grant, 2015)</w:t>
      </w:r>
      <w:r>
        <w:rPr>
          <w:rFonts w:ascii="Times New Roman" w:hAnsi="Times New Roman" w:cs="Times New Roman"/>
          <w:sz w:val="24"/>
          <w:szCs w:val="24"/>
        </w:rPr>
        <w:t>. As a significant retailer, Costco is subject to many legal regulations and requirements, including product safety and labour laws. These regulations can have significant positive and negative effects on the company's operations and reputation (</w:t>
      </w:r>
      <w:r>
        <w:rPr>
          <w:rFonts w:ascii="Times New Roman" w:hAnsi="Times New Roman" w:cs="Times New Roman"/>
          <w:color w:val="222222"/>
          <w:sz w:val="24"/>
          <w:szCs w:val="24"/>
          <w:shd w:val="clear" w:color="auto" w:fill="FFFFFF"/>
        </w:rPr>
        <w:t>Berman, 2018)</w:t>
      </w:r>
      <w:r>
        <w:rPr>
          <w:rFonts w:ascii="Times New Roman" w:hAnsi="Times New Roman" w:cs="Times New Roman"/>
          <w:sz w:val="24"/>
          <w:szCs w:val="24"/>
        </w:rPr>
        <w:t xml:space="preserve">. Regarding labour laws, Costco has previously been criticized for its treatment of employees. Specifically, some employees have accused the company of failing to pay a reasonable wage, providing insufficient benefits, and prohibiting unionization (Sarisa, 2021). Consequently Costco should take appropriate measures, such as increasing the minimum wage of its employees and implementing effective practices that can make healthcare more affordable for its employees. </w:t>
      </w:r>
    </w:p>
    <w:p>
      <w:pPr>
        <w:pStyle w:val="2"/>
        <w:spacing w:line="480" w:lineRule="auto"/>
        <w:rPr>
          <w:rFonts w:cs="Times New Roman"/>
          <w:szCs w:val="24"/>
        </w:rPr>
      </w:pPr>
      <w:bookmarkStart w:id="51" w:name="_Toc133247519"/>
      <w:bookmarkStart w:id="52" w:name="_Toc133198652"/>
      <w:bookmarkStart w:id="53" w:name="_Toc133046709"/>
      <w:r>
        <w:rPr>
          <w:rFonts w:cs="Times New Roman"/>
          <w:szCs w:val="24"/>
        </w:rPr>
        <w:t>Conclusion</w:t>
      </w:r>
      <w:bookmarkEnd w:id="51"/>
      <w:bookmarkEnd w:id="52"/>
      <w:bookmarkEnd w:id="53"/>
    </w:p>
    <w:p>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Costco Company has faced multiple challenges following the sudden onset of the pandemic that has severely impacted the retail industry. This has hindered the company from providing its products and services to the market in a more profitable manner. To effectively regain its strong competitive base in the global market, Costco Company must implement relevant managerial strategies as described in the above strategic tools of analysis. Strategic analysis plays a significant role in the enhancement of a company's competitive base, and this will enable Costco to reshape its direction in response to the challenges that it currently experiences, such as unsustainable competition and negative customer behaviours. Strategic management involves formulating, evaluating, and implementing an organisation's strategies to achieve its objectives effectively. One effective strategy that can enable the company to regain its competitiveness is product differentiation. The wholesale club industry recognises Costco as a prominent retail behemoth. The company can thus enhance its product differentiation through localisation, enhancing innovation, labelling its brands privately and bundling its products. </w:t>
      </w:r>
    </w:p>
    <w:p>
      <w:pPr>
        <w:pStyle w:val="2"/>
        <w:spacing w:line="480" w:lineRule="auto"/>
        <w:rPr>
          <w:rFonts w:cs="Times New Roman"/>
          <w:szCs w:val="24"/>
        </w:rPr>
      </w:pPr>
      <w:bookmarkStart w:id="54" w:name="_Toc133046710"/>
      <w:bookmarkStart w:id="55" w:name="_Toc133247520"/>
      <w:bookmarkStart w:id="56" w:name="_Toc133198653"/>
      <w:r>
        <w:rPr>
          <w:rFonts w:cs="Times New Roman"/>
          <w:szCs w:val="24"/>
        </w:rPr>
        <w:t>Recommendations</w:t>
      </w:r>
      <w:bookmarkEnd w:id="54"/>
      <w:bookmarkEnd w:id="55"/>
      <w:bookmarkEnd w:id="56"/>
    </w:p>
    <w:p>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Costco should adopt and use a multi-faceted approach that combines technology, customer-centricity, and empowerment of employees to deliver effectively. The company should also invest in the training of their employees. The employees of Costco are its most valuable asset, and it is thus recommended that it invest in its training and development to enable the company to maintain a competitive advantage. The company can provide training in new technologies, customer service, and crisis management. This can help employees adapt to the shifting business environment and provide superior customer service. The company should also foster a culture of innovation and agility effectively. To remain competitive, Costco should promote a culture of innovation and adaptability. This may entail forming cross-functional teams capable of rapidly adapting to shifting customer needs and market trends. In addition to encouraging employees to generate new ideas, the company can reward innovation. The company should also enhance supply chain resilience. Since the pandemic has greatly exposed many businesses in the global market to vulnerabilities in their supply chains, Costco should increase the resilience of its supply chain by differentiating its suppliers, employing advanced analytics that can enable it to predict demand, and further implementing agile manufacturing and distribution processes. </w:t>
      </w: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pStyle w:val="2"/>
        <w:spacing w:line="480" w:lineRule="auto"/>
        <w:rPr>
          <w:rFonts w:cs="Times New Roman"/>
          <w:szCs w:val="24"/>
        </w:rPr>
      </w:pPr>
      <w:bookmarkStart w:id="57" w:name="_Toc133046711"/>
      <w:bookmarkStart w:id="58" w:name="_Toc133247521"/>
      <w:bookmarkStart w:id="59" w:name="_Toc133198654"/>
      <w:r>
        <w:rPr>
          <w:rFonts w:cs="Times New Roman"/>
          <w:szCs w:val="24"/>
        </w:rPr>
        <w:t>Reference</w:t>
      </w:r>
      <w:bookmarkEnd w:id="57"/>
      <w:r>
        <w:rPr>
          <w:rFonts w:cs="Times New Roman"/>
          <w:szCs w:val="24"/>
        </w:rPr>
        <w:t xml:space="preserve"> List</w:t>
      </w:r>
      <w:bookmarkEnd w:id="58"/>
      <w:bookmarkEnd w:id="59"/>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Anastasiu, L., Gavriş, O. and Maier, D., (2020) Is human capital ready for a change? A strategic approach is adapting Porter's five forces to human resources</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(6), p.2300.</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Andriuškevičius, K. and Štreimikienė, D., (2021) Developments and trends of mergers and acquisitions in the energy industry. </w:t>
      </w:r>
      <w:r>
        <w:rPr>
          <w:rFonts w:ascii="Times New Roman" w:hAnsi="Times New Roman" w:cs="Times New Roman"/>
          <w:i/>
          <w:iCs/>
          <w:color w:val="222222"/>
          <w:sz w:val="24"/>
          <w:szCs w:val="24"/>
          <w:shd w:val="clear" w:color="auto" w:fill="FFFFFF"/>
        </w:rPr>
        <w:t>Energies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(8), p.2158.</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Berman, B.R., (2018) </w:t>
      </w:r>
      <w:r>
        <w:rPr>
          <w:rFonts w:ascii="Times New Roman" w:hAnsi="Times New Roman" w:cs="Times New Roman"/>
          <w:i/>
          <w:iCs/>
          <w:color w:val="222222"/>
          <w:sz w:val="24"/>
          <w:szCs w:val="24"/>
          <w:shd w:val="clear" w:color="auto" w:fill="FFFFFF"/>
        </w:rPr>
        <w:t>Competing in Tough Times: Business Lessons from LL Bean, Trader Joe's, Costco, and Other World-Class Retailers (Paperback)</w:t>
      </w:r>
      <w:r>
        <w:rPr>
          <w:rFonts w:ascii="Times New Roman" w:hAnsi="Times New Roman" w:cs="Times New Roman"/>
          <w:color w:val="222222"/>
          <w:sz w:val="24"/>
          <w:szCs w:val="24"/>
          <w:shd w:val="clear" w:color="auto" w:fill="FFFFFF"/>
        </w:rPr>
        <w:t>. FT Press.</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Çitilci, T. and Akbalık, M., (2020) The importance of PESTEL analysis for the environmental scanning process. In </w:t>
      </w:r>
      <w:r>
        <w:rPr>
          <w:rFonts w:ascii="Times New Roman" w:hAnsi="Times New Roman" w:cs="Times New Roman"/>
          <w:i/>
          <w:iCs/>
          <w:color w:val="222222"/>
          <w:sz w:val="24"/>
          <w:szCs w:val="24"/>
          <w:shd w:val="clear" w:color="auto" w:fill="FFFFFF"/>
        </w:rPr>
        <w:t>Handbook of Research on Decision-Making Techniques in Financial Marketing</w:t>
      </w:r>
      <w:r>
        <w:rPr>
          <w:rFonts w:ascii="Times New Roman" w:hAnsi="Times New Roman" w:cs="Times New Roman"/>
          <w:color w:val="222222"/>
          <w:sz w:val="24"/>
          <w:szCs w:val="24"/>
          <w:shd w:val="clear" w:color="auto" w:fill="FFFFFF"/>
        </w:rPr>
        <w:t> (pp. 336-357). IGI Global.</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Costco Wholesale Corporation (n.d) Company profile. Retrieved from </w:t>
      </w:r>
      <w:r>
        <w:fldChar w:fldCharType="begin"/>
      </w:r>
      <w:r>
        <w:instrText xml:space="preserve"> HYPERLINK "https://investor.costco.com/company-profile/default.aspx" </w:instrText>
      </w:r>
      <w:r>
        <w:fldChar w:fldCharType="separate"/>
      </w:r>
      <w:r>
        <w:rPr>
          <w:rStyle w:val="17"/>
          <w:rFonts w:ascii="Times New Roman" w:hAnsi="Times New Roman" w:cs="Times New Roman"/>
          <w:sz w:val="24"/>
          <w:szCs w:val="24"/>
          <w:shd w:val="clear" w:color="auto" w:fill="FFFFFF"/>
        </w:rPr>
        <w:t>https://investor.costco.com/company-profile/default.aspx</w:t>
      </w:r>
      <w:r>
        <w:rPr>
          <w:rStyle w:val="17"/>
          <w:rFonts w:ascii="Times New Roman" w:hAnsi="Times New Roman" w:cs="Times New Roman"/>
          <w:sz w:val="24"/>
          <w:szCs w:val="24"/>
          <w:shd w:val="clear" w:color="auto" w:fill="FFFFFF"/>
        </w:rPr>
        <w:fldChar w:fldCharType="end"/>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Desai, C. (2019) Strategy and strategic management. In </w:t>
      </w:r>
      <w:r>
        <w:rPr>
          <w:rFonts w:ascii="Times New Roman" w:hAnsi="Times New Roman" w:cs="Times New Roman"/>
          <w:i/>
          <w:iCs/>
          <w:color w:val="222222"/>
          <w:sz w:val="24"/>
          <w:szCs w:val="24"/>
          <w:shd w:val="clear" w:color="auto" w:fill="FFFFFF"/>
        </w:rPr>
        <w:t>Management for Scientists</w:t>
      </w:r>
      <w:r>
        <w:rPr>
          <w:rFonts w:ascii="Times New Roman" w:hAnsi="Times New Roman" w:cs="Times New Roman"/>
          <w:color w:val="222222"/>
          <w:sz w:val="24"/>
          <w:szCs w:val="24"/>
          <w:shd w:val="clear" w:color="auto" w:fill="FFFFFF"/>
        </w:rPr>
        <w:t>. Emerald Publishing Limited.</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Dess, G. G., Eisner, A., McNamara, G. (2016) </w:t>
      </w:r>
      <w:r>
        <w:rPr>
          <w:rFonts w:ascii="Times New Roman" w:hAnsi="Times New Roman" w:cs="Times New Roman"/>
          <w:bCs/>
          <w:i/>
          <w:sz w:val="24"/>
          <w:szCs w:val="24"/>
        </w:rPr>
        <w:t>Strategic Management: Texts and Cases</w:t>
      </w:r>
      <w:r>
        <w:rPr>
          <w:rFonts w:ascii="Times New Roman" w:hAnsi="Times New Roman" w:cs="Times New Roman"/>
          <w:bCs/>
          <w:sz w:val="24"/>
          <w:szCs w:val="24"/>
        </w:rPr>
        <w:t>, McGraw-Hill</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Fuertes, G., Alfaro, M., Vargas, M., Gutierrez, S., Ternero, R. and Sabattin, J., (2020) A conceptual framework for the strategic management: a literature review—descriptive. </w:t>
      </w:r>
      <w:r>
        <w:rPr>
          <w:rFonts w:ascii="Times New Roman" w:hAnsi="Times New Roman" w:cs="Times New Roman"/>
          <w:i/>
          <w:iCs/>
          <w:color w:val="222222"/>
          <w:sz w:val="24"/>
          <w:szCs w:val="24"/>
          <w:shd w:val="clear" w:color="auto" w:fill="FFFFFF"/>
        </w:rPr>
        <w:t>Journal of Engineering</w:t>
      </w:r>
      <w:r>
        <w:rPr>
          <w:rFonts w:ascii="Times New Roman" w:hAnsi="Times New Roman" w:cs="Times New Roman"/>
          <w:color w:val="222222"/>
          <w:sz w:val="24"/>
          <w:szCs w:val="24"/>
          <w:shd w:val="clear" w:color="auto" w:fill="FFFFFF"/>
        </w:rPr>
        <w:t>, pp.1-21.</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Garner, J., Stead, W., Stead, E. (2014) </w:t>
      </w:r>
      <w:r>
        <w:rPr>
          <w:rFonts w:ascii="Times New Roman" w:hAnsi="Times New Roman" w:cs="Times New Roman"/>
          <w:bCs/>
          <w:i/>
          <w:sz w:val="24"/>
          <w:szCs w:val="24"/>
        </w:rPr>
        <w:t>Sustainable Strategic Management 2nd edition</w:t>
      </w:r>
      <w:r>
        <w:rPr>
          <w:rFonts w:ascii="Times New Roman" w:hAnsi="Times New Roman" w:cs="Times New Roman"/>
          <w:bCs/>
          <w:sz w:val="24"/>
          <w:szCs w:val="24"/>
        </w:rPr>
        <w:t>, London: England: Greenleaf Pub.</w:t>
      </w:r>
    </w:p>
    <w:p>
      <w:pPr>
        <w:spacing w:after="0" w:line="480" w:lineRule="auto"/>
        <w:ind w:left="720" w:hanging="720"/>
        <w:rPr>
          <w:rFonts w:ascii="Times New Roman" w:hAnsi="Times New Roman" w:cs="Times New Roman"/>
          <w:b/>
          <w:bCs/>
          <w:sz w:val="24"/>
          <w:szCs w:val="24"/>
        </w:rPr>
      </w:pPr>
      <w:r>
        <w:rPr>
          <w:rFonts w:ascii="Times New Roman" w:hAnsi="Times New Roman" w:cs="Times New Roman"/>
          <w:color w:val="222222"/>
          <w:sz w:val="24"/>
          <w:szCs w:val="24"/>
          <w:shd w:val="clear" w:color="auto" w:fill="FFFFFF"/>
        </w:rPr>
        <w:t xml:space="preserve">Goyal, A. (2020) A Critical Analysis of Porter's 5 Forces Model of competitive advantage. </w:t>
      </w:r>
      <w:r>
        <w:rPr>
          <w:rFonts w:ascii="Times New Roman" w:hAnsi="Times New Roman" w:cs="Times New Roman"/>
          <w:i/>
          <w:iCs/>
          <w:color w:val="222222"/>
          <w:sz w:val="24"/>
          <w:szCs w:val="24"/>
          <w:shd w:val="clear" w:color="auto" w:fill="FFFFFF"/>
        </w:rPr>
        <w:t>Goyal, A. A Critical Analysis of Porter’s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p. 5</w:t>
      </w:r>
      <w:r>
        <w:rPr>
          <w:rFonts w:ascii="Times New Roman" w:hAnsi="Times New Roman" w:cs="Times New Roman"/>
          <w:color w:val="222222"/>
          <w:sz w:val="24"/>
          <w:szCs w:val="24"/>
          <w:shd w:val="clear" w:color="auto" w:fill="FFFFFF"/>
        </w:rPr>
        <w:t>.</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Grant, R.M. (2015) </w:t>
      </w:r>
      <w:r>
        <w:rPr>
          <w:rFonts w:ascii="Times New Roman" w:hAnsi="Times New Roman" w:cs="Times New Roman"/>
          <w:bCs/>
          <w:i/>
          <w:sz w:val="24"/>
          <w:szCs w:val="24"/>
        </w:rPr>
        <w:t>Contemporary Strategy Analysis: Texts and Cases 9th edition</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Grewal, D., Krishnan, R., Levy, M. and Munger, J., (2010) Retail success and key drivers. </w:t>
      </w:r>
      <w:r>
        <w:rPr>
          <w:rFonts w:ascii="Times New Roman" w:hAnsi="Times New Roman" w:cs="Times New Roman"/>
          <w:i/>
          <w:iCs/>
          <w:color w:val="222222"/>
          <w:sz w:val="24"/>
          <w:szCs w:val="24"/>
          <w:shd w:val="clear" w:color="auto" w:fill="FFFFFF"/>
        </w:rPr>
        <w:t>Retailing in the 21st Century: Current and future trends</w:t>
      </w:r>
      <w:r>
        <w:rPr>
          <w:rFonts w:ascii="Times New Roman" w:hAnsi="Times New Roman" w:cs="Times New Roman"/>
          <w:color w:val="222222"/>
          <w:sz w:val="24"/>
          <w:szCs w:val="24"/>
          <w:shd w:val="clear" w:color="auto" w:fill="FFFFFF"/>
        </w:rPr>
        <w:t>, pp.15–30.</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Hayes, J. (2014) </w:t>
      </w:r>
      <w:r>
        <w:rPr>
          <w:rFonts w:ascii="Times New Roman" w:hAnsi="Times New Roman" w:cs="Times New Roman"/>
          <w:bCs/>
          <w:i/>
          <w:sz w:val="24"/>
          <w:szCs w:val="24"/>
        </w:rPr>
        <w:t>The Theory and Practice of Change Management 4th edition</w:t>
      </w:r>
      <w:r>
        <w:rPr>
          <w:rFonts w:ascii="Times New Roman" w:hAnsi="Times New Roman" w:cs="Times New Roman"/>
          <w:bCs/>
          <w:sz w:val="24"/>
          <w:szCs w:val="24"/>
        </w:rPr>
        <w:t>, Palgrave</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Isabelle, D., Horak, K., McKinnon, S. &amp; Palumbo, C. (2020) Is Porter's Five Forces Framework Still Relevant? A study of the capital/labor intensity continuum via mining and IT industries. </w:t>
      </w:r>
      <w:r>
        <w:rPr>
          <w:rFonts w:ascii="Times New Roman" w:hAnsi="Times New Roman" w:cs="Times New Roman"/>
          <w:i/>
          <w:iCs/>
          <w:color w:val="222222"/>
          <w:sz w:val="24"/>
          <w:szCs w:val="24"/>
          <w:shd w:val="clear" w:color="auto" w:fill="FFFFFF"/>
        </w:rPr>
        <w:t>Technology Innovation Management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(6).</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Johnson, G., Whittington, R., Scholes, K., Angwin, D., Regner, P. (2017) </w:t>
      </w:r>
      <w:r>
        <w:rPr>
          <w:rFonts w:ascii="Times New Roman" w:hAnsi="Times New Roman" w:cs="Times New Roman"/>
          <w:bCs/>
          <w:i/>
          <w:sz w:val="24"/>
          <w:szCs w:val="24"/>
        </w:rPr>
        <w:t>Exploring Strategy Text and Cases 11th edition</w:t>
      </w:r>
      <w:r>
        <w:rPr>
          <w:rFonts w:ascii="Times New Roman" w:hAnsi="Times New Roman" w:cs="Times New Roman"/>
          <w:bCs/>
          <w:sz w:val="24"/>
          <w:szCs w:val="24"/>
        </w:rPr>
        <w:t xml:space="preserve"> Harlow: Pearson </w:t>
      </w:r>
    </w:p>
    <w:p>
      <w:pPr>
        <w:pStyle w:val="12"/>
        <w:spacing w:before="0" w:beforeAutospacing="0" w:after="0" w:afterAutospacing="0" w:line="480" w:lineRule="auto"/>
        <w:ind w:left="720" w:hanging="720"/>
        <w:rPr>
          <w:color w:val="222222"/>
          <w:shd w:val="clear" w:color="auto" w:fill="FFFFFF"/>
        </w:rPr>
      </w:pPr>
      <w:r>
        <w:rPr>
          <w:color w:val="222222"/>
          <w:shd w:val="clear" w:color="auto" w:fill="FFFFFF"/>
        </w:rPr>
        <w:t>Kuokkanen, H. and Sun, W., (2020) Companies, meet ethical consumers: Strategic CSR management to impact consumer choice. </w:t>
      </w:r>
      <w:r>
        <w:rPr>
          <w:i/>
          <w:iCs/>
          <w:color w:val="222222"/>
          <w:shd w:val="clear" w:color="auto" w:fill="FFFFFF"/>
        </w:rPr>
        <w:t>Journal of Business Ethics</w:t>
      </w:r>
      <w:r>
        <w:rPr>
          <w:color w:val="222222"/>
          <w:shd w:val="clear" w:color="auto" w:fill="FFFFFF"/>
        </w:rPr>
        <w:t>, </w:t>
      </w:r>
      <w:r>
        <w:rPr>
          <w:i/>
          <w:iCs/>
          <w:color w:val="222222"/>
          <w:shd w:val="clear" w:color="auto" w:fill="FFFFFF"/>
        </w:rPr>
        <w:t>166</w:t>
      </w:r>
      <w:r>
        <w:rPr>
          <w:color w:val="222222"/>
          <w:shd w:val="clear" w:color="auto" w:fill="FFFFFF"/>
        </w:rPr>
        <w:t>, pp.403-423.</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Lynch, R. 2015. </w:t>
      </w:r>
      <w:r>
        <w:rPr>
          <w:rFonts w:ascii="Times New Roman" w:hAnsi="Times New Roman" w:cs="Times New Roman"/>
          <w:bCs/>
          <w:i/>
          <w:sz w:val="24"/>
          <w:szCs w:val="24"/>
        </w:rPr>
        <w:t>Strategic Management 7th edition</w:t>
      </w:r>
      <w:r>
        <w:rPr>
          <w:rFonts w:ascii="Times New Roman" w:hAnsi="Times New Roman" w:cs="Times New Roman"/>
          <w:bCs/>
          <w:sz w:val="24"/>
          <w:szCs w:val="24"/>
        </w:rPr>
        <w:t>, Pearson: Harlow</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McKinsey &amp; Company. (2020) The care of one hyperpersonalization of customer care. McKinsey &amp; Company </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Minahan, S.M., Huddleston, P. &amp; Bianchi, C. (2018) Costco and the Aussie Shopper: a case study of the market entry of an international retailer. </w:t>
      </w:r>
      <w:r>
        <w:rPr>
          <w:rFonts w:ascii="Times New Roman" w:hAnsi="Times New Roman" w:cs="Times New Roman"/>
          <w:i/>
          <w:iCs/>
          <w:color w:val="222222"/>
          <w:sz w:val="24"/>
          <w:szCs w:val="24"/>
          <w:shd w:val="clear" w:color="auto" w:fill="FFFFFF"/>
        </w:rPr>
        <w:t>The International Review of Retail, Distribution, and Consumer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(5), 507–527.</w:t>
      </w:r>
    </w:p>
    <w:p>
      <w:pPr>
        <w:spacing w:after="0" w:line="480" w:lineRule="auto"/>
        <w:ind w:left="720" w:hanging="720"/>
        <w:rPr>
          <w:rFonts w:ascii="Times New Roman" w:hAnsi="Times New Roman" w:cs="Times New Roman"/>
          <w:bCs/>
          <w:sz w:val="24"/>
          <w:szCs w:val="24"/>
        </w:rPr>
      </w:pPr>
      <w:r>
        <w:rPr>
          <w:rFonts w:ascii="Times New Roman" w:hAnsi="Times New Roman" w:cs="Times New Roman"/>
          <w:bCs/>
          <w:sz w:val="24"/>
          <w:szCs w:val="24"/>
        </w:rPr>
        <w:t xml:space="preserve">Mintzberg, H., Ahlstrand, B., and Lampel, J. (2009) </w:t>
      </w:r>
      <w:r>
        <w:rPr>
          <w:rFonts w:ascii="Times New Roman" w:hAnsi="Times New Roman" w:cs="Times New Roman"/>
          <w:bCs/>
          <w:i/>
          <w:sz w:val="24"/>
          <w:szCs w:val="24"/>
        </w:rPr>
        <w:t>Strategy Safari: The Complete Guide Through the Wilds of Strategic Management</w:t>
      </w:r>
      <w:r>
        <w:rPr>
          <w:rFonts w:ascii="Times New Roman" w:hAnsi="Times New Roman" w:cs="Times New Roman"/>
          <w:bCs/>
          <w:sz w:val="24"/>
          <w:szCs w:val="24"/>
        </w:rPr>
        <w:t>, Harlow:  FT Prentice Hall</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Nguyen, T.D.E., (2019) </w:t>
      </w:r>
      <w:r>
        <w:rPr>
          <w:rFonts w:ascii="Times New Roman" w:hAnsi="Times New Roman" w:cs="Times New Roman"/>
          <w:i/>
          <w:iCs/>
          <w:color w:val="222222"/>
          <w:sz w:val="24"/>
          <w:szCs w:val="24"/>
          <w:shd w:val="clear" w:color="auto" w:fill="FFFFFF"/>
        </w:rPr>
        <w:t>Factors affecting customer loyalty of different strategic groups in the Vietnamese supermarket sector</w:t>
      </w:r>
      <w:r>
        <w:rPr>
          <w:rFonts w:ascii="Times New Roman" w:hAnsi="Times New Roman" w:cs="Times New Roman"/>
          <w:color w:val="222222"/>
          <w:sz w:val="24"/>
          <w:szCs w:val="24"/>
          <w:shd w:val="clear" w:color="auto" w:fill="FFFFFF"/>
        </w:rPr>
        <w:t> (Doctoral dissertation, University of Hull).</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Ran, M., (2022) December. Under the Depressed Economic Environment and Covid-19, Is METRO AG Worth Being Invested in? In </w:t>
      </w:r>
      <w:r>
        <w:rPr>
          <w:rFonts w:ascii="Times New Roman" w:hAnsi="Times New Roman" w:cs="Times New Roman"/>
          <w:i/>
          <w:iCs/>
          <w:color w:val="222222"/>
          <w:sz w:val="24"/>
          <w:szCs w:val="24"/>
          <w:shd w:val="clear" w:color="auto" w:fill="FFFFFF"/>
        </w:rPr>
        <w:t>2022 4th International Conference on Economic Management and Cultural Industry (ICEMCI 2022)</w:t>
      </w:r>
      <w:r>
        <w:rPr>
          <w:rFonts w:ascii="Times New Roman" w:hAnsi="Times New Roman" w:cs="Times New Roman"/>
          <w:color w:val="222222"/>
          <w:sz w:val="24"/>
          <w:szCs w:val="24"/>
          <w:shd w:val="clear" w:color="auto" w:fill="FFFFFF"/>
        </w:rPr>
        <w:t> (pp. 1630-1639). Atlantis Press.</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Sarisa, L. (2021) Business strategies in the retail supermarkets' industry: A comparative case study analysis of Costco and Aldi.</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Shah, S. Z. A., &amp; Ahmad, M. (2019) Entrepreneurial orientation and performance of small and medium-sized enterprises: Mediating effects of differentiation strategy. </w:t>
      </w:r>
      <w:r>
        <w:rPr>
          <w:rFonts w:ascii="Times New Roman" w:hAnsi="Times New Roman" w:cs="Times New Roman"/>
          <w:i/>
          <w:iCs/>
          <w:color w:val="222222"/>
          <w:sz w:val="24"/>
          <w:szCs w:val="24"/>
          <w:shd w:val="clear" w:color="auto" w:fill="FFFFFF"/>
        </w:rPr>
        <w:t>Competitiveness Review: An International Business Journal</w:t>
      </w:r>
      <w:r>
        <w:rPr>
          <w:rFonts w:ascii="Times New Roman" w:hAnsi="Times New Roman" w:cs="Times New Roman"/>
          <w:color w:val="222222"/>
          <w:sz w:val="24"/>
          <w:szCs w:val="24"/>
          <w:shd w:val="clear" w:color="auto" w:fill="FFFFFF"/>
        </w:rPr>
        <w:t>.</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Sharma, R.R., Kaur, T. and Syan, A.S., (2021) Sustainability Marketing Strategy Formulation. In </w:t>
      </w:r>
      <w:r>
        <w:rPr>
          <w:rFonts w:ascii="Times New Roman" w:hAnsi="Times New Roman" w:cs="Times New Roman"/>
          <w:i/>
          <w:iCs/>
          <w:color w:val="222222"/>
          <w:sz w:val="24"/>
          <w:szCs w:val="24"/>
          <w:shd w:val="clear" w:color="auto" w:fill="FFFFFF"/>
        </w:rPr>
        <w:t>Sustainability Marketing</w:t>
      </w:r>
      <w:r>
        <w:rPr>
          <w:rFonts w:ascii="Times New Roman" w:hAnsi="Times New Roman" w:cs="Times New Roman"/>
          <w:color w:val="222222"/>
          <w:sz w:val="24"/>
          <w:szCs w:val="24"/>
          <w:shd w:val="clear" w:color="auto" w:fill="FFFFFF"/>
        </w:rPr>
        <w:t xml:space="preserve"> (pp. 211–226). Emerald Publishing Limited.</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Simon, H., Fassnacht, M., Simon, H. and Fassnacht, M., (2019) Price Strategy. </w:t>
      </w:r>
      <w:r>
        <w:rPr>
          <w:rFonts w:ascii="Times New Roman" w:hAnsi="Times New Roman" w:cs="Times New Roman"/>
          <w:i/>
          <w:iCs/>
          <w:color w:val="222222"/>
          <w:sz w:val="24"/>
          <w:szCs w:val="24"/>
          <w:shd w:val="clear" w:color="auto" w:fill="FFFFFF"/>
        </w:rPr>
        <w:t>Price Management: Strategy, Analysis, Decision, Implementation</w:t>
      </w:r>
      <w:r>
        <w:rPr>
          <w:rFonts w:ascii="Times New Roman" w:hAnsi="Times New Roman" w:cs="Times New Roman"/>
          <w:color w:val="222222"/>
          <w:sz w:val="24"/>
          <w:szCs w:val="24"/>
          <w:shd w:val="clear" w:color="auto" w:fill="FFFFFF"/>
        </w:rPr>
        <w:t>, pp.29-84.</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Werdhiastutie, A., Suhariadi, F. and Partiwi, S.G., (2020) Achievement motivation as an antecedent of quality improvement of organisational human resources. </w:t>
      </w:r>
      <w:r>
        <w:rPr>
          <w:rFonts w:ascii="Times New Roman" w:hAnsi="Times New Roman" w:cs="Times New Roman"/>
          <w:i/>
          <w:iCs/>
          <w:color w:val="222222"/>
          <w:sz w:val="24"/>
          <w:szCs w:val="24"/>
          <w:shd w:val="clear" w:color="auto" w:fill="FFFFFF"/>
        </w:rPr>
        <w:t>Budapest International Research and Critics Institute-Journal (BIRCI-Journal) Volume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 pp.747-752.</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Weston, P. &amp; Nnadi, M. (2021) Evaluation of strategic and financial variables of corporate sustainability and ESG policies on corporate financial performance. </w:t>
      </w:r>
      <w:r>
        <w:rPr>
          <w:rFonts w:ascii="Times New Roman" w:hAnsi="Times New Roman" w:cs="Times New Roman"/>
          <w:i/>
          <w:iCs/>
          <w:color w:val="222222"/>
          <w:sz w:val="24"/>
          <w:szCs w:val="24"/>
          <w:shd w:val="clear" w:color="auto" w:fill="FFFFFF"/>
        </w:rPr>
        <w:t>Journal of Sustainable Finance &amp; Investment</w:t>
      </w:r>
      <w:r>
        <w:rPr>
          <w:rFonts w:ascii="Times New Roman" w:hAnsi="Times New Roman" w:cs="Times New Roman"/>
          <w:color w:val="222222"/>
          <w:sz w:val="24"/>
          <w:szCs w:val="24"/>
          <w:shd w:val="clear" w:color="auto" w:fill="FFFFFF"/>
        </w:rPr>
        <w:t>, pp.1–17.</w:t>
      </w:r>
    </w:p>
    <w:p>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Zheng, L. (2020) </w:t>
      </w:r>
      <w:r>
        <w:rPr>
          <w:rFonts w:ascii="Times New Roman" w:hAnsi="Times New Roman" w:cs="Times New Roman"/>
          <w:i/>
          <w:iCs/>
          <w:color w:val="222222"/>
          <w:sz w:val="24"/>
          <w:szCs w:val="24"/>
          <w:shd w:val="clear" w:color="auto" w:fill="FFFFFF"/>
        </w:rPr>
        <w:t>Financial Strategy Analysis of Costco, Inc</w:t>
      </w:r>
      <w:r>
        <w:rPr>
          <w:rFonts w:ascii="Times New Roman" w:hAnsi="Times New Roman" w:cs="Times New Roman"/>
          <w:color w:val="222222"/>
          <w:sz w:val="24"/>
          <w:szCs w:val="24"/>
          <w:shd w:val="clear" w:color="auto" w:fill="FFFFFF"/>
        </w:rPr>
        <w:t> (Doctoral dissertation, California State University, Los Angeles).</w:t>
      </w:r>
    </w:p>
    <w:p>
      <w:pPr>
        <w:spacing w:after="0" w:line="480" w:lineRule="auto"/>
        <w:jc w:val="both"/>
        <w:rPr>
          <w:rFonts w:ascii="Times New Roman" w:hAnsi="Times New Roman" w:cs="Times New Roman"/>
          <w:color w:val="374151"/>
          <w:sz w:val="24"/>
          <w:szCs w:val="24"/>
          <w:shd w:val="clear" w:color="auto" w:fill="F7F7F8"/>
        </w:rPr>
      </w:pPr>
    </w:p>
    <w:p>
      <w:pPr>
        <w:pStyle w:val="2"/>
        <w:spacing w:line="480" w:lineRule="auto"/>
        <w:rPr>
          <w:rFonts w:cs="Times New Roman"/>
          <w:szCs w:val="24"/>
          <w:shd w:val="clear" w:color="auto" w:fill="F7F7F8"/>
        </w:rPr>
      </w:pPr>
      <w:bookmarkStart w:id="60" w:name="_Toc133046712"/>
      <w:bookmarkStart w:id="61" w:name="_Toc133198655"/>
      <w:bookmarkStart w:id="62" w:name="_Toc133247522"/>
      <w:r>
        <w:rPr>
          <w:rFonts w:cs="Times New Roman"/>
          <w:szCs w:val="24"/>
          <w:shd w:val="clear" w:color="auto" w:fill="F7F7F8"/>
        </w:rPr>
        <w:t>Appendi</w:t>
      </w:r>
      <w:bookmarkEnd w:id="60"/>
      <w:bookmarkEnd w:id="61"/>
      <w:r>
        <w:rPr>
          <w:rFonts w:cs="Times New Roman"/>
          <w:szCs w:val="24"/>
          <w:shd w:val="clear" w:color="auto" w:fill="F7F7F8"/>
        </w:rPr>
        <w:t>ces</w:t>
      </w:r>
      <w:bookmarkEnd w:id="62"/>
    </w:p>
    <w:tbl>
      <w:tblPr>
        <w:tblStyle w:val="15"/>
        <w:tblW w:w="9598" w:type="dxa"/>
        <w:tblInd w:w="-1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59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58" w:hRule="atLeast"/>
        </w:trPr>
        <w:tc>
          <w:tcPr>
            <w:tcW w:w="9598" w:type="dxa"/>
          </w:tcPr>
          <w:p>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Background Information</w:t>
            </w:r>
          </w:p>
          <w:p>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Costco Wholesale Corporation is a multinational retail corporation operating a chain of membership-based warehouse clubs. The company founded in 1976 in San Diego, California by James Sinegal and Jeffrey Brotman. The company provides a vast variety of products, including groceries, electronics, appliances, furniture, apparel, and jewelry, are available at Costco. The company's business strategy is to provide premium goods and enhance the customer experience. In recent years, the company has faced multiple challenges following the sudden onset of the pandemic that has severely impacted the retail industry. As a result of these challenges, Costco has developed a sudden onset management team that will develop effective strategic measures aimed at enhancing the customer experience of the company by delivering innovative customer care, ensuring its future resilience, and further develop a sustainable competitive advantage. To effectively enhance the experiences of the customers, the company will use various tools of market analysis. This will involve the white-glove customer service. </w:t>
            </w: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p>
            <w:pPr>
              <w:spacing w:after="0" w:line="480" w:lineRule="auto"/>
              <w:rPr>
                <w:rFonts w:ascii="Times New Roman" w:hAnsi="Times New Roman" w:cs="Times New Roman"/>
                <w:b/>
                <w:bCs/>
                <w:sz w:val="24"/>
                <w:szCs w:val="24"/>
              </w:rPr>
            </w:pPr>
          </w:p>
        </w:tc>
      </w:tr>
    </w:tbl>
    <w:p>
      <w:pPr>
        <w:spacing w:line="480" w:lineRule="auto"/>
        <w:rPr>
          <w:rFonts w:ascii="Times New Roman" w:hAnsi="Times New Roman" w:cs="Times New Roman"/>
          <w:i/>
          <w:iCs/>
          <w:sz w:val="24"/>
          <w:szCs w:val="24"/>
        </w:rPr>
      </w:pPr>
    </w:p>
    <w:p>
      <w:pPr>
        <w:spacing w:line="480" w:lineRule="auto"/>
        <w:rPr>
          <w:rFonts w:ascii="Times New Roman" w:hAnsi="Times New Roman" w:cs="Times New Roman"/>
          <w:i/>
          <w:iCs/>
          <w:sz w:val="24"/>
          <w:szCs w:val="24"/>
        </w:rPr>
      </w:pPr>
      <w:r>
        <w:rPr>
          <w:rFonts w:ascii="Times New Roman" w:hAnsi="Times New Roman" w:cs="Times New Roman"/>
          <w:i/>
          <w:iCs/>
          <w:sz w:val="24"/>
          <w:szCs w:val="24"/>
        </w:rPr>
        <w:t>Fig 1. Background information of the Costco Wholesale Corporation</w:t>
      </w:r>
    </w:p>
    <w:p>
      <w:pPr>
        <w:spacing w:after="0" w:line="480" w:lineRule="auto"/>
        <w:ind w:hanging="720"/>
        <w:jc w:val="center"/>
        <w:rPr>
          <w:rFonts w:ascii="Times New Roman" w:hAnsi="Times New Roman" w:cs="Times New Roman"/>
          <w:b/>
          <w:bCs/>
          <w:color w:val="374151"/>
          <w:sz w:val="24"/>
          <w:szCs w:val="24"/>
          <w:shd w:val="clear" w:color="auto" w:fill="F7F7F8"/>
        </w:rPr>
      </w:pPr>
      <w:r>
        <w:rPr>
          <w:rFonts w:ascii="Times New Roman" w:hAnsi="Times New Roman" w:cs="Times New Roman"/>
          <w:sz w:val="24"/>
          <w:szCs w:val="24"/>
        </w:rPr>
        <w:drawing>
          <wp:inline distT="0" distB="0" distL="0" distR="0">
            <wp:extent cx="5943600" cy="2933700"/>
            <wp:effectExtent l="0" t="0" r="0" b="0"/>
            <wp:docPr id="701216585" name="Picture 1" descr="How Much Does a Costco Store Sell Each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16585" name="Picture 1" descr="How Much Does a Costco Store Sell Each Yea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5943600" cy="2933700"/>
                    </a:xfrm>
                    <a:prstGeom prst="rect">
                      <a:avLst/>
                    </a:prstGeom>
                    <a:noFill/>
                    <a:ln>
                      <a:noFill/>
                    </a:ln>
                  </pic:spPr>
                </pic:pic>
              </a:graphicData>
            </a:graphic>
          </wp:inline>
        </w:drawing>
      </w:r>
    </w:p>
    <w:p>
      <w:pPr>
        <w:spacing w:after="0" w:line="480" w:lineRule="auto"/>
        <w:ind w:hanging="720"/>
        <w:jc w:val="center"/>
        <w:rPr>
          <w:rFonts w:ascii="Times New Roman" w:hAnsi="Times New Roman" w:cs="Times New Roman"/>
          <w:i/>
          <w:iCs/>
          <w:sz w:val="24"/>
          <w:szCs w:val="24"/>
        </w:rPr>
      </w:pPr>
      <w:r>
        <w:rPr>
          <w:rFonts w:ascii="Times New Roman" w:hAnsi="Times New Roman" w:cs="Times New Roman"/>
          <w:i/>
          <w:iCs/>
          <w:sz w:val="24"/>
          <w:szCs w:val="24"/>
        </w:rPr>
        <w:t>Fig 2. Graph showing the biggest retailers in the U.S.</w:t>
      </w:r>
      <w:r>
        <w:rPr>
          <w:rFonts w:ascii="Times New Roman" w:hAnsi="Times New Roman" w:cs="Times New Roman"/>
          <w:sz w:val="24"/>
          <w:szCs w:val="24"/>
        </w:rPr>
        <w:t xml:space="preserve"> </w:t>
      </w:r>
      <w:r>
        <w:rPr>
          <w:rFonts w:ascii="Times New Roman" w:hAnsi="Times New Roman" w:cs="Times New Roman"/>
          <w:i/>
          <w:iCs/>
          <w:sz w:val="24"/>
          <w:szCs w:val="24"/>
        </w:rPr>
        <w:t>(Berman, 2018).</w:t>
      </w:r>
    </w:p>
    <w:p>
      <w:pPr>
        <w:spacing w:after="0" w:line="480" w:lineRule="auto"/>
        <w:ind w:hanging="720"/>
        <w:jc w:val="both"/>
        <w:rPr>
          <w:rFonts w:ascii="Times New Roman" w:hAnsi="Times New Roman" w:cs="Times New Roman"/>
          <w:sz w:val="24"/>
          <w:szCs w:val="24"/>
        </w:rPr>
      </w:pPr>
    </w:p>
    <w:p>
      <w:pPr>
        <w:spacing w:after="0" w:line="480" w:lineRule="auto"/>
        <w:jc w:val="both"/>
        <w:rPr>
          <w:rFonts w:ascii="Times New Roman" w:hAnsi="Times New Roman" w:cs="Times New Roman"/>
          <w:sz w:val="24"/>
          <w:szCs w:val="24"/>
        </w:rPr>
      </w:pPr>
    </w:p>
    <w:p>
      <w:pPr>
        <w:spacing w:after="0" w:line="480" w:lineRule="auto"/>
        <w:rPr>
          <w:rFonts w:ascii="Times New Roman" w:hAnsi="Times New Roman" w:cs="Times New Roman"/>
          <w:b/>
          <w:bCs/>
          <w:sz w:val="24"/>
          <w:szCs w:val="24"/>
        </w:rPr>
      </w:pPr>
    </w:p>
    <w:sectPr>
      <w:headerReference r:id="rId6" w:type="first"/>
      <w:footerReference r:id="rId9" w:type="first"/>
      <w:footerReference r:id="rId7" w:type="default"/>
      <w:headerReference r:id="rId5" w:type="even"/>
      <w:footerReference r:id="rId8" w:type="even"/>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等线">
    <w:panose1 w:val="02010600030101010101"/>
    <w:charset w:val="86"/>
    <w:family w:val="auto"/>
    <w:pitch w:val="default"/>
    <w:sig w:usb0="A00002BF" w:usb1="38CF7CFA" w:usb2="00000016" w:usb3="00000000" w:csb0="0004000F" w:csb1="00000000"/>
  </w:font>
  <w:font w:name="Lucida Sans">
    <w:panose1 w:val="020B0602030504020204"/>
    <w:charset w:val="00"/>
    <w:family w:val="swiss"/>
    <w:pitch w:val="default"/>
    <w:sig w:usb0="00000003" w:usb1="00000000" w:usb2="00000000" w:usb3="00000000" w:csb0="20000001"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2"/>
  <w:removePersonalInformation/>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jU2YWYyMzRhNTVjMWZjODA2NWQ3MTU5ZjQzYmYxMGYifQ=="/>
  </w:docVars>
  <w:rsids>
    <w:rsidRoot w:val="00532469"/>
    <w:rsid w:val="00007DC4"/>
    <w:rsid w:val="00012555"/>
    <w:rsid w:val="00013932"/>
    <w:rsid w:val="0001625D"/>
    <w:rsid w:val="0002352F"/>
    <w:rsid w:val="00025E05"/>
    <w:rsid w:val="000262B0"/>
    <w:rsid w:val="00026F41"/>
    <w:rsid w:val="000310B5"/>
    <w:rsid w:val="00031E38"/>
    <w:rsid w:val="00032A37"/>
    <w:rsid w:val="000345BD"/>
    <w:rsid w:val="00042B3C"/>
    <w:rsid w:val="00055DFD"/>
    <w:rsid w:val="00056999"/>
    <w:rsid w:val="00065024"/>
    <w:rsid w:val="00071451"/>
    <w:rsid w:val="000801A6"/>
    <w:rsid w:val="000812B4"/>
    <w:rsid w:val="00081910"/>
    <w:rsid w:val="000824AD"/>
    <w:rsid w:val="00085B8C"/>
    <w:rsid w:val="00086A51"/>
    <w:rsid w:val="000904BD"/>
    <w:rsid w:val="000A6C45"/>
    <w:rsid w:val="000A7E24"/>
    <w:rsid w:val="000B24F3"/>
    <w:rsid w:val="000B7FAE"/>
    <w:rsid w:val="000C0905"/>
    <w:rsid w:val="000C25C8"/>
    <w:rsid w:val="000C67F9"/>
    <w:rsid w:val="000D333E"/>
    <w:rsid w:val="000D6C45"/>
    <w:rsid w:val="000D7CED"/>
    <w:rsid w:val="000E00B7"/>
    <w:rsid w:val="000E1A2A"/>
    <w:rsid w:val="000E1E6B"/>
    <w:rsid w:val="000E4415"/>
    <w:rsid w:val="000E567B"/>
    <w:rsid w:val="000F6797"/>
    <w:rsid w:val="001009BE"/>
    <w:rsid w:val="00104EF7"/>
    <w:rsid w:val="00105382"/>
    <w:rsid w:val="00112F73"/>
    <w:rsid w:val="00113D13"/>
    <w:rsid w:val="001169B0"/>
    <w:rsid w:val="00123DC0"/>
    <w:rsid w:val="00124393"/>
    <w:rsid w:val="00132274"/>
    <w:rsid w:val="001325EB"/>
    <w:rsid w:val="00134BFF"/>
    <w:rsid w:val="0014150C"/>
    <w:rsid w:val="00143E52"/>
    <w:rsid w:val="001465C5"/>
    <w:rsid w:val="00147497"/>
    <w:rsid w:val="001545DC"/>
    <w:rsid w:val="00160228"/>
    <w:rsid w:val="00160A43"/>
    <w:rsid w:val="00164B79"/>
    <w:rsid w:val="001851CF"/>
    <w:rsid w:val="001857D2"/>
    <w:rsid w:val="00185B6A"/>
    <w:rsid w:val="001902CD"/>
    <w:rsid w:val="00190F7D"/>
    <w:rsid w:val="00193170"/>
    <w:rsid w:val="00194446"/>
    <w:rsid w:val="001954BA"/>
    <w:rsid w:val="00197B72"/>
    <w:rsid w:val="001B2472"/>
    <w:rsid w:val="001B7C0E"/>
    <w:rsid w:val="001C06E6"/>
    <w:rsid w:val="001C1669"/>
    <w:rsid w:val="001D0248"/>
    <w:rsid w:val="001D198F"/>
    <w:rsid w:val="001D1C54"/>
    <w:rsid w:val="001E13FD"/>
    <w:rsid w:val="001E5611"/>
    <w:rsid w:val="00200391"/>
    <w:rsid w:val="00202A7C"/>
    <w:rsid w:val="00206973"/>
    <w:rsid w:val="00210C78"/>
    <w:rsid w:val="00212EB3"/>
    <w:rsid w:val="00213299"/>
    <w:rsid w:val="00213E7C"/>
    <w:rsid w:val="00215AC5"/>
    <w:rsid w:val="00230CBE"/>
    <w:rsid w:val="00234054"/>
    <w:rsid w:val="00235DD2"/>
    <w:rsid w:val="00240EC7"/>
    <w:rsid w:val="00241FC3"/>
    <w:rsid w:val="002433A8"/>
    <w:rsid w:val="00244474"/>
    <w:rsid w:val="00245328"/>
    <w:rsid w:val="00250C8C"/>
    <w:rsid w:val="00255528"/>
    <w:rsid w:val="002667B0"/>
    <w:rsid w:val="00271489"/>
    <w:rsid w:val="0027265B"/>
    <w:rsid w:val="0027383C"/>
    <w:rsid w:val="00281374"/>
    <w:rsid w:val="00281CEE"/>
    <w:rsid w:val="0028492D"/>
    <w:rsid w:val="00297156"/>
    <w:rsid w:val="002A1D96"/>
    <w:rsid w:val="002A22FE"/>
    <w:rsid w:val="002A23E8"/>
    <w:rsid w:val="002A5829"/>
    <w:rsid w:val="002A7812"/>
    <w:rsid w:val="002B3CCC"/>
    <w:rsid w:val="002B61AD"/>
    <w:rsid w:val="002C3F33"/>
    <w:rsid w:val="002C4AE8"/>
    <w:rsid w:val="002C58F6"/>
    <w:rsid w:val="002C7291"/>
    <w:rsid w:val="002C7F3C"/>
    <w:rsid w:val="002D11D0"/>
    <w:rsid w:val="002E241B"/>
    <w:rsid w:val="002E32C0"/>
    <w:rsid w:val="002E350B"/>
    <w:rsid w:val="002F362F"/>
    <w:rsid w:val="00301B5C"/>
    <w:rsid w:val="00302D01"/>
    <w:rsid w:val="00320720"/>
    <w:rsid w:val="00321DFD"/>
    <w:rsid w:val="0032220A"/>
    <w:rsid w:val="00325192"/>
    <w:rsid w:val="00325FE6"/>
    <w:rsid w:val="00336BB4"/>
    <w:rsid w:val="00336D6D"/>
    <w:rsid w:val="00342DAF"/>
    <w:rsid w:val="00344C2F"/>
    <w:rsid w:val="00350F32"/>
    <w:rsid w:val="00353B33"/>
    <w:rsid w:val="003606E8"/>
    <w:rsid w:val="00363D68"/>
    <w:rsid w:val="00365256"/>
    <w:rsid w:val="00367C4B"/>
    <w:rsid w:val="003710A0"/>
    <w:rsid w:val="00371C05"/>
    <w:rsid w:val="00376319"/>
    <w:rsid w:val="00376675"/>
    <w:rsid w:val="00376D4F"/>
    <w:rsid w:val="003875A7"/>
    <w:rsid w:val="003932CA"/>
    <w:rsid w:val="003A129C"/>
    <w:rsid w:val="003A2920"/>
    <w:rsid w:val="003A4D8D"/>
    <w:rsid w:val="003A5C65"/>
    <w:rsid w:val="003B7163"/>
    <w:rsid w:val="003B7234"/>
    <w:rsid w:val="003C3F40"/>
    <w:rsid w:val="003D2249"/>
    <w:rsid w:val="003D2F49"/>
    <w:rsid w:val="003D47E9"/>
    <w:rsid w:val="003D614C"/>
    <w:rsid w:val="003D692F"/>
    <w:rsid w:val="003D7098"/>
    <w:rsid w:val="003F263A"/>
    <w:rsid w:val="00401A48"/>
    <w:rsid w:val="00401B0B"/>
    <w:rsid w:val="00403D72"/>
    <w:rsid w:val="00406519"/>
    <w:rsid w:val="004141B8"/>
    <w:rsid w:val="00420B9D"/>
    <w:rsid w:val="004238AA"/>
    <w:rsid w:val="004255B1"/>
    <w:rsid w:val="004367A0"/>
    <w:rsid w:val="00443A3D"/>
    <w:rsid w:val="0045679B"/>
    <w:rsid w:val="004613C5"/>
    <w:rsid w:val="00463C1C"/>
    <w:rsid w:val="0046595D"/>
    <w:rsid w:val="00466A46"/>
    <w:rsid w:val="004708C7"/>
    <w:rsid w:val="0047107C"/>
    <w:rsid w:val="0047173B"/>
    <w:rsid w:val="00473B64"/>
    <w:rsid w:val="004743FE"/>
    <w:rsid w:val="00474893"/>
    <w:rsid w:val="004762B0"/>
    <w:rsid w:val="00480F40"/>
    <w:rsid w:val="004A2CAB"/>
    <w:rsid w:val="004A3B6A"/>
    <w:rsid w:val="004A450C"/>
    <w:rsid w:val="004A56C1"/>
    <w:rsid w:val="004A68E8"/>
    <w:rsid w:val="004B0A39"/>
    <w:rsid w:val="004B0D81"/>
    <w:rsid w:val="004B112E"/>
    <w:rsid w:val="004B2A56"/>
    <w:rsid w:val="004B2E78"/>
    <w:rsid w:val="004B6F0D"/>
    <w:rsid w:val="004C75AB"/>
    <w:rsid w:val="004D02A9"/>
    <w:rsid w:val="004D5D6C"/>
    <w:rsid w:val="004E05CA"/>
    <w:rsid w:val="004E2691"/>
    <w:rsid w:val="004F1DF9"/>
    <w:rsid w:val="004F513E"/>
    <w:rsid w:val="00505986"/>
    <w:rsid w:val="005107EC"/>
    <w:rsid w:val="00517BC3"/>
    <w:rsid w:val="00517E68"/>
    <w:rsid w:val="00520A61"/>
    <w:rsid w:val="0052315E"/>
    <w:rsid w:val="00532469"/>
    <w:rsid w:val="00551855"/>
    <w:rsid w:val="00553FA4"/>
    <w:rsid w:val="005628BC"/>
    <w:rsid w:val="00563CA4"/>
    <w:rsid w:val="005724FC"/>
    <w:rsid w:val="00574EE3"/>
    <w:rsid w:val="00580160"/>
    <w:rsid w:val="00581D03"/>
    <w:rsid w:val="0058277E"/>
    <w:rsid w:val="00586601"/>
    <w:rsid w:val="00587878"/>
    <w:rsid w:val="00587C02"/>
    <w:rsid w:val="00587E95"/>
    <w:rsid w:val="005A022E"/>
    <w:rsid w:val="005A5944"/>
    <w:rsid w:val="005A62EB"/>
    <w:rsid w:val="005A7921"/>
    <w:rsid w:val="005B005D"/>
    <w:rsid w:val="005B5D2B"/>
    <w:rsid w:val="005C09C5"/>
    <w:rsid w:val="005C2A17"/>
    <w:rsid w:val="005C7515"/>
    <w:rsid w:val="005C7C40"/>
    <w:rsid w:val="005D4029"/>
    <w:rsid w:val="005D57FD"/>
    <w:rsid w:val="005D78E5"/>
    <w:rsid w:val="005E2CF1"/>
    <w:rsid w:val="005E5E65"/>
    <w:rsid w:val="005F7487"/>
    <w:rsid w:val="005F761F"/>
    <w:rsid w:val="00600F27"/>
    <w:rsid w:val="0060376D"/>
    <w:rsid w:val="00605302"/>
    <w:rsid w:val="0060579C"/>
    <w:rsid w:val="00606DAF"/>
    <w:rsid w:val="00610604"/>
    <w:rsid w:val="00611E1A"/>
    <w:rsid w:val="0062747B"/>
    <w:rsid w:val="0063298F"/>
    <w:rsid w:val="0063757F"/>
    <w:rsid w:val="0064728D"/>
    <w:rsid w:val="006512AE"/>
    <w:rsid w:val="006522AD"/>
    <w:rsid w:val="0065711E"/>
    <w:rsid w:val="006630F0"/>
    <w:rsid w:val="00663638"/>
    <w:rsid w:val="00667AB4"/>
    <w:rsid w:val="00667F01"/>
    <w:rsid w:val="006707A1"/>
    <w:rsid w:val="006743FC"/>
    <w:rsid w:val="00675D18"/>
    <w:rsid w:val="00675F03"/>
    <w:rsid w:val="00684B06"/>
    <w:rsid w:val="0068771E"/>
    <w:rsid w:val="00687F3B"/>
    <w:rsid w:val="006A1F9F"/>
    <w:rsid w:val="006A6F9E"/>
    <w:rsid w:val="006B4506"/>
    <w:rsid w:val="006C2278"/>
    <w:rsid w:val="006C7F40"/>
    <w:rsid w:val="006D47D0"/>
    <w:rsid w:val="006D536E"/>
    <w:rsid w:val="006E1890"/>
    <w:rsid w:val="006E4E26"/>
    <w:rsid w:val="006F03DB"/>
    <w:rsid w:val="006F1A7A"/>
    <w:rsid w:val="006F371C"/>
    <w:rsid w:val="006F5182"/>
    <w:rsid w:val="006F577D"/>
    <w:rsid w:val="006F61C4"/>
    <w:rsid w:val="006F73D9"/>
    <w:rsid w:val="006F7BA4"/>
    <w:rsid w:val="00700E99"/>
    <w:rsid w:val="00703B64"/>
    <w:rsid w:val="0070411A"/>
    <w:rsid w:val="007077BB"/>
    <w:rsid w:val="00707EC1"/>
    <w:rsid w:val="00710086"/>
    <w:rsid w:val="00713A2C"/>
    <w:rsid w:val="007151B5"/>
    <w:rsid w:val="007177A4"/>
    <w:rsid w:val="00734B58"/>
    <w:rsid w:val="00735915"/>
    <w:rsid w:val="0074106D"/>
    <w:rsid w:val="00742A9E"/>
    <w:rsid w:val="007540E6"/>
    <w:rsid w:val="00756238"/>
    <w:rsid w:val="00760B38"/>
    <w:rsid w:val="007615D0"/>
    <w:rsid w:val="00761C97"/>
    <w:rsid w:val="00764E1F"/>
    <w:rsid w:val="00772AAF"/>
    <w:rsid w:val="00780D75"/>
    <w:rsid w:val="0078127E"/>
    <w:rsid w:val="00781CAC"/>
    <w:rsid w:val="00784979"/>
    <w:rsid w:val="00790D63"/>
    <w:rsid w:val="00795E22"/>
    <w:rsid w:val="0079656F"/>
    <w:rsid w:val="007A210E"/>
    <w:rsid w:val="007A44DC"/>
    <w:rsid w:val="007A4DBE"/>
    <w:rsid w:val="007A7035"/>
    <w:rsid w:val="007B1CE4"/>
    <w:rsid w:val="007B26E7"/>
    <w:rsid w:val="007B4A0C"/>
    <w:rsid w:val="007B7280"/>
    <w:rsid w:val="007C7E67"/>
    <w:rsid w:val="007D20F0"/>
    <w:rsid w:val="007D5D69"/>
    <w:rsid w:val="007D5EF1"/>
    <w:rsid w:val="007D685F"/>
    <w:rsid w:val="007E058E"/>
    <w:rsid w:val="007F239D"/>
    <w:rsid w:val="007F380A"/>
    <w:rsid w:val="00803A68"/>
    <w:rsid w:val="0080526E"/>
    <w:rsid w:val="0080551C"/>
    <w:rsid w:val="008062C8"/>
    <w:rsid w:val="00817E00"/>
    <w:rsid w:val="00822EB2"/>
    <w:rsid w:val="00823809"/>
    <w:rsid w:val="00833426"/>
    <w:rsid w:val="00840796"/>
    <w:rsid w:val="008407B9"/>
    <w:rsid w:val="008409F0"/>
    <w:rsid w:val="008413DE"/>
    <w:rsid w:val="0084428D"/>
    <w:rsid w:val="008442DE"/>
    <w:rsid w:val="00844C25"/>
    <w:rsid w:val="00845A97"/>
    <w:rsid w:val="00845D37"/>
    <w:rsid w:val="00854084"/>
    <w:rsid w:val="00854990"/>
    <w:rsid w:val="0086302F"/>
    <w:rsid w:val="00871578"/>
    <w:rsid w:val="00875B0F"/>
    <w:rsid w:val="0088025C"/>
    <w:rsid w:val="008809B5"/>
    <w:rsid w:val="0088593C"/>
    <w:rsid w:val="00890BC5"/>
    <w:rsid w:val="008968DB"/>
    <w:rsid w:val="008A0F9C"/>
    <w:rsid w:val="008A2BB5"/>
    <w:rsid w:val="008A3089"/>
    <w:rsid w:val="008A5D3D"/>
    <w:rsid w:val="008A7F49"/>
    <w:rsid w:val="008C084B"/>
    <w:rsid w:val="008C1540"/>
    <w:rsid w:val="008C2873"/>
    <w:rsid w:val="008C4112"/>
    <w:rsid w:val="008C6B5C"/>
    <w:rsid w:val="008C7999"/>
    <w:rsid w:val="008D1AC9"/>
    <w:rsid w:val="008D30B6"/>
    <w:rsid w:val="008D4EBE"/>
    <w:rsid w:val="008D505B"/>
    <w:rsid w:val="008D516A"/>
    <w:rsid w:val="008D68AC"/>
    <w:rsid w:val="008D7A39"/>
    <w:rsid w:val="008E0AF8"/>
    <w:rsid w:val="008E34E3"/>
    <w:rsid w:val="008F4046"/>
    <w:rsid w:val="009021A2"/>
    <w:rsid w:val="009049A5"/>
    <w:rsid w:val="0090795F"/>
    <w:rsid w:val="0091124C"/>
    <w:rsid w:val="00914362"/>
    <w:rsid w:val="00915F5D"/>
    <w:rsid w:val="00921DD3"/>
    <w:rsid w:val="00925D38"/>
    <w:rsid w:val="00926CCC"/>
    <w:rsid w:val="00927FFE"/>
    <w:rsid w:val="00934E06"/>
    <w:rsid w:val="00936AAD"/>
    <w:rsid w:val="009443FA"/>
    <w:rsid w:val="00945C78"/>
    <w:rsid w:val="00946BC6"/>
    <w:rsid w:val="0095563E"/>
    <w:rsid w:val="009569CE"/>
    <w:rsid w:val="00966F33"/>
    <w:rsid w:val="00970BB9"/>
    <w:rsid w:val="00977420"/>
    <w:rsid w:val="009806BC"/>
    <w:rsid w:val="0098256D"/>
    <w:rsid w:val="00984889"/>
    <w:rsid w:val="00985181"/>
    <w:rsid w:val="00990E78"/>
    <w:rsid w:val="00994253"/>
    <w:rsid w:val="009A123F"/>
    <w:rsid w:val="009A2618"/>
    <w:rsid w:val="009A2A21"/>
    <w:rsid w:val="009B0FE9"/>
    <w:rsid w:val="009B1B70"/>
    <w:rsid w:val="009B57CB"/>
    <w:rsid w:val="009B7A3C"/>
    <w:rsid w:val="009C460F"/>
    <w:rsid w:val="009C5CB3"/>
    <w:rsid w:val="009C5DBE"/>
    <w:rsid w:val="009D01B1"/>
    <w:rsid w:val="009E01C3"/>
    <w:rsid w:val="009F5BCD"/>
    <w:rsid w:val="00A00A48"/>
    <w:rsid w:val="00A00F53"/>
    <w:rsid w:val="00A23F76"/>
    <w:rsid w:val="00A2503B"/>
    <w:rsid w:val="00A2681A"/>
    <w:rsid w:val="00A31456"/>
    <w:rsid w:val="00A339CF"/>
    <w:rsid w:val="00A344E8"/>
    <w:rsid w:val="00A3781F"/>
    <w:rsid w:val="00A5229B"/>
    <w:rsid w:val="00A60567"/>
    <w:rsid w:val="00A64598"/>
    <w:rsid w:val="00A6680E"/>
    <w:rsid w:val="00A76622"/>
    <w:rsid w:val="00A80F8A"/>
    <w:rsid w:val="00A86AD1"/>
    <w:rsid w:val="00A917CF"/>
    <w:rsid w:val="00A94CF1"/>
    <w:rsid w:val="00A97583"/>
    <w:rsid w:val="00AA5936"/>
    <w:rsid w:val="00AA6414"/>
    <w:rsid w:val="00AA7A6B"/>
    <w:rsid w:val="00AB0C2F"/>
    <w:rsid w:val="00AB3556"/>
    <w:rsid w:val="00AB42F9"/>
    <w:rsid w:val="00AB7A54"/>
    <w:rsid w:val="00AC40EF"/>
    <w:rsid w:val="00AD081E"/>
    <w:rsid w:val="00AD164E"/>
    <w:rsid w:val="00AD763C"/>
    <w:rsid w:val="00AE0B20"/>
    <w:rsid w:val="00AE0D38"/>
    <w:rsid w:val="00AE166E"/>
    <w:rsid w:val="00AE206D"/>
    <w:rsid w:val="00AE7CD6"/>
    <w:rsid w:val="00AF6016"/>
    <w:rsid w:val="00B07495"/>
    <w:rsid w:val="00B1783C"/>
    <w:rsid w:val="00B244E2"/>
    <w:rsid w:val="00B24DB1"/>
    <w:rsid w:val="00B25448"/>
    <w:rsid w:val="00B321D0"/>
    <w:rsid w:val="00B3397A"/>
    <w:rsid w:val="00B35327"/>
    <w:rsid w:val="00B36CA5"/>
    <w:rsid w:val="00B37E14"/>
    <w:rsid w:val="00B4559C"/>
    <w:rsid w:val="00B46922"/>
    <w:rsid w:val="00B515B3"/>
    <w:rsid w:val="00B53F80"/>
    <w:rsid w:val="00B54E0D"/>
    <w:rsid w:val="00B648AC"/>
    <w:rsid w:val="00B70AB8"/>
    <w:rsid w:val="00B73474"/>
    <w:rsid w:val="00B76355"/>
    <w:rsid w:val="00B76C9F"/>
    <w:rsid w:val="00B907C1"/>
    <w:rsid w:val="00B9324D"/>
    <w:rsid w:val="00B95917"/>
    <w:rsid w:val="00B9777A"/>
    <w:rsid w:val="00BD4CF7"/>
    <w:rsid w:val="00BD79A2"/>
    <w:rsid w:val="00BE25BF"/>
    <w:rsid w:val="00BE4248"/>
    <w:rsid w:val="00BE51CF"/>
    <w:rsid w:val="00BE723A"/>
    <w:rsid w:val="00BF0115"/>
    <w:rsid w:val="00C0064D"/>
    <w:rsid w:val="00C0139A"/>
    <w:rsid w:val="00C0140B"/>
    <w:rsid w:val="00C0648F"/>
    <w:rsid w:val="00C22E65"/>
    <w:rsid w:val="00C242D8"/>
    <w:rsid w:val="00C27F6D"/>
    <w:rsid w:val="00C34869"/>
    <w:rsid w:val="00C40FE1"/>
    <w:rsid w:val="00C41739"/>
    <w:rsid w:val="00C47AB5"/>
    <w:rsid w:val="00C54443"/>
    <w:rsid w:val="00C56AA8"/>
    <w:rsid w:val="00C64BD3"/>
    <w:rsid w:val="00C85C31"/>
    <w:rsid w:val="00C86445"/>
    <w:rsid w:val="00C9162B"/>
    <w:rsid w:val="00C957F2"/>
    <w:rsid w:val="00CA2218"/>
    <w:rsid w:val="00CA69D5"/>
    <w:rsid w:val="00CB3E77"/>
    <w:rsid w:val="00CB42DE"/>
    <w:rsid w:val="00CC07C4"/>
    <w:rsid w:val="00CC2207"/>
    <w:rsid w:val="00CC46F4"/>
    <w:rsid w:val="00CC4F62"/>
    <w:rsid w:val="00CC68F9"/>
    <w:rsid w:val="00CD171D"/>
    <w:rsid w:val="00CE0160"/>
    <w:rsid w:val="00CE0182"/>
    <w:rsid w:val="00CF42BA"/>
    <w:rsid w:val="00D0661B"/>
    <w:rsid w:val="00D0664E"/>
    <w:rsid w:val="00D075D3"/>
    <w:rsid w:val="00D12BA5"/>
    <w:rsid w:val="00D12C21"/>
    <w:rsid w:val="00D16BC9"/>
    <w:rsid w:val="00D34C66"/>
    <w:rsid w:val="00D54114"/>
    <w:rsid w:val="00D57551"/>
    <w:rsid w:val="00D63057"/>
    <w:rsid w:val="00D734D4"/>
    <w:rsid w:val="00D7379F"/>
    <w:rsid w:val="00D74A01"/>
    <w:rsid w:val="00D77C13"/>
    <w:rsid w:val="00D822E9"/>
    <w:rsid w:val="00D84DEF"/>
    <w:rsid w:val="00D86687"/>
    <w:rsid w:val="00D9371A"/>
    <w:rsid w:val="00D94388"/>
    <w:rsid w:val="00DA2E4F"/>
    <w:rsid w:val="00DA5036"/>
    <w:rsid w:val="00DA5F27"/>
    <w:rsid w:val="00DA6ABB"/>
    <w:rsid w:val="00DB2D83"/>
    <w:rsid w:val="00DB7892"/>
    <w:rsid w:val="00DC70B7"/>
    <w:rsid w:val="00DC7CE3"/>
    <w:rsid w:val="00DD1CBC"/>
    <w:rsid w:val="00DF0982"/>
    <w:rsid w:val="00DF4A94"/>
    <w:rsid w:val="00DF519E"/>
    <w:rsid w:val="00DF5BAC"/>
    <w:rsid w:val="00E03D6C"/>
    <w:rsid w:val="00E042F9"/>
    <w:rsid w:val="00E06943"/>
    <w:rsid w:val="00E11EA4"/>
    <w:rsid w:val="00E13CDB"/>
    <w:rsid w:val="00E1663E"/>
    <w:rsid w:val="00E16EF8"/>
    <w:rsid w:val="00E20686"/>
    <w:rsid w:val="00E233D3"/>
    <w:rsid w:val="00E263E9"/>
    <w:rsid w:val="00E2655E"/>
    <w:rsid w:val="00E27012"/>
    <w:rsid w:val="00E4316A"/>
    <w:rsid w:val="00E461AC"/>
    <w:rsid w:val="00E47535"/>
    <w:rsid w:val="00E5601A"/>
    <w:rsid w:val="00E65405"/>
    <w:rsid w:val="00E7068A"/>
    <w:rsid w:val="00E72B48"/>
    <w:rsid w:val="00E75737"/>
    <w:rsid w:val="00E75D6A"/>
    <w:rsid w:val="00E808AC"/>
    <w:rsid w:val="00E80DD0"/>
    <w:rsid w:val="00E84235"/>
    <w:rsid w:val="00E877AE"/>
    <w:rsid w:val="00E91412"/>
    <w:rsid w:val="00E95629"/>
    <w:rsid w:val="00E95904"/>
    <w:rsid w:val="00E9735C"/>
    <w:rsid w:val="00E97D40"/>
    <w:rsid w:val="00E97F51"/>
    <w:rsid w:val="00EA634D"/>
    <w:rsid w:val="00EB51DD"/>
    <w:rsid w:val="00EB6447"/>
    <w:rsid w:val="00EB6667"/>
    <w:rsid w:val="00EC1079"/>
    <w:rsid w:val="00EC3796"/>
    <w:rsid w:val="00EC6429"/>
    <w:rsid w:val="00ED21AE"/>
    <w:rsid w:val="00ED4685"/>
    <w:rsid w:val="00ED4C96"/>
    <w:rsid w:val="00ED672B"/>
    <w:rsid w:val="00EE27FD"/>
    <w:rsid w:val="00EE2B7D"/>
    <w:rsid w:val="00EE5F9B"/>
    <w:rsid w:val="00EE77B9"/>
    <w:rsid w:val="00EF3296"/>
    <w:rsid w:val="00EF4680"/>
    <w:rsid w:val="00EF5FDE"/>
    <w:rsid w:val="00EF6CA4"/>
    <w:rsid w:val="00F00931"/>
    <w:rsid w:val="00F027FC"/>
    <w:rsid w:val="00F02D1C"/>
    <w:rsid w:val="00F10423"/>
    <w:rsid w:val="00F23842"/>
    <w:rsid w:val="00F35617"/>
    <w:rsid w:val="00F40DF0"/>
    <w:rsid w:val="00F421A2"/>
    <w:rsid w:val="00F515DC"/>
    <w:rsid w:val="00F54643"/>
    <w:rsid w:val="00F57DF6"/>
    <w:rsid w:val="00F64019"/>
    <w:rsid w:val="00F70BFA"/>
    <w:rsid w:val="00F7721C"/>
    <w:rsid w:val="00F82B39"/>
    <w:rsid w:val="00F87E7C"/>
    <w:rsid w:val="00F93343"/>
    <w:rsid w:val="00FA0DD2"/>
    <w:rsid w:val="00FA3CC9"/>
    <w:rsid w:val="00FA5F51"/>
    <w:rsid w:val="00FB0804"/>
    <w:rsid w:val="00FB4D0F"/>
    <w:rsid w:val="00FB53FB"/>
    <w:rsid w:val="00FC0612"/>
    <w:rsid w:val="00FC1C21"/>
    <w:rsid w:val="00FC360E"/>
    <w:rsid w:val="00FC4256"/>
    <w:rsid w:val="00FC61E3"/>
    <w:rsid w:val="00FC751E"/>
    <w:rsid w:val="00FD11B7"/>
    <w:rsid w:val="00FD1A14"/>
    <w:rsid w:val="00FD2729"/>
    <w:rsid w:val="00FD2BAD"/>
    <w:rsid w:val="00FD3584"/>
    <w:rsid w:val="00FD6824"/>
    <w:rsid w:val="00FD7949"/>
    <w:rsid w:val="00FD7F10"/>
    <w:rsid w:val="00FE1932"/>
    <w:rsid w:val="00FE53C6"/>
    <w:rsid w:val="00FE5817"/>
    <w:rsid w:val="00FF1280"/>
    <w:rsid w:val="00FF218E"/>
    <w:rsid w:val="00FF6A21"/>
    <w:rsid w:val="14F22EF4"/>
    <w:rsid w:val="2B1E5F3B"/>
    <w:rsid w:val="39470F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22"/>
    <w:qFormat/>
    <w:uiPriority w:val="9"/>
    <w:pPr>
      <w:keepNext/>
      <w:keepLines/>
      <w:spacing w:before="240" w:after="0"/>
      <w:jc w:val="center"/>
      <w:outlineLvl w:val="0"/>
    </w:pPr>
    <w:rPr>
      <w:rFonts w:ascii="Times New Roman" w:hAnsi="Times New Roman" w:eastAsiaTheme="majorEastAsia" w:cstheme="majorBidi"/>
      <w:b/>
      <w:sz w:val="24"/>
      <w:szCs w:val="32"/>
    </w:rPr>
  </w:style>
  <w:style w:type="paragraph" w:styleId="3">
    <w:name w:val="heading 2"/>
    <w:basedOn w:val="1"/>
    <w:next w:val="1"/>
    <w:link w:val="23"/>
    <w:unhideWhenUsed/>
    <w:qFormat/>
    <w:uiPriority w:val="9"/>
    <w:pPr>
      <w:keepNext/>
      <w:keepLines/>
      <w:spacing w:before="40" w:after="0" w:line="480" w:lineRule="auto"/>
      <w:outlineLvl w:val="1"/>
    </w:pPr>
    <w:rPr>
      <w:rFonts w:ascii="Times New Roman" w:hAnsi="Times New Roman" w:eastAsiaTheme="majorEastAsia" w:cstheme="majorBidi"/>
      <w:b/>
      <w:bCs/>
      <w:sz w:val="24"/>
      <w:szCs w:val="26"/>
    </w:rPr>
  </w:style>
  <w:style w:type="paragraph" w:styleId="4">
    <w:name w:val="heading 3"/>
    <w:basedOn w:val="1"/>
    <w:next w:val="1"/>
    <w:link w:val="25"/>
    <w:unhideWhenUsed/>
    <w:qFormat/>
    <w:uiPriority w:val="9"/>
    <w:pPr>
      <w:keepNext/>
      <w:keepLines/>
      <w:spacing w:before="40" w:after="0"/>
      <w:outlineLvl w:val="2"/>
    </w:pPr>
    <w:rPr>
      <w:rFonts w:ascii="Times New Roman" w:hAnsi="Times New Roman" w:eastAsiaTheme="majorEastAsia" w:cstheme="majorBidi"/>
      <w:b/>
      <w:i/>
      <w:color w:val="000000" w:themeColor="text1"/>
      <w:sz w:val="24"/>
      <w:szCs w:val="24"/>
      <w14:textFill>
        <w14:solidFill>
          <w14:schemeClr w14:val="tx1"/>
        </w14:solidFill>
      </w14:textFill>
    </w:rPr>
  </w:style>
  <w:style w:type="character" w:default="1" w:styleId="16">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26"/>
    <w:semiHidden/>
    <w:unhideWhenUsed/>
    <w:qFormat/>
    <w:uiPriority w:val="99"/>
    <w:pPr>
      <w:spacing w:line="240" w:lineRule="auto"/>
    </w:pPr>
    <w:rPr>
      <w:sz w:val="20"/>
      <w:szCs w:val="20"/>
    </w:rPr>
  </w:style>
  <w:style w:type="paragraph" w:styleId="6">
    <w:name w:val="toc 3"/>
    <w:basedOn w:val="1"/>
    <w:next w:val="1"/>
    <w:unhideWhenUsed/>
    <w:qFormat/>
    <w:uiPriority w:val="39"/>
    <w:pPr>
      <w:spacing w:after="100"/>
      <w:ind w:left="440"/>
    </w:pPr>
  </w:style>
  <w:style w:type="paragraph" w:styleId="7">
    <w:name w:val="Balloon Text"/>
    <w:basedOn w:val="1"/>
    <w:link w:val="28"/>
    <w:semiHidden/>
    <w:unhideWhenUsed/>
    <w:qFormat/>
    <w:uiPriority w:val="99"/>
    <w:pPr>
      <w:spacing w:after="0" w:line="240" w:lineRule="auto"/>
    </w:pPr>
    <w:rPr>
      <w:rFonts w:ascii="Segoe UI" w:hAnsi="Segoe UI" w:cs="Segoe UI"/>
      <w:sz w:val="18"/>
      <w:szCs w:val="18"/>
    </w:rPr>
  </w:style>
  <w:style w:type="paragraph" w:styleId="8">
    <w:name w:val="footer"/>
    <w:basedOn w:val="1"/>
    <w:link w:val="21"/>
    <w:unhideWhenUsed/>
    <w:qFormat/>
    <w:uiPriority w:val="99"/>
    <w:pPr>
      <w:tabs>
        <w:tab w:val="center" w:pos="4680"/>
        <w:tab w:val="right" w:pos="9360"/>
      </w:tabs>
      <w:spacing w:after="0" w:line="240" w:lineRule="auto"/>
    </w:pPr>
  </w:style>
  <w:style w:type="paragraph" w:styleId="9">
    <w:name w:val="header"/>
    <w:basedOn w:val="1"/>
    <w:link w:val="20"/>
    <w:unhideWhenUsed/>
    <w:qFormat/>
    <w:uiPriority w:val="99"/>
    <w:pPr>
      <w:tabs>
        <w:tab w:val="center" w:pos="4680"/>
        <w:tab w:val="right" w:pos="9360"/>
      </w:tabs>
      <w:spacing w:after="0" w:line="240" w:lineRule="auto"/>
    </w:pPr>
  </w:style>
  <w:style w:type="paragraph" w:styleId="10">
    <w:name w:val="toc 1"/>
    <w:basedOn w:val="1"/>
    <w:next w:val="1"/>
    <w:unhideWhenUsed/>
    <w:qFormat/>
    <w:uiPriority w:val="39"/>
    <w:pPr>
      <w:tabs>
        <w:tab w:val="right" w:leader="dot" w:pos="9350"/>
      </w:tabs>
      <w:spacing w:after="100"/>
    </w:pPr>
  </w:style>
  <w:style w:type="paragraph" w:styleId="11">
    <w:name w:val="toc 2"/>
    <w:basedOn w:val="1"/>
    <w:next w:val="1"/>
    <w:unhideWhenUsed/>
    <w:qFormat/>
    <w:uiPriority w:val="39"/>
    <w:pPr>
      <w:spacing w:after="100"/>
      <w:ind w:left="220"/>
    </w:pPr>
  </w:style>
  <w:style w:type="paragraph" w:styleId="12">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13">
    <w:name w:val="annotation subject"/>
    <w:basedOn w:val="5"/>
    <w:next w:val="5"/>
    <w:link w:val="27"/>
    <w:semiHidden/>
    <w:unhideWhenUsed/>
    <w:qFormat/>
    <w:uiPriority w:val="99"/>
    <w:rPr>
      <w:b/>
      <w:bCs/>
    </w:rPr>
  </w:style>
  <w:style w:type="table" w:styleId="15">
    <w:name w:val="Table Grid"/>
    <w:basedOn w:val="1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17">
    <w:name w:val="Hyperlink"/>
    <w:basedOn w:val="16"/>
    <w:unhideWhenUsed/>
    <w:qFormat/>
    <w:uiPriority w:val="99"/>
    <w:rPr>
      <w:color w:val="0000FF"/>
      <w:u w:val="single"/>
    </w:rPr>
  </w:style>
  <w:style w:type="character" w:styleId="18">
    <w:name w:val="annotation reference"/>
    <w:basedOn w:val="16"/>
    <w:semiHidden/>
    <w:unhideWhenUsed/>
    <w:qFormat/>
    <w:uiPriority w:val="99"/>
    <w:rPr>
      <w:sz w:val="16"/>
      <w:szCs w:val="16"/>
    </w:rPr>
  </w:style>
  <w:style w:type="paragraph" w:styleId="19">
    <w:name w:val="List Paragraph"/>
    <w:basedOn w:val="1"/>
    <w:qFormat/>
    <w:uiPriority w:val="34"/>
    <w:pPr>
      <w:ind w:left="720"/>
      <w:contextualSpacing/>
    </w:pPr>
  </w:style>
  <w:style w:type="character" w:customStyle="1" w:styleId="20">
    <w:name w:val="Header Char"/>
    <w:basedOn w:val="16"/>
    <w:link w:val="9"/>
    <w:qFormat/>
    <w:uiPriority w:val="99"/>
  </w:style>
  <w:style w:type="character" w:customStyle="1" w:styleId="21">
    <w:name w:val="Footer Char"/>
    <w:basedOn w:val="16"/>
    <w:link w:val="8"/>
    <w:qFormat/>
    <w:uiPriority w:val="99"/>
  </w:style>
  <w:style w:type="character" w:customStyle="1" w:styleId="22">
    <w:name w:val="Heading 1 Char"/>
    <w:basedOn w:val="16"/>
    <w:link w:val="2"/>
    <w:qFormat/>
    <w:uiPriority w:val="9"/>
    <w:rPr>
      <w:rFonts w:ascii="Times New Roman" w:hAnsi="Times New Roman" w:eastAsiaTheme="majorEastAsia" w:cstheme="majorBidi"/>
      <w:b/>
      <w:sz w:val="24"/>
      <w:szCs w:val="32"/>
    </w:rPr>
  </w:style>
  <w:style w:type="character" w:customStyle="1" w:styleId="23">
    <w:name w:val="Heading 2 Char"/>
    <w:basedOn w:val="16"/>
    <w:link w:val="3"/>
    <w:qFormat/>
    <w:uiPriority w:val="9"/>
    <w:rPr>
      <w:rFonts w:ascii="Times New Roman" w:hAnsi="Times New Roman" w:eastAsiaTheme="majorEastAsia" w:cstheme="majorBidi"/>
      <w:b/>
      <w:bCs/>
      <w:sz w:val="24"/>
      <w:szCs w:val="26"/>
    </w:rPr>
  </w:style>
  <w:style w:type="paragraph" w:customStyle="1" w:styleId="24">
    <w:name w:val="TOC Heading"/>
    <w:basedOn w:val="2"/>
    <w:next w:val="1"/>
    <w:unhideWhenUsed/>
    <w:qFormat/>
    <w:uiPriority w:val="39"/>
    <w:pPr>
      <w:outlineLvl w:val="9"/>
    </w:pPr>
    <w:rPr>
      <w:color w:val="2F5597" w:themeColor="accent1" w:themeShade="BF"/>
      <w:kern w:val="0"/>
      <w14:ligatures w14:val="none"/>
    </w:rPr>
  </w:style>
  <w:style w:type="character" w:customStyle="1" w:styleId="25">
    <w:name w:val="Heading 3 Char"/>
    <w:basedOn w:val="16"/>
    <w:link w:val="4"/>
    <w:qFormat/>
    <w:uiPriority w:val="9"/>
    <w:rPr>
      <w:rFonts w:ascii="Times New Roman" w:hAnsi="Times New Roman" w:eastAsiaTheme="majorEastAsia" w:cstheme="majorBidi"/>
      <w:b/>
      <w:i/>
      <w:color w:val="000000" w:themeColor="text1"/>
      <w:sz w:val="24"/>
      <w:szCs w:val="24"/>
      <w14:textFill>
        <w14:solidFill>
          <w14:schemeClr w14:val="tx1"/>
        </w14:solidFill>
      </w14:textFill>
    </w:rPr>
  </w:style>
  <w:style w:type="character" w:customStyle="1" w:styleId="26">
    <w:name w:val="Comment Text Char"/>
    <w:basedOn w:val="16"/>
    <w:link w:val="5"/>
    <w:semiHidden/>
    <w:qFormat/>
    <w:uiPriority w:val="99"/>
    <w:rPr>
      <w:sz w:val="20"/>
      <w:szCs w:val="20"/>
    </w:rPr>
  </w:style>
  <w:style w:type="character" w:customStyle="1" w:styleId="27">
    <w:name w:val="Comment Subject Char"/>
    <w:basedOn w:val="26"/>
    <w:link w:val="13"/>
    <w:semiHidden/>
    <w:qFormat/>
    <w:uiPriority w:val="99"/>
    <w:rPr>
      <w:b/>
      <w:bCs/>
      <w:sz w:val="20"/>
      <w:szCs w:val="20"/>
    </w:rPr>
  </w:style>
  <w:style w:type="character" w:customStyle="1" w:styleId="28">
    <w:name w:val="Balloon Text Char"/>
    <w:basedOn w:val="16"/>
    <w:link w:val="7"/>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customXml" Target="../customXml/item1.xml"/><Relationship Id="rId12" Type="http://schemas.openxmlformats.org/officeDocument/2006/relationships/image" Target="media/image2.jpeg"/><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A646185-065D-4DAF-B5C4-54757D14EE57}">
  <ds:schemaRefs/>
</ds:datastoreItem>
</file>

<file path=docProps/app.xml><?xml version="1.0" encoding="utf-8"?>
<Properties xmlns="http://schemas.openxmlformats.org/officeDocument/2006/extended-properties" xmlns:vt="http://schemas.openxmlformats.org/officeDocument/2006/docPropsVTypes">
  <Template>Normal</Template>
  <Pages>26</Pages>
  <Words>5959</Words>
  <Characters>35787</Characters>
  <Lines>309</Lines>
  <Paragraphs>87</Paragraphs>
  <TotalTime>14</TotalTime>
  <ScaleCrop>false</ScaleCrop>
  <LinksUpToDate>false</LinksUpToDate>
  <CharactersWithSpaces>41740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2023-04-24T15:33:00Z</dcterms:created>
  <dcterms:modified xsi:type="dcterms:W3CDTF">2023-04-24T17:41:47Z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9BC91A33537E4E709E197886C5FBC9DA_12</vt:lpwstr>
  </property>
</Properties>
</file>