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C2D2E" w14:textId="64DE0364" w:rsidR="00BD743A" w:rsidRDefault="00BD743A">
      <w:pPr>
        <w:rPr>
          <w:rFonts w:ascii="Arial" w:hAnsi="Arial" w:cs="Arial"/>
          <w:b/>
          <w:bCs/>
        </w:rPr>
      </w:pPr>
      <w:r>
        <w:rPr>
          <w:rFonts w:ascii="Arial" w:hAnsi="Arial" w:cs="Arial"/>
          <w:b/>
          <w:bCs/>
        </w:rPr>
        <w:t>Content Page</w:t>
      </w:r>
    </w:p>
    <w:p w14:paraId="705D2640" w14:textId="05FA5D71" w:rsidR="00BD743A" w:rsidRDefault="00BD743A">
      <w:pPr>
        <w:rPr>
          <w:rFonts w:ascii="Arial" w:hAnsi="Arial" w:cs="Arial"/>
        </w:rPr>
      </w:pPr>
      <w:r w:rsidRPr="00BD743A">
        <w:rPr>
          <w:rFonts w:ascii="Arial" w:hAnsi="Arial" w:cs="Arial"/>
        </w:rPr>
        <w:t>Part 1</w:t>
      </w:r>
      <w:r w:rsidR="000932FE">
        <w:rPr>
          <w:rFonts w:ascii="Arial" w:hAnsi="Arial" w:cs="Arial"/>
        </w:rPr>
        <w:t>- Personal Development Plan – Page</w:t>
      </w:r>
      <w:r w:rsidR="0033486B">
        <w:rPr>
          <w:rFonts w:ascii="Arial" w:hAnsi="Arial" w:cs="Arial"/>
        </w:rPr>
        <w:t>s 2-3</w:t>
      </w:r>
    </w:p>
    <w:p w14:paraId="1E11341B" w14:textId="2ED2131C" w:rsidR="00BD743A" w:rsidRDefault="00BD743A">
      <w:pPr>
        <w:rPr>
          <w:rFonts w:ascii="Arial" w:hAnsi="Arial" w:cs="Arial"/>
        </w:rPr>
      </w:pPr>
      <w:r>
        <w:rPr>
          <w:rFonts w:ascii="Arial" w:hAnsi="Arial" w:cs="Arial"/>
        </w:rPr>
        <w:t xml:space="preserve">Part 2- </w:t>
      </w:r>
      <w:r w:rsidR="00166FD9">
        <w:rPr>
          <w:rFonts w:ascii="Arial" w:hAnsi="Arial" w:cs="Arial"/>
        </w:rPr>
        <w:t xml:space="preserve">Reflective Practice Briefing Paper- Page </w:t>
      </w:r>
      <w:r w:rsidR="005C0090">
        <w:rPr>
          <w:rFonts w:ascii="Arial" w:hAnsi="Arial" w:cs="Arial"/>
        </w:rPr>
        <w:t xml:space="preserve">4-5 </w:t>
      </w:r>
    </w:p>
    <w:p w14:paraId="02E96AB1" w14:textId="6C2592E0" w:rsidR="00C03D8C" w:rsidRPr="00EF36F6" w:rsidRDefault="00BD743A" w:rsidP="00C03D8C">
      <w:pPr>
        <w:jc w:val="both"/>
        <w:rPr>
          <w:rFonts w:ascii="Arial" w:hAnsi="Arial" w:cs="Arial"/>
          <w:b/>
          <w:bCs/>
        </w:rPr>
      </w:pPr>
      <w:r>
        <w:rPr>
          <w:rFonts w:ascii="Arial" w:hAnsi="Arial" w:cs="Arial"/>
        </w:rPr>
        <w:t xml:space="preserve">Part 3- </w:t>
      </w:r>
      <w:r w:rsidR="00C03D8C" w:rsidRPr="00C03D8C">
        <w:rPr>
          <w:rFonts w:ascii="Arial" w:hAnsi="Arial" w:cs="Arial"/>
        </w:rPr>
        <w:t>Professional Practice in Early Years and Its Importance</w:t>
      </w:r>
      <w:r w:rsidR="00A00472">
        <w:rPr>
          <w:rFonts w:ascii="Arial" w:hAnsi="Arial" w:cs="Arial"/>
        </w:rPr>
        <w:t xml:space="preserve">- Pages </w:t>
      </w:r>
      <w:r w:rsidR="004F511F">
        <w:rPr>
          <w:rFonts w:ascii="Arial" w:hAnsi="Arial" w:cs="Arial"/>
        </w:rPr>
        <w:t>6-11</w:t>
      </w:r>
    </w:p>
    <w:p w14:paraId="59970E26" w14:textId="4FAEB40F" w:rsidR="00BD743A" w:rsidRDefault="00BD743A">
      <w:pPr>
        <w:rPr>
          <w:rFonts w:ascii="Arial" w:hAnsi="Arial" w:cs="Arial"/>
        </w:rPr>
      </w:pPr>
    </w:p>
    <w:p w14:paraId="75151B35" w14:textId="77777777" w:rsidR="00C70E6B" w:rsidRDefault="00C70E6B">
      <w:pPr>
        <w:rPr>
          <w:rFonts w:ascii="Arial" w:hAnsi="Arial" w:cs="Arial"/>
        </w:rPr>
      </w:pPr>
    </w:p>
    <w:p w14:paraId="51407132" w14:textId="76AD6553" w:rsidR="00BD743A" w:rsidRDefault="00BD743A">
      <w:pPr>
        <w:rPr>
          <w:rFonts w:ascii="Arial" w:hAnsi="Arial" w:cs="Arial"/>
          <w:b/>
          <w:bCs/>
        </w:rPr>
      </w:pPr>
      <w:r w:rsidRPr="00BD743A">
        <w:rPr>
          <w:rFonts w:ascii="Arial" w:hAnsi="Arial" w:cs="Arial"/>
          <w:b/>
          <w:bCs/>
        </w:rPr>
        <w:t xml:space="preserve">AI Acknowledgement- </w:t>
      </w:r>
    </w:p>
    <w:p w14:paraId="77679993" w14:textId="42BD562A" w:rsidR="00BD743A" w:rsidRDefault="00BD743A">
      <w:pPr>
        <w:rPr>
          <w:rFonts w:ascii="Arial" w:hAnsi="Arial" w:cs="Arial"/>
        </w:rPr>
      </w:pPr>
      <w:r w:rsidRPr="00BD743A">
        <w:rPr>
          <w:rFonts w:ascii="Arial" w:hAnsi="Arial" w:cs="Arial"/>
        </w:rPr>
        <w:t>I acknowledge the use of Microsoft 365 CoPilot (</w:t>
      </w:r>
      <w:hyperlink r:id="rId10" w:history="1">
        <w:r w:rsidRPr="00BD743A">
          <w:rPr>
            <w:rStyle w:val="Hyperlink"/>
            <w:rFonts w:ascii="Arial" w:hAnsi="Arial" w:cs="Arial"/>
          </w:rPr>
          <w:t>https://copilot.microsoft.com</w:t>
        </w:r>
      </w:hyperlink>
      <w:r w:rsidRPr="00BD743A">
        <w:rPr>
          <w:rFonts w:ascii="Arial" w:hAnsi="Arial" w:cs="Arial"/>
        </w:rPr>
        <w:t xml:space="preserve">) on </w:t>
      </w:r>
      <w:r w:rsidR="00F626FE">
        <w:rPr>
          <w:rFonts w:ascii="Arial" w:hAnsi="Arial" w:cs="Arial"/>
        </w:rPr>
        <w:t>11</w:t>
      </w:r>
      <w:r w:rsidR="00F626FE" w:rsidRPr="00F626FE">
        <w:rPr>
          <w:rFonts w:ascii="Arial" w:hAnsi="Arial" w:cs="Arial"/>
          <w:vertAlign w:val="superscript"/>
        </w:rPr>
        <w:t>th</w:t>
      </w:r>
      <w:r w:rsidR="00F626FE">
        <w:rPr>
          <w:rFonts w:ascii="Arial" w:hAnsi="Arial" w:cs="Arial"/>
        </w:rPr>
        <w:t xml:space="preserve"> October 2026 and </w:t>
      </w:r>
      <w:r w:rsidR="000A242C">
        <w:rPr>
          <w:rFonts w:ascii="Arial" w:hAnsi="Arial" w:cs="Arial"/>
        </w:rPr>
        <w:t>22</w:t>
      </w:r>
      <w:r w:rsidR="000A242C" w:rsidRPr="000A242C">
        <w:rPr>
          <w:rFonts w:ascii="Arial" w:hAnsi="Arial" w:cs="Arial"/>
          <w:vertAlign w:val="superscript"/>
        </w:rPr>
        <w:t>nd</w:t>
      </w:r>
      <w:r w:rsidR="000A242C">
        <w:rPr>
          <w:rFonts w:ascii="Arial" w:hAnsi="Arial" w:cs="Arial"/>
        </w:rPr>
        <w:t xml:space="preserve"> October 2026</w:t>
      </w:r>
      <w:r w:rsidRPr="00BD743A">
        <w:rPr>
          <w:rFonts w:ascii="Arial" w:hAnsi="Arial" w:cs="Arial"/>
        </w:rPr>
        <w:t xml:space="preserve"> to find sources during my research. I used the prompts: </w:t>
      </w:r>
    </w:p>
    <w:p w14:paraId="46C4648E" w14:textId="3BE305CF" w:rsidR="006B445C" w:rsidRPr="006B445C" w:rsidRDefault="006B445C" w:rsidP="006B445C">
      <w:pPr>
        <w:pStyle w:val="NormalWeb"/>
        <w:numPr>
          <w:ilvl w:val="0"/>
          <w:numId w:val="4"/>
        </w:numPr>
        <w:rPr>
          <w:rFonts w:ascii="Arial" w:hAnsi="Arial" w:cs="Arial"/>
        </w:rPr>
      </w:pPr>
      <w:r w:rsidRPr="006B445C">
        <w:rPr>
          <w:rFonts w:ascii="Arial" w:hAnsi="Arial" w:cs="Arial"/>
        </w:rPr>
        <w:t>I am researching what reflection is for my higher education studies. Can you find me credible, academic sources on reflection.</w:t>
      </w:r>
    </w:p>
    <w:p w14:paraId="581AA742" w14:textId="325C67FC" w:rsidR="007621B1" w:rsidRPr="007621B1" w:rsidRDefault="007621B1" w:rsidP="007621B1">
      <w:pPr>
        <w:pStyle w:val="NormalWeb"/>
        <w:numPr>
          <w:ilvl w:val="0"/>
          <w:numId w:val="4"/>
        </w:numPr>
        <w:rPr>
          <w:rFonts w:ascii="Arial" w:hAnsi="Arial" w:cs="Arial"/>
        </w:rPr>
      </w:pPr>
      <w:r w:rsidRPr="007621B1">
        <w:rPr>
          <w:rFonts w:ascii="Arial" w:hAnsi="Arial" w:cs="Arial"/>
        </w:rPr>
        <w:t>Find me academic sources (articles or journals) for "What is reflection?"</w:t>
      </w:r>
      <w:r w:rsidR="00213FEF">
        <w:rPr>
          <w:rFonts w:ascii="Arial" w:hAnsi="Arial" w:cs="Arial"/>
        </w:rPr>
        <w:t>.</w:t>
      </w:r>
    </w:p>
    <w:p w14:paraId="42B27AB8" w14:textId="301CDE43" w:rsidR="00286EFC" w:rsidRDefault="00286EFC" w:rsidP="00BD743A">
      <w:pPr>
        <w:pStyle w:val="ListParagraph"/>
        <w:numPr>
          <w:ilvl w:val="0"/>
          <w:numId w:val="4"/>
        </w:numPr>
        <w:rPr>
          <w:rFonts w:ascii="Arial" w:hAnsi="Arial" w:cs="Arial"/>
        </w:rPr>
      </w:pPr>
      <w:r w:rsidRPr="00286EFC">
        <w:rPr>
          <w:rFonts w:ascii="Arial" w:hAnsi="Arial" w:cs="Arial"/>
        </w:rPr>
        <w:t>What is reflective practice and can you provide me with credible, academic sources?</w:t>
      </w:r>
    </w:p>
    <w:p w14:paraId="5CBA3037" w14:textId="67F32B25" w:rsidR="00A06F01" w:rsidRDefault="00A06F01" w:rsidP="00BD743A">
      <w:pPr>
        <w:pStyle w:val="ListParagraph"/>
        <w:numPr>
          <w:ilvl w:val="0"/>
          <w:numId w:val="4"/>
        </w:numPr>
        <w:rPr>
          <w:rFonts w:ascii="Arial" w:hAnsi="Arial" w:cs="Arial"/>
        </w:rPr>
      </w:pPr>
      <w:r>
        <w:rPr>
          <w:rFonts w:ascii="Arial" w:hAnsi="Arial" w:cs="Arial"/>
        </w:rPr>
        <w:t>F</w:t>
      </w:r>
      <w:r w:rsidRPr="00A06F01">
        <w:rPr>
          <w:rFonts w:ascii="Arial" w:hAnsi="Arial" w:cs="Arial"/>
        </w:rPr>
        <w:t>ind me a credible, academic source that explains the benefits of reflective practice in early years.</w:t>
      </w:r>
    </w:p>
    <w:p w14:paraId="3C93B8F1" w14:textId="77777777" w:rsidR="00413438" w:rsidRDefault="00756CC9" w:rsidP="00413438">
      <w:pPr>
        <w:pStyle w:val="ListParagraph"/>
        <w:numPr>
          <w:ilvl w:val="0"/>
          <w:numId w:val="4"/>
        </w:numPr>
        <w:rPr>
          <w:rFonts w:ascii="Arial" w:hAnsi="Arial" w:cs="Arial"/>
        </w:rPr>
      </w:pPr>
      <w:r w:rsidRPr="00756CC9">
        <w:rPr>
          <w:rFonts w:ascii="Arial" w:hAnsi="Arial" w:cs="Arial"/>
        </w:rPr>
        <w:t>Provide me with a credible, academic source specifically about reflective practice helping early years pract</w:t>
      </w:r>
      <w:r>
        <w:rPr>
          <w:rFonts w:ascii="Arial" w:hAnsi="Arial" w:cs="Arial"/>
        </w:rPr>
        <w:t xml:space="preserve">itioners </w:t>
      </w:r>
      <w:r w:rsidRPr="00756CC9">
        <w:rPr>
          <w:rFonts w:ascii="Arial" w:hAnsi="Arial" w:cs="Arial"/>
        </w:rPr>
        <w:t>adapt provision/respond to children’s individual needs and inclusion.</w:t>
      </w:r>
    </w:p>
    <w:p w14:paraId="47CBA652" w14:textId="21906C34" w:rsidR="00413438" w:rsidRPr="00413438" w:rsidRDefault="00413438" w:rsidP="00413438">
      <w:pPr>
        <w:pStyle w:val="ListParagraph"/>
        <w:numPr>
          <w:ilvl w:val="0"/>
          <w:numId w:val="4"/>
        </w:numPr>
        <w:rPr>
          <w:rFonts w:ascii="Arial" w:hAnsi="Arial" w:cs="Arial"/>
        </w:rPr>
      </w:pPr>
      <w:r w:rsidRPr="00413438">
        <w:rPr>
          <w:rFonts w:ascii="Arial" w:hAnsi="Arial" w:cs="Arial"/>
        </w:rPr>
        <w:t>The Theory of Reflection</w:t>
      </w:r>
    </w:p>
    <w:p w14:paraId="5F5E0897" w14:textId="4FE4D861" w:rsidR="00413438" w:rsidRDefault="007A52F2" w:rsidP="00BD743A">
      <w:pPr>
        <w:pStyle w:val="ListParagraph"/>
        <w:numPr>
          <w:ilvl w:val="0"/>
          <w:numId w:val="4"/>
        </w:numPr>
        <w:rPr>
          <w:rFonts w:ascii="Arial" w:hAnsi="Arial" w:cs="Arial"/>
        </w:rPr>
      </w:pPr>
      <w:r w:rsidRPr="007A52F2">
        <w:rPr>
          <w:rFonts w:ascii="Arial" w:hAnsi="Arial" w:cs="Arial"/>
        </w:rPr>
        <w:t>Find me credible, academic sources for Schon's theory on reflection.</w:t>
      </w:r>
    </w:p>
    <w:p w14:paraId="52533C44" w14:textId="1EC018C1" w:rsidR="000C599B" w:rsidRDefault="000C772A" w:rsidP="00BD743A">
      <w:pPr>
        <w:pStyle w:val="ListParagraph"/>
        <w:numPr>
          <w:ilvl w:val="0"/>
          <w:numId w:val="4"/>
        </w:numPr>
        <w:rPr>
          <w:rFonts w:ascii="Arial" w:hAnsi="Arial" w:cs="Arial"/>
        </w:rPr>
      </w:pPr>
      <w:r>
        <w:rPr>
          <w:rFonts w:ascii="Arial" w:hAnsi="Arial" w:cs="Arial"/>
        </w:rPr>
        <w:t>F</w:t>
      </w:r>
      <w:r w:rsidRPr="000C772A">
        <w:rPr>
          <w:rFonts w:ascii="Arial" w:hAnsi="Arial" w:cs="Arial"/>
        </w:rPr>
        <w:t>ind me a credible, academic sources for Gibbs Reflective Cycle</w:t>
      </w:r>
      <w:r>
        <w:rPr>
          <w:rFonts w:ascii="Arial" w:hAnsi="Arial" w:cs="Arial"/>
        </w:rPr>
        <w:t>.</w:t>
      </w:r>
    </w:p>
    <w:p w14:paraId="04F9D272" w14:textId="3D810BEB" w:rsidR="000C772A" w:rsidRDefault="00986917" w:rsidP="00BD743A">
      <w:pPr>
        <w:pStyle w:val="ListParagraph"/>
        <w:numPr>
          <w:ilvl w:val="0"/>
          <w:numId w:val="4"/>
        </w:numPr>
        <w:rPr>
          <w:rFonts w:ascii="Arial" w:hAnsi="Arial" w:cs="Arial"/>
        </w:rPr>
      </w:pPr>
      <w:r>
        <w:rPr>
          <w:rFonts w:ascii="Arial" w:hAnsi="Arial" w:cs="Arial"/>
        </w:rPr>
        <w:t xml:space="preserve"> F</w:t>
      </w:r>
      <w:r w:rsidRPr="00986917">
        <w:rPr>
          <w:rFonts w:ascii="Arial" w:hAnsi="Arial" w:cs="Arial"/>
        </w:rPr>
        <w:t>ind me a credible, academic sources for Kolb's Reflective Cycle</w:t>
      </w:r>
      <w:r w:rsidR="0019578E">
        <w:rPr>
          <w:rFonts w:ascii="Arial" w:hAnsi="Arial" w:cs="Arial"/>
        </w:rPr>
        <w:t>.</w:t>
      </w:r>
    </w:p>
    <w:p w14:paraId="2FBB1F60" w14:textId="4678620C" w:rsidR="007A7D15" w:rsidRPr="00BD743A" w:rsidRDefault="00434E4F" w:rsidP="00BD743A">
      <w:pPr>
        <w:pStyle w:val="ListParagraph"/>
        <w:numPr>
          <w:ilvl w:val="0"/>
          <w:numId w:val="4"/>
        </w:numPr>
        <w:rPr>
          <w:rFonts w:ascii="Arial" w:hAnsi="Arial" w:cs="Arial"/>
        </w:rPr>
      </w:pPr>
      <w:r>
        <w:rPr>
          <w:rFonts w:ascii="Arial" w:hAnsi="Arial" w:cs="Arial"/>
        </w:rPr>
        <w:t xml:space="preserve"> Define professional practice in early years and its importance. </w:t>
      </w:r>
    </w:p>
    <w:p w14:paraId="4000F6A1" w14:textId="4B48DFD9" w:rsidR="00BD743A" w:rsidRDefault="00BD743A">
      <w:pPr>
        <w:rPr>
          <w:rFonts w:ascii="Arial" w:hAnsi="Arial" w:cs="Arial"/>
          <w:b/>
          <w:bCs/>
        </w:rPr>
      </w:pPr>
      <w:r>
        <w:rPr>
          <w:rFonts w:ascii="Arial" w:hAnsi="Arial" w:cs="Arial"/>
          <w:b/>
          <w:bCs/>
        </w:rPr>
        <w:br w:type="page"/>
      </w:r>
    </w:p>
    <w:p w14:paraId="4538863B" w14:textId="2A40D32A" w:rsidR="0075390E" w:rsidRDefault="00E75D53" w:rsidP="0075390E">
      <w:pPr>
        <w:pStyle w:val="ListParagraph"/>
        <w:rPr>
          <w:rFonts w:ascii="Arial" w:hAnsi="Arial" w:cs="Arial"/>
          <w:b/>
          <w:bCs/>
        </w:rPr>
      </w:pPr>
      <w:r w:rsidRPr="003A6E6D">
        <w:rPr>
          <w:rFonts w:ascii="Arial" w:hAnsi="Arial" w:cs="Arial"/>
          <w:b/>
          <w:bCs/>
        </w:rPr>
        <w:lastRenderedPageBreak/>
        <w:t>Part 1- Personal Development Plan</w:t>
      </w:r>
      <w:r w:rsidR="00874E91">
        <w:rPr>
          <w:rFonts w:ascii="Arial" w:hAnsi="Arial" w:cs="Arial"/>
          <w:b/>
          <w:bCs/>
        </w:rPr>
        <w:t xml:space="preserve"> </w:t>
      </w:r>
    </w:p>
    <w:p w14:paraId="5F74F2D5" w14:textId="26F5B3BA" w:rsidR="00C55827" w:rsidRPr="0075390E" w:rsidRDefault="00C55827" w:rsidP="0075390E">
      <w:pPr>
        <w:pStyle w:val="ListParagraph"/>
        <w:rPr>
          <w:rFonts w:ascii="Arial" w:hAnsi="Arial" w:cs="Arial"/>
          <w:b/>
          <w:bCs/>
        </w:rPr>
      </w:pPr>
    </w:p>
    <w:tbl>
      <w:tblPr>
        <w:tblStyle w:val="TableGrid"/>
        <w:tblW w:w="10774" w:type="dxa"/>
        <w:tblInd w:w="-714" w:type="dxa"/>
        <w:tblLook w:val="04A0" w:firstRow="1" w:lastRow="0" w:firstColumn="1" w:lastColumn="0" w:noHBand="0" w:noVBand="1"/>
      </w:tblPr>
      <w:tblGrid>
        <w:gridCol w:w="1702"/>
        <w:gridCol w:w="4252"/>
        <w:gridCol w:w="4820"/>
      </w:tblGrid>
      <w:tr w:rsidR="003E1978" w14:paraId="7BAB7AF6" w14:textId="77777777" w:rsidTr="005D117A">
        <w:tc>
          <w:tcPr>
            <w:tcW w:w="1702" w:type="dxa"/>
            <w:shd w:val="clear" w:color="auto" w:fill="83CAEB" w:themeFill="accent1" w:themeFillTint="66"/>
          </w:tcPr>
          <w:p w14:paraId="03699A5F" w14:textId="2D927DC4" w:rsidR="003E1978" w:rsidRDefault="003E1978" w:rsidP="00BD743A">
            <w:pPr>
              <w:pStyle w:val="ListParagraph"/>
              <w:ind w:left="0"/>
              <w:rPr>
                <w:rFonts w:ascii="Arial" w:hAnsi="Arial" w:cs="Arial"/>
                <w:b/>
                <w:bCs/>
              </w:rPr>
            </w:pPr>
            <w:r>
              <w:rPr>
                <w:rFonts w:ascii="Arial" w:hAnsi="Arial" w:cs="Arial"/>
                <w:b/>
                <w:bCs/>
              </w:rPr>
              <w:t>SMART</w:t>
            </w:r>
          </w:p>
        </w:tc>
        <w:tc>
          <w:tcPr>
            <w:tcW w:w="4252" w:type="dxa"/>
          </w:tcPr>
          <w:p w14:paraId="00955B9E" w14:textId="3A02842F" w:rsidR="003E1978" w:rsidRDefault="003E1978" w:rsidP="00BD743A">
            <w:pPr>
              <w:pStyle w:val="ListParagraph"/>
              <w:ind w:left="0"/>
              <w:rPr>
                <w:rFonts w:ascii="Arial" w:hAnsi="Arial" w:cs="Arial"/>
                <w:b/>
                <w:bCs/>
              </w:rPr>
            </w:pPr>
            <w:r>
              <w:rPr>
                <w:rFonts w:ascii="Arial" w:hAnsi="Arial" w:cs="Arial"/>
                <w:b/>
                <w:bCs/>
              </w:rPr>
              <w:t xml:space="preserve">Short-term Goal </w:t>
            </w:r>
          </w:p>
        </w:tc>
        <w:tc>
          <w:tcPr>
            <w:tcW w:w="4820" w:type="dxa"/>
          </w:tcPr>
          <w:p w14:paraId="7CE86D06" w14:textId="451D43CE" w:rsidR="003E1978" w:rsidRDefault="003E1978" w:rsidP="00BD743A">
            <w:pPr>
              <w:pStyle w:val="ListParagraph"/>
              <w:ind w:left="0"/>
              <w:rPr>
                <w:rFonts w:ascii="Arial" w:hAnsi="Arial" w:cs="Arial"/>
                <w:b/>
                <w:bCs/>
              </w:rPr>
            </w:pPr>
            <w:r>
              <w:rPr>
                <w:rFonts w:ascii="Arial" w:hAnsi="Arial" w:cs="Arial"/>
                <w:b/>
                <w:bCs/>
              </w:rPr>
              <w:t xml:space="preserve">Long-term Goal </w:t>
            </w:r>
          </w:p>
        </w:tc>
      </w:tr>
      <w:tr w:rsidR="003E1978" w14:paraId="020BB82D" w14:textId="77777777" w:rsidTr="005D117A">
        <w:tc>
          <w:tcPr>
            <w:tcW w:w="1702" w:type="dxa"/>
            <w:shd w:val="clear" w:color="auto" w:fill="83CAEB" w:themeFill="accent1" w:themeFillTint="66"/>
          </w:tcPr>
          <w:p w14:paraId="42F4C127" w14:textId="77777777" w:rsidR="003E1978" w:rsidRDefault="003E1978" w:rsidP="00BD743A">
            <w:pPr>
              <w:pStyle w:val="ListParagraph"/>
              <w:ind w:left="0"/>
              <w:rPr>
                <w:rFonts w:ascii="Arial" w:hAnsi="Arial" w:cs="Arial"/>
                <w:b/>
                <w:bCs/>
              </w:rPr>
            </w:pPr>
          </w:p>
          <w:p w14:paraId="7937650E" w14:textId="77777777" w:rsidR="003E1978" w:rsidRDefault="003E1978" w:rsidP="00BD743A">
            <w:pPr>
              <w:pStyle w:val="ListParagraph"/>
              <w:ind w:left="0"/>
              <w:rPr>
                <w:rFonts w:ascii="Arial" w:hAnsi="Arial" w:cs="Arial"/>
                <w:b/>
                <w:bCs/>
              </w:rPr>
            </w:pPr>
            <w:r>
              <w:rPr>
                <w:rFonts w:ascii="Arial" w:hAnsi="Arial" w:cs="Arial"/>
                <w:b/>
                <w:bCs/>
              </w:rPr>
              <w:t xml:space="preserve">Specific </w:t>
            </w:r>
          </w:p>
          <w:p w14:paraId="7C991770" w14:textId="4D265055" w:rsidR="003E1978" w:rsidRDefault="003E1978" w:rsidP="00BD743A">
            <w:pPr>
              <w:pStyle w:val="ListParagraph"/>
              <w:ind w:left="0"/>
              <w:rPr>
                <w:rFonts w:ascii="Arial" w:hAnsi="Arial" w:cs="Arial"/>
                <w:b/>
                <w:bCs/>
              </w:rPr>
            </w:pPr>
          </w:p>
        </w:tc>
        <w:tc>
          <w:tcPr>
            <w:tcW w:w="4252" w:type="dxa"/>
          </w:tcPr>
          <w:p w14:paraId="127F1BDA" w14:textId="7C460F59" w:rsidR="003E1978" w:rsidRDefault="003E1978" w:rsidP="00BD743A">
            <w:pPr>
              <w:pStyle w:val="ListParagraph"/>
              <w:ind w:left="0"/>
              <w:rPr>
                <w:rFonts w:ascii="Arial" w:hAnsi="Arial" w:cs="Arial"/>
              </w:rPr>
            </w:pPr>
            <w:r>
              <w:rPr>
                <w:rFonts w:ascii="Arial" w:hAnsi="Arial" w:cs="Arial"/>
              </w:rPr>
              <w:t xml:space="preserve">I would like to feel more confident when completing references in my assignments because having more confidence will help me to feel more motivated. </w:t>
            </w:r>
          </w:p>
          <w:p w14:paraId="21098749" w14:textId="77777777" w:rsidR="00D63DCE" w:rsidRDefault="00D63DCE" w:rsidP="00BD743A">
            <w:pPr>
              <w:pStyle w:val="ListParagraph"/>
              <w:ind w:left="0"/>
              <w:rPr>
                <w:rFonts w:ascii="Arial" w:hAnsi="Arial" w:cs="Arial"/>
              </w:rPr>
            </w:pPr>
          </w:p>
          <w:p w14:paraId="3C4A119F" w14:textId="0E81B500" w:rsidR="003E1978" w:rsidRDefault="003E1978" w:rsidP="00BD743A">
            <w:pPr>
              <w:pStyle w:val="ListParagraph"/>
              <w:ind w:left="0"/>
              <w:rPr>
                <w:rFonts w:ascii="Arial" w:hAnsi="Arial" w:cs="Arial"/>
              </w:rPr>
            </w:pPr>
            <w:r>
              <w:rPr>
                <w:rFonts w:ascii="Arial" w:hAnsi="Arial" w:cs="Arial"/>
              </w:rPr>
              <w:t xml:space="preserve">I need to continue practising referencing using the guidance handbook and asking support from lecturers when necessary. </w:t>
            </w:r>
          </w:p>
          <w:p w14:paraId="1F94CDE5" w14:textId="77777777" w:rsidR="003E1978" w:rsidRDefault="003E1978" w:rsidP="00BD743A">
            <w:pPr>
              <w:pStyle w:val="ListParagraph"/>
              <w:ind w:left="0"/>
              <w:rPr>
                <w:rFonts w:ascii="Arial" w:hAnsi="Arial" w:cs="Arial"/>
              </w:rPr>
            </w:pPr>
          </w:p>
          <w:p w14:paraId="65995FA8" w14:textId="1BB33FCC" w:rsidR="003E1978" w:rsidRPr="000C45D6" w:rsidRDefault="004A5776" w:rsidP="00BD743A">
            <w:pPr>
              <w:pStyle w:val="ListParagraph"/>
              <w:ind w:left="0"/>
              <w:rPr>
                <w:rFonts w:ascii="Arial" w:hAnsi="Arial" w:cs="Arial"/>
              </w:rPr>
            </w:pPr>
            <w:r>
              <w:rPr>
                <w:rFonts w:ascii="Arial" w:hAnsi="Arial" w:cs="Arial"/>
              </w:rPr>
              <w:t>A</w:t>
            </w:r>
            <w:r w:rsidR="003E1978">
              <w:rPr>
                <w:rFonts w:ascii="Arial" w:hAnsi="Arial" w:cs="Arial"/>
              </w:rPr>
              <w:t xml:space="preserve"> </w:t>
            </w:r>
            <w:r w:rsidR="0033486B">
              <w:rPr>
                <w:rFonts w:ascii="Arial" w:hAnsi="Arial" w:cs="Arial"/>
              </w:rPr>
              <w:t xml:space="preserve">constraint </w:t>
            </w:r>
            <w:r w:rsidR="004E6569">
              <w:rPr>
                <w:rFonts w:ascii="Arial" w:hAnsi="Arial" w:cs="Arial"/>
              </w:rPr>
              <w:t xml:space="preserve">I may face is </w:t>
            </w:r>
            <w:r w:rsidR="003E1978">
              <w:rPr>
                <w:rFonts w:ascii="Arial" w:hAnsi="Arial" w:cs="Arial"/>
              </w:rPr>
              <w:t xml:space="preserve">a lack of confidence and managing my time with my other commitments. </w:t>
            </w:r>
          </w:p>
        </w:tc>
        <w:tc>
          <w:tcPr>
            <w:tcW w:w="4820" w:type="dxa"/>
          </w:tcPr>
          <w:p w14:paraId="4B06E51E" w14:textId="3E602C28" w:rsidR="003E1978" w:rsidRDefault="003E1978" w:rsidP="00BD743A">
            <w:pPr>
              <w:pStyle w:val="ListParagraph"/>
              <w:ind w:left="0"/>
              <w:rPr>
                <w:rFonts w:ascii="Arial" w:hAnsi="Arial" w:cs="Arial"/>
              </w:rPr>
            </w:pPr>
            <w:r>
              <w:rPr>
                <w:rFonts w:ascii="Arial" w:hAnsi="Arial" w:cs="Arial"/>
              </w:rPr>
              <w:t xml:space="preserve">I would like to gain more knowledge and access more training opportunities through my workplace on neurodivergence because it is a significant part of my role and </w:t>
            </w:r>
            <w:r w:rsidR="008C7B78">
              <w:rPr>
                <w:rFonts w:ascii="Arial" w:hAnsi="Arial" w:cs="Arial"/>
              </w:rPr>
              <w:t>something</w:t>
            </w:r>
            <w:r>
              <w:rPr>
                <w:rFonts w:ascii="Arial" w:hAnsi="Arial" w:cs="Arial"/>
              </w:rPr>
              <w:t xml:space="preserve"> I am passionate about. </w:t>
            </w:r>
          </w:p>
          <w:p w14:paraId="2986E151" w14:textId="77777777" w:rsidR="0060432E" w:rsidRDefault="0060432E" w:rsidP="00BD743A">
            <w:pPr>
              <w:pStyle w:val="ListParagraph"/>
              <w:ind w:left="0"/>
              <w:rPr>
                <w:rFonts w:ascii="Arial" w:hAnsi="Arial" w:cs="Arial"/>
              </w:rPr>
            </w:pPr>
          </w:p>
          <w:p w14:paraId="483B9CB4" w14:textId="35FF986A" w:rsidR="003E1978" w:rsidRDefault="003E1978" w:rsidP="00BD743A">
            <w:pPr>
              <w:pStyle w:val="ListParagraph"/>
              <w:ind w:left="0"/>
              <w:rPr>
                <w:rFonts w:ascii="Arial" w:hAnsi="Arial" w:cs="Arial"/>
              </w:rPr>
            </w:pPr>
            <w:r>
              <w:rPr>
                <w:rFonts w:ascii="Arial" w:hAnsi="Arial" w:cs="Arial"/>
              </w:rPr>
              <w:t xml:space="preserve">I need to find and attend Continuing Professional Development opportunities </w:t>
            </w:r>
            <w:r w:rsidR="00655F06">
              <w:rPr>
                <w:rFonts w:ascii="Arial" w:hAnsi="Arial" w:cs="Arial"/>
              </w:rPr>
              <w:t xml:space="preserve">about </w:t>
            </w:r>
            <w:r>
              <w:rPr>
                <w:rFonts w:ascii="Arial" w:hAnsi="Arial" w:cs="Arial"/>
              </w:rPr>
              <w:t>neurodiversity.</w:t>
            </w:r>
          </w:p>
          <w:p w14:paraId="7F2388BD" w14:textId="77777777" w:rsidR="003E1978" w:rsidRDefault="003E1978" w:rsidP="00BD743A">
            <w:pPr>
              <w:pStyle w:val="ListParagraph"/>
              <w:ind w:left="0"/>
              <w:rPr>
                <w:rFonts w:ascii="Arial" w:hAnsi="Arial" w:cs="Arial"/>
              </w:rPr>
            </w:pPr>
          </w:p>
          <w:p w14:paraId="47F7A1EC" w14:textId="534D3DE1" w:rsidR="003E1978" w:rsidRPr="007C3623" w:rsidRDefault="003E1978" w:rsidP="00BD743A">
            <w:pPr>
              <w:pStyle w:val="ListParagraph"/>
              <w:ind w:left="0"/>
              <w:rPr>
                <w:rFonts w:ascii="Arial" w:hAnsi="Arial" w:cs="Arial"/>
              </w:rPr>
            </w:pPr>
            <w:r>
              <w:rPr>
                <w:rFonts w:ascii="Arial" w:hAnsi="Arial" w:cs="Arial"/>
              </w:rPr>
              <w:t xml:space="preserve">The constraint I </w:t>
            </w:r>
            <w:r w:rsidR="0060432E">
              <w:rPr>
                <w:rFonts w:ascii="Arial" w:hAnsi="Arial" w:cs="Arial"/>
              </w:rPr>
              <w:t>may</w:t>
            </w:r>
            <w:r>
              <w:rPr>
                <w:rFonts w:ascii="Arial" w:hAnsi="Arial" w:cs="Arial"/>
              </w:rPr>
              <w:t xml:space="preserve"> face could be that there is limited time available for me to leave my role. </w:t>
            </w:r>
          </w:p>
        </w:tc>
      </w:tr>
      <w:tr w:rsidR="003E1978" w14:paraId="3B559D0A" w14:textId="77777777" w:rsidTr="005D117A">
        <w:tc>
          <w:tcPr>
            <w:tcW w:w="1702" w:type="dxa"/>
            <w:shd w:val="clear" w:color="auto" w:fill="83CAEB" w:themeFill="accent1" w:themeFillTint="66"/>
          </w:tcPr>
          <w:p w14:paraId="0DCAD1F2" w14:textId="77777777" w:rsidR="003E1978" w:rsidRDefault="003E1978" w:rsidP="006E27BD">
            <w:pPr>
              <w:pStyle w:val="ListParagraph"/>
              <w:ind w:left="0"/>
              <w:jc w:val="center"/>
              <w:rPr>
                <w:rFonts w:ascii="Arial" w:hAnsi="Arial" w:cs="Arial"/>
                <w:b/>
                <w:bCs/>
              </w:rPr>
            </w:pPr>
          </w:p>
          <w:p w14:paraId="0340A488" w14:textId="284F85C0" w:rsidR="003E1978" w:rsidRDefault="003E1978" w:rsidP="006E27BD">
            <w:pPr>
              <w:pStyle w:val="ListParagraph"/>
              <w:ind w:left="0"/>
              <w:jc w:val="center"/>
              <w:rPr>
                <w:rFonts w:ascii="Arial" w:hAnsi="Arial" w:cs="Arial"/>
                <w:b/>
                <w:bCs/>
              </w:rPr>
            </w:pPr>
            <w:r>
              <w:rPr>
                <w:rFonts w:ascii="Arial" w:hAnsi="Arial" w:cs="Arial"/>
                <w:b/>
                <w:bCs/>
              </w:rPr>
              <w:t>Measurable</w:t>
            </w:r>
          </w:p>
          <w:p w14:paraId="16A536DF" w14:textId="78073E25" w:rsidR="003E1978" w:rsidRDefault="003E1978" w:rsidP="00BD743A">
            <w:pPr>
              <w:pStyle w:val="ListParagraph"/>
              <w:ind w:left="0"/>
              <w:rPr>
                <w:rFonts w:ascii="Arial" w:hAnsi="Arial" w:cs="Arial"/>
                <w:b/>
                <w:bCs/>
              </w:rPr>
            </w:pPr>
          </w:p>
        </w:tc>
        <w:tc>
          <w:tcPr>
            <w:tcW w:w="4252" w:type="dxa"/>
          </w:tcPr>
          <w:p w14:paraId="127CF14C" w14:textId="279D9AA4" w:rsidR="003E1978" w:rsidRDefault="003E1978" w:rsidP="00BD743A">
            <w:pPr>
              <w:pStyle w:val="ListParagraph"/>
              <w:ind w:left="0"/>
              <w:rPr>
                <w:rFonts w:ascii="Arial" w:hAnsi="Arial" w:cs="Arial"/>
              </w:rPr>
            </w:pPr>
            <w:r w:rsidRPr="002B634E">
              <w:rPr>
                <w:rFonts w:ascii="Arial" w:hAnsi="Arial" w:cs="Arial"/>
              </w:rPr>
              <w:t xml:space="preserve">I shall </w:t>
            </w:r>
            <w:r w:rsidR="00B77170">
              <w:rPr>
                <w:rFonts w:ascii="Arial" w:hAnsi="Arial" w:cs="Arial"/>
              </w:rPr>
              <w:t xml:space="preserve">reflect </w:t>
            </w:r>
            <w:r w:rsidRPr="002B634E">
              <w:rPr>
                <w:rFonts w:ascii="Arial" w:hAnsi="Arial" w:cs="Arial"/>
              </w:rPr>
              <w:t xml:space="preserve">on </w:t>
            </w:r>
            <w:r w:rsidR="00655F06">
              <w:rPr>
                <w:rFonts w:ascii="Arial" w:hAnsi="Arial" w:cs="Arial"/>
              </w:rPr>
              <w:t>whether my confidence has grown and</w:t>
            </w:r>
            <w:r>
              <w:rPr>
                <w:rFonts w:ascii="Arial" w:hAnsi="Arial" w:cs="Arial"/>
              </w:rPr>
              <w:t xml:space="preserve"> whether I can do things independently that I previously needed guidance with</w:t>
            </w:r>
            <w:r w:rsidR="00942206">
              <w:rPr>
                <w:rFonts w:ascii="Arial" w:hAnsi="Arial" w:cs="Arial"/>
              </w:rPr>
              <w:t>.</w:t>
            </w:r>
          </w:p>
          <w:p w14:paraId="19359028" w14:textId="77777777" w:rsidR="003E1978" w:rsidRDefault="003E1978" w:rsidP="00BD743A">
            <w:pPr>
              <w:pStyle w:val="ListParagraph"/>
              <w:ind w:left="0"/>
              <w:rPr>
                <w:rFonts w:ascii="Arial" w:hAnsi="Arial" w:cs="Arial"/>
              </w:rPr>
            </w:pPr>
          </w:p>
          <w:p w14:paraId="5CF2BB35" w14:textId="163EB716" w:rsidR="003E1978" w:rsidRPr="002B634E" w:rsidRDefault="003E1978" w:rsidP="00BD743A">
            <w:pPr>
              <w:pStyle w:val="ListParagraph"/>
              <w:ind w:left="0"/>
              <w:rPr>
                <w:rFonts w:ascii="Arial" w:hAnsi="Arial" w:cs="Arial"/>
              </w:rPr>
            </w:pPr>
            <w:r>
              <w:rPr>
                <w:rFonts w:ascii="Arial" w:hAnsi="Arial" w:cs="Arial"/>
              </w:rPr>
              <w:t xml:space="preserve">I will feel more confident carrying out academic tasks with less guidance and support. </w:t>
            </w:r>
          </w:p>
        </w:tc>
        <w:tc>
          <w:tcPr>
            <w:tcW w:w="4820" w:type="dxa"/>
          </w:tcPr>
          <w:p w14:paraId="4AD6B43D" w14:textId="3FABC683" w:rsidR="003E1978" w:rsidRDefault="003E1978" w:rsidP="00BD743A">
            <w:pPr>
              <w:pStyle w:val="ListParagraph"/>
              <w:ind w:left="0"/>
              <w:rPr>
                <w:rFonts w:ascii="Arial" w:hAnsi="Arial" w:cs="Arial"/>
              </w:rPr>
            </w:pPr>
            <w:r w:rsidRPr="0031021F">
              <w:rPr>
                <w:rFonts w:ascii="Arial" w:hAnsi="Arial" w:cs="Arial"/>
              </w:rPr>
              <w:t xml:space="preserve">I shall </w:t>
            </w:r>
            <w:r>
              <w:rPr>
                <w:rFonts w:ascii="Arial" w:hAnsi="Arial" w:cs="Arial"/>
              </w:rPr>
              <w:t>identif</w:t>
            </w:r>
            <w:r w:rsidR="003121DD">
              <w:rPr>
                <w:rFonts w:ascii="Arial" w:hAnsi="Arial" w:cs="Arial"/>
              </w:rPr>
              <w:t>y</w:t>
            </w:r>
            <w:r>
              <w:rPr>
                <w:rFonts w:ascii="Arial" w:hAnsi="Arial" w:cs="Arial"/>
              </w:rPr>
              <w:t xml:space="preserve"> if I have taken new opportunities </w:t>
            </w:r>
            <w:r w:rsidR="00655F06">
              <w:rPr>
                <w:rFonts w:ascii="Arial" w:hAnsi="Arial" w:cs="Arial"/>
              </w:rPr>
              <w:t xml:space="preserve">and </w:t>
            </w:r>
            <w:r>
              <w:rPr>
                <w:rFonts w:ascii="Arial" w:hAnsi="Arial" w:cs="Arial"/>
              </w:rPr>
              <w:t xml:space="preserve">review </w:t>
            </w:r>
            <w:r w:rsidR="00655F06">
              <w:rPr>
                <w:rFonts w:ascii="Arial" w:hAnsi="Arial" w:cs="Arial"/>
              </w:rPr>
              <w:t>if I</w:t>
            </w:r>
            <w:r>
              <w:rPr>
                <w:rFonts w:ascii="Arial" w:hAnsi="Arial" w:cs="Arial"/>
              </w:rPr>
              <w:t xml:space="preserve"> can demonstrate new skills or explain new knowledge</w:t>
            </w:r>
            <w:r w:rsidR="00655F06">
              <w:rPr>
                <w:rFonts w:ascii="Arial" w:hAnsi="Arial" w:cs="Arial"/>
              </w:rPr>
              <w:t>.</w:t>
            </w:r>
          </w:p>
          <w:p w14:paraId="480D01F9" w14:textId="77777777" w:rsidR="003E1978" w:rsidRDefault="003E1978" w:rsidP="00BD743A">
            <w:pPr>
              <w:pStyle w:val="ListParagraph"/>
              <w:ind w:left="0"/>
              <w:rPr>
                <w:rFonts w:ascii="Arial" w:hAnsi="Arial" w:cs="Arial"/>
              </w:rPr>
            </w:pPr>
          </w:p>
          <w:p w14:paraId="6704B9B7" w14:textId="1BFF9F09" w:rsidR="003E1978" w:rsidRPr="0031021F" w:rsidRDefault="003E1978" w:rsidP="00BD743A">
            <w:pPr>
              <w:pStyle w:val="ListParagraph"/>
              <w:ind w:left="0"/>
              <w:rPr>
                <w:rFonts w:ascii="Arial" w:hAnsi="Arial" w:cs="Arial"/>
              </w:rPr>
            </w:pPr>
            <w:r>
              <w:rPr>
                <w:rFonts w:ascii="Arial" w:hAnsi="Arial" w:cs="Arial"/>
              </w:rPr>
              <w:t xml:space="preserve">I will feel I have more confidence in my role and if I have received positive feedback from the senior leadership team. </w:t>
            </w:r>
          </w:p>
        </w:tc>
      </w:tr>
      <w:tr w:rsidR="003E1978" w14:paraId="7992B38E" w14:textId="77777777" w:rsidTr="005D117A">
        <w:tc>
          <w:tcPr>
            <w:tcW w:w="1702" w:type="dxa"/>
            <w:shd w:val="clear" w:color="auto" w:fill="83CAEB" w:themeFill="accent1" w:themeFillTint="66"/>
          </w:tcPr>
          <w:p w14:paraId="57F4E4A6" w14:textId="34E6A6AF" w:rsidR="003E1978" w:rsidRDefault="003E1978" w:rsidP="00BD743A">
            <w:pPr>
              <w:pStyle w:val="ListParagraph"/>
              <w:ind w:left="0"/>
              <w:rPr>
                <w:rFonts w:ascii="Arial" w:hAnsi="Arial" w:cs="Arial"/>
                <w:b/>
                <w:bCs/>
              </w:rPr>
            </w:pPr>
          </w:p>
          <w:p w14:paraId="4B07C918" w14:textId="77777777" w:rsidR="003E1978" w:rsidRDefault="003E1978" w:rsidP="00BD743A">
            <w:pPr>
              <w:pStyle w:val="ListParagraph"/>
              <w:ind w:left="0"/>
              <w:rPr>
                <w:rFonts w:ascii="Arial" w:hAnsi="Arial" w:cs="Arial"/>
                <w:b/>
                <w:bCs/>
              </w:rPr>
            </w:pPr>
            <w:r>
              <w:rPr>
                <w:rFonts w:ascii="Arial" w:hAnsi="Arial" w:cs="Arial"/>
                <w:b/>
                <w:bCs/>
              </w:rPr>
              <w:t>Achievable</w:t>
            </w:r>
          </w:p>
          <w:p w14:paraId="5E765043" w14:textId="68F49BDA" w:rsidR="003E1978" w:rsidRDefault="003E1978" w:rsidP="00BD743A">
            <w:pPr>
              <w:pStyle w:val="ListParagraph"/>
              <w:ind w:left="0"/>
              <w:rPr>
                <w:rFonts w:ascii="Arial" w:hAnsi="Arial" w:cs="Arial"/>
                <w:b/>
                <w:bCs/>
              </w:rPr>
            </w:pPr>
          </w:p>
        </w:tc>
        <w:tc>
          <w:tcPr>
            <w:tcW w:w="4252" w:type="dxa"/>
          </w:tcPr>
          <w:p w14:paraId="13D4A5F6" w14:textId="3AF31B25" w:rsidR="003E1978" w:rsidRDefault="003E1978" w:rsidP="00BD743A">
            <w:pPr>
              <w:pStyle w:val="ListParagraph"/>
              <w:ind w:left="0"/>
              <w:rPr>
                <w:rFonts w:ascii="Arial" w:hAnsi="Arial" w:cs="Arial"/>
              </w:rPr>
            </w:pPr>
            <w:r w:rsidRPr="00161387">
              <w:rPr>
                <w:rFonts w:ascii="Arial" w:hAnsi="Arial" w:cs="Arial"/>
              </w:rPr>
              <w:t xml:space="preserve">I </w:t>
            </w:r>
            <w:r w:rsidR="003121DD">
              <w:rPr>
                <w:rFonts w:ascii="Arial" w:hAnsi="Arial" w:cs="Arial"/>
              </w:rPr>
              <w:t>shall</w:t>
            </w:r>
            <w:r w:rsidR="00707E6B">
              <w:rPr>
                <w:rFonts w:ascii="Arial" w:hAnsi="Arial" w:cs="Arial"/>
              </w:rPr>
              <w:t xml:space="preserve"> ask</w:t>
            </w:r>
            <w:r w:rsidRPr="00161387">
              <w:rPr>
                <w:rFonts w:ascii="Arial" w:hAnsi="Arial" w:cs="Arial"/>
              </w:rPr>
              <w:t xml:space="preserve"> for guidance from lecturers</w:t>
            </w:r>
            <w:r w:rsidR="00655F06">
              <w:rPr>
                <w:rFonts w:ascii="Arial" w:hAnsi="Arial" w:cs="Arial"/>
              </w:rPr>
              <w:t xml:space="preserve">, </w:t>
            </w:r>
            <w:r w:rsidRPr="00161387">
              <w:rPr>
                <w:rFonts w:ascii="Arial" w:hAnsi="Arial" w:cs="Arial"/>
              </w:rPr>
              <w:t xml:space="preserve">regularly practice referencing and help myself improve by reviewing feedback from lecturers. </w:t>
            </w:r>
          </w:p>
          <w:p w14:paraId="03AAA8C4" w14:textId="77777777" w:rsidR="00707E6B" w:rsidRDefault="00707E6B" w:rsidP="00BD743A">
            <w:pPr>
              <w:pStyle w:val="ListParagraph"/>
              <w:ind w:left="0"/>
              <w:rPr>
                <w:rFonts w:ascii="Arial" w:hAnsi="Arial" w:cs="Arial"/>
              </w:rPr>
            </w:pPr>
          </w:p>
          <w:p w14:paraId="0FEBAF73" w14:textId="7238EB6B" w:rsidR="003E1978" w:rsidRPr="00161387" w:rsidRDefault="003E1978" w:rsidP="00BD743A">
            <w:pPr>
              <w:pStyle w:val="ListParagraph"/>
              <w:ind w:left="0"/>
              <w:rPr>
                <w:rFonts w:ascii="Arial" w:hAnsi="Arial" w:cs="Arial"/>
              </w:rPr>
            </w:pPr>
            <w:r>
              <w:rPr>
                <w:rFonts w:ascii="Arial" w:hAnsi="Arial" w:cs="Arial"/>
              </w:rPr>
              <w:t>I should acknowledg</w:t>
            </w:r>
            <w:r w:rsidR="00707E6B">
              <w:rPr>
                <w:rFonts w:ascii="Arial" w:hAnsi="Arial" w:cs="Arial"/>
              </w:rPr>
              <w:t>e</w:t>
            </w:r>
            <w:r>
              <w:rPr>
                <w:rFonts w:ascii="Arial" w:hAnsi="Arial" w:cs="Arial"/>
              </w:rPr>
              <w:t xml:space="preserve"> areas I need to improve, start practising regularly and apply the feedback I have received to my next assignment.</w:t>
            </w:r>
          </w:p>
        </w:tc>
        <w:tc>
          <w:tcPr>
            <w:tcW w:w="4820" w:type="dxa"/>
          </w:tcPr>
          <w:p w14:paraId="558A57F9" w14:textId="140EA957" w:rsidR="003E1978" w:rsidRDefault="003E1978" w:rsidP="00BD743A">
            <w:pPr>
              <w:pStyle w:val="ListParagraph"/>
              <w:ind w:left="0"/>
              <w:rPr>
                <w:rFonts w:ascii="Arial" w:hAnsi="Arial" w:cs="Arial"/>
              </w:rPr>
            </w:pPr>
            <w:r w:rsidRPr="00CE510D">
              <w:rPr>
                <w:rFonts w:ascii="Arial" w:hAnsi="Arial" w:cs="Arial"/>
              </w:rPr>
              <w:t xml:space="preserve">I will </w:t>
            </w:r>
            <w:r w:rsidR="00707E6B">
              <w:rPr>
                <w:rFonts w:ascii="Arial" w:hAnsi="Arial" w:cs="Arial"/>
              </w:rPr>
              <w:t>seek</w:t>
            </w:r>
            <w:r w:rsidRPr="00CE510D">
              <w:rPr>
                <w:rFonts w:ascii="Arial" w:hAnsi="Arial" w:cs="Arial"/>
              </w:rPr>
              <w:t xml:space="preserve"> guidance and advice on Continuing Professional Development opportunities from the senior leadership team and advisory teachers.</w:t>
            </w:r>
          </w:p>
          <w:p w14:paraId="269FC12B" w14:textId="77777777" w:rsidR="003E1978" w:rsidRDefault="003E1978" w:rsidP="00BD743A">
            <w:pPr>
              <w:pStyle w:val="ListParagraph"/>
              <w:ind w:left="0"/>
              <w:rPr>
                <w:rFonts w:ascii="Arial" w:hAnsi="Arial" w:cs="Arial"/>
                <w:b/>
                <w:bCs/>
              </w:rPr>
            </w:pPr>
          </w:p>
          <w:p w14:paraId="5FB68ED7" w14:textId="6D65E032" w:rsidR="003E1978" w:rsidRPr="00A86775" w:rsidRDefault="003E1978" w:rsidP="00BD743A">
            <w:pPr>
              <w:pStyle w:val="ListParagraph"/>
              <w:ind w:left="0"/>
              <w:rPr>
                <w:rFonts w:ascii="Arial" w:hAnsi="Arial" w:cs="Arial"/>
              </w:rPr>
            </w:pPr>
            <w:r w:rsidRPr="00A86775">
              <w:rPr>
                <w:rFonts w:ascii="Arial" w:hAnsi="Arial" w:cs="Arial"/>
              </w:rPr>
              <w:t xml:space="preserve">I should </w:t>
            </w:r>
            <w:r>
              <w:rPr>
                <w:rFonts w:ascii="Arial" w:hAnsi="Arial" w:cs="Arial"/>
              </w:rPr>
              <w:t>ensur</w:t>
            </w:r>
            <w:r w:rsidR="00707E6B">
              <w:rPr>
                <w:rFonts w:ascii="Arial" w:hAnsi="Arial" w:cs="Arial"/>
              </w:rPr>
              <w:t>e</w:t>
            </w:r>
            <w:r>
              <w:rPr>
                <w:rFonts w:ascii="Arial" w:hAnsi="Arial" w:cs="Arial"/>
              </w:rPr>
              <w:t xml:space="preserve"> I seek training opportunities, applying what I have learnt to my practice and reflect on areas of my practice I feel I could improve. </w:t>
            </w:r>
          </w:p>
        </w:tc>
      </w:tr>
      <w:tr w:rsidR="003E1978" w14:paraId="0F29FAC0" w14:textId="77777777" w:rsidTr="005D117A">
        <w:tc>
          <w:tcPr>
            <w:tcW w:w="1702" w:type="dxa"/>
            <w:shd w:val="clear" w:color="auto" w:fill="83CAEB" w:themeFill="accent1" w:themeFillTint="66"/>
          </w:tcPr>
          <w:p w14:paraId="354863BD" w14:textId="77777777" w:rsidR="003E1978" w:rsidRDefault="003E1978" w:rsidP="00BD743A">
            <w:pPr>
              <w:pStyle w:val="ListParagraph"/>
              <w:ind w:left="0"/>
              <w:rPr>
                <w:rFonts w:ascii="Arial" w:hAnsi="Arial" w:cs="Arial"/>
                <w:b/>
                <w:bCs/>
              </w:rPr>
            </w:pPr>
          </w:p>
          <w:p w14:paraId="35DDC176" w14:textId="2096ACF5" w:rsidR="003E1978" w:rsidRDefault="003E1978" w:rsidP="00BD743A">
            <w:pPr>
              <w:pStyle w:val="ListParagraph"/>
              <w:ind w:left="0"/>
              <w:rPr>
                <w:rFonts w:ascii="Arial" w:hAnsi="Arial" w:cs="Arial"/>
                <w:b/>
                <w:bCs/>
              </w:rPr>
            </w:pPr>
            <w:r>
              <w:rPr>
                <w:rFonts w:ascii="Arial" w:hAnsi="Arial" w:cs="Arial"/>
                <w:b/>
                <w:bCs/>
              </w:rPr>
              <w:t>Relevant</w:t>
            </w:r>
          </w:p>
          <w:p w14:paraId="0BFF4C8B" w14:textId="4B63AFD5" w:rsidR="003E1978" w:rsidRDefault="003E1978" w:rsidP="00BD743A">
            <w:pPr>
              <w:pStyle w:val="ListParagraph"/>
              <w:ind w:left="0"/>
              <w:rPr>
                <w:rFonts w:ascii="Arial" w:hAnsi="Arial" w:cs="Arial"/>
                <w:b/>
                <w:bCs/>
              </w:rPr>
            </w:pPr>
          </w:p>
        </w:tc>
        <w:tc>
          <w:tcPr>
            <w:tcW w:w="4252" w:type="dxa"/>
          </w:tcPr>
          <w:p w14:paraId="5CE8A9E9" w14:textId="2114EE29" w:rsidR="003E1978" w:rsidRDefault="003E1978" w:rsidP="00BD743A">
            <w:pPr>
              <w:pStyle w:val="ListParagraph"/>
              <w:ind w:left="0"/>
              <w:rPr>
                <w:rFonts w:ascii="Arial" w:hAnsi="Arial" w:cs="Arial"/>
              </w:rPr>
            </w:pPr>
            <w:r>
              <w:rPr>
                <w:rFonts w:ascii="Arial" w:hAnsi="Arial" w:cs="Arial"/>
              </w:rPr>
              <w:t xml:space="preserve">This </w:t>
            </w:r>
            <w:r w:rsidRPr="008B219F">
              <w:rPr>
                <w:rFonts w:ascii="Arial" w:hAnsi="Arial" w:cs="Arial"/>
              </w:rPr>
              <w:t xml:space="preserve">will assist me to grow in confidence and help me progress more positively in my degree. </w:t>
            </w:r>
          </w:p>
          <w:p w14:paraId="4862A407" w14:textId="77777777" w:rsidR="003E1978" w:rsidRDefault="003E1978" w:rsidP="00BD743A">
            <w:pPr>
              <w:pStyle w:val="ListParagraph"/>
              <w:ind w:left="0"/>
              <w:rPr>
                <w:rFonts w:ascii="Arial" w:hAnsi="Arial" w:cs="Arial"/>
              </w:rPr>
            </w:pPr>
          </w:p>
          <w:p w14:paraId="25964607" w14:textId="25493E7E" w:rsidR="003E1978" w:rsidRDefault="003E1978" w:rsidP="00BD743A">
            <w:pPr>
              <w:pStyle w:val="ListParagraph"/>
              <w:ind w:left="0"/>
              <w:rPr>
                <w:rFonts w:ascii="Arial" w:hAnsi="Arial" w:cs="Arial"/>
              </w:rPr>
            </w:pPr>
            <w:r>
              <w:rPr>
                <w:rFonts w:ascii="Arial" w:hAnsi="Arial" w:cs="Arial"/>
              </w:rPr>
              <w:t xml:space="preserve">This goal </w:t>
            </w:r>
            <w:r w:rsidR="001F1D51">
              <w:rPr>
                <w:rFonts w:ascii="Arial" w:hAnsi="Arial" w:cs="Arial"/>
              </w:rPr>
              <w:t xml:space="preserve">is currently </w:t>
            </w:r>
            <w:r>
              <w:rPr>
                <w:rFonts w:ascii="Arial" w:hAnsi="Arial" w:cs="Arial"/>
              </w:rPr>
              <w:t xml:space="preserve">important to me </w:t>
            </w:r>
            <w:r w:rsidR="008A04D2">
              <w:rPr>
                <w:rFonts w:ascii="Arial" w:hAnsi="Arial" w:cs="Arial"/>
              </w:rPr>
              <w:t xml:space="preserve">as I want </w:t>
            </w:r>
            <w:r>
              <w:rPr>
                <w:rFonts w:ascii="Arial" w:hAnsi="Arial" w:cs="Arial"/>
              </w:rPr>
              <w:t xml:space="preserve">to complete this degree to the best of my ability. </w:t>
            </w:r>
          </w:p>
          <w:p w14:paraId="579E4CB2" w14:textId="77777777" w:rsidR="003E1978" w:rsidRDefault="003E1978" w:rsidP="00BD743A">
            <w:pPr>
              <w:pStyle w:val="ListParagraph"/>
              <w:ind w:left="0"/>
              <w:rPr>
                <w:rFonts w:ascii="Arial" w:hAnsi="Arial" w:cs="Arial"/>
              </w:rPr>
            </w:pPr>
          </w:p>
          <w:p w14:paraId="293F5D74" w14:textId="41849474" w:rsidR="003E1978" w:rsidRDefault="003E1978" w:rsidP="00BD743A">
            <w:pPr>
              <w:pStyle w:val="ListParagraph"/>
              <w:ind w:left="0"/>
              <w:rPr>
                <w:rFonts w:ascii="Arial" w:hAnsi="Arial" w:cs="Arial"/>
              </w:rPr>
            </w:pPr>
            <w:r>
              <w:rPr>
                <w:rFonts w:ascii="Arial" w:hAnsi="Arial" w:cs="Arial"/>
              </w:rPr>
              <w:t>I have the necessary resources to complete this goal because I have access to supportive lecturers and I am motivated to achieve this qualification</w:t>
            </w:r>
            <w:r w:rsidR="00B62712">
              <w:rPr>
                <w:rFonts w:ascii="Arial" w:hAnsi="Arial" w:cs="Arial"/>
              </w:rPr>
              <w:t>.</w:t>
            </w:r>
            <w:r>
              <w:rPr>
                <w:rFonts w:ascii="Arial" w:hAnsi="Arial" w:cs="Arial"/>
              </w:rPr>
              <w:t xml:space="preserve"> </w:t>
            </w:r>
          </w:p>
          <w:p w14:paraId="3BD25EF2" w14:textId="77777777" w:rsidR="00506273" w:rsidRDefault="00506273" w:rsidP="00BD743A">
            <w:pPr>
              <w:pStyle w:val="ListParagraph"/>
              <w:ind w:left="0"/>
              <w:rPr>
                <w:rFonts w:ascii="Arial" w:hAnsi="Arial" w:cs="Arial"/>
              </w:rPr>
            </w:pPr>
          </w:p>
          <w:p w14:paraId="0CED02A1" w14:textId="5294AE44" w:rsidR="003E1978" w:rsidRPr="008B219F" w:rsidRDefault="003E1978" w:rsidP="00BD743A">
            <w:pPr>
              <w:pStyle w:val="ListParagraph"/>
              <w:ind w:left="0"/>
              <w:rPr>
                <w:rFonts w:ascii="Arial" w:hAnsi="Arial" w:cs="Arial"/>
              </w:rPr>
            </w:pPr>
            <w:r>
              <w:rPr>
                <w:rFonts w:ascii="Arial" w:hAnsi="Arial" w:cs="Arial"/>
              </w:rPr>
              <w:lastRenderedPageBreak/>
              <w:t xml:space="preserve">This goal helps me achieve my long-term objective </w:t>
            </w:r>
            <w:r w:rsidR="00A42D67">
              <w:rPr>
                <w:rFonts w:ascii="Arial" w:hAnsi="Arial" w:cs="Arial"/>
              </w:rPr>
              <w:t>as it</w:t>
            </w:r>
            <w:r>
              <w:rPr>
                <w:rFonts w:ascii="Arial" w:hAnsi="Arial" w:cs="Arial"/>
              </w:rPr>
              <w:t xml:space="preserve"> will help me remain motivated and encourage me to continue</w:t>
            </w:r>
            <w:r w:rsidR="002551F0">
              <w:rPr>
                <w:rFonts w:ascii="Arial" w:hAnsi="Arial" w:cs="Arial"/>
              </w:rPr>
              <w:t xml:space="preserve">. </w:t>
            </w:r>
          </w:p>
        </w:tc>
        <w:tc>
          <w:tcPr>
            <w:tcW w:w="4820" w:type="dxa"/>
          </w:tcPr>
          <w:p w14:paraId="3DCF5602" w14:textId="43477D7C" w:rsidR="003E1978" w:rsidRDefault="003E1978" w:rsidP="00BD743A">
            <w:pPr>
              <w:pStyle w:val="ListParagraph"/>
              <w:ind w:left="0"/>
              <w:rPr>
                <w:rFonts w:ascii="Arial" w:hAnsi="Arial" w:cs="Arial"/>
              </w:rPr>
            </w:pPr>
            <w:r w:rsidRPr="00083C76">
              <w:rPr>
                <w:rFonts w:ascii="Arial" w:hAnsi="Arial" w:cs="Arial"/>
              </w:rPr>
              <w:lastRenderedPageBreak/>
              <w:t xml:space="preserve">This goal will help me expand my knowledge and help me improve my practice within my role. </w:t>
            </w:r>
          </w:p>
          <w:p w14:paraId="17CBC8B7" w14:textId="77777777" w:rsidR="003E1978" w:rsidRDefault="003E1978" w:rsidP="00BD743A">
            <w:pPr>
              <w:pStyle w:val="ListParagraph"/>
              <w:ind w:left="0"/>
              <w:rPr>
                <w:rFonts w:ascii="Arial" w:hAnsi="Arial" w:cs="Arial"/>
              </w:rPr>
            </w:pPr>
          </w:p>
          <w:p w14:paraId="6F87EEB3" w14:textId="2CD1356E" w:rsidR="003E1978" w:rsidRDefault="003E1978" w:rsidP="00BD743A">
            <w:pPr>
              <w:pStyle w:val="ListParagraph"/>
              <w:ind w:left="0"/>
              <w:rPr>
                <w:rFonts w:ascii="Arial" w:hAnsi="Arial" w:cs="Arial"/>
              </w:rPr>
            </w:pPr>
            <w:r>
              <w:rPr>
                <w:rFonts w:ascii="Arial" w:hAnsi="Arial" w:cs="Arial"/>
              </w:rPr>
              <w:t>This is the right time for me to begin working towards this goal as I have found a career that I am passionate about</w:t>
            </w:r>
            <w:r w:rsidR="0036114A">
              <w:rPr>
                <w:rFonts w:ascii="Arial" w:hAnsi="Arial" w:cs="Arial"/>
              </w:rPr>
              <w:t>.</w:t>
            </w:r>
          </w:p>
          <w:p w14:paraId="604F2E2E" w14:textId="77777777" w:rsidR="003E1978" w:rsidRDefault="003E1978" w:rsidP="00BD743A">
            <w:pPr>
              <w:pStyle w:val="ListParagraph"/>
              <w:ind w:left="0"/>
              <w:rPr>
                <w:rFonts w:ascii="Arial" w:hAnsi="Arial" w:cs="Arial"/>
              </w:rPr>
            </w:pPr>
          </w:p>
          <w:p w14:paraId="4AE71634" w14:textId="196343B6" w:rsidR="003E1978" w:rsidRDefault="003E1978" w:rsidP="00BD743A">
            <w:pPr>
              <w:pStyle w:val="ListParagraph"/>
              <w:ind w:left="0"/>
              <w:rPr>
                <w:rFonts w:ascii="Arial" w:hAnsi="Arial" w:cs="Arial"/>
              </w:rPr>
            </w:pPr>
            <w:r>
              <w:rPr>
                <w:rFonts w:ascii="Arial" w:hAnsi="Arial" w:cs="Arial"/>
              </w:rPr>
              <w:t xml:space="preserve">I have the necessary resources </w:t>
            </w:r>
            <w:r w:rsidR="008A04D2">
              <w:rPr>
                <w:rFonts w:ascii="Arial" w:hAnsi="Arial" w:cs="Arial"/>
              </w:rPr>
              <w:t xml:space="preserve">for </w:t>
            </w:r>
            <w:r>
              <w:rPr>
                <w:rFonts w:ascii="Arial" w:hAnsi="Arial" w:cs="Arial"/>
              </w:rPr>
              <w:t>this goal because I have a supportive senior leadership and outreach team</w:t>
            </w:r>
            <w:r w:rsidR="00B62712">
              <w:rPr>
                <w:rFonts w:ascii="Arial" w:hAnsi="Arial" w:cs="Arial"/>
              </w:rPr>
              <w:t>.</w:t>
            </w:r>
          </w:p>
          <w:p w14:paraId="568C3328" w14:textId="77777777" w:rsidR="003E1978" w:rsidRDefault="003E1978" w:rsidP="00BD743A">
            <w:pPr>
              <w:pStyle w:val="ListParagraph"/>
              <w:ind w:left="0"/>
              <w:rPr>
                <w:rFonts w:ascii="Arial" w:hAnsi="Arial" w:cs="Arial"/>
              </w:rPr>
            </w:pPr>
          </w:p>
          <w:p w14:paraId="7B8A995A" w14:textId="5C24C72F" w:rsidR="003E1978" w:rsidRPr="00083C76" w:rsidRDefault="003E1978" w:rsidP="00BD743A">
            <w:pPr>
              <w:pStyle w:val="ListParagraph"/>
              <w:ind w:left="0"/>
              <w:rPr>
                <w:rFonts w:ascii="Arial" w:hAnsi="Arial" w:cs="Arial"/>
              </w:rPr>
            </w:pPr>
            <w:r>
              <w:rPr>
                <w:rFonts w:ascii="Arial" w:hAnsi="Arial" w:cs="Arial"/>
              </w:rPr>
              <w:t xml:space="preserve">This goal will help me </w:t>
            </w:r>
            <w:r w:rsidR="00506273">
              <w:rPr>
                <w:rFonts w:ascii="Arial" w:hAnsi="Arial" w:cs="Arial"/>
              </w:rPr>
              <w:t>improve</w:t>
            </w:r>
            <w:r>
              <w:rPr>
                <w:rFonts w:ascii="Arial" w:hAnsi="Arial" w:cs="Arial"/>
              </w:rPr>
              <w:t xml:space="preserve"> my practice as it will assist me in expanding my knowledge </w:t>
            </w:r>
            <w:r w:rsidR="00506273">
              <w:rPr>
                <w:rFonts w:ascii="Arial" w:hAnsi="Arial" w:cs="Arial"/>
              </w:rPr>
              <w:t xml:space="preserve">and skills. </w:t>
            </w:r>
            <w:r>
              <w:rPr>
                <w:rFonts w:ascii="Arial" w:hAnsi="Arial" w:cs="Arial"/>
              </w:rPr>
              <w:t xml:space="preserve"> </w:t>
            </w:r>
          </w:p>
        </w:tc>
      </w:tr>
      <w:tr w:rsidR="003E1978" w14:paraId="5BB9D0E6" w14:textId="77777777" w:rsidTr="005D117A">
        <w:tc>
          <w:tcPr>
            <w:tcW w:w="1702" w:type="dxa"/>
            <w:shd w:val="clear" w:color="auto" w:fill="83CAEB" w:themeFill="accent1" w:themeFillTint="66"/>
          </w:tcPr>
          <w:p w14:paraId="6705977F" w14:textId="77777777" w:rsidR="003E1978" w:rsidRDefault="003E1978" w:rsidP="00BD743A">
            <w:pPr>
              <w:pStyle w:val="ListParagraph"/>
              <w:ind w:left="0"/>
              <w:rPr>
                <w:rFonts w:ascii="Arial" w:hAnsi="Arial" w:cs="Arial"/>
                <w:b/>
                <w:bCs/>
              </w:rPr>
            </w:pPr>
          </w:p>
          <w:p w14:paraId="3333E7A7" w14:textId="77777777" w:rsidR="003E1978" w:rsidRDefault="003E1978" w:rsidP="00BD743A">
            <w:pPr>
              <w:pStyle w:val="ListParagraph"/>
              <w:ind w:left="0"/>
              <w:rPr>
                <w:rFonts w:ascii="Arial" w:hAnsi="Arial" w:cs="Arial"/>
                <w:b/>
                <w:bCs/>
              </w:rPr>
            </w:pPr>
            <w:r>
              <w:rPr>
                <w:rFonts w:ascii="Arial" w:hAnsi="Arial" w:cs="Arial"/>
                <w:b/>
                <w:bCs/>
              </w:rPr>
              <w:t xml:space="preserve">Time-Bound </w:t>
            </w:r>
            <w:r>
              <w:rPr>
                <w:rFonts w:ascii="Arial" w:hAnsi="Arial" w:cs="Arial"/>
                <w:b/>
                <w:bCs/>
              </w:rPr>
              <w:br/>
            </w:r>
          </w:p>
          <w:p w14:paraId="637C0D50" w14:textId="3B4BEEED" w:rsidR="003E1978" w:rsidRDefault="003E1978" w:rsidP="00BD743A">
            <w:pPr>
              <w:pStyle w:val="ListParagraph"/>
              <w:ind w:left="0"/>
              <w:rPr>
                <w:rFonts w:ascii="Arial" w:hAnsi="Arial" w:cs="Arial"/>
                <w:b/>
                <w:bCs/>
              </w:rPr>
            </w:pPr>
          </w:p>
        </w:tc>
        <w:tc>
          <w:tcPr>
            <w:tcW w:w="4252" w:type="dxa"/>
          </w:tcPr>
          <w:p w14:paraId="15366107" w14:textId="61349991" w:rsidR="003E1978" w:rsidRPr="002A2088" w:rsidRDefault="003E1978" w:rsidP="00BD743A">
            <w:pPr>
              <w:pStyle w:val="ListParagraph"/>
              <w:ind w:left="0"/>
              <w:rPr>
                <w:rFonts w:ascii="Arial" w:hAnsi="Arial" w:cs="Arial"/>
              </w:rPr>
            </w:pPr>
            <w:r w:rsidRPr="002A2088">
              <w:rPr>
                <w:rFonts w:ascii="Arial" w:hAnsi="Arial" w:cs="Arial"/>
              </w:rPr>
              <w:t xml:space="preserve">I would like to complete this goal within the next two months, </w:t>
            </w:r>
            <w:r>
              <w:rPr>
                <w:rFonts w:ascii="Arial" w:hAnsi="Arial" w:cs="Arial"/>
              </w:rPr>
              <w:t xml:space="preserve">and the completion </w:t>
            </w:r>
            <w:r w:rsidR="003A5547">
              <w:rPr>
                <w:rFonts w:ascii="Arial" w:hAnsi="Arial" w:cs="Arial"/>
              </w:rPr>
              <w:t>date is</w:t>
            </w:r>
            <w:r>
              <w:rPr>
                <w:rFonts w:ascii="Arial" w:hAnsi="Arial" w:cs="Arial"/>
              </w:rPr>
              <w:t xml:space="preserve"> the start of</w:t>
            </w:r>
            <w:r w:rsidRPr="002A2088">
              <w:rPr>
                <w:rFonts w:ascii="Arial" w:hAnsi="Arial" w:cs="Arial"/>
              </w:rPr>
              <w:t xml:space="preserve"> December 2026. </w:t>
            </w:r>
          </w:p>
          <w:p w14:paraId="26FDCD6E" w14:textId="77777777" w:rsidR="003E1978" w:rsidRPr="002A2088" w:rsidRDefault="003E1978" w:rsidP="00BD743A">
            <w:pPr>
              <w:pStyle w:val="ListParagraph"/>
              <w:ind w:left="0"/>
              <w:rPr>
                <w:rFonts w:ascii="Arial" w:hAnsi="Arial" w:cs="Arial"/>
              </w:rPr>
            </w:pPr>
          </w:p>
          <w:p w14:paraId="08BBD9CD" w14:textId="66083DC1" w:rsidR="003E1978" w:rsidRDefault="003E1978" w:rsidP="00BD743A">
            <w:pPr>
              <w:pStyle w:val="ListParagraph"/>
              <w:ind w:left="0"/>
              <w:rPr>
                <w:rFonts w:ascii="Arial" w:hAnsi="Arial" w:cs="Arial"/>
                <w:b/>
                <w:bCs/>
              </w:rPr>
            </w:pPr>
            <w:r w:rsidRPr="002A2088">
              <w:rPr>
                <w:rFonts w:ascii="Arial" w:hAnsi="Arial" w:cs="Arial"/>
              </w:rPr>
              <w:t>I am going to set myself periods of time after work to practice referencing and reading the guidance handbook</w:t>
            </w:r>
            <w:r w:rsidR="00B83A59">
              <w:rPr>
                <w:rFonts w:ascii="Arial" w:hAnsi="Arial" w:cs="Arial"/>
              </w:rPr>
              <w:t>.</w:t>
            </w:r>
          </w:p>
        </w:tc>
        <w:tc>
          <w:tcPr>
            <w:tcW w:w="4820" w:type="dxa"/>
          </w:tcPr>
          <w:p w14:paraId="4EF67291" w14:textId="78EF742D" w:rsidR="003E1978" w:rsidRDefault="003E1978" w:rsidP="00AD3B5A">
            <w:pPr>
              <w:pStyle w:val="ListParagraph"/>
              <w:ind w:left="0"/>
              <w:rPr>
                <w:rFonts w:ascii="Arial" w:hAnsi="Arial" w:cs="Arial"/>
              </w:rPr>
            </w:pPr>
            <w:r w:rsidRPr="002A2088">
              <w:rPr>
                <w:rFonts w:ascii="Arial" w:hAnsi="Arial" w:cs="Arial"/>
              </w:rPr>
              <w:t xml:space="preserve">I would like to complete this goal within the next </w:t>
            </w:r>
            <w:r>
              <w:rPr>
                <w:rFonts w:ascii="Arial" w:hAnsi="Arial" w:cs="Arial"/>
              </w:rPr>
              <w:t xml:space="preserve">year, and the completion </w:t>
            </w:r>
            <w:r w:rsidR="00B83A59">
              <w:rPr>
                <w:rFonts w:ascii="Arial" w:hAnsi="Arial" w:cs="Arial"/>
              </w:rPr>
              <w:t xml:space="preserve">date is </w:t>
            </w:r>
            <w:r>
              <w:rPr>
                <w:rFonts w:ascii="Arial" w:hAnsi="Arial" w:cs="Arial"/>
              </w:rPr>
              <w:t>the start of</w:t>
            </w:r>
            <w:r w:rsidRPr="002A2088">
              <w:rPr>
                <w:rFonts w:ascii="Arial" w:hAnsi="Arial" w:cs="Arial"/>
              </w:rPr>
              <w:t xml:space="preserve"> </w:t>
            </w:r>
            <w:r>
              <w:rPr>
                <w:rFonts w:ascii="Arial" w:hAnsi="Arial" w:cs="Arial"/>
              </w:rPr>
              <w:t xml:space="preserve">October </w:t>
            </w:r>
            <w:r w:rsidRPr="002A2088">
              <w:rPr>
                <w:rFonts w:ascii="Arial" w:hAnsi="Arial" w:cs="Arial"/>
              </w:rPr>
              <w:t>202</w:t>
            </w:r>
            <w:r>
              <w:rPr>
                <w:rFonts w:ascii="Arial" w:hAnsi="Arial" w:cs="Arial"/>
              </w:rPr>
              <w:t>7.</w:t>
            </w:r>
            <w:r w:rsidRPr="002A2088">
              <w:rPr>
                <w:rFonts w:ascii="Arial" w:hAnsi="Arial" w:cs="Arial"/>
              </w:rPr>
              <w:t xml:space="preserve"> </w:t>
            </w:r>
          </w:p>
          <w:p w14:paraId="1AC908DA" w14:textId="77777777" w:rsidR="003E1978" w:rsidRDefault="003E1978" w:rsidP="00AD3B5A">
            <w:pPr>
              <w:pStyle w:val="ListParagraph"/>
              <w:ind w:left="0"/>
              <w:rPr>
                <w:rFonts w:ascii="Arial" w:hAnsi="Arial" w:cs="Arial"/>
              </w:rPr>
            </w:pPr>
          </w:p>
          <w:p w14:paraId="230152E4" w14:textId="1548ED6B" w:rsidR="003E1978" w:rsidRPr="002A2088" w:rsidRDefault="003E1978" w:rsidP="00AD3B5A">
            <w:pPr>
              <w:pStyle w:val="ListParagraph"/>
              <w:ind w:left="0"/>
              <w:rPr>
                <w:rFonts w:ascii="Arial" w:hAnsi="Arial" w:cs="Arial"/>
              </w:rPr>
            </w:pPr>
            <w:r>
              <w:rPr>
                <w:rFonts w:ascii="Arial" w:hAnsi="Arial" w:cs="Arial"/>
              </w:rPr>
              <w:t xml:space="preserve">I am going to work on this goal during my work and personal hours by speaking to the relevant people and searching for new opportunities.  </w:t>
            </w:r>
          </w:p>
          <w:p w14:paraId="299F34D0" w14:textId="73243447" w:rsidR="003E1978" w:rsidRDefault="003E1978" w:rsidP="00BD743A">
            <w:pPr>
              <w:pStyle w:val="ListParagraph"/>
              <w:ind w:left="0"/>
              <w:rPr>
                <w:rFonts w:ascii="Arial" w:hAnsi="Arial" w:cs="Arial"/>
                <w:b/>
                <w:bCs/>
              </w:rPr>
            </w:pPr>
          </w:p>
        </w:tc>
      </w:tr>
    </w:tbl>
    <w:p w14:paraId="7114C796" w14:textId="148CEBDD" w:rsidR="003D1EE7" w:rsidRDefault="003D1EE7" w:rsidP="00FF0D44">
      <w:pPr>
        <w:rPr>
          <w:rFonts w:ascii="Arial" w:hAnsi="Arial" w:cs="Arial"/>
        </w:rPr>
      </w:pPr>
    </w:p>
    <w:p w14:paraId="167FB281" w14:textId="77777777" w:rsidR="002C28D1" w:rsidRDefault="002C28D1" w:rsidP="00FF0D44">
      <w:pPr>
        <w:rPr>
          <w:rFonts w:ascii="Arial" w:hAnsi="Arial" w:cs="Arial"/>
        </w:rPr>
      </w:pPr>
    </w:p>
    <w:p w14:paraId="5564B56E" w14:textId="77777777" w:rsidR="003D1EE7" w:rsidRDefault="003D1EE7">
      <w:pPr>
        <w:rPr>
          <w:rFonts w:ascii="Arial" w:hAnsi="Arial" w:cs="Arial"/>
        </w:rPr>
      </w:pPr>
      <w:r>
        <w:rPr>
          <w:rFonts w:ascii="Arial" w:hAnsi="Arial" w:cs="Arial"/>
        </w:rPr>
        <w:br w:type="page"/>
      </w:r>
    </w:p>
    <w:p w14:paraId="13747149" w14:textId="77777777" w:rsidR="00155208" w:rsidRDefault="00155208" w:rsidP="00FF0D44">
      <w:pPr>
        <w:rPr>
          <w:rFonts w:ascii="Arial" w:hAnsi="Arial" w:cs="Arial"/>
          <w:b/>
          <w:bCs/>
        </w:rPr>
        <w:sectPr w:rsidR="00155208">
          <w:headerReference w:type="default" r:id="rId11"/>
          <w:footerReference w:type="default" r:id="rId12"/>
          <w:pgSz w:w="11906" w:h="16838"/>
          <w:pgMar w:top="1440" w:right="1440" w:bottom="1440" w:left="1440" w:header="708" w:footer="708" w:gutter="0"/>
          <w:cols w:space="708"/>
          <w:docGrid w:linePitch="360"/>
        </w:sectPr>
      </w:pPr>
    </w:p>
    <w:p w14:paraId="6D95A10E" w14:textId="1989066C" w:rsidR="00155208" w:rsidRDefault="0082223C" w:rsidP="00FF0D44">
      <w:pPr>
        <w:rPr>
          <w:rFonts w:ascii="Arial" w:hAnsi="Arial" w:cs="Arial"/>
          <w:b/>
          <w:bCs/>
        </w:rPr>
      </w:pPr>
      <w:r w:rsidRPr="002572BA">
        <w:rPr>
          <w:rFonts w:ascii="Arial" w:hAnsi="Arial" w:cs="Arial"/>
          <w:noProof/>
        </w:rPr>
        <w:lastRenderedPageBreak/>
        <mc:AlternateContent>
          <mc:Choice Requires="wps">
            <w:drawing>
              <wp:anchor distT="45720" distB="45720" distL="114300" distR="114300" simplePos="0" relativeHeight="251679744" behindDoc="0" locked="0" layoutInCell="1" allowOverlap="1" wp14:anchorId="15B53C9B" wp14:editId="4E52DB04">
                <wp:simplePos x="0" y="0"/>
                <wp:positionH relativeFrom="margin">
                  <wp:posOffset>8382000</wp:posOffset>
                </wp:positionH>
                <wp:positionV relativeFrom="page">
                  <wp:posOffset>44450</wp:posOffset>
                </wp:positionV>
                <wp:extent cx="1308100" cy="276225"/>
                <wp:effectExtent l="19050" t="19050" r="254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8100" cy="276225"/>
                        </a:xfrm>
                        <a:prstGeom prst="rect">
                          <a:avLst/>
                        </a:prstGeom>
                        <a:solidFill>
                          <a:schemeClr val="accent1">
                            <a:lumMod val="20000"/>
                            <a:lumOff val="80000"/>
                          </a:schemeClr>
                        </a:solidFill>
                        <a:ln w="28575">
                          <a:solidFill>
                            <a:srgbClr val="000000"/>
                          </a:solidFill>
                          <a:miter lim="800000"/>
                          <a:headEnd/>
                          <a:tailEnd/>
                        </a:ln>
                      </wps:spPr>
                      <wps:txbx>
                        <w:txbxContent>
                          <w:p w14:paraId="59FCA5A8" w14:textId="13F1C6A1" w:rsidR="00B16E45" w:rsidRPr="00B16E45" w:rsidRDefault="00A24F7C">
                            <w:pPr>
                              <w:rPr>
                                <w:sz w:val="18"/>
                                <w:szCs w:val="18"/>
                              </w:rPr>
                            </w:pPr>
                            <w:r w:rsidRPr="00B16E45">
                              <w:rPr>
                                <w:sz w:val="18"/>
                                <w:szCs w:val="18"/>
                              </w:rPr>
                              <w:t>2605459</w:t>
                            </w:r>
                            <w:r w:rsidR="005D1451">
                              <w:rPr>
                                <w:sz w:val="18"/>
                                <w:szCs w:val="18"/>
                              </w:rPr>
                              <w:t xml:space="preserve">    </w:t>
                            </w:r>
                            <w:r w:rsidRPr="00B16E45">
                              <w:rPr>
                                <w:sz w:val="18"/>
                                <w:szCs w:val="18"/>
                              </w:rPr>
                              <w:t>ECEY4014</w:t>
                            </w:r>
                            <w:r w:rsidR="005D1451">
                              <w:rPr>
                                <w:sz w:val="18"/>
                                <w:szCs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B53C9B" id="_x0000_t202" coordsize="21600,21600" o:spt="202" path="m,l,21600r21600,l21600,xe">
                <v:stroke joinstyle="miter"/>
                <v:path gradientshapeok="t" o:connecttype="rect"/>
              </v:shapetype>
              <v:shape id="Text Box 2" o:spid="_x0000_s1026" type="#_x0000_t202" style="position:absolute;margin-left:660pt;margin-top:3.5pt;width:103pt;height:21.7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" fillcolor="#c1e4f5 [660]" strokeweight="2.25pt">
                <v:textbox>
                  <w:txbxContent>
                    <w:p w14:paraId="59FCA5A8" w14:textId="13F1C6A1" w:rsidR="00B16E45" w:rsidRPr="00B16E45" w:rsidRDefault="00A24F7C">
                      <w:pPr>
                        <w:rPr>
                          <w:sz w:val="18"/>
                          <w:szCs w:val="18"/>
                        </w:rPr>
                      </w:pPr>
                      <w:r w:rsidRPr="00B16E45">
                        <w:rPr>
                          <w:sz w:val="18"/>
                          <w:szCs w:val="18"/>
                        </w:rPr>
                        <w:t>2605459</w:t>
                      </w:r>
                      <w:r w:rsidR="005D1451">
                        <w:rPr>
                          <w:sz w:val="18"/>
                          <w:szCs w:val="18"/>
                        </w:rPr>
                        <w:t xml:space="preserve">    </w:t>
                      </w:r>
                      <w:r w:rsidRPr="00B16E45">
                        <w:rPr>
                          <w:sz w:val="18"/>
                          <w:szCs w:val="18"/>
                        </w:rPr>
                        <w:t>ECEY4014</w:t>
                      </w:r>
                      <w:r w:rsidR="005D1451">
                        <w:rPr>
                          <w:sz w:val="18"/>
                          <w:szCs w:val="18"/>
                        </w:rPr>
                        <w:t xml:space="preserve">   </w:t>
                      </w:r>
                    </w:p>
                  </w:txbxContent>
                </v:textbox>
                <w10:wrap type="square" anchorx="margin" anchory="page"/>
              </v:shape>
            </w:pict>
          </mc:Fallback>
        </mc:AlternateContent>
      </w:r>
      <w:r w:rsidR="009A3DAF" w:rsidRPr="00612E0C">
        <w:rPr>
          <w:rFonts w:ascii="Arial" w:hAnsi="Arial" w:cs="Arial"/>
          <w:noProof/>
        </w:rPr>
        <mc:AlternateContent>
          <mc:Choice Requires="wps">
            <w:drawing>
              <wp:anchor distT="0" distB="0" distL="114300" distR="114300" simplePos="0" relativeHeight="251665408" behindDoc="0" locked="0" layoutInCell="1" allowOverlap="1" wp14:anchorId="3DF4087D" wp14:editId="285A2D45">
                <wp:simplePos x="0" y="0"/>
                <wp:positionH relativeFrom="column">
                  <wp:posOffset>2181224</wp:posOffset>
                </wp:positionH>
                <wp:positionV relativeFrom="paragraph">
                  <wp:posOffset>-552450</wp:posOffset>
                </wp:positionV>
                <wp:extent cx="3766185" cy="2007870"/>
                <wp:effectExtent l="19050" t="19050" r="24765" b="11430"/>
                <wp:wrapNone/>
                <wp:docPr id="8" name="TextBox 7">
                  <a:extLst xmlns:a="http://schemas.openxmlformats.org/drawingml/2006/main">
                    <a:ext uri="{FF2B5EF4-FFF2-40B4-BE49-F238E27FC236}">
                      <a16:creationId xmlns:a16="http://schemas.microsoft.com/office/drawing/2014/main" id="{93012027-ED48-0C53-D095-798B7F81FADA}"/>
                    </a:ext>
                  </a:extLst>
                </wp:docPr>
                <wp:cNvGraphicFramePr/>
                <a:graphic xmlns:a="http://schemas.openxmlformats.org/drawingml/2006/main">
                  <a:graphicData uri="http://schemas.microsoft.com/office/word/2010/wordprocessingShape">
                    <wps:wsp>
                      <wps:cNvSpPr txBox="1"/>
                      <wps:spPr>
                        <a:xfrm>
                          <a:off x="0" y="0"/>
                          <a:ext cx="3766185" cy="2007870"/>
                        </a:xfrm>
                        <a:prstGeom prst="rect">
                          <a:avLst/>
                        </a:prstGeom>
                        <a:solidFill>
                          <a:schemeClr val="accent1">
                            <a:lumMod val="20000"/>
                            <a:lumOff val="80000"/>
                          </a:schemeClr>
                        </a:solidFill>
                        <a:ln w="28575">
                          <a:solidFill>
                            <a:schemeClr val="tx1"/>
                          </a:solidFill>
                        </a:ln>
                      </wps:spPr>
                      <wps:txbx>
                        <w:txbxContent>
                          <w:p w14:paraId="3AC4C1C6" w14:textId="77777777" w:rsidR="00612E0C" w:rsidRDefault="00612E0C" w:rsidP="00612E0C">
                            <w:pPr>
                              <w:rPr>
                                <w:rFonts w:ascii="Arial" w:hAnsi="Arial" w:cs="Arial"/>
                                <w:b/>
                                <w:bCs/>
                                <w:color w:val="000000" w:themeColor="text1"/>
                                <w:kern w:val="24"/>
                                <w:sz w:val="20"/>
                                <w:szCs w:val="20"/>
                                <w14:ligatures w14:val="none"/>
                              </w:rPr>
                            </w:pPr>
                            <w:r>
                              <w:rPr>
                                <w:rFonts w:ascii="Arial" w:hAnsi="Arial" w:cs="Arial"/>
                                <w:b/>
                                <w:bCs/>
                                <w:color w:val="000000" w:themeColor="text1"/>
                                <w:kern w:val="24"/>
                                <w:sz w:val="20"/>
                                <w:szCs w:val="20"/>
                              </w:rPr>
                              <w:t>Policy Context in Wales</w:t>
                            </w:r>
                          </w:p>
                          <w:p w14:paraId="294A93A3" w14:textId="77777777" w:rsidR="00612E0C" w:rsidRDefault="00612E0C" w:rsidP="00612E0C">
                            <w:pPr>
                              <w:rPr>
                                <w:rFonts w:ascii="Arial" w:hAnsi="Arial" w:cs="Arial"/>
                                <w:color w:val="000000" w:themeColor="text1"/>
                                <w:kern w:val="24"/>
                                <w:sz w:val="18"/>
                                <w:szCs w:val="18"/>
                              </w:rPr>
                            </w:pPr>
                            <w:r>
                              <w:rPr>
                                <w:rFonts w:ascii="Arial" w:hAnsi="Arial" w:cs="Arial"/>
                                <w:color w:val="000000" w:themeColor="text1"/>
                                <w:kern w:val="24"/>
                                <w:sz w:val="18"/>
                                <w:szCs w:val="18"/>
                              </w:rPr>
                              <w:t xml:space="preserve">The Welsh Government’s (2023) Curriculum for Wales guidance encourages practitioners to observe, reflect and explore their practice to see what works best for supporting each individual child’s needs and development. This policy suggests that reflective practice is important in early years because every child’s needs are different and they may develop at different rates. This policy could encourage practitioners to use reflective practice by observing, adapting learning opportunities and thinking about whether their practice is effective for each child's needs. This then supports learners having access to effective, individualised learning opportunities.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DF4087D" id="TextBox 7" o:spid="_x0000_s1027" type="#_x0000_t202" style="position:absolute;margin-left:171.75pt;margin-top:-43.5pt;width:296.55pt;height:158.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" fillcolor="#c1e4f5 [660]" strokecolor="black [3213]" strokeweight="2.25pt">
                <v:textbox>
                  <w:txbxContent>
                    <w:p w14:paraId="3AC4C1C6" w14:textId="77777777" w:rsidR="00612E0C" w:rsidRDefault="00612E0C" w:rsidP="00612E0C">
                      <w:pPr>
                        <w:rPr>
                          <w:rFonts w:ascii="Arial" w:hAnsi="Arial" w:cs="Arial"/>
                          <w:b/>
                          <w:bCs/>
                          <w:color w:val="000000" w:themeColor="text1"/>
                          <w:kern w:val="24"/>
                          <w:sz w:val="20"/>
                          <w:szCs w:val="20"/>
                          <w14:ligatures w14:val="none"/>
                        </w:rPr>
                      </w:pPr>
                      <w:r>
                        <w:rPr>
                          <w:rFonts w:ascii="Arial" w:hAnsi="Arial" w:cs="Arial"/>
                          <w:b/>
                          <w:bCs/>
                          <w:color w:val="000000" w:themeColor="text1"/>
                          <w:kern w:val="24"/>
                          <w:sz w:val="20"/>
                          <w:szCs w:val="20"/>
                        </w:rPr>
                        <w:t>Policy Context in Wales</w:t>
                      </w:r>
                    </w:p>
                    <w:p w14:paraId="294A93A3" w14:textId="77777777" w:rsidR="00612E0C" w:rsidRDefault="00612E0C" w:rsidP="00612E0C">
                      <w:pPr>
                        <w:rPr>
                          <w:rFonts w:ascii="Arial" w:hAnsi="Arial" w:cs="Arial"/>
                          <w:color w:val="000000" w:themeColor="text1"/>
                          <w:kern w:val="24"/>
                          <w:sz w:val="18"/>
                          <w:szCs w:val="18"/>
                        </w:rPr>
                      </w:pPr>
                      <w:r>
                        <w:rPr>
                          <w:rFonts w:ascii="Arial" w:hAnsi="Arial" w:cs="Arial"/>
                          <w:color w:val="000000" w:themeColor="text1"/>
                          <w:kern w:val="24"/>
                          <w:sz w:val="18"/>
                          <w:szCs w:val="18"/>
                        </w:rPr>
                        <w:t xml:space="preserve">The Welsh Government’s (2023) Curriculum for Wales guidance encourages practitioners to observe, reflect and explore their practice to see what works best for supporting each individual child’s needs and development. This policy suggests that reflective practice is important in early years because every child’s needs are different and they may develop at different rates. This policy could encourage practitioners to use reflective practice by observing, adapting learning opportunities and thinking about whether their practice is effective for each child's needs. This then supports learners having access to effective, individualised learning opportunities. </w:t>
                      </w:r>
                    </w:p>
                  </w:txbxContent>
                </v:textbox>
              </v:shape>
            </w:pict>
          </mc:Fallback>
        </mc:AlternateContent>
      </w:r>
      <w:r w:rsidR="005D1451" w:rsidRPr="0011703F">
        <w:rPr>
          <w:rFonts w:ascii="Arial" w:hAnsi="Arial" w:cs="Arial"/>
          <w:noProof/>
        </w:rPr>
        <mc:AlternateContent>
          <mc:Choice Requires="wps">
            <w:drawing>
              <wp:anchor distT="0" distB="0" distL="114300" distR="114300" simplePos="0" relativeHeight="251661312" behindDoc="0" locked="0" layoutInCell="1" allowOverlap="1" wp14:anchorId="70084A6B" wp14:editId="0EF5B2E7">
                <wp:simplePos x="0" y="0"/>
                <wp:positionH relativeFrom="margin">
                  <wp:posOffset>-1659799</wp:posOffset>
                </wp:positionH>
                <wp:positionV relativeFrom="paragraph">
                  <wp:posOffset>-948690</wp:posOffset>
                </wp:positionV>
                <wp:extent cx="10022840" cy="426720"/>
                <wp:effectExtent l="0" t="0" r="0" b="0"/>
                <wp:wrapNone/>
                <wp:docPr id="4" name="Rectangle 3">
                  <a:extLst xmlns:a="http://schemas.openxmlformats.org/drawingml/2006/main">
                    <a:ext uri="{FF2B5EF4-FFF2-40B4-BE49-F238E27FC236}">
                      <a16:creationId xmlns:a16="http://schemas.microsoft.com/office/drawing/2014/main" id="{B2EE94DE-45E1-E19A-25D3-57E6719324D8}"/>
                    </a:ext>
                  </a:extLst>
                </wp:docPr>
                <wp:cNvGraphicFramePr/>
                <a:graphic xmlns:a="http://schemas.openxmlformats.org/drawingml/2006/main">
                  <a:graphicData uri="http://schemas.microsoft.com/office/word/2010/wordprocessingShape">
                    <wps:wsp>
                      <wps:cNvSpPr/>
                      <wps:spPr>
                        <a:xfrm>
                          <a:off x="0" y="0"/>
                          <a:ext cx="10022840" cy="426720"/>
                        </a:xfrm>
                        <a:prstGeom prst="rect">
                          <a:avLst/>
                        </a:prstGeom>
                        <a:noFill/>
                      </wps:spPr>
                      <wps:txbx>
                        <w:txbxContent>
                          <w:p w14:paraId="326B1D40" w14:textId="3E9FE5FA" w:rsidR="0011703F" w:rsidRPr="007A1C40" w:rsidRDefault="00725E9A" w:rsidP="0011703F">
                            <w:pPr>
                              <w:jc w:val="center"/>
                              <w:rPr>
                                <w:rFonts w:hAnsi="Aptos"/>
                                <w:b/>
                                <w:bCs/>
                                <w:color w:val="FFFFFF" w:themeColor="background1"/>
                                <w:kern w:val="24"/>
                                <w:sz w:val="44"/>
                                <w:szCs w:val="44"/>
                                <w14:textOutline w14:w="22225" w14:cap="flat" w14:cmpd="sng" w14:algn="ctr">
                                  <w14:solidFill>
                                    <w14:schemeClr w14:val="tx1"/>
                                  </w14:solidFill>
                                  <w14:prstDash w14:val="solid"/>
                                  <w14:round/>
                                </w14:textOutline>
                                <w14:ligatures w14:val="none"/>
                              </w:rPr>
                            </w:pPr>
                            <w:r>
                              <w:rPr>
                                <w:rFonts w:hAnsi="Aptos"/>
                                <w:b/>
                                <w:bCs/>
                                <w:color w:val="FFFFFF" w:themeColor="background1"/>
                                <w:kern w:val="24"/>
                                <w:sz w:val="44"/>
                                <w:szCs w:val="44"/>
                                <w14:textOutline w14:w="22225" w14:cap="flat" w14:cmpd="sng" w14:algn="ctr">
                                  <w14:solidFill>
                                    <w14:schemeClr w14:val="tx1"/>
                                  </w14:solidFill>
                                  <w14:prstDash w14:val="solid"/>
                                  <w14:round/>
                                </w14:textOutline>
                              </w:rPr>
                              <w:t xml:space="preserve">Part 2- </w:t>
                            </w:r>
                            <w:r w:rsidR="0011703F" w:rsidRPr="007A1C40">
                              <w:rPr>
                                <w:rFonts w:hAnsi="Aptos"/>
                                <w:b/>
                                <w:bCs/>
                                <w:color w:val="FFFFFF" w:themeColor="background1"/>
                                <w:kern w:val="24"/>
                                <w:sz w:val="44"/>
                                <w:szCs w:val="44"/>
                                <w14:textOutline w14:w="22225" w14:cap="flat" w14:cmpd="sng" w14:algn="ctr">
                                  <w14:solidFill>
                                    <w14:schemeClr w14:val="tx1"/>
                                  </w14:solidFill>
                                  <w14:prstDash w14:val="solid"/>
                                  <w14:round/>
                                </w14:textOutline>
                              </w:rPr>
                              <w:t>The Importance of Reflective Practice Within Early Years</w:t>
                            </w:r>
                          </w:p>
                        </w:txbxContent>
                      </wps:txbx>
                      <wps:bodyPr wrap="square" lIns="91440" tIns="45720" rIns="91440" bIns="45720">
                        <a:noAutofit/>
                      </wps:bodyPr>
                    </wps:wsp>
                  </a:graphicData>
                </a:graphic>
                <wp14:sizeRelH relativeFrom="margin">
                  <wp14:pctWidth>0</wp14:pctWidth>
                </wp14:sizeRelH>
                <wp14:sizeRelV relativeFrom="margin">
                  <wp14:pctHeight>0</wp14:pctHeight>
                </wp14:sizeRelV>
              </wp:anchor>
            </w:drawing>
          </mc:Choice>
          <mc:Fallback>
            <w:pict>
              <v:rect w14:anchorId="70084A6B" id="Rectangle 3" o:spid="_x0000_s1028" style="position:absolute;margin-left:-130.7pt;margin-top:-74.7pt;width:789.2pt;height:33.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" filled="f" stroked="f">
                <v:textbox>
                  <w:txbxContent>
                    <w:p w14:paraId="326B1D40" w14:textId="3E9FE5FA" w:rsidR="0011703F" w:rsidRPr="007A1C40" w:rsidRDefault="00725E9A" w:rsidP="0011703F">
                      <w:pPr>
                        <w:jc w:val="center"/>
                        <w:rPr>
                          <w:rFonts w:hAnsi="Aptos"/>
                          <w:b/>
                          <w:bCs/>
                          <w:color w:val="FFFFFF" w:themeColor="background1"/>
                          <w:kern w:val="24"/>
                          <w:sz w:val="44"/>
                          <w:szCs w:val="44"/>
                          <w14:textOutline w14:w="22225" w14:cap="flat" w14:cmpd="sng" w14:algn="ctr">
                            <w14:solidFill>
                              <w14:schemeClr w14:val="tx1"/>
                            </w14:solidFill>
                            <w14:prstDash w14:val="solid"/>
                            <w14:round/>
                          </w14:textOutline>
                          <w14:ligatures w14:val="none"/>
                        </w:rPr>
                      </w:pPr>
                      <w:r>
                        <w:rPr>
                          <w:rFonts w:hAnsi="Aptos"/>
                          <w:b/>
                          <w:bCs/>
                          <w:color w:val="FFFFFF" w:themeColor="background1"/>
                          <w:kern w:val="24"/>
                          <w:sz w:val="44"/>
                          <w:szCs w:val="44"/>
                          <w14:textOutline w14:w="22225" w14:cap="flat" w14:cmpd="sng" w14:algn="ctr">
                            <w14:solidFill>
                              <w14:schemeClr w14:val="tx1"/>
                            </w14:solidFill>
                            <w14:prstDash w14:val="solid"/>
                            <w14:round/>
                          </w14:textOutline>
                        </w:rPr>
                        <w:t xml:space="preserve">Part 2- </w:t>
                      </w:r>
                      <w:r w:rsidR="0011703F" w:rsidRPr="007A1C40">
                        <w:rPr>
                          <w:rFonts w:hAnsi="Aptos"/>
                          <w:b/>
                          <w:bCs/>
                          <w:color w:val="FFFFFF" w:themeColor="background1"/>
                          <w:kern w:val="24"/>
                          <w:sz w:val="44"/>
                          <w:szCs w:val="44"/>
                          <w14:textOutline w14:w="22225" w14:cap="flat" w14:cmpd="sng" w14:algn="ctr">
                            <w14:solidFill>
                              <w14:schemeClr w14:val="tx1"/>
                            </w14:solidFill>
                            <w14:prstDash w14:val="solid"/>
                            <w14:round/>
                          </w14:textOutline>
                        </w:rPr>
                        <w:t>The Importance of Reflective Practice Within Early Years</w:t>
                      </w:r>
                    </w:p>
                  </w:txbxContent>
                </v:textbox>
                <w10:wrap anchorx="margin"/>
              </v:rect>
            </w:pict>
          </mc:Fallback>
        </mc:AlternateContent>
      </w:r>
      <w:r w:rsidR="00B57313" w:rsidRPr="00612E0C">
        <w:rPr>
          <w:rFonts w:ascii="Arial" w:hAnsi="Arial" w:cs="Arial"/>
          <w:noProof/>
        </w:rPr>
        <mc:AlternateContent>
          <mc:Choice Requires="wps">
            <w:drawing>
              <wp:anchor distT="0" distB="0" distL="114300" distR="114300" simplePos="0" relativeHeight="251667456" behindDoc="0" locked="0" layoutInCell="1" allowOverlap="1" wp14:anchorId="76E3674E" wp14:editId="4111CFEE">
                <wp:simplePos x="0" y="0"/>
                <wp:positionH relativeFrom="page">
                  <wp:align>right</wp:align>
                </wp:positionH>
                <wp:positionV relativeFrom="paragraph">
                  <wp:posOffset>-548217</wp:posOffset>
                </wp:positionV>
                <wp:extent cx="3808307" cy="5298017"/>
                <wp:effectExtent l="19050" t="19050" r="20955" b="17145"/>
                <wp:wrapNone/>
                <wp:docPr id="9" name="TextBox 8">
                  <a:extLst xmlns:a="http://schemas.openxmlformats.org/drawingml/2006/main">
                    <a:ext uri="{FF2B5EF4-FFF2-40B4-BE49-F238E27FC236}">
                      <a16:creationId xmlns:a16="http://schemas.microsoft.com/office/drawing/2014/main" id="{A26D127D-02D4-86A6-1C3A-AB14D8F92791}"/>
                    </a:ext>
                  </a:extLst>
                </wp:docPr>
                <wp:cNvGraphicFramePr/>
                <a:graphic xmlns:a="http://schemas.openxmlformats.org/drawingml/2006/main">
                  <a:graphicData uri="http://schemas.microsoft.com/office/word/2010/wordprocessingShape">
                    <wps:wsp>
                      <wps:cNvSpPr txBox="1"/>
                      <wps:spPr>
                        <a:xfrm>
                          <a:off x="0" y="0"/>
                          <a:ext cx="3808307" cy="5298017"/>
                        </a:xfrm>
                        <a:prstGeom prst="rect">
                          <a:avLst/>
                        </a:prstGeom>
                        <a:solidFill>
                          <a:schemeClr val="accent1">
                            <a:lumMod val="20000"/>
                            <a:lumOff val="80000"/>
                          </a:schemeClr>
                        </a:solidFill>
                        <a:ln w="28575">
                          <a:solidFill>
                            <a:schemeClr val="tx1"/>
                          </a:solidFill>
                        </a:ln>
                      </wps:spPr>
                      <wps:txbx>
                        <w:txbxContent>
                          <w:p w14:paraId="4F635095" w14:textId="77777777" w:rsidR="00612E0C" w:rsidRDefault="00612E0C" w:rsidP="00612E0C">
                            <w:pPr>
                              <w:rPr>
                                <w:rFonts w:ascii="Arial" w:hAnsi="Arial" w:cs="Arial"/>
                                <w:b/>
                                <w:bCs/>
                                <w:color w:val="000000" w:themeColor="text1"/>
                                <w:kern w:val="24"/>
                                <w:sz w:val="20"/>
                                <w:szCs w:val="20"/>
                                <w14:ligatures w14:val="none"/>
                              </w:rPr>
                            </w:pPr>
                            <w:r>
                              <w:rPr>
                                <w:rFonts w:ascii="Arial" w:hAnsi="Arial" w:cs="Arial"/>
                                <w:b/>
                                <w:bCs/>
                                <w:color w:val="000000" w:themeColor="text1"/>
                                <w:kern w:val="24"/>
                                <w:sz w:val="20"/>
                                <w:szCs w:val="20"/>
                              </w:rPr>
                              <w:t>Why is reflective practice important to Early Years practice?</w:t>
                            </w:r>
                          </w:p>
                          <w:p w14:paraId="30174935" w14:textId="77777777" w:rsidR="00612E0C" w:rsidRDefault="00612E0C" w:rsidP="00612E0C">
                            <w:pPr>
                              <w:rPr>
                                <w:rFonts w:ascii="Arial" w:hAnsi="Arial" w:cs="Arial"/>
                                <w:color w:val="000000" w:themeColor="text1"/>
                                <w:kern w:val="24"/>
                                <w:sz w:val="18"/>
                                <w:szCs w:val="18"/>
                              </w:rPr>
                            </w:pPr>
                            <w:r>
                              <w:rPr>
                                <w:rFonts w:ascii="Arial" w:hAnsi="Arial" w:cs="Arial"/>
                                <w:color w:val="000000" w:themeColor="text1"/>
                                <w:kern w:val="24"/>
                                <w:sz w:val="18"/>
                                <w:szCs w:val="18"/>
                              </w:rPr>
                              <w:t xml:space="preserve">Research by Lombardi </w:t>
                            </w:r>
                            <w:r>
                              <w:rPr>
                                <w:rFonts w:ascii="Arial" w:hAnsi="Arial" w:cs="Arial"/>
                                <w:i/>
                                <w:iCs/>
                                <w:color w:val="000000" w:themeColor="text1"/>
                                <w:kern w:val="24"/>
                                <w:sz w:val="18"/>
                                <w:szCs w:val="18"/>
                              </w:rPr>
                              <w:t xml:space="preserve">et al. </w:t>
                            </w:r>
                            <w:r>
                              <w:rPr>
                                <w:rFonts w:ascii="Arial" w:hAnsi="Arial" w:cs="Arial"/>
                                <w:color w:val="000000" w:themeColor="text1"/>
                                <w:kern w:val="24"/>
                                <w:sz w:val="18"/>
                                <w:szCs w:val="18"/>
                              </w:rPr>
                              <w:t xml:space="preserve">(2023, p. 451) discusses how reflective practice is beneficial within early years practice because it can support early years practitioners to continue improving their knowledge, skills and their own professional attitudes and behaviours. Subsequently, this can assist early years practitioners to better support the children and their families. </w:t>
                            </w:r>
                          </w:p>
                          <w:p w14:paraId="0860515F" w14:textId="77777777" w:rsidR="00612E0C" w:rsidRDefault="00612E0C" w:rsidP="00612E0C">
                            <w:pPr>
                              <w:rPr>
                                <w:rFonts w:ascii="Arial" w:hAnsi="Arial" w:cs="Arial"/>
                                <w:color w:val="000000" w:themeColor="text1"/>
                                <w:kern w:val="24"/>
                                <w:sz w:val="18"/>
                                <w:szCs w:val="18"/>
                              </w:rPr>
                            </w:pPr>
                            <w:r>
                              <w:rPr>
                                <w:rFonts w:ascii="Arial" w:hAnsi="Arial" w:cs="Arial"/>
                                <w:color w:val="000000" w:themeColor="text1"/>
                                <w:kern w:val="24"/>
                                <w:sz w:val="18"/>
                                <w:szCs w:val="18"/>
                              </w:rPr>
                              <w:t xml:space="preserve">Cigala, Venturelli and Bassetti (2019, p. 1) carried out research on reflective practice using eight practitioners and one pedagogical coordinator and the study identified that reflective practice had positive impacts on the practitioners’ wellbeing. In particular, the practitioners felt more connected to the other professionals in their group, more capable at carrying out their roles and more confident when making decisions in their own practice. This may be beneficial to early years practice because practitioners who feel more confident and content within their role may be better equipped to respond efficiently to new challenges and could possibly better develop their practice. </w:t>
                            </w:r>
                          </w:p>
                          <w:p w14:paraId="721E5830" w14:textId="77777777" w:rsidR="00612E0C" w:rsidRDefault="00612E0C" w:rsidP="00612E0C">
                            <w:pPr>
                              <w:rPr>
                                <w:rFonts w:ascii="Arial" w:hAnsi="Arial" w:cs="Arial"/>
                                <w:color w:val="000000" w:themeColor="text1"/>
                                <w:kern w:val="24"/>
                                <w:sz w:val="18"/>
                                <w:szCs w:val="18"/>
                              </w:rPr>
                            </w:pPr>
                            <w:r>
                              <w:rPr>
                                <w:rFonts w:ascii="Arial" w:hAnsi="Arial" w:cs="Arial"/>
                                <w:color w:val="000000" w:themeColor="text1"/>
                                <w:kern w:val="24"/>
                                <w:sz w:val="18"/>
                                <w:szCs w:val="18"/>
                              </w:rPr>
                              <w:t xml:space="preserve">Dionne </w:t>
                            </w:r>
                            <w:r>
                              <w:rPr>
                                <w:rFonts w:ascii="Arial" w:hAnsi="Arial" w:cs="Arial"/>
                                <w:i/>
                                <w:iCs/>
                                <w:color w:val="000000" w:themeColor="text1"/>
                                <w:kern w:val="24"/>
                                <w:sz w:val="18"/>
                                <w:szCs w:val="18"/>
                              </w:rPr>
                              <w:t xml:space="preserve">et al. </w:t>
                            </w:r>
                            <w:r>
                              <w:rPr>
                                <w:rFonts w:ascii="Arial" w:hAnsi="Arial" w:cs="Arial"/>
                                <w:color w:val="000000" w:themeColor="text1"/>
                                <w:kern w:val="24"/>
                                <w:sz w:val="18"/>
                                <w:szCs w:val="18"/>
                              </w:rPr>
                              <w:t xml:space="preserve">(2025, p. 1) conducted a study where they gave fourteen practitioners and six managers professional development including examining their previous practice. This is important as a key part of reflective practice is looking closely at your previous practice and examining how you can improve. The results of this study suggest that examining their practice as part of their professional development assisted the practitioners to reevaluate how they carried out observations and planned interventions, meaning they could provide learning opportunities that were more appropriate to each learners' development stage. This research suggests that reflective practice may be important to early years because it may improve inclusion within the setting. Practitioners may be able to respond better to the children's individual needs and continuously aim to improve the activities they provide.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76E3674E" id="TextBox 8" o:spid="_x0000_s1029" type="#_x0000_t202" style="position:absolute;margin-left:248.65pt;margin-top:-43.15pt;width:299.85pt;height:417.15pt;z-index:25166745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" fillcolor="#c1e4f5 [660]" strokecolor="black [3213]" strokeweight="2.25pt">
                <v:textbox>
                  <w:txbxContent>
                    <w:p w14:paraId="4F635095" w14:textId="77777777" w:rsidR="00612E0C" w:rsidRDefault="00612E0C" w:rsidP="00612E0C">
                      <w:pPr>
                        <w:rPr>
                          <w:rFonts w:ascii="Arial" w:hAnsi="Arial" w:cs="Arial"/>
                          <w:b/>
                          <w:bCs/>
                          <w:color w:val="000000" w:themeColor="text1"/>
                          <w:kern w:val="24"/>
                          <w:sz w:val="20"/>
                          <w:szCs w:val="20"/>
                          <w14:ligatures w14:val="none"/>
                        </w:rPr>
                      </w:pPr>
                      <w:r>
                        <w:rPr>
                          <w:rFonts w:ascii="Arial" w:hAnsi="Arial" w:cs="Arial"/>
                          <w:b/>
                          <w:bCs/>
                          <w:color w:val="000000" w:themeColor="text1"/>
                          <w:kern w:val="24"/>
                          <w:sz w:val="20"/>
                          <w:szCs w:val="20"/>
                        </w:rPr>
                        <w:t>Why is reflective practice important to Early Years practice?</w:t>
                      </w:r>
                    </w:p>
                    <w:p w14:paraId="30174935" w14:textId="77777777" w:rsidR="00612E0C" w:rsidRDefault="00612E0C" w:rsidP="00612E0C">
                      <w:pPr>
                        <w:rPr>
                          <w:rFonts w:ascii="Arial" w:hAnsi="Arial" w:cs="Arial"/>
                          <w:color w:val="000000" w:themeColor="text1"/>
                          <w:kern w:val="24"/>
                          <w:sz w:val="18"/>
                          <w:szCs w:val="18"/>
                        </w:rPr>
                      </w:pPr>
                      <w:r>
                        <w:rPr>
                          <w:rFonts w:ascii="Arial" w:hAnsi="Arial" w:cs="Arial"/>
                          <w:color w:val="000000" w:themeColor="text1"/>
                          <w:kern w:val="24"/>
                          <w:sz w:val="18"/>
                          <w:szCs w:val="18"/>
                        </w:rPr>
                        <w:t xml:space="preserve">Research by Lombardi </w:t>
                      </w:r>
                      <w:r>
                        <w:rPr>
                          <w:rFonts w:ascii="Arial" w:hAnsi="Arial" w:cs="Arial"/>
                          <w:i/>
                          <w:iCs/>
                          <w:color w:val="000000" w:themeColor="text1"/>
                          <w:kern w:val="24"/>
                          <w:sz w:val="18"/>
                          <w:szCs w:val="18"/>
                        </w:rPr>
                        <w:t xml:space="preserve">et al. </w:t>
                      </w:r>
                      <w:r>
                        <w:rPr>
                          <w:rFonts w:ascii="Arial" w:hAnsi="Arial" w:cs="Arial"/>
                          <w:color w:val="000000" w:themeColor="text1"/>
                          <w:kern w:val="24"/>
                          <w:sz w:val="18"/>
                          <w:szCs w:val="18"/>
                        </w:rPr>
                        <w:t xml:space="preserve">(2023, p. 451) discusses how reflective practice is beneficial within early years practice because it can support early years practitioners to continue improving their knowledge, skills and their own professional attitudes and behaviours. Subsequently, this can assist early years practitioners to better support the children and their families. </w:t>
                      </w:r>
                    </w:p>
                    <w:p w14:paraId="0860515F" w14:textId="77777777" w:rsidR="00612E0C" w:rsidRDefault="00612E0C" w:rsidP="00612E0C">
                      <w:pPr>
                        <w:rPr>
                          <w:rFonts w:ascii="Arial" w:hAnsi="Arial" w:cs="Arial"/>
                          <w:color w:val="000000" w:themeColor="text1"/>
                          <w:kern w:val="24"/>
                          <w:sz w:val="18"/>
                          <w:szCs w:val="18"/>
                        </w:rPr>
                      </w:pPr>
                      <w:r>
                        <w:rPr>
                          <w:rFonts w:ascii="Arial" w:hAnsi="Arial" w:cs="Arial"/>
                          <w:color w:val="000000" w:themeColor="text1"/>
                          <w:kern w:val="24"/>
                          <w:sz w:val="18"/>
                          <w:szCs w:val="18"/>
                        </w:rPr>
                        <w:t xml:space="preserve">Cigala, Venturelli and Bassetti (2019, p. 1) carried out research on reflective practice using eight practitioners and one pedagogical coordinator and the study identified that reflective practice had positive impacts on the practitioners’ wellbeing. In particular, the practitioners felt more connected to the other professionals in their group, more capable at carrying out their roles and more confident when making decisions in their own practice. This may be beneficial to early years practice because practitioners who feel more confident and content within their role may be better equipped to respond efficiently to new challenges and could possibly better develop their practice. </w:t>
                      </w:r>
                    </w:p>
                    <w:p w14:paraId="721E5830" w14:textId="77777777" w:rsidR="00612E0C" w:rsidRDefault="00612E0C" w:rsidP="00612E0C">
                      <w:pPr>
                        <w:rPr>
                          <w:rFonts w:ascii="Arial" w:hAnsi="Arial" w:cs="Arial"/>
                          <w:color w:val="000000" w:themeColor="text1"/>
                          <w:kern w:val="24"/>
                          <w:sz w:val="18"/>
                          <w:szCs w:val="18"/>
                        </w:rPr>
                      </w:pPr>
                      <w:r>
                        <w:rPr>
                          <w:rFonts w:ascii="Arial" w:hAnsi="Arial" w:cs="Arial"/>
                          <w:color w:val="000000" w:themeColor="text1"/>
                          <w:kern w:val="24"/>
                          <w:sz w:val="18"/>
                          <w:szCs w:val="18"/>
                        </w:rPr>
                        <w:t xml:space="preserve">Dionne </w:t>
                      </w:r>
                      <w:r>
                        <w:rPr>
                          <w:rFonts w:ascii="Arial" w:hAnsi="Arial" w:cs="Arial"/>
                          <w:i/>
                          <w:iCs/>
                          <w:color w:val="000000" w:themeColor="text1"/>
                          <w:kern w:val="24"/>
                          <w:sz w:val="18"/>
                          <w:szCs w:val="18"/>
                        </w:rPr>
                        <w:t xml:space="preserve">et al. </w:t>
                      </w:r>
                      <w:r>
                        <w:rPr>
                          <w:rFonts w:ascii="Arial" w:hAnsi="Arial" w:cs="Arial"/>
                          <w:color w:val="000000" w:themeColor="text1"/>
                          <w:kern w:val="24"/>
                          <w:sz w:val="18"/>
                          <w:szCs w:val="18"/>
                        </w:rPr>
                        <w:t xml:space="preserve">(2025, p. 1) conducted a study where they gave fourteen practitioners and six managers professional development including examining their previous practice. This is important as a key part of reflective practice is looking closely at your previous practice and examining how you can improve. The results of this study suggest that examining their practice as part of their professional development assisted the practitioners to reevaluate how they carried out observations and planned interventions, meaning they could provide learning opportunities that were more appropriate to each learners' development stage. This research suggests that reflective practice may be important to early years because it may improve inclusion within the setting. Practitioners may be able to respond better to the children's individual needs and continuously aim to improve the activities they provide. </w:t>
                      </w:r>
                    </w:p>
                  </w:txbxContent>
                </v:textbox>
                <w10:wrap anchorx="page"/>
              </v:shape>
            </w:pict>
          </mc:Fallback>
        </mc:AlternateContent>
      </w:r>
      <w:r w:rsidR="00E166E5" w:rsidRPr="006A125D">
        <w:rPr>
          <w:rFonts w:ascii="Arial" w:hAnsi="Arial" w:cs="Arial"/>
          <w:noProof/>
        </w:rPr>
        <mc:AlternateContent>
          <mc:Choice Requires="wps">
            <w:drawing>
              <wp:anchor distT="0" distB="0" distL="114300" distR="114300" simplePos="0" relativeHeight="251663360" behindDoc="0" locked="0" layoutInCell="1" allowOverlap="1" wp14:anchorId="6628DD1A" wp14:editId="602BBE5F">
                <wp:simplePos x="0" y="0"/>
                <wp:positionH relativeFrom="page">
                  <wp:align>left</wp:align>
                </wp:positionH>
                <wp:positionV relativeFrom="paragraph">
                  <wp:posOffset>-551815</wp:posOffset>
                </wp:positionV>
                <wp:extent cx="3051810" cy="2007870"/>
                <wp:effectExtent l="19050" t="19050" r="15240" b="11430"/>
                <wp:wrapNone/>
                <wp:docPr id="7" name="TextBox 6">
                  <a:extLst xmlns:a="http://schemas.openxmlformats.org/drawingml/2006/main">
                    <a:ext uri="{FF2B5EF4-FFF2-40B4-BE49-F238E27FC236}">
                      <a16:creationId xmlns:a16="http://schemas.microsoft.com/office/drawing/2014/main" id="{AA00E7E4-EF29-2EB8-47F0-2C2447B84699}"/>
                    </a:ext>
                  </a:extLst>
                </wp:docPr>
                <wp:cNvGraphicFramePr/>
                <a:graphic xmlns:a="http://schemas.openxmlformats.org/drawingml/2006/main">
                  <a:graphicData uri="http://schemas.microsoft.com/office/word/2010/wordprocessingShape">
                    <wps:wsp>
                      <wps:cNvSpPr txBox="1"/>
                      <wps:spPr>
                        <a:xfrm>
                          <a:off x="0" y="0"/>
                          <a:ext cx="3051810" cy="2007870"/>
                        </a:xfrm>
                        <a:prstGeom prst="rect">
                          <a:avLst/>
                        </a:prstGeom>
                        <a:solidFill>
                          <a:schemeClr val="accent4">
                            <a:lumMod val="20000"/>
                            <a:lumOff val="80000"/>
                          </a:schemeClr>
                        </a:solidFill>
                        <a:ln w="28575">
                          <a:solidFill>
                            <a:schemeClr val="tx1"/>
                          </a:solidFill>
                        </a:ln>
                      </wps:spPr>
                      <wps:txbx>
                        <w:txbxContent>
                          <w:p w14:paraId="32E7FFDF" w14:textId="77777777" w:rsidR="007A1C40" w:rsidRDefault="006A125D" w:rsidP="006A125D">
                            <w:pPr>
                              <w:rPr>
                                <w:rFonts w:ascii="Arial" w:hAnsi="Arial" w:cs="Arial"/>
                                <w:b/>
                                <w:bCs/>
                                <w:color w:val="000000" w:themeColor="text1"/>
                                <w:kern w:val="24"/>
                                <w:sz w:val="20"/>
                                <w:szCs w:val="20"/>
                                <w14:ligatures w14:val="none"/>
                              </w:rPr>
                            </w:pPr>
                            <w:r>
                              <w:rPr>
                                <w:rFonts w:ascii="Arial" w:hAnsi="Arial" w:cs="Arial"/>
                                <w:b/>
                                <w:bCs/>
                                <w:color w:val="000000" w:themeColor="text1"/>
                                <w:kern w:val="24"/>
                                <w:sz w:val="20"/>
                                <w:szCs w:val="20"/>
                              </w:rPr>
                              <w:t>What is Reflection and Reflective Practice?</w:t>
                            </w:r>
                          </w:p>
                          <w:p w14:paraId="45A92DCD" w14:textId="59DDF40A" w:rsidR="006A125D" w:rsidRPr="007A1C40" w:rsidRDefault="006A125D" w:rsidP="006A125D">
                            <w:pPr>
                              <w:rPr>
                                <w:rFonts w:ascii="Arial" w:hAnsi="Arial" w:cs="Arial"/>
                                <w:b/>
                                <w:bCs/>
                                <w:color w:val="000000" w:themeColor="text1"/>
                                <w:kern w:val="24"/>
                                <w:sz w:val="20"/>
                                <w:szCs w:val="20"/>
                                <w14:ligatures w14:val="none"/>
                              </w:rPr>
                            </w:pPr>
                            <w:r>
                              <w:rPr>
                                <w:rFonts w:ascii="Arial" w:hAnsi="Arial" w:cs="Arial"/>
                                <w:color w:val="000000" w:themeColor="text1"/>
                                <w:kern w:val="24"/>
                                <w:sz w:val="18"/>
                                <w:szCs w:val="18"/>
                              </w:rPr>
                              <w:t xml:space="preserve">Dewey (1933, p. 9) suggests that reflection involves carefully examining beliefs or pre-existing knowledge, considering the evidence that supports it and using this to reach properly informed conclusions. </w:t>
                            </w:r>
                          </w:p>
                          <w:p w14:paraId="064EF488" w14:textId="77777777" w:rsidR="006A125D" w:rsidRDefault="006A125D" w:rsidP="006A125D">
                            <w:pPr>
                              <w:rPr>
                                <w:rFonts w:ascii="Arial" w:hAnsi="Arial" w:cs="Arial"/>
                                <w:color w:val="000000" w:themeColor="text1"/>
                                <w:kern w:val="24"/>
                                <w:sz w:val="18"/>
                                <w:szCs w:val="18"/>
                              </w:rPr>
                            </w:pPr>
                            <w:r>
                              <w:rPr>
                                <w:rFonts w:ascii="Arial" w:hAnsi="Arial" w:cs="Arial"/>
                                <w:color w:val="000000" w:themeColor="text1"/>
                                <w:kern w:val="24"/>
                                <w:sz w:val="18"/>
                                <w:szCs w:val="18"/>
                              </w:rPr>
                              <w:t xml:space="preserve">Research by Lombardi </w:t>
                            </w:r>
                            <w:r>
                              <w:rPr>
                                <w:rFonts w:ascii="Arial" w:hAnsi="Arial" w:cs="Arial"/>
                                <w:i/>
                                <w:iCs/>
                                <w:color w:val="000000" w:themeColor="text1"/>
                                <w:kern w:val="24"/>
                                <w:sz w:val="18"/>
                                <w:szCs w:val="18"/>
                              </w:rPr>
                              <w:t xml:space="preserve">et al. </w:t>
                            </w:r>
                            <w:r>
                              <w:rPr>
                                <w:rFonts w:ascii="Arial" w:hAnsi="Arial" w:cs="Arial"/>
                                <w:color w:val="000000" w:themeColor="text1"/>
                                <w:kern w:val="24"/>
                                <w:sz w:val="18"/>
                                <w:szCs w:val="18"/>
                              </w:rPr>
                              <w:t xml:space="preserve">(2023, p. 451) suggests that reflective practice is when professionals carefully analyse how they interact with others and how they apply their knowledge in practice. They can then learn from their previous experiences and improve their future practice.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628DD1A" id="TextBox 6" o:spid="_x0000_s1030" type="#_x0000_t202" style="position:absolute;margin-left:0;margin-top:-43.45pt;width:240.3pt;height:158.1pt;z-index:2516633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" fillcolor="#caedfb [663]" strokecolor="black [3213]" strokeweight="2.25pt">
                <v:textbox>
                  <w:txbxContent>
                    <w:p w14:paraId="32E7FFDF" w14:textId="77777777" w:rsidR="007A1C40" w:rsidRDefault="006A125D" w:rsidP="006A125D">
                      <w:pPr>
                        <w:rPr>
                          <w:rFonts w:ascii="Arial" w:hAnsi="Arial" w:cs="Arial"/>
                          <w:b/>
                          <w:bCs/>
                          <w:color w:val="000000" w:themeColor="text1"/>
                          <w:kern w:val="24"/>
                          <w:sz w:val="20"/>
                          <w:szCs w:val="20"/>
                          <w14:ligatures w14:val="none"/>
                        </w:rPr>
                      </w:pPr>
                      <w:r>
                        <w:rPr>
                          <w:rFonts w:ascii="Arial" w:hAnsi="Arial" w:cs="Arial"/>
                          <w:b/>
                          <w:bCs/>
                          <w:color w:val="000000" w:themeColor="text1"/>
                          <w:kern w:val="24"/>
                          <w:sz w:val="20"/>
                          <w:szCs w:val="20"/>
                        </w:rPr>
                        <w:t>What is Reflection and Reflective Practice?</w:t>
                      </w:r>
                    </w:p>
                    <w:p w14:paraId="45A92DCD" w14:textId="59DDF40A" w:rsidR="006A125D" w:rsidRPr="007A1C40" w:rsidRDefault="006A125D" w:rsidP="006A125D">
                      <w:pPr>
                        <w:rPr>
                          <w:rFonts w:ascii="Arial" w:hAnsi="Arial" w:cs="Arial"/>
                          <w:b/>
                          <w:bCs/>
                          <w:color w:val="000000" w:themeColor="text1"/>
                          <w:kern w:val="24"/>
                          <w:sz w:val="20"/>
                          <w:szCs w:val="20"/>
                          <w14:ligatures w14:val="none"/>
                        </w:rPr>
                      </w:pPr>
                      <w:r>
                        <w:rPr>
                          <w:rFonts w:ascii="Arial" w:hAnsi="Arial" w:cs="Arial"/>
                          <w:color w:val="000000" w:themeColor="text1"/>
                          <w:kern w:val="24"/>
                          <w:sz w:val="18"/>
                          <w:szCs w:val="18"/>
                        </w:rPr>
                        <w:t xml:space="preserve">Dewey (1933, p. 9) suggests that reflection involves carefully examining beliefs or pre-existing knowledge, considering the evidence that supports it and using this to reach properly informed conclusions. </w:t>
                      </w:r>
                    </w:p>
                    <w:p w14:paraId="064EF488" w14:textId="77777777" w:rsidR="006A125D" w:rsidRDefault="006A125D" w:rsidP="006A125D">
                      <w:pPr>
                        <w:rPr>
                          <w:rFonts w:ascii="Arial" w:hAnsi="Arial" w:cs="Arial"/>
                          <w:color w:val="000000" w:themeColor="text1"/>
                          <w:kern w:val="24"/>
                          <w:sz w:val="18"/>
                          <w:szCs w:val="18"/>
                        </w:rPr>
                      </w:pPr>
                      <w:r>
                        <w:rPr>
                          <w:rFonts w:ascii="Arial" w:hAnsi="Arial" w:cs="Arial"/>
                          <w:color w:val="000000" w:themeColor="text1"/>
                          <w:kern w:val="24"/>
                          <w:sz w:val="18"/>
                          <w:szCs w:val="18"/>
                        </w:rPr>
                        <w:t xml:space="preserve">Research by Lombardi </w:t>
                      </w:r>
                      <w:r>
                        <w:rPr>
                          <w:rFonts w:ascii="Arial" w:hAnsi="Arial" w:cs="Arial"/>
                          <w:i/>
                          <w:iCs/>
                          <w:color w:val="000000" w:themeColor="text1"/>
                          <w:kern w:val="24"/>
                          <w:sz w:val="18"/>
                          <w:szCs w:val="18"/>
                        </w:rPr>
                        <w:t xml:space="preserve">et al. </w:t>
                      </w:r>
                      <w:r>
                        <w:rPr>
                          <w:rFonts w:ascii="Arial" w:hAnsi="Arial" w:cs="Arial"/>
                          <w:color w:val="000000" w:themeColor="text1"/>
                          <w:kern w:val="24"/>
                          <w:sz w:val="18"/>
                          <w:szCs w:val="18"/>
                        </w:rPr>
                        <w:t xml:space="preserve">(2023, p. 451) suggests that reflective practice is when professionals carefully analyse how they interact with others and how they apply their knowledge in practice. They can then learn from their previous experiences and improve their future practice. </w:t>
                      </w:r>
                    </w:p>
                  </w:txbxContent>
                </v:textbox>
                <w10:wrap anchorx="page"/>
              </v:shape>
            </w:pict>
          </mc:Fallback>
        </mc:AlternateContent>
      </w:r>
      <w:r w:rsidR="00F14AAC" w:rsidRPr="0011703F">
        <w:rPr>
          <w:rFonts w:ascii="Arial" w:hAnsi="Arial" w:cs="Arial"/>
          <w:b/>
          <w:bCs/>
          <w:noProof/>
        </w:rPr>
        <mc:AlternateContent>
          <mc:Choice Requires="wps">
            <w:drawing>
              <wp:anchor distT="0" distB="0" distL="114300" distR="114300" simplePos="0" relativeHeight="251659264" behindDoc="0" locked="0" layoutInCell="1" allowOverlap="1" wp14:anchorId="451DB899" wp14:editId="7F0B3FA6">
                <wp:simplePos x="0" y="0"/>
                <wp:positionH relativeFrom="page">
                  <wp:posOffset>-54428</wp:posOffset>
                </wp:positionH>
                <wp:positionV relativeFrom="paragraph">
                  <wp:posOffset>-902335</wp:posOffset>
                </wp:positionV>
                <wp:extent cx="12192000" cy="342900"/>
                <wp:effectExtent l="0" t="0" r="19050" b="19050"/>
                <wp:wrapNone/>
                <wp:docPr id="10" name="Rectangle 9">
                  <a:extLst xmlns:a="http://schemas.openxmlformats.org/drawingml/2006/main">
                    <a:ext uri="{FF2B5EF4-FFF2-40B4-BE49-F238E27FC236}">
                      <a16:creationId xmlns:a16="http://schemas.microsoft.com/office/drawing/2014/main" id="{7BDD7544-6AED-A880-C848-52F9CE9E26EE}"/>
                    </a:ext>
                  </a:extLst>
                </wp:docPr>
                <wp:cNvGraphicFramePr/>
                <a:graphic xmlns:a="http://schemas.openxmlformats.org/drawingml/2006/main">
                  <a:graphicData uri="http://schemas.microsoft.com/office/word/2010/wordprocessingShape">
                    <wps:wsp>
                      <wps:cNvSpPr/>
                      <wps:spPr>
                        <a:xfrm>
                          <a:off x="0" y="0"/>
                          <a:ext cx="12192000" cy="342900"/>
                        </a:xfrm>
                        <a:prstGeom prst="rect">
                          <a:avLst/>
                        </a:prstGeom>
                        <a:solidFill>
                          <a:srgbClr val="0070C0"/>
                        </a:solidFill>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V relativeFrom="margin">
                  <wp14:pctHeight>0</wp14:pctHeight>
                </wp14:sizeRelV>
              </wp:anchor>
            </w:drawing>
          </mc:Choice>
          <mc:Fallback>
            <w:pict>
              <v:rect w14:anchorId="35D3AA55" id="Rectangle 9" o:spid="_x0000_s1026" style="position:absolute;margin-left:-4.3pt;margin-top:-71.05pt;width:960pt;height:27pt;z-index:251659264;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" fillcolor="#0070c0" strokecolor="#030e13 [484]" strokeweight="1.5pt">
                <w10:wrap anchorx="page"/>
              </v:rect>
            </w:pict>
          </mc:Fallback>
        </mc:AlternateContent>
      </w:r>
    </w:p>
    <w:p w14:paraId="3F555A44" w14:textId="41B447F6" w:rsidR="0011703F" w:rsidRDefault="0011703F" w:rsidP="0011703F">
      <w:pPr>
        <w:rPr>
          <w:rFonts w:ascii="Arial" w:hAnsi="Arial" w:cs="Arial"/>
          <w:b/>
          <w:bCs/>
        </w:rPr>
      </w:pPr>
    </w:p>
    <w:p w14:paraId="3EAED1FC" w14:textId="326C4804" w:rsidR="0011703F" w:rsidRDefault="0011703F" w:rsidP="0011703F">
      <w:pPr>
        <w:tabs>
          <w:tab w:val="left" w:pos="5400"/>
        </w:tabs>
        <w:rPr>
          <w:rFonts w:ascii="Arial" w:hAnsi="Arial" w:cs="Arial"/>
          <w:b/>
          <w:bCs/>
        </w:rPr>
      </w:pPr>
      <w:r>
        <w:rPr>
          <w:rFonts w:ascii="Arial" w:hAnsi="Arial" w:cs="Arial"/>
          <w:b/>
          <w:bCs/>
        </w:rPr>
        <w:tab/>
      </w:r>
    </w:p>
    <w:p w14:paraId="6B584634" w14:textId="2F8D7566" w:rsidR="0011703F" w:rsidRDefault="0011703F" w:rsidP="0011703F">
      <w:pPr>
        <w:tabs>
          <w:tab w:val="left" w:pos="5400"/>
        </w:tabs>
        <w:rPr>
          <w:rFonts w:ascii="Arial" w:hAnsi="Arial" w:cs="Arial"/>
        </w:rPr>
      </w:pPr>
      <w:r>
        <w:rPr>
          <w:rFonts w:ascii="Arial" w:hAnsi="Arial" w:cs="Arial"/>
        </w:rPr>
        <w:tab/>
      </w:r>
    </w:p>
    <w:p w14:paraId="1B0E31CF" w14:textId="0D183118" w:rsidR="006F1E2E" w:rsidRPr="006F1E2E" w:rsidRDefault="00E166E5" w:rsidP="006F1E2E">
      <w:pPr>
        <w:rPr>
          <w:rFonts w:ascii="Arial" w:hAnsi="Arial" w:cs="Arial"/>
        </w:rPr>
      </w:pPr>
      <w:r w:rsidRPr="006F1E2E">
        <w:rPr>
          <w:rFonts w:ascii="Arial" w:hAnsi="Arial" w:cs="Arial"/>
          <w:noProof/>
        </w:rPr>
        <mc:AlternateContent>
          <mc:Choice Requires="wps">
            <w:drawing>
              <wp:anchor distT="0" distB="0" distL="114300" distR="114300" simplePos="0" relativeHeight="251669504" behindDoc="0" locked="0" layoutInCell="1" allowOverlap="1" wp14:anchorId="067E1B93" wp14:editId="6B45A368">
                <wp:simplePos x="0" y="0"/>
                <wp:positionH relativeFrom="page">
                  <wp:align>left</wp:align>
                </wp:positionH>
                <wp:positionV relativeFrom="paragraph">
                  <wp:posOffset>248285</wp:posOffset>
                </wp:positionV>
                <wp:extent cx="6842760" cy="1398693"/>
                <wp:effectExtent l="19050" t="19050" r="15240" b="11430"/>
                <wp:wrapNone/>
                <wp:docPr id="11" name="TextBox 10">
                  <a:extLst xmlns:a="http://schemas.openxmlformats.org/drawingml/2006/main">
                    <a:ext uri="{FF2B5EF4-FFF2-40B4-BE49-F238E27FC236}">
                      <a16:creationId xmlns:a16="http://schemas.microsoft.com/office/drawing/2014/main" id="{5F89B9C2-CD03-B36D-D316-6C065D28507C}"/>
                    </a:ext>
                  </a:extLst>
                </wp:docPr>
                <wp:cNvGraphicFramePr/>
                <a:graphic xmlns:a="http://schemas.openxmlformats.org/drawingml/2006/main">
                  <a:graphicData uri="http://schemas.microsoft.com/office/word/2010/wordprocessingShape">
                    <wps:wsp>
                      <wps:cNvSpPr txBox="1"/>
                      <wps:spPr>
                        <a:xfrm>
                          <a:off x="0" y="0"/>
                          <a:ext cx="6842760" cy="1398693"/>
                        </a:xfrm>
                        <a:prstGeom prst="rect">
                          <a:avLst/>
                        </a:prstGeom>
                        <a:solidFill>
                          <a:schemeClr val="accent1">
                            <a:lumMod val="20000"/>
                            <a:lumOff val="80000"/>
                          </a:schemeClr>
                        </a:solidFill>
                        <a:ln w="28575">
                          <a:solidFill>
                            <a:schemeClr val="tx1"/>
                          </a:solidFill>
                        </a:ln>
                      </wps:spPr>
                      <wps:txbx>
                        <w:txbxContent>
                          <w:p w14:paraId="6C7DBCF5" w14:textId="77777777" w:rsidR="006F1E2E" w:rsidRDefault="006F1E2E" w:rsidP="006F1E2E">
                            <w:pPr>
                              <w:rPr>
                                <w:rFonts w:ascii="Arial" w:hAnsi="Arial" w:cs="Arial"/>
                                <w:b/>
                                <w:bCs/>
                                <w:color w:val="000000" w:themeColor="text1"/>
                                <w:kern w:val="24"/>
                                <w:sz w:val="20"/>
                                <w:szCs w:val="20"/>
                                <w14:ligatures w14:val="none"/>
                              </w:rPr>
                            </w:pPr>
                            <w:r>
                              <w:rPr>
                                <w:rFonts w:ascii="Arial" w:hAnsi="Arial" w:cs="Arial"/>
                                <w:b/>
                                <w:bCs/>
                                <w:color w:val="000000" w:themeColor="text1"/>
                                <w:kern w:val="24"/>
                                <w:sz w:val="20"/>
                                <w:szCs w:val="20"/>
                              </w:rPr>
                              <w:t>The Theory of Reflection</w:t>
                            </w:r>
                          </w:p>
                          <w:p w14:paraId="2EC70694" w14:textId="59FF7902" w:rsidR="006F1E2E" w:rsidRDefault="006F1E2E" w:rsidP="006F1E2E">
                            <w:pPr>
                              <w:rPr>
                                <w:rFonts w:ascii="Arial" w:hAnsi="Arial" w:cs="Arial"/>
                                <w:color w:val="000000" w:themeColor="text1"/>
                                <w:kern w:val="24"/>
                                <w:sz w:val="18"/>
                                <w:szCs w:val="18"/>
                              </w:rPr>
                            </w:pPr>
                            <w:r>
                              <w:rPr>
                                <w:rFonts w:ascii="Arial" w:hAnsi="Arial" w:cs="Arial"/>
                                <w:color w:val="000000" w:themeColor="text1"/>
                                <w:kern w:val="24"/>
                                <w:sz w:val="18"/>
                                <w:szCs w:val="18"/>
                              </w:rPr>
                              <w:t xml:space="preserve">Schön’s (1983, p. 50) theory explains that on occasion, we use reflective practice </w:t>
                            </w:r>
                            <w:r w:rsidR="007F6394">
                              <w:rPr>
                                <w:rFonts w:ascii="Arial" w:hAnsi="Arial" w:cs="Arial"/>
                                <w:color w:val="000000" w:themeColor="text1"/>
                                <w:kern w:val="24"/>
                                <w:sz w:val="18"/>
                                <w:szCs w:val="18"/>
                              </w:rPr>
                              <w:t>whilst carrying</w:t>
                            </w:r>
                            <w:r>
                              <w:rPr>
                                <w:rFonts w:ascii="Arial" w:hAnsi="Arial" w:cs="Arial"/>
                                <w:color w:val="000000" w:themeColor="text1"/>
                                <w:kern w:val="24"/>
                                <w:sz w:val="18"/>
                                <w:szCs w:val="18"/>
                              </w:rPr>
                              <w:t xml:space="preserve"> out our practice. This means that we are thinking, adapting and reflecting whilst carrying out our practice. This is known as “reflection-in-action”. The theory explains how something unexpected can happen, the practitioner notices it, they assess what is happening and then adapt however necessary, all whilst the situation is still happening. </w:t>
                            </w:r>
                          </w:p>
                          <w:p w14:paraId="2454341C" w14:textId="7277D8D1" w:rsidR="006F1E2E" w:rsidRDefault="006F1E2E" w:rsidP="006F1E2E">
                            <w:pPr>
                              <w:rPr>
                                <w:rFonts w:ascii="Arial" w:hAnsi="Arial" w:cs="Arial"/>
                                <w:color w:val="000000" w:themeColor="text1"/>
                                <w:kern w:val="24"/>
                                <w:sz w:val="18"/>
                                <w:szCs w:val="18"/>
                              </w:rPr>
                            </w:pPr>
                            <w:r>
                              <w:rPr>
                                <w:rFonts w:ascii="Arial" w:hAnsi="Arial" w:cs="Arial"/>
                                <w:color w:val="000000" w:themeColor="text1"/>
                                <w:kern w:val="24"/>
                                <w:sz w:val="18"/>
                                <w:szCs w:val="18"/>
                              </w:rPr>
                              <w:t xml:space="preserve">An example of “reflection-in-action” in early years practice could be a practitioner delivering a planned </w:t>
                            </w:r>
                            <w:r w:rsidR="007F6394">
                              <w:rPr>
                                <w:rFonts w:ascii="Arial" w:hAnsi="Arial" w:cs="Arial"/>
                                <w:color w:val="000000" w:themeColor="text1"/>
                                <w:kern w:val="24"/>
                                <w:sz w:val="18"/>
                                <w:szCs w:val="18"/>
                              </w:rPr>
                              <w:t>activity, then</w:t>
                            </w:r>
                            <w:r>
                              <w:rPr>
                                <w:rFonts w:ascii="Arial" w:hAnsi="Arial" w:cs="Arial"/>
                                <w:color w:val="000000" w:themeColor="text1"/>
                                <w:kern w:val="24"/>
                                <w:sz w:val="18"/>
                                <w:szCs w:val="18"/>
                              </w:rPr>
                              <w:t xml:space="preserve"> noticing a child is not engaged, considering why this is happening and then instantly adapting their activity to re-engage the child.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67E1B93" id="TextBox 10" o:spid="_x0000_s1031" type="#_x0000_t202" style="position:absolute;margin-left:0;margin-top:19.55pt;width:538.8pt;height:110.15pt;z-index:25166950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" fillcolor="#c1e4f5 [660]" strokecolor="black [3213]" strokeweight="2.25pt">
                <v:textbox>
                  <w:txbxContent>
                    <w:p w14:paraId="6C7DBCF5" w14:textId="77777777" w:rsidR="006F1E2E" w:rsidRDefault="006F1E2E" w:rsidP="006F1E2E">
                      <w:pPr>
                        <w:rPr>
                          <w:rFonts w:ascii="Arial" w:hAnsi="Arial" w:cs="Arial"/>
                          <w:b/>
                          <w:bCs/>
                          <w:color w:val="000000" w:themeColor="text1"/>
                          <w:kern w:val="24"/>
                          <w:sz w:val="20"/>
                          <w:szCs w:val="20"/>
                          <w14:ligatures w14:val="none"/>
                        </w:rPr>
                      </w:pPr>
                      <w:r>
                        <w:rPr>
                          <w:rFonts w:ascii="Arial" w:hAnsi="Arial" w:cs="Arial"/>
                          <w:b/>
                          <w:bCs/>
                          <w:color w:val="000000" w:themeColor="text1"/>
                          <w:kern w:val="24"/>
                          <w:sz w:val="20"/>
                          <w:szCs w:val="20"/>
                        </w:rPr>
                        <w:t>The Theory of Reflection</w:t>
                      </w:r>
                    </w:p>
                    <w:p w14:paraId="2EC70694" w14:textId="59FF7902" w:rsidR="006F1E2E" w:rsidRDefault="006F1E2E" w:rsidP="006F1E2E">
                      <w:pPr>
                        <w:rPr>
                          <w:rFonts w:ascii="Arial" w:hAnsi="Arial" w:cs="Arial"/>
                          <w:color w:val="000000" w:themeColor="text1"/>
                          <w:kern w:val="24"/>
                          <w:sz w:val="18"/>
                          <w:szCs w:val="18"/>
                        </w:rPr>
                      </w:pPr>
                      <w:r>
                        <w:rPr>
                          <w:rFonts w:ascii="Arial" w:hAnsi="Arial" w:cs="Arial"/>
                          <w:color w:val="000000" w:themeColor="text1"/>
                          <w:kern w:val="24"/>
                          <w:sz w:val="18"/>
                          <w:szCs w:val="18"/>
                        </w:rPr>
                        <w:t xml:space="preserve">Schön’s (1983, p. 50) theory explains that on occasion, we use reflective practice </w:t>
                      </w:r>
                      <w:r w:rsidR="007F6394">
                        <w:rPr>
                          <w:rFonts w:ascii="Arial" w:hAnsi="Arial" w:cs="Arial"/>
                          <w:color w:val="000000" w:themeColor="text1"/>
                          <w:kern w:val="24"/>
                          <w:sz w:val="18"/>
                          <w:szCs w:val="18"/>
                        </w:rPr>
                        <w:t>whilst carrying</w:t>
                      </w:r>
                      <w:r>
                        <w:rPr>
                          <w:rFonts w:ascii="Arial" w:hAnsi="Arial" w:cs="Arial"/>
                          <w:color w:val="000000" w:themeColor="text1"/>
                          <w:kern w:val="24"/>
                          <w:sz w:val="18"/>
                          <w:szCs w:val="18"/>
                        </w:rPr>
                        <w:t xml:space="preserve"> out our practice. This means that we are thinking, adapting and reflecting whilst carrying out our practice. This is known as “reflection-in-action”. The theory explains how something unexpected can happen, the practitioner notices it, they assess what is happening and then adapt however necessary, all whilst the situation is still happening. </w:t>
                      </w:r>
                    </w:p>
                    <w:p w14:paraId="2454341C" w14:textId="7277D8D1" w:rsidR="006F1E2E" w:rsidRDefault="006F1E2E" w:rsidP="006F1E2E">
                      <w:pPr>
                        <w:rPr>
                          <w:rFonts w:ascii="Arial" w:hAnsi="Arial" w:cs="Arial"/>
                          <w:color w:val="000000" w:themeColor="text1"/>
                          <w:kern w:val="24"/>
                          <w:sz w:val="18"/>
                          <w:szCs w:val="18"/>
                        </w:rPr>
                      </w:pPr>
                      <w:r>
                        <w:rPr>
                          <w:rFonts w:ascii="Arial" w:hAnsi="Arial" w:cs="Arial"/>
                          <w:color w:val="000000" w:themeColor="text1"/>
                          <w:kern w:val="24"/>
                          <w:sz w:val="18"/>
                          <w:szCs w:val="18"/>
                        </w:rPr>
                        <w:t xml:space="preserve">An example of “reflection-in-action” in early years practice could be a practitioner delivering a planned </w:t>
                      </w:r>
                      <w:r w:rsidR="007F6394">
                        <w:rPr>
                          <w:rFonts w:ascii="Arial" w:hAnsi="Arial" w:cs="Arial"/>
                          <w:color w:val="000000" w:themeColor="text1"/>
                          <w:kern w:val="24"/>
                          <w:sz w:val="18"/>
                          <w:szCs w:val="18"/>
                        </w:rPr>
                        <w:t>activity, then</w:t>
                      </w:r>
                      <w:r>
                        <w:rPr>
                          <w:rFonts w:ascii="Arial" w:hAnsi="Arial" w:cs="Arial"/>
                          <w:color w:val="000000" w:themeColor="text1"/>
                          <w:kern w:val="24"/>
                          <w:sz w:val="18"/>
                          <w:szCs w:val="18"/>
                        </w:rPr>
                        <w:t xml:space="preserve"> noticing a child is not engaged, considering why this is happening and then instantly adapting their activity to re-engage the child. </w:t>
                      </w:r>
                    </w:p>
                  </w:txbxContent>
                </v:textbox>
                <w10:wrap anchorx="page"/>
              </v:shape>
            </w:pict>
          </mc:Fallback>
        </mc:AlternateContent>
      </w:r>
    </w:p>
    <w:p w14:paraId="3FD22233" w14:textId="482C8A02" w:rsidR="006F1E2E" w:rsidRPr="006F1E2E" w:rsidRDefault="006F1E2E" w:rsidP="006F1E2E">
      <w:pPr>
        <w:rPr>
          <w:rFonts w:ascii="Arial" w:hAnsi="Arial" w:cs="Arial"/>
        </w:rPr>
      </w:pPr>
    </w:p>
    <w:p w14:paraId="18E744DE" w14:textId="1FECE096" w:rsidR="006F1E2E" w:rsidRPr="006F1E2E" w:rsidRDefault="006F1E2E" w:rsidP="006F1E2E">
      <w:pPr>
        <w:rPr>
          <w:rFonts w:ascii="Arial" w:hAnsi="Arial" w:cs="Arial"/>
        </w:rPr>
      </w:pPr>
    </w:p>
    <w:p w14:paraId="55658D66" w14:textId="7825F434" w:rsidR="006F1E2E" w:rsidRPr="006F1E2E" w:rsidRDefault="006F1E2E" w:rsidP="006F1E2E">
      <w:pPr>
        <w:rPr>
          <w:rFonts w:ascii="Arial" w:hAnsi="Arial" w:cs="Arial"/>
        </w:rPr>
      </w:pPr>
    </w:p>
    <w:p w14:paraId="5AE92A9F" w14:textId="2A9CBC96" w:rsidR="006F1E2E" w:rsidRPr="006F1E2E" w:rsidRDefault="00B57313" w:rsidP="006F1E2E">
      <w:pPr>
        <w:rPr>
          <w:rFonts w:ascii="Arial" w:hAnsi="Arial" w:cs="Arial"/>
        </w:rPr>
      </w:pPr>
      <w:r w:rsidRPr="00A07935">
        <w:rPr>
          <w:rFonts w:ascii="Arial" w:hAnsi="Arial" w:cs="Arial"/>
          <w:noProof/>
        </w:rPr>
        <mc:AlternateContent>
          <mc:Choice Requires="wps">
            <w:drawing>
              <wp:anchor distT="0" distB="0" distL="114300" distR="114300" simplePos="0" relativeHeight="251671552" behindDoc="0" locked="0" layoutInCell="1" allowOverlap="1" wp14:anchorId="6A32FFA8" wp14:editId="4BBCDE5B">
                <wp:simplePos x="0" y="0"/>
                <wp:positionH relativeFrom="page">
                  <wp:align>left</wp:align>
                </wp:positionH>
                <wp:positionV relativeFrom="paragraph">
                  <wp:posOffset>398145</wp:posOffset>
                </wp:positionV>
                <wp:extent cx="6842760" cy="3964305"/>
                <wp:effectExtent l="19050" t="19050" r="15240" b="17145"/>
                <wp:wrapNone/>
                <wp:docPr id="17" name="TextBox 16">
                  <a:extLst xmlns:a="http://schemas.openxmlformats.org/drawingml/2006/main">
                    <a:ext uri="{FF2B5EF4-FFF2-40B4-BE49-F238E27FC236}">
                      <a16:creationId xmlns:a16="http://schemas.microsoft.com/office/drawing/2014/main" id="{A8F5FA91-0212-61DB-8354-9B5CC6B1CAE5}"/>
                    </a:ext>
                  </a:extLst>
                </wp:docPr>
                <wp:cNvGraphicFramePr/>
                <a:graphic xmlns:a="http://schemas.openxmlformats.org/drawingml/2006/main">
                  <a:graphicData uri="http://schemas.microsoft.com/office/word/2010/wordprocessingShape">
                    <wps:wsp>
                      <wps:cNvSpPr txBox="1"/>
                      <wps:spPr>
                        <a:xfrm>
                          <a:off x="0" y="0"/>
                          <a:ext cx="6842760" cy="3964305"/>
                        </a:xfrm>
                        <a:prstGeom prst="rect">
                          <a:avLst/>
                        </a:prstGeom>
                        <a:solidFill>
                          <a:schemeClr val="accent1">
                            <a:lumMod val="20000"/>
                            <a:lumOff val="80000"/>
                          </a:schemeClr>
                        </a:solidFill>
                        <a:ln w="28575">
                          <a:solidFill>
                            <a:schemeClr val="tx1"/>
                          </a:solidFill>
                        </a:ln>
                      </wps:spPr>
                      <wps:txbx>
                        <w:txbxContent>
                          <w:p w14:paraId="3DAE3AE0" w14:textId="77777777" w:rsidR="00A07935" w:rsidRDefault="00A07935" w:rsidP="00A07935">
                            <w:pPr>
                              <w:rPr>
                                <w:rFonts w:ascii="Arial" w:hAnsi="Arial" w:cs="Arial"/>
                                <w:b/>
                                <w:bCs/>
                                <w:color w:val="000000" w:themeColor="text1"/>
                                <w:kern w:val="24"/>
                                <w:sz w:val="18"/>
                                <w:szCs w:val="18"/>
                                <w14:ligatures w14:val="none"/>
                              </w:rPr>
                            </w:pPr>
                            <w:r>
                              <w:rPr>
                                <w:rFonts w:ascii="Arial" w:hAnsi="Arial" w:cs="Arial"/>
                                <w:b/>
                                <w:bCs/>
                                <w:color w:val="000000" w:themeColor="text1"/>
                                <w:kern w:val="24"/>
                                <w:sz w:val="18"/>
                                <w:szCs w:val="18"/>
                              </w:rPr>
                              <w:t>Analysis of Different Reflective Models</w:t>
                            </w:r>
                          </w:p>
                          <w:p w14:paraId="6015871A" w14:textId="278824FA" w:rsidR="00A07935" w:rsidRDefault="00A07935" w:rsidP="00A07935">
                            <w:pPr>
                              <w:rPr>
                                <w:rFonts w:ascii="Arial" w:hAnsi="Arial" w:cs="Arial"/>
                                <w:color w:val="000000" w:themeColor="text1"/>
                                <w:kern w:val="24"/>
                                <w:sz w:val="18"/>
                                <w:szCs w:val="18"/>
                              </w:rPr>
                            </w:pPr>
                            <w:r>
                              <w:rPr>
                                <w:rFonts w:ascii="Arial" w:hAnsi="Arial" w:cs="Arial"/>
                                <w:color w:val="000000" w:themeColor="text1"/>
                                <w:kern w:val="24"/>
                                <w:sz w:val="18"/>
                                <w:szCs w:val="18"/>
                              </w:rPr>
                              <w:t xml:space="preserve">Gibbs (1988, pp. 49-50) suggests that only thinking back on an experience may cause people to only describe the experience and how they felt about it, rather than fully analysing the experience. This reflective model suggests describing what happened, thinking about how you were feeling or what you were thinking, what was positive or negative about the experience, thinking about what was happening and what other </w:t>
                            </w:r>
                            <w:r w:rsidR="007F6394">
                              <w:rPr>
                                <w:rFonts w:ascii="Arial" w:hAnsi="Arial" w:cs="Arial"/>
                                <w:color w:val="000000" w:themeColor="text1"/>
                                <w:kern w:val="24"/>
                                <w:sz w:val="18"/>
                                <w:szCs w:val="18"/>
                              </w:rPr>
                              <w:t>people’s</w:t>
                            </w:r>
                            <w:r>
                              <w:rPr>
                                <w:rFonts w:ascii="Arial" w:hAnsi="Arial" w:cs="Arial"/>
                                <w:color w:val="000000" w:themeColor="text1"/>
                                <w:kern w:val="24"/>
                                <w:sz w:val="18"/>
                                <w:szCs w:val="18"/>
                              </w:rPr>
                              <w:t xml:space="preserve"> experience was, what else could you have done while it was happening and then creating an action plan in case the situation arises again. </w:t>
                            </w:r>
                          </w:p>
                          <w:p w14:paraId="34ECE795" w14:textId="77777777" w:rsidR="00A07935" w:rsidRDefault="00A07935" w:rsidP="00A07935">
                            <w:pPr>
                              <w:rPr>
                                <w:rFonts w:ascii="Arial" w:hAnsi="Arial" w:cs="Arial"/>
                                <w:color w:val="000000" w:themeColor="text1"/>
                                <w:kern w:val="24"/>
                                <w:sz w:val="18"/>
                                <w:szCs w:val="18"/>
                              </w:rPr>
                            </w:pPr>
                            <w:r>
                              <w:rPr>
                                <w:rFonts w:ascii="Arial" w:hAnsi="Arial" w:cs="Arial"/>
                                <w:color w:val="000000" w:themeColor="text1"/>
                                <w:kern w:val="24"/>
                                <w:sz w:val="18"/>
                                <w:szCs w:val="18"/>
                              </w:rPr>
                              <w:t xml:space="preserve">Kolb’s (1984, p. 30) reflective model suggests that there are four abilities needed for students to take part in active learning. These include taking part in an experience, looking back on said experience and considering it from more than one perspective, using what you observed to learn from the experience and create new ideas and then applying everything you have learned to your practice. </w:t>
                            </w:r>
                          </w:p>
                          <w:p w14:paraId="7F7D119F" w14:textId="77777777" w:rsidR="00A07935" w:rsidRDefault="00A07935" w:rsidP="00A07935">
                            <w:pPr>
                              <w:rPr>
                                <w:rFonts w:ascii="Arial" w:hAnsi="Arial" w:cs="Arial"/>
                                <w:color w:val="000000" w:themeColor="text1"/>
                                <w:kern w:val="24"/>
                                <w:sz w:val="18"/>
                                <w:szCs w:val="18"/>
                              </w:rPr>
                            </w:pPr>
                            <w:r>
                              <w:rPr>
                                <w:rFonts w:ascii="Arial" w:hAnsi="Arial" w:cs="Arial"/>
                                <w:color w:val="000000" w:themeColor="text1"/>
                                <w:kern w:val="24"/>
                                <w:sz w:val="18"/>
                                <w:szCs w:val="18"/>
                              </w:rPr>
                              <w:t xml:space="preserve">A similarity I have found is that both these reflective models may encourage early years practitioners using the models to use what they have learnt from the previous experience to help them make a more informed decision should the situation arise again. However, a difference I have identified is that Gibb’s reflective cycle provides more detail and requires you to think about how you were feeling and what you were thinking at the time. Kolb’s model does not have a specific stage to do this, meaning that people may not properly reflect on the situation and how it made them feel using this model. </w:t>
                            </w:r>
                          </w:p>
                          <w:p w14:paraId="7C1A0070" w14:textId="77777777" w:rsidR="00A07935" w:rsidRDefault="00A07935" w:rsidP="00A07935">
                            <w:pPr>
                              <w:rPr>
                                <w:rFonts w:ascii="Arial" w:hAnsi="Arial" w:cs="Arial"/>
                                <w:color w:val="000000" w:themeColor="text1"/>
                                <w:kern w:val="24"/>
                                <w:sz w:val="18"/>
                                <w:szCs w:val="18"/>
                              </w:rPr>
                            </w:pPr>
                            <w:r>
                              <w:rPr>
                                <w:rFonts w:ascii="Arial" w:hAnsi="Arial" w:cs="Arial"/>
                                <w:color w:val="000000" w:themeColor="text1"/>
                                <w:kern w:val="24"/>
                                <w:sz w:val="18"/>
                                <w:szCs w:val="18"/>
                              </w:rPr>
                              <w:t xml:space="preserve">An early </w:t>
                            </w:r>
                            <w:proofErr w:type="gramStart"/>
                            <w:r>
                              <w:rPr>
                                <w:rFonts w:ascii="Arial" w:hAnsi="Arial" w:cs="Arial"/>
                                <w:color w:val="000000" w:themeColor="text1"/>
                                <w:kern w:val="24"/>
                                <w:sz w:val="18"/>
                                <w:szCs w:val="18"/>
                              </w:rPr>
                              <w:t>years</w:t>
                            </w:r>
                            <w:proofErr w:type="gramEnd"/>
                            <w:r>
                              <w:rPr>
                                <w:rFonts w:ascii="Arial" w:hAnsi="Arial" w:cs="Arial"/>
                                <w:color w:val="000000" w:themeColor="text1"/>
                                <w:kern w:val="24"/>
                                <w:sz w:val="18"/>
                                <w:szCs w:val="18"/>
                              </w:rPr>
                              <w:t xml:space="preserve"> practitioner may benefit from Gibb’s six detailed stages as they may review a situation more thoroughly which could be useful when dealing with a complicated interaction with a child. However, using multiple stages with more detail takes more time which can be difficult for practitioners to use in a busy early </w:t>
                            </w:r>
                            <w:proofErr w:type="gramStart"/>
                            <w:r>
                              <w:rPr>
                                <w:rFonts w:ascii="Arial" w:hAnsi="Arial" w:cs="Arial"/>
                                <w:color w:val="000000" w:themeColor="text1"/>
                                <w:kern w:val="24"/>
                                <w:sz w:val="18"/>
                                <w:szCs w:val="18"/>
                              </w:rPr>
                              <w:t>years</w:t>
                            </w:r>
                            <w:proofErr w:type="gramEnd"/>
                            <w:r>
                              <w:rPr>
                                <w:rFonts w:ascii="Arial" w:hAnsi="Arial" w:cs="Arial"/>
                                <w:color w:val="000000" w:themeColor="text1"/>
                                <w:kern w:val="24"/>
                                <w:sz w:val="18"/>
                                <w:szCs w:val="18"/>
                              </w:rPr>
                              <w:t xml:space="preserve"> environment. </w:t>
                            </w:r>
                          </w:p>
                          <w:p w14:paraId="0C8FB650" w14:textId="77777777" w:rsidR="00A07935" w:rsidRDefault="00A07935" w:rsidP="00A07935">
                            <w:pPr>
                              <w:rPr>
                                <w:rFonts w:ascii="Arial" w:hAnsi="Arial" w:cs="Arial"/>
                                <w:color w:val="000000" w:themeColor="text1"/>
                                <w:kern w:val="24"/>
                                <w:sz w:val="18"/>
                                <w:szCs w:val="18"/>
                              </w:rPr>
                            </w:pPr>
                            <w:r>
                              <w:rPr>
                                <w:rFonts w:ascii="Arial" w:hAnsi="Arial" w:cs="Arial"/>
                                <w:color w:val="000000" w:themeColor="text1"/>
                                <w:kern w:val="24"/>
                                <w:sz w:val="18"/>
                                <w:szCs w:val="18"/>
                              </w:rPr>
                              <w:t xml:space="preserve">Kolb’s reflective model may be beneficial to an early </w:t>
                            </w:r>
                            <w:proofErr w:type="gramStart"/>
                            <w:r>
                              <w:rPr>
                                <w:rFonts w:ascii="Arial" w:hAnsi="Arial" w:cs="Arial"/>
                                <w:color w:val="000000" w:themeColor="text1"/>
                                <w:kern w:val="24"/>
                                <w:sz w:val="18"/>
                                <w:szCs w:val="18"/>
                              </w:rPr>
                              <w:t>years</w:t>
                            </w:r>
                            <w:proofErr w:type="gramEnd"/>
                            <w:r>
                              <w:rPr>
                                <w:rFonts w:ascii="Arial" w:hAnsi="Arial" w:cs="Arial"/>
                                <w:color w:val="000000" w:themeColor="text1"/>
                                <w:kern w:val="24"/>
                                <w:sz w:val="18"/>
                                <w:szCs w:val="18"/>
                              </w:rPr>
                              <w:t xml:space="preserve"> practitioner because it may be easier for the practitioner to only have to remember four stages, meaning they may be able to implement them into their practise more easily than Gibb’s model. However, Kolb’s model has less guidance which may cause the practitioner to reflect less thoroughly.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6A32FFA8" id="TextBox 16" o:spid="_x0000_s1032" type="#_x0000_t202" style="position:absolute;margin-left:0;margin-top:31.35pt;width:538.8pt;height:312.15pt;z-index:25167155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" fillcolor="#c1e4f5 [660]" strokecolor="black [3213]" strokeweight="2.25pt">
                <v:textbox>
                  <w:txbxContent>
                    <w:p w14:paraId="3DAE3AE0" w14:textId="77777777" w:rsidR="00A07935" w:rsidRDefault="00A07935" w:rsidP="00A07935">
                      <w:pPr>
                        <w:rPr>
                          <w:rFonts w:ascii="Arial" w:hAnsi="Arial" w:cs="Arial"/>
                          <w:b/>
                          <w:bCs/>
                          <w:color w:val="000000" w:themeColor="text1"/>
                          <w:kern w:val="24"/>
                          <w:sz w:val="18"/>
                          <w:szCs w:val="18"/>
                          <w14:ligatures w14:val="none"/>
                        </w:rPr>
                      </w:pPr>
                      <w:r>
                        <w:rPr>
                          <w:rFonts w:ascii="Arial" w:hAnsi="Arial" w:cs="Arial"/>
                          <w:b/>
                          <w:bCs/>
                          <w:color w:val="000000" w:themeColor="text1"/>
                          <w:kern w:val="24"/>
                          <w:sz w:val="18"/>
                          <w:szCs w:val="18"/>
                        </w:rPr>
                        <w:t>Analysis of Different Reflective Models</w:t>
                      </w:r>
                    </w:p>
                    <w:p w14:paraId="6015871A" w14:textId="278824FA" w:rsidR="00A07935" w:rsidRDefault="00A07935" w:rsidP="00A07935">
                      <w:pPr>
                        <w:rPr>
                          <w:rFonts w:ascii="Arial" w:hAnsi="Arial" w:cs="Arial"/>
                          <w:color w:val="000000" w:themeColor="text1"/>
                          <w:kern w:val="24"/>
                          <w:sz w:val="18"/>
                          <w:szCs w:val="18"/>
                        </w:rPr>
                      </w:pPr>
                      <w:r>
                        <w:rPr>
                          <w:rFonts w:ascii="Arial" w:hAnsi="Arial" w:cs="Arial"/>
                          <w:color w:val="000000" w:themeColor="text1"/>
                          <w:kern w:val="24"/>
                          <w:sz w:val="18"/>
                          <w:szCs w:val="18"/>
                        </w:rPr>
                        <w:t xml:space="preserve">Gibbs (1988, pp. 49-50) suggests that only thinking back on an experience may cause people to only describe the experience and how they felt about it, rather than fully analysing the experience. This reflective model suggests describing what happened, thinking about how you were feeling or what you were thinking, what was positive or negative about the experience, thinking about what was happening and what other </w:t>
                      </w:r>
                      <w:r w:rsidR="007F6394">
                        <w:rPr>
                          <w:rFonts w:ascii="Arial" w:hAnsi="Arial" w:cs="Arial"/>
                          <w:color w:val="000000" w:themeColor="text1"/>
                          <w:kern w:val="24"/>
                          <w:sz w:val="18"/>
                          <w:szCs w:val="18"/>
                        </w:rPr>
                        <w:t>people’s</w:t>
                      </w:r>
                      <w:r>
                        <w:rPr>
                          <w:rFonts w:ascii="Arial" w:hAnsi="Arial" w:cs="Arial"/>
                          <w:color w:val="000000" w:themeColor="text1"/>
                          <w:kern w:val="24"/>
                          <w:sz w:val="18"/>
                          <w:szCs w:val="18"/>
                        </w:rPr>
                        <w:t xml:space="preserve"> experience was, what else could you have done while it was happening and then creating an action plan in case the situation arises again. </w:t>
                      </w:r>
                    </w:p>
                    <w:p w14:paraId="34ECE795" w14:textId="77777777" w:rsidR="00A07935" w:rsidRDefault="00A07935" w:rsidP="00A07935">
                      <w:pPr>
                        <w:rPr>
                          <w:rFonts w:ascii="Arial" w:hAnsi="Arial" w:cs="Arial"/>
                          <w:color w:val="000000" w:themeColor="text1"/>
                          <w:kern w:val="24"/>
                          <w:sz w:val="18"/>
                          <w:szCs w:val="18"/>
                        </w:rPr>
                      </w:pPr>
                      <w:r>
                        <w:rPr>
                          <w:rFonts w:ascii="Arial" w:hAnsi="Arial" w:cs="Arial"/>
                          <w:color w:val="000000" w:themeColor="text1"/>
                          <w:kern w:val="24"/>
                          <w:sz w:val="18"/>
                          <w:szCs w:val="18"/>
                        </w:rPr>
                        <w:t xml:space="preserve">Kolb’s (1984, p. 30) reflective model suggests that there are four abilities needed for students to take part in active learning. These include taking part in an experience, looking back on said experience and considering it from more than one perspective, using what you observed to learn from the experience and create new ideas and then applying everything you have learned to your practice. </w:t>
                      </w:r>
                    </w:p>
                    <w:p w14:paraId="7F7D119F" w14:textId="77777777" w:rsidR="00A07935" w:rsidRDefault="00A07935" w:rsidP="00A07935">
                      <w:pPr>
                        <w:rPr>
                          <w:rFonts w:ascii="Arial" w:hAnsi="Arial" w:cs="Arial"/>
                          <w:color w:val="000000" w:themeColor="text1"/>
                          <w:kern w:val="24"/>
                          <w:sz w:val="18"/>
                          <w:szCs w:val="18"/>
                        </w:rPr>
                      </w:pPr>
                      <w:r>
                        <w:rPr>
                          <w:rFonts w:ascii="Arial" w:hAnsi="Arial" w:cs="Arial"/>
                          <w:color w:val="000000" w:themeColor="text1"/>
                          <w:kern w:val="24"/>
                          <w:sz w:val="18"/>
                          <w:szCs w:val="18"/>
                        </w:rPr>
                        <w:t xml:space="preserve">A similarity I have found is that both these reflective models may encourage early years practitioners using the models to use what they have learnt from the previous experience to help them make a more informed decision should the situation arise again. However, a difference I have identified is that Gibb’s reflective cycle provides more detail and requires you to think about how you were feeling and what you were thinking at the time. Kolb’s model does not have a specific stage to do this, meaning that people may not properly reflect on the situation and how it made them feel using this model. </w:t>
                      </w:r>
                    </w:p>
                    <w:p w14:paraId="7C1A0070" w14:textId="77777777" w:rsidR="00A07935" w:rsidRDefault="00A07935" w:rsidP="00A07935">
                      <w:pPr>
                        <w:rPr>
                          <w:rFonts w:ascii="Arial" w:hAnsi="Arial" w:cs="Arial"/>
                          <w:color w:val="000000" w:themeColor="text1"/>
                          <w:kern w:val="24"/>
                          <w:sz w:val="18"/>
                          <w:szCs w:val="18"/>
                        </w:rPr>
                      </w:pPr>
                      <w:r>
                        <w:rPr>
                          <w:rFonts w:ascii="Arial" w:hAnsi="Arial" w:cs="Arial"/>
                          <w:color w:val="000000" w:themeColor="text1"/>
                          <w:kern w:val="24"/>
                          <w:sz w:val="18"/>
                          <w:szCs w:val="18"/>
                        </w:rPr>
                        <w:t xml:space="preserve">An early </w:t>
                      </w:r>
                      <w:proofErr w:type="gramStart"/>
                      <w:r>
                        <w:rPr>
                          <w:rFonts w:ascii="Arial" w:hAnsi="Arial" w:cs="Arial"/>
                          <w:color w:val="000000" w:themeColor="text1"/>
                          <w:kern w:val="24"/>
                          <w:sz w:val="18"/>
                          <w:szCs w:val="18"/>
                        </w:rPr>
                        <w:t>years</w:t>
                      </w:r>
                      <w:proofErr w:type="gramEnd"/>
                      <w:r>
                        <w:rPr>
                          <w:rFonts w:ascii="Arial" w:hAnsi="Arial" w:cs="Arial"/>
                          <w:color w:val="000000" w:themeColor="text1"/>
                          <w:kern w:val="24"/>
                          <w:sz w:val="18"/>
                          <w:szCs w:val="18"/>
                        </w:rPr>
                        <w:t xml:space="preserve"> practitioner may benefit from Gibb’s six detailed stages as they may review a situation more thoroughly which could be useful when dealing with a complicated interaction with a child. However, using multiple stages with more detail takes more time which can be difficult for practitioners to use in a busy early </w:t>
                      </w:r>
                      <w:proofErr w:type="gramStart"/>
                      <w:r>
                        <w:rPr>
                          <w:rFonts w:ascii="Arial" w:hAnsi="Arial" w:cs="Arial"/>
                          <w:color w:val="000000" w:themeColor="text1"/>
                          <w:kern w:val="24"/>
                          <w:sz w:val="18"/>
                          <w:szCs w:val="18"/>
                        </w:rPr>
                        <w:t>years</w:t>
                      </w:r>
                      <w:proofErr w:type="gramEnd"/>
                      <w:r>
                        <w:rPr>
                          <w:rFonts w:ascii="Arial" w:hAnsi="Arial" w:cs="Arial"/>
                          <w:color w:val="000000" w:themeColor="text1"/>
                          <w:kern w:val="24"/>
                          <w:sz w:val="18"/>
                          <w:szCs w:val="18"/>
                        </w:rPr>
                        <w:t xml:space="preserve"> environment. </w:t>
                      </w:r>
                    </w:p>
                    <w:p w14:paraId="0C8FB650" w14:textId="77777777" w:rsidR="00A07935" w:rsidRDefault="00A07935" w:rsidP="00A07935">
                      <w:pPr>
                        <w:rPr>
                          <w:rFonts w:ascii="Arial" w:hAnsi="Arial" w:cs="Arial"/>
                          <w:color w:val="000000" w:themeColor="text1"/>
                          <w:kern w:val="24"/>
                          <w:sz w:val="18"/>
                          <w:szCs w:val="18"/>
                        </w:rPr>
                      </w:pPr>
                      <w:r>
                        <w:rPr>
                          <w:rFonts w:ascii="Arial" w:hAnsi="Arial" w:cs="Arial"/>
                          <w:color w:val="000000" w:themeColor="text1"/>
                          <w:kern w:val="24"/>
                          <w:sz w:val="18"/>
                          <w:szCs w:val="18"/>
                        </w:rPr>
                        <w:t xml:space="preserve">Kolb’s reflective model may be beneficial to an early </w:t>
                      </w:r>
                      <w:proofErr w:type="gramStart"/>
                      <w:r>
                        <w:rPr>
                          <w:rFonts w:ascii="Arial" w:hAnsi="Arial" w:cs="Arial"/>
                          <w:color w:val="000000" w:themeColor="text1"/>
                          <w:kern w:val="24"/>
                          <w:sz w:val="18"/>
                          <w:szCs w:val="18"/>
                        </w:rPr>
                        <w:t>years</w:t>
                      </w:r>
                      <w:proofErr w:type="gramEnd"/>
                      <w:r>
                        <w:rPr>
                          <w:rFonts w:ascii="Arial" w:hAnsi="Arial" w:cs="Arial"/>
                          <w:color w:val="000000" w:themeColor="text1"/>
                          <w:kern w:val="24"/>
                          <w:sz w:val="18"/>
                          <w:szCs w:val="18"/>
                        </w:rPr>
                        <w:t xml:space="preserve"> practitioner because it may be easier for the practitioner to only have to remember four stages, meaning they may be able to implement them into their practise more easily than Gibb’s model. However, Kolb’s model has less guidance which may cause the practitioner to reflect less thoroughly. </w:t>
                      </w:r>
                    </w:p>
                  </w:txbxContent>
                </v:textbox>
                <w10:wrap anchorx="page"/>
              </v:shape>
            </w:pict>
          </mc:Fallback>
        </mc:AlternateContent>
      </w:r>
    </w:p>
    <w:p w14:paraId="44107A6E" w14:textId="257C3F7F" w:rsidR="006F1E2E" w:rsidRDefault="006F1E2E" w:rsidP="006F1E2E">
      <w:pPr>
        <w:rPr>
          <w:rFonts w:ascii="Arial" w:hAnsi="Arial" w:cs="Arial"/>
        </w:rPr>
      </w:pPr>
    </w:p>
    <w:p w14:paraId="6D87D6C4" w14:textId="193AFFC7" w:rsidR="006F1E2E" w:rsidRDefault="006F1E2E" w:rsidP="006F1E2E">
      <w:pPr>
        <w:tabs>
          <w:tab w:val="left" w:pos="1860"/>
        </w:tabs>
        <w:rPr>
          <w:rFonts w:ascii="Arial" w:hAnsi="Arial" w:cs="Arial"/>
        </w:rPr>
      </w:pPr>
      <w:r>
        <w:rPr>
          <w:rFonts w:ascii="Arial" w:hAnsi="Arial" w:cs="Arial"/>
        </w:rPr>
        <w:tab/>
      </w:r>
    </w:p>
    <w:p w14:paraId="752AC692" w14:textId="1227E90F" w:rsidR="006F1E2E" w:rsidRPr="006F1E2E" w:rsidRDefault="003B5766" w:rsidP="006F1E2E">
      <w:pPr>
        <w:tabs>
          <w:tab w:val="left" w:pos="1860"/>
        </w:tabs>
        <w:rPr>
          <w:rFonts w:ascii="Arial" w:hAnsi="Arial" w:cs="Arial"/>
        </w:rPr>
        <w:sectPr w:rsidR="006F1E2E" w:rsidRPr="006F1E2E" w:rsidSect="00155208">
          <w:pgSz w:w="16838" w:h="11906" w:orient="landscape"/>
          <w:pgMar w:top="1440" w:right="1440" w:bottom="1440" w:left="1440" w:header="709" w:footer="709" w:gutter="0"/>
          <w:cols w:space="708"/>
          <w:docGrid w:linePitch="360"/>
        </w:sectPr>
      </w:pPr>
      <w:r w:rsidRPr="003B5766">
        <w:rPr>
          <w:rFonts w:ascii="Arial" w:hAnsi="Arial" w:cs="Arial"/>
          <w:b/>
          <w:bCs/>
          <w:noProof/>
        </w:rPr>
        <w:drawing>
          <wp:anchor distT="0" distB="0" distL="114300" distR="114300" simplePos="0" relativeHeight="251677696" behindDoc="1" locked="0" layoutInCell="1" allowOverlap="1" wp14:anchorId="5338579C" wp14:editId="6A25C764">
            <wp:simplePos x="0" y="0"/>
            <wp:positionH relativeFrom="page">
              <wp:posOffset>8853170</wp:posOffset>
            </wp:positionH>
            <wp:positionV relativeFrom="page">
              <wp:posOffset>5730240</wp:posOffset>
            </wp:positionV>
            <wp:extent cx="1760250" cy="1722673"/>
            <wp:effectExtent l="0" t="0" r="0" b="0"/>
            <wp:wrapTight wrapText="bothSides">
              <wp:wrapPolygon edited="0">
                <wp:start x="0" y="0"/>
                <wp:lineTo x="0" y="21265"/>
                <wp:lineTo x="21273" y="21265"/>
                <wp:lineTo x="21273" y="0"/>
                <wp:lineTo x="0" y="0"/>
              </wp:wrapPolygon>
            </wp:wrapTight>
            <wp:docPr id="12" name="Picture 11" descr="Gibbs reflective cycle diagram explanation and stages overview">
              <a:extLst xmlns:a="http://schemas.openxmlformats.org/drawingml/2006/main">
                <a:ext uri="{FF2B5EF4-FFF2-40B4-BE49-F238E27FC236}">
                  <a16:creationId xmlns:a16="http://schemas.microsoft.com/office/drawing/2014/main" id="{9880C7E4-4BE1-09A3-E135-DF75D46D19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Gibbs reflective cycle diagram explanation and stages overview">
                      <a:extLst>
                        <a:ext uri="{FF2B5EF4-FFF2-40B4-BE49-F238E27FC236}">
                          <a16:creationId xmlns:a16="http://schemas.microsoft.com/office/drawing/2014/main" id="{9880C7E4-4BE1-09A3-E135-DF75D46D19D2}"/>
                        </a:ext>
                      </a:extLst>
                    </pic:cNvPr>
                    <pic:cNvPicPr>
                      <a:picLocks noChangeAspect="1"/>
                    </pic:cNvPicPr>
                  </pic:nvPicPr>
                  <pic:blipFill>
                    <a:blip r:embed="rId13" cstate="print">
                      <a:extLst>
                        <a:ext uri="{28A0092B-C50C-407E-A947-70E740481C1C}">
                          <a14:useLocalDpi xmlns:a14="http://schemas.microsoft.com/office/drawing/2010/main" val="0"/>
                        </a:ext>
                      </a:extLst>
                    </a:blip>
                    <a:srcRect l="13525" t="4072" r="19579"/>
                    <a:stretch>
                      <a:fillRect/>
                    </a:stretch>
                  </pic:blipFill>
                  <pic:spPr>
                    <a:xfrm>
                      <a:off x="0" y="0"/>
                      <a:ext cx="1760250" cy="1722673"/>
                    </a:xfrm>
                    <a:prstGeom prst="rect">
                      <a:avLst/>
                    </a:prstGeom>
                  </pic:spPr>
                </pic:pic>
              </a:graphicData>
            </a:graphic>
            <wp14:sizeRelH relativeFrom="margin">
              <wp14:pctWidth>0</wp14:pctWidth>
            </wp14:sizeRelH>
            <wp14:sizeRelV relativeFrom="margin">
              <wp14:pctHeight>0</wp14:pctHeight>
            </wp14:sizeRelV>
          </wp:anchor>
        </w:drawing>
      </w:r>
      <w:r w:rsidRPr="00E65A10">
        <w:rPr>
          <w:rFonts w:ascii="Arial" w:hAnsi="Arial" w:cs="Arial"/>
          <w:b/>
          <w:bCs/>
          <w:noProof/>
        </w:rPr>
        <w:drawing>
          <wp:anchor distT="0" distB="0" distL="114300" distR="114300" simplePos="0" relativeHeight="251676672" behindDoc="1" locked="0" layoutInCell="1" allowOverlap="1" wp14:anchorId="6A123470" wp14:editId="4CBC2D61">
            <wp:simplePos x="0" y="0"/>
            <wp:positionH relativeFrom="column">
              <wp:posOffset>6057900</wp:posOffset>
            </wp:positionH>
            <wp:positionV relativeFrom="page">
              <wp:posOffset>5732145</wp:posOffset>
            </wp:positionV>
            <wp:extent cx="1729740" cy="1729740"/>
            <wp:effectExtent l="0" t="0" r="3810" b="3810"/>
            <wp:wrapTight wrapText="bothSides">
              <wp:wrapPolygon edited="0">
                <wp:start x="0" y="0"/>
                <wp:lineTo x="0" y="21410"/>
                <wp:lineTo x="21410" y="21410"/>
                <wp:lineTo x="21410" y="0"/>
                <wp:lineTo x="0" y="0"/>
              </wp:wrapPolygon>
            </wp:wrapTight>
            <wp:docPr id="19" name="Picture 18" descr="David Kolb’s Learning Styles and Experiential Learning Cycle">
              <a:extLst xmlns:a="http://schemas.openxmlformats.org/drawingml/2006/main">
                <a:ext uri="{FF2B5EF4-FFF2-40B4-BE49-F238E27FC236}">
                  <a16:creationId xmlns:a16="http://schemas.microsoft.com/office/drawing/2014/main" id="{E0138583-E97B-6642-4549-DF8102F1F7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David Kolb’s Learning Styles and Experiential Learning Cycle">
                      <a:extLst>
                        <a:ext uri="{FF2B5EF4-FFF2-40B4-BE49-F238E27FC236}">
                          <a16:creationId xmlns:a16="http://schemas.microsoft.com/office/drawing/2014/main" id="{E0138583-E97B-6642-4549-DF8102F1F7B5}"/>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29740" cy="1729740"/>
                    </a:xfrm>
                    <a:prstGeom prst="rect">
                      <a:avLst/>
                    </a:prstGeom>
                  </pic:spPr>
                </pic:pic>
              </a:graphicData>
            </a:graphic>
            <wp14:sizeRelH relativeFrom="margin">
              <wp14:pctWidth>0</wp14:pctWidth>
            </wp14:sizeRelH>
            <wp14:sizeRelV relativeFrom="margin">
              <wp14:pctHeight>0</wp14:pctHeight>
            </wp14:sizeRelV>
          </wp:anchor>
        </w:drawing>
      </w:r>
      <w:r w:rsidR="00F82FF0" w:rsidRPr="00856E51">
        <w:rPr>
          <w:rFonts w:ascii="Arial" w:hAnsi="Arial" w:cs="Arial"/>
          <w:noProof/>
        </w:rPr>
        <mc:AlternateContent>
          <mc:Choice Requires="wps">
            <w:drawing>
              <wp:anchor distT="0" distB="0" distL="114300" distR="114300" simplePos="0" relativeHeight="251658239" behindDoc="0" locked="0" layoutInCell="1" allowOverlap="1" wp14:anchorId="5AD7F6BC" wp14:editId="1B07A795">
                <wp:simplePos x="0" y="0"/>
                <wp:positionH relativeFrom="page">
                  <wp:posOffset>6890657</wp:posOffset>
                </wp:positionH>
                <wp:positionV relativeFrom="paragraph">
                  <wp:posOffset>1412421</wp:posOffset>
                </wp:positionV>
                <wp:extent cx="1879600" cy="1851025"/>
                <wp:effectExtent l="19050" t="19050" r="25400" b="15875"/>
                <wp:wrapNone/>
                <wp:docPr id="1228947470" name="Rectangle 13"/>
                <wp:cNvGraphicFramePr/>
                <a:graphic xmlns:a="http://schemas.openxmlformats.org/drawingml/2006/main">
                  <a:graphicData uri="http://schemas.microsoft.com/office/word/2010/wordprocessingShape">
                    <wps:wsp>
                      <wps:cNvSpPr/>
                      <wps:spPr>
                        <a:xfrm>
                          <a:off x="0" y="0"/>
                          <a:ext cx="1879600" cy="1851025"/>
                        </a:xfrm>
                        <a:prstGeom prst="rect">
                          <a:avLst/>
                        </a:prstGeom>
                        <a:solidFill>
                          <a:schemeClr val="accent1">
                            <a:lumMod val="20000"/>
                            <a:lumOff val="80000"/>
                          </a:schemeClr>
                        </a:solidFill>
                        <a:ln w="28575"/>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46F9637D" id="Rectangle 13" o:spid="_x0000_s1026" style="position:absolute;margin-left:542.55pt;margin-top:111.2pt;width:148pt;height:145.7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" fillcolor="#c1e4f5 [660]" strokecolor="#030e13 [484]" strokeweight="2.25pt">
                <w10:wrap anchorx="page"/>
              </v:rect>
            </w:pict>
          </mc:Fallback>
        </mc:AlternateContent>
      </w:r>
      <w:r w:rsidR="00D559B4" w:rsidRPr="00856E51">
        <w:rPr>
          <w:rFonts w:ascii="Arial" w:hAnsi="Arial" w:cs="Arial"/>
          <w:noProof/>
        </w:rPr>
        <mc:AlternateContent>
          <mc:Choice Requires="wps">
            <w:drawing>
              <wp:anchor distT="0" distB="0" distL="114300" distR="114300" simplePos="0" relativeHeight="251675648" behindDoc="0" locked="0" layoutInCell="1" allowOverlap="1" wp14:anchorId="51EE6103" wp14:editId="184123E3">
                <wp:simplePos x="0" y="0"/>
                <wp:positionH relativeFrom="page">
                  <wp:align>right</wp:align>
                </wp:positionH>
                <wp:positionV relativeFrom="paragraph">
                  <wp:posOffset>1412239</wp:posOffset>
                </wp:positionV>
                <wp:extent cx="1879600" cy="1851025"/>
                <wp:effectExtent l="19050" t="19050" r="25400" b="15875"/>
                <wp:wrapNone/>
                <wp:docPr id="2085387807" name="Rectangle 13"/>
                <wp:cNvGraphicFramePr/>
                <a:graphic xmlns:a="http://schemas.openxmlformats.org/drawingml/2006/main">
                  <a:graphicData uri="http://schemas.microsoft.com/office/word/2010/wordprocessingShape">
                    <wps:wsp>
                      <wps:cNvSpPr/>
                      <wps:spPr>
                        <a:xfrm>
                          <a:off x="0" y="0"/>
                          <a:ext cx="1879600" cy="1851025"/>
                        </a:xfrm>
                        <a:prstGeom prst="rect">
                          <a:avLst/>
                        </a:prstGeom>
                        <a:solidFill>
                          <a:schemeClr val="accent1">
                            <a:lumMod val="20000"/>
                            <a:lumOff val="80000"/>
                          </a:schemeClr>
                        </a:solidFill>
                        <a:ln w="28575"/>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366D401F" id="Rectangle 13" o:spid="_x0000_s1026" style="position:absolute;margin-left:96.8pt;margin-top:111.2pt;width:148pt;height:145.75pt;z-index:25167564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" fillcolor="#c1e4f5 [660]" strokecolor="#030e13 [484]" strokeweight="2.25pt">
                <w10:wrap anchorx="page"/>
              </v:rect>
            </w:pict>
          </mc:Fallback>
        </mc:AlternateContent>
      </w:r>
      <w:r w:rsidR="00D33499">
        <w:rPr>
          <w:rFonts w:ascii="Arial" w:hAnsi="Arial" w:cs="Arial"/>
        </w:rPr>
        <w:t xml:space="preserve"> </w:t>
      </w:r>
    </w:p>
    <w:p w14:paraId="1AB6B562" w14:textId="7BFC94BD" w:rsidR="0044623E" w:rsidRPr="0044623E" w:rsidRDefault="0044623E" w:rsidP="0044623E">
      <w:pPr>
        <w:rPr>
          <w:rFonts w:ascii="Arial" w:hAnsi="Arial" w:cs="Arial"/>
          <w:b/>
          <w:bCs/>
        </w:rPr>
      </w:pPr>
      <w:r w:rsidRPr="0044623E">
        <w:rPr>
          <w:rFonts w:ascii="Arial" w:hAnsi="Arial" w:cs="Arial"/>
          <w:b/>
          <w:bCs/>
        </w:rPr>
        <w:lastRenderedPageBreak/>
        <w:t>Reference links-</w:t>
      </w:r>
    </w:p>
    <w:p w14:paraId="52A416B1" w14:textId="309C6349" w:rsidR="002076FF" w:rsidRPr="002076FF" w:rsidRDefault="002076FF" w:rsidP="002076FF">
      <w:pPr>
        <w:tabs>
          <w:tab w:val="left" w:pos="3867"/>
        </w:tabs>
        <w:jc w:val="both"/>
        <w:rPr>
          <w:rFonts w:ascii="Arial" w:hAnsi="Arial" w:cs="Arial"/>
        </w:rPr>
      </w:pPr>
      <w:proofErr w:type="spellStart"/>
      <w:r w:rsidRPr="002076FF">
        <w:rPr>
          <w:rFonts w:ascii="Arial" w:hAnsi="Arial" w:cs="Arial"/>
        </w:rPr>
        <w:t>Athal</w:t>
      </w:r>
      <w:proofErr w:type="spellEnd"/>
      <w:r w:rsidRPr="002076FF">
        <w:rPr>
          <w:rFonts w:ascii="Arial" w:hAnsi="Arial" w:cs="Arial"/>
        </w:rPr>
        <w:t xml:space="preserve">, K. (2025) ‘Gibbs Reflective Cycle Explained: A Framework for Structured Self-Reflection’. Available at: </w:t>
      </w:r>
      <w:hyperlink r:id="rId15" w:history="1">
        <w:r w:rsidRPr="002076FF">
          <w:rPr>
            <w:rStyle w:val="Hyperlink"/>
            <w:rFonts w:ascii="Arial" w:hAnsi="Arial" w:cs="Arial"/>
          </w:rPr>
          <w:t>https://drkrishnaathal.com/blog/gibbs-reflective-cycle-explained-a-framework-for-structured-self-reflection/</w:t>
        </w:r>
      </w:hyperlink>
      <w:r w:rsidRPr="002076FF">
        <w:rPr>
          <w:rFonts w:ascii="Arial" w:hAnsi="Arial" w:cs="Arial"/>
        </w:rPr>
        <w:t xml:space="preserve"> (Accessed: 11th October 2026).</w:t>
      </w:r>
    </w:p>
    <w:p w14:paraId="7C07591E" w14:textId="7A354906" w:rsidR="002076FF" w:rsidRPr="002076FF" w:rsidRDefault="002076FF" w:rsidP="002076FF">
      <w:pPr>
        <w:tabs>
          <w:tab w:val="left" w:pos="3867"/>
        </w:tabs>
        <w:jc w:val="both"/>
        <w:rPr>
          <w:rFonts w:ascii="Arial" w:hAnsi="Arial" w:cs="Arial"/>
        </w:rPr>
      </w:pPr>
      <w:r w:rsidRPr="002076FF">
        <w:rPr>
          <w:rFonts w:ascii="Arial" w:hAnsi="Arial" w:cs="Arial"/>
        </w:rPr>
        <w:t>Brodie, K. (2025)</w:t>
      </w:r>
      <w:r w:rsidR="00AC661C">
        <w:rPr>
          <w:rFonts w:ascii="Arial" w:hAnsi="Arial" w:cs="Arial"/>
        </w:rPr>
        <w:t xml:space="preserve"> </w:t>
      </w:r>
      <w:r w:rsidRPr="002076FF">
        <w:rPr>
          <w:rFonts w:ascii="Arial" w:hAnsi="Arial" w:cs="Arial"/>
        </w:rPr>
        <w:t>‘David Kolb’s Learning Styles and Experiential Learning Cycle’.</w:t>
      </w:r>
      <w:r w:rsidR="00AC661C">
        <w:rPr>
          <w:rFonts w:ascii="Arial" w:hAnsi="Arial" w:cs="Arial"/>
        </w:rPr>
        <w:t xml:space="preserve"> </w:t>
      </w:r>
      <w:r w:rsidRPr="002076FF">
        <w:rPr>
          <w:rFonts w:ascii="Arial" w:hAnsi="Arial" w:cs="Arial"/>
        </w:rPr>
        <w:t xml:space="preserve">Available at: </w:t>
      </w:r>
      <w:hyperlink r:id="rId16" w:history="1">
        <w:r w:rsidRPr="002076FF">
          <w:rPr>
            <w:rStyle w:val="Hyperlink"/>
            <w:rFonts w:ascii="Arial" w:hAnsi="Arial" w:cs="Arial"/>
          </w:rPr>
          <w:t>https://www.earlyyears.tv/david-kolb-learning-styles-cycle/</w:t>
        </w:r>
      </w:hyperlink>
      <w:r w:rsidRPr="002076FF">
        <w:rPr>
          <w:rFonts w:ascii="Arial" w:hAnsi="Arial" w:cs="Arial"/>
        </w:rPr>
        <w:t xml:space="preserve"> (Accessed: 11th October 2026).</w:t>
      </w:r>
    </w:p>
    <w:p w14:paraId="40F2C56A" w14:textId="4E988969" w:rsidR="002076FF" w:rsidRPr="002076FF" w:rsidRDefault="002076FF" w:rsidP="002076FF">
      <w:pPr>
        <w:tabs>
          <w:tab w:val="left" w:pos="3867"/>
        </w:tabs>
        <w:jc w:val="both"/>
        <w:rPr>
          <w:rFonts w:ascii="Arial" w:hAnsi="Arial" w:cs="Arial"/>
        </w:rPr>
      </w:pPr>
      <w:r w:rsidRPr="002076FF">
        <w:rPr>
          <w:rFonts w:ascii="Arial" w:hAnsi="Arial" w:cs="Arial"/>
        </w:rPr>
        <w:t xml:space="preserve">Cigala, A., Venturelli, E. and Bassetti, M. (2019) ‘Reflective practice: a method to improve teachers’ well-being. A longitudinal training in early childhood education and care </w:t>
      </w:r>
      <w:proofErr w:type="spellStart"/>
      <w:r w:rsidRPr="002076FF">
        <w:rPr>
          <w:rFonts w:ascii="Arial" w:hAnsi="Arial" w:cs="Arial"/>
        </w:rPr>
        <w:t>centers</w:t>
      </w:r>
      <w:proofErr w:type="spellEnd"/>
      <w:r w:rsidRPr="002076FF">
        <w:rPr>
          <w:rFonts w:ascii="Arial" w:hAnsi="Arial" w:cs="Arial"/>
        </w:rPr>
        <w:t xml:space="preserve">’, </w:t>
      </w:r>
      <w:r w:rsidRPr="002076FF">
        <w:rPr>
          <w:rFonts w:ascii="Arial" w:hAnsi="Arial" w:cs="Arial"/>
          <w:i/>
          <w:iCs/>
        </w:rPr>
        <w:t>Frontiers in Psychology</w:t>
      </w:r>
      <w:r w:rsidRPr="002076FF">
        <w:rPr>
          <w:rFonts w:ascii="Arial" w:hAnsi="Arial" w:cs="Arial"/>
        </w:rPr>
        <w:t xml:space="preserve">, 10. p.1. Available at: </w:t>
      </w:r>
      <w:hyperlink r:id="rId17" w:history="1">
        <w:r w:rsidRPr="00D914C3">
          <w:rPr>
            <w:rStyle w:val="Hyperlink"/>
            <w:rFonts w:ascii="Arial" w:hAnsi="Arial" w:cs="Arial"/>
          </w:rPr>
          <w:t>fpsyg-10-02574 (1).pdf</w:t>
        </w:r>
      </w:hyperlink>
      <w:r w:rsidRPr="002076FF">
        <w:rPr>
          <w:rFonts w:ascii="Arial" w:hAnsi="Arial" w:cs="Arial"/>
        </w:rPr>
        <w:t xml:space="preserve"> (Accessed: 11th October 2026)</w:t>
      </w:r>
    </w:p>
    <w:p w14:paraId="3C8C548A" w14:textId="77777777" w:rsidR="002076FF" w:rsidRPr="002076FF" w:rsidRDefault="002076FF" w:rsidP="002076FF">
      <w:pPr>
        <w:tabs>
          <w:tab w:val="left" w:pos="3867"/>
        </w:tabs>
        <w:jc w:val="both"/>
        <w:rPr>
          <w:rFonts w:ascii="Arial" w:hAnsi="Arial" w:cs="Arial"/>
        </w:rPr>
      </w:pPr>
      <w:r w:rsidRPr="002076FF">
        <w:rPr>
          <w:rFonts w:ascii="Arial" w:hAnsi="Arial" w:cs="Arial"/>
        </w:rPr>
        <w:t>Dewey, J. (1993) ‘</w:t>
      </w:r>
      <w:r w:rsidRPr="002076FF">
        <w:rPr>
          <w:rFonts w:ascii="Arial" w:hAnsi="Arial" w:cs="Arial"/>
          <w:i/>
          <w:iCs/>
        </w:rPr>
        <w:t>How we think’</w:t>
      </w:r>
      <w:r w:rsidRPr="002076FF">
        <w:rPr>
          <w:rFonts w:ascii="Arial" w:hAnsi="Arial" w:cs="Arial"/>
        </w:rPr>
        <w:t>. D.C. Heath and Company Boston, p. 9.</w:t>
      </w:r>
    </w:p>
    <w:p w14:paraId="6E941496" w14:textId="09B33757" w:rsidR="002076FF" w:rsidRPr="002076FF" w:rsidRDefault="002076FF" w:rsidP="002076FF">
      <w:pPr>
        <w:tabs>
          <w:tab w:val="left" w:pos="3867"/>
        </w:tabs>
        <w:jc w:val="both"/>
        <w:rPr>
          <w:rFonts w:ascii="Arial" w:hAnsi="Arial" w:cs="Arial"/>
        </w:rPr>
      </w:pPr>
      <w:r w:rsidRPr="002076FF">
        <w:rPr>
          <w:rFonts w:ascii="Arial" w:hAnsi="Arial" w:cs="Arial"/>
        </w:rPr>
        <w:t xml:space="preserve">Dionne, C., Paquet, A., Lemire, C., Dugas, C., Londono, M. and Dubé, A. (2025) ‘Supporting the inclusion of young children in childcare settings through professional development: perceptions of educators and managers’, </w:t>
      </w:r>
      <w:r w:rsidRPr="002076FF">
        <w:rPr>
          <w:rFonts w:ascii="Arial" w:hAnsi="Arial" w:cs="Arial"/>
          <w:i/>
          <w:iCs/>
        </w:rPr>
        <w:t>Frontiers in Education,</w:t>
      </w:r>
      <w:r w:rsidRPr="002076FF">
        <w:rPr>
          <w:rFonts w:ascii="Arial" w:hAnsi="Arial" w:cs="Arial"/>
        </w:rPr>
        <w:t xml:space="preserve"> 10, p. 1. Available at: </w:t>
      </w:r>
      <w:hyperlink r:id="rId18" w:history="1">
        <w:r w:rsidRPr="00CB7F84">
          <w:rPr>
            <w:rStyle w:val="Hyperlink"/>
            <w:rFonts w:ascii="Arial" w:hAnsi="Arial" w:cs="Arial"/>
          </w:rPr>
          <w:t>feduc-10-1535104 (1).pdf</w:t>
        </w:r>
      </w:hyperlink>
      <w:r w:rsidRPr="002076FF">
        <w:rPr>
          <w:rFonts w:ascii="Arial" w:hAnsi="Arial" w:cs="Arial"/>
        </w:rPr>
        <w:t xml:space="preserve"> (Accessed: 11th October 2026)</w:t>
      </w:r>
    </w:p>
    <w:p w14:paraId="41E6B242" w14:textId="77777777" w:rsidR="002076FF" w:rsidRPr="002076FF" w:rsidRDefault="002076FF" w:rsidP="002076FF">
      <w:pPr>
        <w:tabs>
          <w:tab w:val="left" w:pos="3867"/>
        </w:tabs>
        <w:jc w:val="both"/>
        <w:rPr>
          <w:rFonts w:ascii="Arial" w:hAnsi="Arial" w:cs="Arial"/>
        </w:rPr>
      </w:pPr>
      <w:r w:rsidRPr="002076FF">
        <w:rPr>
          <w:rFonts w:ascii="Arial" w:hAnsi="Arial" w:cs="Arial"/>
        </w:rPr>
        <w:t xml:space="preserve">Gibbs, G. (1988) ‘Learning by Doing, A Guide to Teaching and Learning Methods’*. *1st edition. </w:t>
      </w:r>
      <w:r w:rsidRPr="002076FF">
        <w:rPr>
          <w:rFonts w:ascii="Arial" w:hAnsi="Arial" w:cs="Arial"/>
          <w:i/>
          <w:iCs/>
        </w:rPr>
        <w:t>Oxford: Further Education Unit</w:t>
      </w:r>
      <w:r w:rsidRPr="002076FF">
        <w:rPr>
          <w:rFonts w:ascii="Arial" w:hAnsi="Arial" w:cs="Arial"/>
        </w:rPr>
        <w:t xml:space="preserve">, pp. 49-50. Available at: </w:t>
      </w:r>
      <w:hyperlink r:id="rId19" w:history="1">
        <w:r w:rsidRPr="002076FF">
          <w:rPr>
            <w:rStyle w:val="Hyperlink"/>
            <w:rFonts w:ascii="Arial" w:hAnsi="Arial" w:cs="Arial"/>
          </w:rPr>
          <w:t>Learning by Doing</w:t>
        </w:r>
      </w:hyperlink>
      <w:r w:rsidRPr="002076FF">
        <w:rPr>
          <w:rFonts w:ascii="Arial" w:hAnsi="Arial" w:cs="Arial"/>
        </w:rPr>
        <w:t xml:space="preserve"> (Accessed: 11th October 2026)</w:t>
      </w:r>
    </w:p>
    <w:p w14:paraId="4A5159E1" w14:textId="77777777" w:rsidR="002076FF" w:rsidRPr="002076FF" w:rsidRDefault="002076FF" w:rsidP="002076FF">
      <w:pPr>
        <w:tabs>
          <w:tab w:val="left" w:pos="3867"/>
        </w:tabs>
        <w:jc w:val="both"/>
        <w:rPr>
          <w:rFonts w:ascii="Arial" w:hAnsi="Arial" w:cs="Arial"/>
        </w:rPr>
      </w:pPr>
      <w:r w:rsidRPr="002076FF">
        <w:rPr>
          <w:rFonts w:ascii="Arial" w:hAnsi="Arial" w:cs="Arial"/>
        </w:rPr>
        <w:t xml:space="preserve">Kolb, D.A. (1984) ‘Experiential learning: experience as the source of learning and development’. </w:t>
      </w:r>
      <w:r w:rsidRPr="002076FF">
        <w:rPr>
          <w:rFonts w:ascii="Arial" w:hAnsi="Arial" w:cs="Arial"/>
          <w:i/>
          <w:iCs/>
        </w:rPr>
        <w:t>Englewood Cliffs,</w:t>
      </w:r>
      <w:r w:rsidRPr="002076FF">
        <w:rPr>
          <w:rFonts w:ascii="Arial" w:hAnsi="Arial" w:cs="Arial"/>
        </w:rPr>
        <w:t xml:space="preserve"> p. 30. Available at: </w:t>
      </w:r>
      <w:hyperlink r:id="rId20" w:history="1">
        <w:r w:rsidRPr="002076FF">
          <w:rPr>
            <w:rStyle w:val="Hyperlink"/>
            <w:rFonts w:ascii="Arial" w:hAnsi="Arial" w:cs="Arial"/>
          </w:rPr>
          <w:t>Slide 1</w:t>
        </w:r>
      </w:hyperlink>
      <w:r w:rsidRPr="002076FF">
        <w:rPr>
          <w:rFonts w:ascii="Arial" w:hAnsi="Arial" w:cs="Arial"/>
        </w:rPr>
        <w:t xml:space="preserve"> (Accessed: 11th October 2026)</w:t>
      </w:r>
    </w:p>
    <w:p w14:paraId="2DF1E6A7" w14:textId="77777777" w:rsidR="002076FF" w:rsidRPr="002076FF" w:rsidRDefault="002076FF" w:rsidP="002076FF">
      <w:pPr>
        <w:tabs>
          <w:tab w:val="left" w:pos="3867"/>
        </w:tabs>
        <w:jc w:val="both"/>
        <w:rPr>
          <w:rFonts w:ascii="Arial" w:hAnsi="Arial" w:cs="Arial"/>
        </w:rPr>
      </w:pPr>
      <w:r w:rsidRPr="002076FF">
        <w:rPr>
          <w:rFonts w:ascii="Arial" w:hAnsi="Arial" w:cs="Arial"/>
        </w:rPr>
        <w:t>Lombardi, C., Bladen, A., Foley, M. T., Galante</w:t>
      </w:r>
      <w:r w:rsidRPr="002076FF">
        <w:rPr>
          <w:rFonts w:ascii="Cambria Math" w:hAnsi="Cambria Math" w:cs="Cambria Math"/>
        </w:rPr>
        <w:t>‐</w:t>
      </w:r>
      <w:r w:rsidRPr="002076FF">
        <w:rPr>
          <w:rFonts w:ascii="Arial" w:hAnsi="Arial" w:cs="Arial"/>
        </w:rPr>
        <w:t xml:space="preserve">DeAngelis, M., Larrabee, K., &amp; Robinson, J. (2023). ‘Promoting reflective practice in an infant and early childhood training program'. </w:t>
      </w:r>
      <w:r w:rsidRPr="002076FF">
        <w:rPr>
          <w:rFonts w:ascii="Arial" w:hAnsi="Arial" w:cs="Arial"/>
          <w:i/>
          <w:iCs/>
        </w:rPr>
        <w:t>Infant Mental Health Journal</w:t>
      </w:r>
      <w:r w:rsidRPr="002076FF">
        <w:rPr>
          <w:rFonts w:ascii="Arial" w:hAnsi="Arial" w:cs="Arial"/>
        </w:rPr>
        <w:t xml:space="preserve">, </w:t>
      </w:r>
      <w:r w:rsidRPr="00072DDD">
        <w:rPr>
          <w:rFonts w:ascii="Arial" w:hAnsi="Arial" w:cs="Arial"/>
        </w:rPr>
        <w:t>44</w:t>
      </w:r>
      <w:r w:rsidRPr="002076FF">
        <w:rPr>
          <w:rFonts w:ascii="Arial" w:hAnsi="Arial" w:cs="Arial"/>
        </w:rPr>
        <w:t xml:space="preserve">(4), p. 451. Available at: </w:t>
      </w:r>
      <w:hyperlink r:id="rId21" w:history="1">
        <w:r w:rsidRPr="002076FF">
          <w:rPr>
            <w:rStyle w:val="Hyperlink"/>
            <w:rFonts w:ascii="Arial" w:hAnsi="Arial" w:cs="Arial"/>
          </w:rPr>
          <w:t>Promoting reflective practice in an infant and early childhood training program</w:t>
        </w:r>
      </w:hyperlink>
      <w:r w:rsidRPr="002076FF">
        <w:rPr>
          <w:rFonts w:ascii="Arial" w:hAnsi="Arial" w:cs="Arial"/>
        </w:rPr>
        <w:t xml:space="preserve"> (Accessed: 11th October 2026)</w:t>
      </w:r>
    </w:p>
    <w:p w14:paraId="342A6D4F" w14:textId="77777777" w:rsidR="002076FF" w:rsidRPr="002076FF" w:rsidRDefault="002076FF" w:rsidP="002076FF">
      <w:pPr>
        <w:tabs>
          <w:tab w:val="left" w:pos="3867"/>
        </w:tabs>
        <w:jc w:val="both"/>
        <w:rPr>
          <w:rFonts w:ascii="Arial" w:hAnsi="Arial" w:cs="Arial"/>
        </w:rPr>
      </w:pPr>
      <w:r w:rsidRPr="002076FF">
        <w:rPr>
          <w:rFonts w:ascii="Arial" w:hAnsi="Arial" w:cs="Arial"/>
        </w:rPr>
        <w:t>Schon, D. (1983) ‘The Reflective Practitioner’*. *Basic Books’. p. 50.</w:t>
      </w:r>
    </w:p>
    <w:p w14:paraId="5AB044F7" w14:textId="77777777" w:rsidR="002076FF" w:rsidRPr="002076FF" w:rsidRDefault="002076FF" w:rsidP="002076FF">
      <w:pPr>
        <w:tabs>
          <w:tab w:val="left" w:pos="3867"/>
        </w:tabs>
        <w:jc w:val="both"/>
        <w:rPr>
          <w:rFonts w:ascii="Arial" w:hAnsi="Arial" w:cs="Arial"/>
        </w:rPr>
      </w:pPr>
      <w:r w:rsidRPr="002076FF">
        <w:rPr>
          <w:rFonts w:ascii="Arial" w:hAnsi="Arial" w:cs="Arial"/>
        </w:rPr>
        <w:t xml:space="preserve">Welsh Government (2023) </w:t>
      </w:r>
      <w:r w:rsidRPr="002076FF">
        <w:rPr>
          <w:rFonts w:ascii="Arial" w:hAnsi="Arial" w:cs="Arial"/>
          <w:i/>
          <w:iCs/>
        </w:rPr>
        <w:t>Pedagogy.</w:t>
      </w:r>
      <w:r w:rsidRPr="002076FF">
        <w:rPr>
          <w:rFonts w:ascii="Arial" w:hAnsi="Arial" w:cs="Arial"/>
        </w:rPr>
        <w:t xml:space="preserve"> Available at: </w:t>
      </w:r>
      <w:hyperlink r:id="rId22" w:history="1">
        <w:r w:rsidRPr="002076FF">
          <w:rPr>
            <w:rStyle w:val="Hyperlink"/>
            <w:rFonts w:ascii="Arial" w:hAnsi="Arial" w:cs="Arial"/>
          </w:rPr>
          <w:t>Pedagogy - Hwb</w:t>
        </w:r>
      </w:hyperlink>
      <w:r w:rsidRPr="002076FF">
        <w:rPr>
          <w:rFonts w:ascii="Arial" w:hAnsi="Arial" w:cs="Arial"/>
        </w:rPr>
        <w:t xml:space="preserve"> (Accessed: 11th October 2026)</w:t>
      </w:r>
    </w:p>
    <w:p w14:paraId="2045472E" w14:textId="77777777" w:rsidR="00BF7E6B" w:rsidRPr="006E0998" w:rsidRDefault="00BF7E6B" w:rsidP="006E0998">
      <w:pPr>
        <w:tabs>
          <w:tab w:val="left" w:pos="3867"/>
        </w:tabs>
        <w:jc w:val="both"/>
        <w:rPr>
          <w:rFonts w:ascii="Arial" w:hAnsi="Arial" w:cs="Arial"/>
          <w:i/>
          <w:iCs/>
        </w:rPr>
      </w:pPr>
    </w:p>
    <w:p w14:paraId="5393388F" w14:textId="77777777" w:rsidR="00EC4508" w:rsidRPr="004E0CFE" w:rsidRDefault="00EC4508" w:rsidP="005040BA">
      <w:pPr>
        <w:tabs>
          <w:tab w:val="left" w:pos="3867"/>
        </w:tabs>
        <w:jc w:val="both"/>
        <w:rPr>
          <w:rFonts w:ascii="Arial" w:hAnsi="Arial" w:cs="Arial"/>
          <w:i/>
          <w:iCs/>
        </w:rPr>
      </w:pPr>
    </w:p>
    <w:p w14:paraId="39ED24D2" w14:textId="4D55ABC1" w:rsidR="004A056F" w:rsidRPr="005040BA" w:rsidRDefault="00EF36F6" w:rsidP="005040BA">
      <w:pPr>
        <w:rPr>
          <w:rFonts w:ascii="Arial" w:hAnsi="Arial" w:cs="Arial"/>
          <w:i/>
          <w:iCs/>
        </w:rPr>
      </w:pPr>
      <w:r w:rsidRPr="005040BA">
        <w:rPr>
          <w:rFonts w:ascii="Arial" w:hAnsi="Arial" w:cs="Arial"/>
        </w:rPr>
        <w:br w:type="page"/>
      </w:r>
      <w:r w:rsidR="004A056F">
        <w:rPr>
          <w:rFonts w:ascii="Arial" w:hAnsi="Arial" w:cs="Arial"/>
          <w:b/>
          <w:bCs/>
        </w:rPr>
        <w:lastRenderedPageBreak/>
        <w:t xml:space="preserve">Part 3- Professional Practice in Early Years and Its </w:t>
      </w:r>
      <w:r w:rsidR="007456A7">
        <w:rPr>
          <w:rFonts w:ascii="Arial" w:hAnsi="Arial" w:cs="Arial"/>
          <w:b/>
          <w:bCs/>
        </w:rPr>
        <w:t>Importance</w:t>
      </w:r>
    </w:p>
    <w:p w14:paraId="59AA53D8" w14:textId="77777777" w:rsidR="004A056F" w:rsidRDefault="004A056F" w:rsidP="004A056F">
      <w:pPr>
        <w:spacing w:line="360" w:lineRule="auto"/>
        <w:rPr>
          <w:b/>
          <w:bCs/>
        </w:rPr>
      </w:pPr>
      <w:r w:rsidRPr="00B00E73">
        <w:rPr>
          <w:b/>
          <w:bCs/>
        </w:rPr>
        <w:t>Introduction</w:t>
      </w:r>
      <w:r>
        <w:rPr>
          <w:b/>
          <w:bCs/>
        </w:rPr>
        <w:t xml:space="preserve"> </w:t>
      </w:r>
    </w:p>
    <w:p w14:paraId="765F7136" w14:textId="77777777" w:rsidR="004A056F" w:rsidRPr="00342281" w:rsidRDefault="004A056F" w:rsidP="004A056F">
      <w:pPr>
        <w:spacing w:line="360" w:lineRule="auto"/>
      </w:pPr>
      <w:r>
        <w:t xml:space="preserve">Professional practice in early years has many significant aspects that are important when meeting the individual and inclusive needs of children including professional values, multilingual practice, observations and planning and the rights of the child.  Research by Reed and Walker (2017, p. 182) suggests that professional practice in early years may include practitioners having to continually adapt their practice to meet the individual needs of the children. The findings also suggested that professional practice should include valuing different people’s perspectives. This may include, listening to the child, the child’s family and colleagues.  Overall, the research demonstrates that professional practice includes adapting practice within the requirements for each child’s individual needs so that they can access provision and participate meaningfully in their learning. </w:t>
      </w:r>
    </w:p>
    <w:p w14:paraId="46872C76" w14:textId="77777777" w:rsidR="004A056F" w:rsidRPr="00B00E73" w:rsidRDefault="004A056F" w:rsidP="004A056F">
      <w:pPr>
        <w:spacing w:line="360" w:lineRule="auto"/>
        <w:rPr>
          <w:b/>
          <w:bCs/>
        </w:rPr>
      </w:pPr>
      <w:r w:rsidRPr="00B00E73">
        <w:rPr>
          <w:b/>
          <w:bCs/>
        </w:rPr>
        <w:t>Professional Values</w:t>
      </w:r>
      <w:r>
        <w:rPr>
          <w:b/>
          <w:bCs/>
        </w:rPr>
        <w:t xml:space="preserve"> and Communication </w:t>
      </w:r>
    </w:p>
    <w:p w14:paraId="4AC190D8" w14:textId="77777777" w:rsidR="004A056F" w:rsidRDefault="004A056F" w:rsidP="004A056F">
      <w:pPr>
        <w:spacing w:line="360" w:lineRule="auto"/>
      </w:pPr>
      <w:r>
        <w:t xml:space="preserve">Professional values are a significant aspect of professional practice in early years. Research by Johansson and </w:t>
      </w:r>
      <w:r w:rsidRPr="00B473FD">
        <w:t xml:space="preserve">Einarsdóttir </w:t>
      </w:r>
      <w:r>
        <w:t xml:space="preserve">(2018) suggests that values are important in early years practice as they contribute to assisting children to become good people in society. This demonstrates that practitioners who implement professional values in their settings, could possibly help influence children’s relationships with others and their behaviour in a positive manner. </w:t>
      </w:r>
    </w:p>
    <w:p w14:paraId="7EDE9079" w14:textId="77777777" w:rsidR="004A056F" w:rsidRDefault="004A056F" w:rsidP="004A056F">
      <w:pPr>
        <w:spacing w:line="360" w:lineRule="auto"/>
      </w:pPr>
      <w:r>
        <w:t xml:space="preserve">Equality and equity are important professional values because if practitioners adapt learning experiences to each child’s individual needs and circumstances, this may assist children to access and participate in learning opportunities while feeling included (Pearson and Degotardi, 2025, p. 1241).  Without equality and equity, children may not be able to access learning opportunities and could possibly feel excluded from them. Therefore, they may have fewer opportunities to participate in activities and demonstrate their abilities. </w:t>
      </w:r>
    </w:p>
    <w:p w14:paraId="3B596246" w14:textId="77777777" w:rsidR="004A056F" w:rsidRDefault="004A056F" w:rsidP="004A056F">
      <w:pPr>
        <w:spacing w:line="360" w:lineRule="auto"/>
      </w:pPr>
      <w:r>
        <w:t xml:space="preserve">Other significant aspects of professional values are confidentiality, safeguarding, communication and respect. The Welsh Government (2026) states that it is important </w:t>
      </w:r>
      <w:r>
        <w:lastRenderedPageBreak/>
        <w:t xml:space="preserve">for practitioners to maintain effective communication with parents or carers so that they can work together effectively to meet each child’s individual needs.  This demonstrates that effective communication may help practitioners to better understand children’s needs and may help them to work more consistently with parents and carers.  Research by Solberg (2023, p. 367) found that when practitioners pressured parents and carers to disclose private information, they became more reserved in how they were communicating. This research implies that if practitioners build trusting relationships with parents and carers, they may be able to better support children’s individual needs as parents and carers may feel more comfortable sharing relevant, confidential information voluntarily. However, the Welsh Government (2019, p. 5) states that practitioners should always place the child in the centre of the approach and share all necessary information appropriately to the relevant services. This should be done while following safeguarding procedures to support the needs of the child. </w:t>
      </w:r>
    </w:p>
    <w:p w14:paraId="6F1BFC0E" w14:textId="77777777" w:rsidR="004A056F" w:rsidRDefault="004A056F" w:rsidP="004A056F">
      <w:pPr>
        <w:spacing w:line="360" w:lineRule="auto"/>
      </w:pPr>
      <w:r>
        <w:t>Lastly, practitioners should respect the children’s points of view. UNICEF and Child Rights Connect (2019, Article 12) state that all children have the right to express their opinion on situations that affect them and that all adults around them should always listen and take their viewpoint seriously. Practitioners may do this by using language the children understand and using non-verbal forms of communication, such as signs, gestures or visual communication supports where needed.  Listening to children is important in early years because it assists practitioners to recognise the children’s individual needs and gives them an opportunity to feel included.</w:t>
      </w:r>
    </w:p>
    <w:p w14:paraId="1FA1A31E" w14:textId="77777777" w:rsidR="004A056F" w:rsidRDefault="004A056F" w:rsidP="004A056F">
      <w:pPr>
        <w:spacing w:line="360" w:lineRule="auto"/>
        <w:rPr>
          <w:b/>
          <w:bCs/>
        </w:rPr>
      </w:pPr>
      <w:r>
        <w:rPr>
          <w:b/>
          <w:bCs/>
        </w:rPr>
        <w:t>Multiagency Work</w:t>
      </w:r>
    </w:p>
    <w:p w14:paraId="16FB7D75" w14:textId="77777777" w:rsidR="004A056F" w:rsidRDefault="004A056F" w:rsidP="004A056F">
      <w:pPr>
        <w:spacing w:line="360" w:lineRule="auto"/>
      </w:pPr>
      <w:r>
        <w:t xml:space="preserve">Multiagency work is another highly important part of professional practice in early years. The Welsh Government (2025) states that multiagency work includes practitioners working with organisations, agencies and other professionals to ensure the children’s individual needs are met. The examples provided by the Welsh Government include “Local authorities, health, police, youth justice and the third sector”. The guidance explains that it is very important that everyone involved works together so that children and their families do not miss out on opportunities. Overall, this demonstrates that it is good practice for practitioners to carry out multiagency work as it may improve the </w:t>
      </w:r>
      <w:r>
        <w:lastRenderedPageBreak/>
        <w:t xml:space="preserve">quality of provision the child receives because the professionals can combine their knowledge to respond to children’s individual needs.  An example of this could include an advisory teacher working closely with a practitioner and supporting them by recommending strategies and adaptations for an individual child’s needs within a provision. Therefore, the child may then be able to access learning opportunities and feel included. If multiagency work is not carried out effectively and with clear communication by all involved, the Welsh Government (2025) states that it can contribute to children missing important opportunities and risks delays in them getting the support and assistance they need. </w:t>
      </w:r>
    </w:p>
    <w:p w14:paraId="4908B6E3" w14:textId="77777777" w:rsidR="004A056F" w:rsidRDefault="004A056F" w:rsidP="004A056F">
      <w:pPr>
        <w:spacing w:line="360" w:lineRule="auto"/>
      </w:pPr>
      <w:r>
        <w:t xml:space="preserve">Overall, practitioners and other professionals need to ensure that the professional relationships they have with each other are built on trust and that they are sharing information in an effective manner (NSPCC, 2025, p. 5). This is important when multiagency work is being carried out because it helps ensure all professionals involved have a clear understanding of the children’s needs and helps them provide the correct support for the child efficiently. </w:t>
      </w:r>
    </w:p>
    <w:p w14:paraId="6E5D03F2" w14:textId="77777777" w:rsidR="004A056F" w:rsidRDefault="004A056F" w:rsidP="004A056F">
      <w:pPr>
        <w:spacing w:line="360" w:lineRule="auto"/>
        <w:rPr>
          <w:b/>
          <w:bCs/>
        </w:rPr>
      </w:pPr>
      <w:r w:rsidRPr="00B00E73">
        <w:rPr>
          <w:b/>
          <w:bCs/>
        </w:rPr>
        <w:t>Observations and Planning</w:t>
      </w:r>
    </w:p>
    <w:p w14:paraId="016D40D2" w14:textId="77777777" w:rsidR="004A056F" w:rsidRPr="003F3DD3" w:rsidRDefault="004A056F" w:rsidP="004A056F">
      <w:pPr>
        <w:spacing w:line="360" w:lineRule="auto"/>
      </w:pPr>
      <w:r w:rsidRPr="00316395">
        <w:t>Observations</w:t>
      </w:r>
      <w:r>
        <w:t xml:space="preserve"> and planning are key parts of professional practice in early years. Practitioners should use observations to inform their future planning so that children’s individual needs can be met and they can participate in experiences that support their overall development and learning (Welsh Government, 2024, p. 10).  This is important for inclusion as it may mean that practitioners can offer children learning opportunities that are suitable to their needs and development stage. If practitioners did not carry out observations, children may not have access to appropriate learning opportunities and could potentially feel excluded from learning experiences or unable to participate to their full potential.  </w:t>
      </w:r>
    </w:p>
    <w:p w14:paraId="575C6CF6" w14:textId="77777777" w:rsidR="004A056F" w:rsidRDefault="004A056F" w:rsidP="004A056F">
      <w:pPr>
        <w:spacing w:line="360" w:lineRule="auto"/>
        <w:rPr>
          <w:b/>
          <w:bCs/>
        </w:rPr>
      </w:pPr>
      <w:r w:rsidRPr="00C97A9F">
        <w:t xml:space="preserve">Research by Dolya (2010, p. </w:t>
      </w:r>
      <w:r>
        <w:t>9</w:t>
      </w:r>
      <w:r w:rsidRPr="00C97A9F">
        <w:t>)</w:t>
      </w:r>
      <w:r>
        <w:t xml:space="preserve"> describes Vygotsky’s Zone of Proximal Development as the difference between what a child can achieve on their own and what they can achieve with an adult supporting them.  If practitioners carry out regular observations and recognise what a child can do independently using skills they already possess and then observe what a child can do with adult support, they may be able to use these </w:t>
      </w:r>
      <w:r>
        <w:lastRenderedPageBreak/>
        <w:t xml:space="preserve">observations to plan suitable learning experiences and identify the child’s next steps. An example of this could be a child trying to complete a jigsaw puzzle. The child may be able to complete some of the jigsaw puzzle independently but may then require an adult’s guidance for the rest. The practitioner can observe the child’s individual needs. This is important because it may help practitioners to ensure that the children are receiving support where needed. If children are getting the appropriate guidance based on their individual needs and support from adults, it may help them to develop new skills and to feel included. If children are not given enough support, they could possibly be left struggling but if they are given too much support, they may not be given enough opportunities to develop their independence. </w:t>
      </w:r>
    </w:p>
    <w:p w14:paraId="0FCD0DCF" w14:textId="77777777" w:rsidR="004A056F" w:rsidRDefault="004A056F" w:rsidP="004A056F">
      <w:pPr>
        <w:spacing w:line="360" w:lineRule="auto"/>
        <w:rPr>
          <w:b/>
          <w:bCs/>
        </w:rPr>
      </w:pPr>
      <w:r w:rsidRPr="00B00E73">
        <w:rPr>
          <w:b/>
          <w:bCs/>
        </w:rPr>
        <w:t>United Nations Convention on the Rights of the Child</w:t>
      </w:r>
    </w:p>
    <w:p w14:paraId="4897877B" w14:textId="77777777" w:rsidR="004A056F" w:rsidRPr="009B2160" w:rsidRDefault="004A056F" w:rsidP="004A056F">
      <w:pPr>
        <w:spacing w:line="360" w:lineRule="auto"/>
      </w:pPr>
      <w:r>
        <w:t xml:space="preserve">The United Nations Convention on the Rights of the child is significant as it supports practitioners to meet children’s individual and inclusive needs. The United Nations (1989, Article 2) states that all children should be able to live without facing discrimination of any kind. This is important to professional practice in early years because if children are discriminated against, they may not receive the same opportunities as their peers and may feel excluded. Practitioners should always appropriately challenge discrimination as a part of good professional practice. An example of this could be ensuring children have fair access to learning opportunities and activities.  </w:t>
      </w:r>
    </w:p>
    <w:p w14:paraId="783545E2" w14:textId="77777777" w:rsidR="004A056F" w:rsidRDefault="004A056F" w:rsidP="004A056F">
      <w:pPr>
        <w:spacing w:line="360" w:lineRule="auto"/>
      </w:pPr>
      <w:r w:rsidRPr="00F12481">
        <w:t>Pract</w:t>
      </w:r>
      <w:r>
        <w:t xml:space="preserve">itioners should also ensure that decisions they make concerning the children should always be child centred and the child should always be the main priority (United Nations, 1989, Article 3). This is a key part for professional practice because if children’s interests aren’t the most important in a situation, their individual needs may not be met. This could possibly lead to safeguarding concerns and the child’s safety, wellbeing and needs not being met properly.  </w:t>
      </w:r>
    </w:p>
    <w:p w14:paraId="2EC6E4E4" w14:textId="77777777" w:rsidR="004A056F" w:rsidRPr="00F12481" w:rsidRDefault="004A056F" w:rsidP="004A056F">
      <w:pPr>
        <w:spacing w:line="360" w:lineRule="auto"/>
      </w:pPr>
      <w:r>
        <w:t xml:space="preserve">Lastly, the United Nations (1989, Article 12) states that children who </w:t>
      </w:r>
      <w:proofErr w:type="gramStart"/>
      <w:r>
        <w:t>are capable of forming</w:t>
      </w:r>
      <w:proofErr w:type="gramEnd"/>
      <w:r>
        <w:t xml:space="preserve"> their own views have the right to express their own opinions on situations involving them and adults should take these views seriously in line with the child’s age and maturity. This is a key part of professional practice in early years because if </w:t>
      </w:r>
      <w:r>
        <w:lastRenderedPageBreak/>
        <w:t xml:space="preserve">practitioners do not listen to children’s views it may leave them feeling excluded and could possibly affect their wellbeing. </w:t>
      </w:r>
    </w:p>
    <w:p w14:paraId="1F47C6FD" w14:textId="77777777" w:rsidR="004A056F" w:rsidRDefault="004A056F" w:rsidP="004A056F">
      <w:pPr>
        <w:spacing w:line="360" w:lineRule="auto"/>
        <w:rPr>
          <w:b/>
          <w:bCs/>
        </w:rPr>
      </w:pPr>
      <w:r w:rsidRPr="00B00E73">
        <w:rPr>
          <w:b/>
          <w:bCs/>
        </w:rPr>
        <w:t>Conclusion</w:t>
      </w:r>
    </w:p>
    <w:p w14:paraId="1FA98851" w14:textId="77777777" w:rsidR="004A056F" w:rsidRPr="00C42710" w:rsidRDefault="004A056F" w:rsidP="004A056F">
      <w:pPr>
        <w:spacing w:line="360" w:lineRule="auto"/>
      </w:pPr>
      <w:r>
        <w:t xml:space="preserve">In conclusion, professional values, communication, multiagency work, observations and planning and the UNCRC are significant aspects of professional practice and are important in making sure the individual and inclusive needs of children are met. These aspects all work together to support children’s individual needs, learning, development and their wellbeing. Practitioners need to recognise the importance of all the different aspects of professional practice so that they can see that each child is different and requires different adaptations to be able to join and access learning experiences meaningfully. If practitioners recognise the significance of professional practice, they may be able to provide high-quality, inclusive early years experiences. </w:t>
      </w:r>
    </w:p>
    <w:p w14:paraId="42897B79" w14:textId="7581E657" w:rsidR="004A056F" w:rsidRDefault="004A056F" w:rsidP="004F511F">
      <w:pPr>
        <w:spacing w:line="360" w:lineRule="auto"/>
        <w:rPr>
          <w:b/>
          <w:bCs/>
        </w:rPr>
      </w:pPr>
      <w:r>
        <w:rPr>
          <w:b/>
          <w:bCs/>
        </w:rPr>
        <w:t>Reference</w:t>
      </w:r>
      <w:r w:rsidR="004359FD">
        <w:rPr>
          <w:b/>
          <w:bCs/>
        </w:rPr>
        <w:t xml:space="preserve"> List- </w:t>
      </w:r>
    </w:p>
    <w:p w14:paraId="1E78B8D8" w14:textId="77777777" w:rsidR="004F511F" w:rsidRPr="004F511F" w:rsidRDefault="004F511F" w:rsidP="004F511F">
      <w:pPr>
        <w:jc w:val="both"/>
        <w:rPr>
          <w:rFonts w:ascii="Arial" w:hAnsi="Arial" w:cs="Arial"/>
        </w:rPr>
      </w:pPr>
      <w:r w:rsidRPr="004F511F">
        <w:rPr>
          <w:rFonts w:ascii="Arial" w:hAnsi="Arial" w:cs="Arial"/>
        </w:rPr>
        <w:t xml:space="preserve">Dolya, G. (2010) ‘Vygotsky in Action in the Early Years’, </w:t>
      </w:r>
      <w:r w:rsidRPr="004F511F">
        <w:rPr>
          <w:rFonts w:ascii="Arial" w:hAnsi="Arial" w:cs="Arial"/>
          <w:i/>
          <w:iCs/>
        </w:rPr>
        <w:t>Abingdon, Routledge</w:t>
      </w:r>
      <w:r w:rsidRPr="004F511F">
        <w:rPr>
          <w:rFonts w:ascii="Arial" w:hAnsi="Arial" w:cs="Arial"/>
        </w:rPr>
        <w:t xml:space="preserve">, p. 9. Available at: </w:t>
      </w:r>
      <w:hyperlink r:id="rId23" w:anchor="v=onepage&amp;q&amp;f=false" w:history="1">
        <w:r w:rsidRPr="004F511F">
          <w:rPr>
            <w:rStyle w:val="Hyperlink"/>
            <w:rFonts w:ascii="Arial" w:hAnsi="Arial" w:cs="Arial"/>
          </w:rPr>
          <w:t>Vygotsky in Action in the Early Years: The 'Key to Learning' Curriculum - Galina Dolya - Google Books</w:t>
        </w:r>
      </w:hyperlink>
      <w:r w:rsidRPr="004F511F">
        <w:rPr>
          <w:rFonts w:ascii="Arial" w:hAnsi="Arial" w:cs="Arial"/>
        </w:rPr>
        <w:t xml:space="preserve"> (Accessed: 24th October 2026)</w:t>
      </w:r>
    </w:p>
    <w:p w14:paraId="1857E753" w14:textId="77777777" w:rsidR="004F511F" w:rsidRPr="004F511F" w:rsidRDefault="004F511F" w:rsidP="004F511F">
      <w:pPr>
        <w:jc w:val="both"/>
        <w:rPr>
          <w:rFonts w:ascii="Arial" w:hAnsi="Arial" w:cs="Arial"/>
        </w:rPr>
      </w:pPr>
      <w:r w:rsidRPr="004F511F">
        <w:rPr>
          <w:rFonts w:ascii="Arial" w:hAnsi="Arial" w:cs="Arial"/>
        </w:rPr>
        <w:t xml:space="preserve">Johansson, E. and Einarsdottir, J. (2018) ‘Values in Early Childhood Education’. </w:t>
      </w:r>
      <w:r w:rsidRPr="004F511F">
        <w:rPr>
          <w:rFonts w:ascii="Arial" w:hAnsi="Arial" w:cs="Arial"/>
          <w:i/>
          <w:iCs/>
        </w:rPr>
        <w:t xml:space="preserve">European Early Childhood Education Research Association. </w:t>
      </w:r>
      <w:r w:rsidRPr="004F511F">
        <w:rPr>
          <w:rFonts w:ascii="Arial" w:hAnsi="Arial" w:cs="Arial"/>
        </w:rPr>
        <w:t xml:space="preserve">Available at: </w:t>
      </w:r>
      <w:hyperlink r:id="rId24" w:history="1">
        <w:r w:rsidRPr="004F511F">
          <w:rPr>
            <w:rStyle w:val="Hyperlink"/>
            <w:rFonts w:ascii="Arial" w:hAnsi="Arial" w:cs="Arial"/>
          </w:rPr>
          <w:t>preview-9781315316994_A31962939.pdf</w:t>
        </w:r>
      </w:hyperlink>
      <w:r w:rsidRPr="004F511F">
        <w:rPr>
          <w:rFonts w:ascii="Arial" w:hAnsi="Arial" w:cs="Arial"/>
        </w:rPr>
        <w:t xml:space="preserve"> (Accessed: 24th October 2026)</w:t>
      </w:r>
    </w:p>
    <w:p w14:paraId="7F521F1C" w14:textId="77777777" w:rsidR="004F511F" w:rsidRPr="004F511F" w:rsidRDefault="004F511F" w:rsidP="004F511F">
      <w:pPr>
        <w:jc w:val="both"/>
        <w:rPr>
          <w:rFonts w:ascii="Arial" w:hAnsi="Arial" w:cs="Arial"/>
        </w:rPr>
      </w:pPr>
      <w:r w:rsidRPr="004F511F">
        <w:rPr>
          <w:rFonts w:ascii="Arial" w:hAnsi="Arial" w:cs="Arial"/>
        </w:rPr>
        <w:t xml:space="preserve">NSPCC (2025) ‘Effective Multi-agency Working and Information Sharing: Evidence Snapshot’, p. 5. Available at: </w:t>
      </w:r>
      <w:hyperlink r:id="rId25" w:history="1">
        <w:r w:rsidRPr="004F511F">
          <w:rPr>
            <w:rStyle w:val="Hyperlink"/>
            <w:rFonts w:ascii="Arial" w:hAnsi="Arial" w:cs="Arial"/>
          </w:rPr>
          <w:t>Effective multi-agency working and information sharing: evidence snapshot</w:t>
        </w:r>
      </w:hyperlink>
      <w:r w:rsidRPr="004F511F">
        <w:rPr>
          <w:rFonts w:ascii="Arial" w:hAnsi="Arial" w:cs="Arial"/>
        </w:rPr>
        <w:t xml:space="preserve"> (Accessed: 24th October 2026)</w:t>
      </w:r>
    </w:p>
    <w:p w14:paraId="0C806BB6" w14:textId="77777777" w:rsidR="004F511F" w:rsidRPr="004F511F" w:rsidRDefault="004F511F" w:rsidP="004F511F">
      <w:pPr>
        <w:jc w:val="both"/>
        <w:rPr>
          <w:rFonts w:ascii="Arial" w:hAnsi="Arial" w:cs="Arial"/>
        </w:rPr>
      </w:pPr>
      <w:r w:rsidRPr="004F511F">
        <w:rPr>
          <w:rFonts w:ascii="Arial" w:hAnsi="Arial" w:cs="Arial"/>
        </w:rPr>
        <w:t xml:space="preserve">Pearson, E. and </w:t>
      </w:r>
      <w:proofErr w:type="spellStart"/>
      <w:r w:rsidRPr="004F511F">
        <w:rPr>
          <w:rFonts w:ascii="Arial" w:hAnsi="Arial" w:cs="Arial"/>
        </w:rPr>
        <w:t>Degotardi</w:t>
      </w:r>
      <w:proofErr w:type="spellEnd"/>
      <w:r w:rsidRPr="004F511F">
        <w:rPr>
          <w:rFonts w:ascii="Arial" w:hAnsi="Arial" w:cs="Arial"/>
        </w:rPr>
        <w:t xml:space="preserve">, S. (2025) ‘Innovating to promote equity and inclusion in early childhood education: a framework for documenting localised pedagogical </w:t>
      </w:r>
      <w:proofErr w:type="gramStart"/>
      <w:r w:rsidRPr="004F511F">
        <w:rPr>
          <w:rFonts w:ascii="Arial" w:hAnsi="Arial" w:cs="Arial"/>
        </w:rPr>
        <w:t>approaches’</w:t>
      </w:r>
      <w:proofErr w:type="gramEnd"/>
      <w:r w:rsidRPr="004F511F">
        <w:rPr>
          <w:rFonts w:ascii="Arial" w:hAnsi="Arial" w:cs="Arial"/>
        </w:rPr>
        <w:t xml:space="preserve">. </w:t>
      </w:r>
      <w:r w:rsidRPr="004F511F">
        <w:rPr>
          <w:rFonts w:ascii="Arial" w:hAnsi="Arial" w:cs="Arial"/>
          <w:i/>
          <w:iCs/>
        </w:rPr>
        <w:t xml:space="preserve">Pedagogy, Culture and Society, </w:t>
      </w:r>
      <w:r w:rsidRPr="004F511F">
        <w:rPr>
          <w:rFonts w:ascii="Arial" w:hAnsi="Arial" w:cs="Arial"/>
        </w:rPr>
        <w:t>p</w:t>
      </w:r>
      <w:r w:rsidRPr="004F511F">
        <w:rPr>
          <w:rFonts w:ascii="Arial" w:hAnsi="Arial" w:cs="Arial"/>
          <w:i/>
          <w:iCs/>
        </w:rPr>
        <w:t xml:space="preserve">. </w:t>
      </w:r>
      <w:r w:rsidRPr="004F511F">
        <w:rPr>
          <w:rFonts w:ascii="Arial" w:hAnsi="Arial" w:cs="Arial"/>
        </w:rPr>
        <w:t>1214.</w:t>
      </w:r>
      <w:r w:rsidRPr="004F511F">
        <w:rPr>
          <w:rFonts w:ascii="Arial" w:hAnsi="Arial" w:cs="Arial"/>
          <w:i/>
          <w:iCs/>
        </w:rPr>
        <w:t xml:space="preserve"> </w:t>
      </w:r>
      <w:r w:rsidRPr="004F511F">
        <w:rPr>
          <w:rFonts w:ascii="Arial" w:hAnsi="Arial" w:cs="Arial"/>
        </w:rPr>
        <w:t xml:space="preserve">Available at: </w:t>
      </w:r>
      <w:hyperlink r:id="rId26" w:history="1">
        <w:r w:rsidRPr="004F511F">
          <w:rPr>
            <w:rStyle w:val="Hyperlink"/>
            <w:rFonts w:ascii="Arial" w:hAnsi="Arial" w:cs="Arial"/>
          </w:rPr>
          <w:t xml:space="preserve">‘Innovating’ to promote equity and inclusion in early childhood education: a framework for </w:t>
        </w:r>
        <w:proofErr w:type="spellStart"/>
        <w:r w:rsidRPr="004F511F">
          <w:rPr>
            <w:rStyle w:val="Hyperlink"/>
            <w:rFonts w:ascii="Arial" w:hAnsi="Arial" w:cs="Arial"/>
          </w:rPr>
          <w:t>documenti</w:t>
        </w:r>
        <w:proofErr w:type="spellEnd"/>
      </w:hyperlink>
      <w:r w:rsidRPr="004F511F">
        <w:rPr>
          <w:rFonts w:ascii="Arial" w:hAnsi="Arial" w:cs="Arial"/>
        </w:rPr>
        <w:t xml:space="preserve"> (Accessed: 24th October 2026)</w:t>
      </w:r>
    </w:p>
    <w:p w14:paraId="35B0E661" w14:textId="77777777" w:rsidR="004F511F" w:rsidRPr="004F511F" w:rsidRDefault="004F511F" w:rsidP="004F511F">
      <w:pPr>
        <w:jc w:val="both"/>
        <w:rPr>
          <w:rFonts w:ascii="Arial" w:hAnsi="Arial" w:cs="Arial"/>
        </w:rPr>
      </w:pPr>
      <w:r w:rsidRPr="004F511F">
        <w:rPr>
          <w:rFonts w:ascii="Arial" w:hAnsi="Arial" w:cs="Arial"/>
        </w:rPr>
        <w:t xml:space="preserve">Reed, M. and Walker, R. (2017) ‘Reflections on Professionalism: </w:t>
      </w:r>
      <w:proofErr w:type="spellStart"/>
      <w:r w:rsidRPr="004F511F">
        <w:rPr>
          <w:rFonts w:ascii="Arial" w:hAnsi="Arial" w:cs="Arial"/>
        </w:rPr>
        <w:t>Drving</w:t>
      </w:r>
      <w:proofErr w:type="spellEnd"/>
      <w:r w:rsidRPr="004F511F">
        <w:rPr>
          <w:rFonts w:ascii="Arial" w:hAnsi="Arial" w:cs="Arial"/>
        </w:rPr>
        <w:t xml:space="preserve"> Forces that Refine and Shape Professional Practice’. </w:t>
      </w:r>
      <w:r w:rsidRPr="004F511F">
        <w:rPr>
          <w:rFonts w:ascii="Arial" w:hAnsi="Arial" w:cs="Arial"/>
          <w:i/>
          <w:iCs/>
        </w:rPr>
        <w:t xml:space="preserve">Journal of Early Childhood Education Research, </w:t>
      </w:r>
      <w:r w:rsidRPr="004F511F">
        <w:rPr>
          <w:rFonts w:ascii="Arial" w:hAnsi="Arial" w:cs="Arial"/>
        </w:rPr>
        <w:t xml:space="preserve">6 (2), p. 182. Available at: </w:t>
      </w:r>
      <w:hyperlink r:id="rId27" w:history="1">
        <w:r w:rsidRPr="004F511F">
          <w:rPr>
            <w:rStyle w:val="Hyperlink"/>
            <w:rFonts w:ascii="Arial" w:hAnsi="Arial" w:cs="Arial"/>
          </w:rPr>
          <w:t>View of Reflections on Professionalism: Driving Forces that Refine and Shape Professional Practice</w:t>
        </w:r>
      </w:hyperlink>
      <w:r w:rsidRPr="004F511F">
        <w:rPr>
          <w:rFonts w:ascii="Arial" w:hAnsi="Arial" w:cs="Arial"/>
        </w:rPr>
        <w:t xml:space="preserve"> (Accessed: 22nd October 2026).  </w:t>
      </w:r>
    </w:p>
    <w:p w14:paraId="5E82F918" w14:textId="77777777" w:rsidR="004F511F" w:rsidRPr="004F511F" w:rsidRDefault="004F511F" w:rsidP="004F511F">
      <w:pPr>
        <w:jc w:val="both"/>
        <w:rPr>
          <w:rFonts w:ascii="Arial" w:hAnsi="Arial" w:cs="Arial"/>
        </w:rPr>
      </w:pPr>
      <w:r w:rsidRPr="004F511F">
        <w:rPr>
          <w:rFonts w:ascii="Arial" w:hAnsi="Arial" w:cs="Arial"/>
        </w:rPr>
        <w:lastRenderedPageBreak/>
        <w:t>Solberg, J. (2023) ‘Privacy in Early Childhood Education and Care: The Management of Family Information in Parent-Teacher Conferences’, p. 367. Available at: s10746-023-09683-5.pdf (Accessed: 24th October 2026)</w:t>
      </w:r>
    </w:p>
    <w:p w14:paraId="619AF019" w14:textId="77777777" w:rsidR="004F511F" w:rsidRPr="004F511F" w:rsidRDefault="004F511F" w:rsidP="004F511F">
      <w:pPr>
        <w:jc w:val="both"/>
        <w:rPr>
          <w:rFonts w:ascii="Arial" w:hAnsi="Arial" w:cs="Arial"/>
        </w:rPr>
      </w:pPr>
      <w:r w:rsidRPr="004F511F">
        <w:rPr>
          <w:rFonts w:ascii="Arial" w:hAnsi="Arial" w:cs="Arial"/>
        </w:rPr>
        <w:t xml:space="preserve">UNICEF and Child Rights Connect (2019) ‘Convention on the Rights of the Child’, Article 12. Available at: </w:t>
      </w:r>
      <w:hyperlink r:id="rId28" w:history="1">
        <w:r w:rsidRPr="004F511F">
          <w:rPr>
            <w:rStyle w:val="Hyperlink"/>
            <w:rFonts w:ascii="Arial" w:hAnsi="Arial" w:cs="Arial"/>
          </w:rPr>
          <w:t>convention-rights-child-text-child-friendly-version.pdf</w:t>
        </w:r>
      </w:hyperlink>
      <w:r w:rsidRPr="004F511F">
        <w:rPr>
          <w:rFonts w:ascii="Arial" w:hAnsi="Arial" w:cs="Arial"/>
        </w:rPr>
        <w:t xml:space="preserve"> (Accessed: 24th October 2026)</w:t>
      </w:r>
    </w:p>
    <w:p w14:paraId="0FF9DBE2" w14:textId="77777777" w:rsidR="004F511F" w:rsidRPr="004F511F" w:rsidRDefault="004F511F" w:rsidP="004F511F">
      <w:pPr>
        <w:jc w:val="both"/>
        <w:rPr>
          <w:rFonts w:ascii="Arial" w:hAnsi="Arial" w:cs="Arial"/>
        </w:rPr>
      </w:pPr>
      <w:r w:rsidRPr="004F511F">
        <w:rPr>
          <w:rFonts w:ascii="Arial" w:hAnsi="Arial" w:cs="Arial"/>
        </w:rPr>
        <w:t xml:space="preserve">United Nations (1989) ‘The United Nations Convention on the Rights of the Child’, Articles 2, 3 and 12. Available at: </w:t>
      </w:r>
      <w:hyperlink r:id="rId29" w:history="1">
        <w:r w:rsidRPr="004F511F">
          <w:rPr>
            <w:rStyle w:val="Hyperlink"/>
            <w:rFonts w:ascii="Arial" w:hAnsi="Arial" w:cs="Arial"/>
          </w:rPr>
          <w:t>Layout 1</w:t>
        </w:r>
      </w:hyperlink>
      <w:r w:rsidRPr="004F511F">
        <w:rPr>
          <w:rFonts w:ascii="Arial" w:hAnsi="Arial" w:cs="Arial"/>
        </w:rPr>
        <w:t>(Accessed: 24th October 2026)</w:t>
      </w:r>
    </w:p>
    <w:p w14:paraId="7F7516AF" w14:textId="77777777" w:rsidR="004F511F" w:rsidRPr="004F511F" w:rsidRDefault="004F511F" w:rsidP="004F511F">
      <w:pPr>
        <w:jc w:val="both"/>
        <w:rPr>
          <w:rFonts w:ascii="Arial" w:hAnsi="Arial" w:cs="Arial"/>
        </w:rPr>
      </w:pPr>
      <w:r w:rsidRPr="004F511F">
        <w:rPr>
          <w:rFonts w:ascii="Arial" w:hAnsi="Arial" w:cs="Arial"/>
        </w:rPr>
        <w:t xml:space="preserve">Welsh Government (2019) ‘Social Services and Well-being (Wales) Act 2014’, p. 5. Available at: </w:t>
      </w:r>
      <w:hyperlink r:id="rId30" w:history="1">
        <w:r w:rsidRPr="004F511F">
          <w:rPr>
            <w:rStyle w:val="Hyperlink"/>
            <w:rFonts w:ascii="Arial" w:hAnsi="Arial" w:cs="Arial"/>
          </w:rPr>
          <w:t>38137 Working together to safeguard people: Non-statutory guide on information sharing to safeguard children</w:t>
        </w:r>
      </w:hyperlink>
      <w:r w:rsidRPr="004F511F">
        <w:rPr>
          <w:rFonts w:ascii="Arial" w:hAnsi="Arial" w:cs="Arial"/>
        </w:rPr>
        <w:t xml:space="preserve"> (Accessed: 24th October 2026)</w:t>
      </w:r>
    </w:p>
    <w:p w14:paraId="49F43082" w14:textId="77777777" w:rsidR="004F511F" w:rsidRPr="004F511F" w:rsidRDefault="004F511F" w:rsidP="004F511F">
      <w:pPr>
        <w:jc w:val="both"/>
        <w:rPr>
          <w:rFonts w:ascii="Arial" w:hAnsi="Arial" w:cs="Arial"/>
        </w:rPr>
      </w:pPr>
      <w:r w:rsidRPr="004F511F">
        <w:rPr>
          <w:rFonts w:ascii="Arial" w:hAnsi="Arial" w:cs="Arial"/>
        </w:rPr>
        <w:t xml:space="preserve">Welsh Government (2024) ‘A Quality Framework for Early Childhood Play, Learning and Care in Wales’, p. 10. Available at: </w:t>
      </w:r>
      <w:hyperlink r:id="rId31" w:history="1">
        <w:r w:rsidRPr="004F511F">
          <w:rPr>
            <w:rStyle w:val="Hyperlink"/>
            <w:rFonts w:ascii="Arial" w:hAnsi="Arial" w:cs="Arial"/>
          </w:rPr>
          <w:t>A Quality Framework for Early Childhood Play, Learning and Care in Wales</w:t>
        </w:r>
      </w:hyperlink>
      <w:r w:rsidRPr="004F511F">
        <w:rPr>
          <w:rFonts w:ascii="Arial" w:hAnsi="Arial" w:cs="Arial"/>
        </w:rPr>
        <w:t xml:space="preserve"> (Accessed: 24th October 2026)</w:t>
      </w:r>
    </w:p>
    <w:p w14:paraId="37F5CBA9" w14:textId="77777777" w:rsidR="004F511F" w:rsidRPr="004F511F" w:rsidRDefault="004F511F" w:rsidP="004F511F">
      <w:pPr>
        <w:jc w:val="both"/>
        <w:rPr>
          <w:rFonts w:ascii="Arial" w:hAnsi="Arial" w:cs="Arial"/>
        </w:rPr>
      </w:pPr>
      <w:r w:rsidRPr="004F511F">
        <w:rPr>
          <w:rFonts w:ascii="Arial" w:hAnsi="Arial" w:cs="Arial"/>
        </w:rPr>
        <w:t xml:space="preserve">Welsh Government (2025) ‘National Multi-agency Practice Framework for Children’s Services’. Available at: </w:t>
      </w:r>
      <w:hyperlink r:id="rId32" w:history="1">
        <w:r w:rsidRPr="004F511F">
          <w:rPr>
            <w:rStyle w:val="Hyperlink"/>
            <w:rFonts w:ascii="Arial" w:hAnsi="Arial" w:cs="Arial"/>
          </w:rPr>
          <w:t>National multi-agency practice framework for children’s services [HTML] | GOV.WALES</w:t>
        </w:r>
      </w:hyperlink>
      <w:r w:rsidRPr="004F511F">
        <w:rPr>
          <w:rFonts w:ascii="Arial" w:hAnsi="Arial" w:cs="Arial"/>
        </w:rPr>
        <w:t xml:space="preserve"> (Accessed: 24th October 2026)</w:t>
      </w:r>
    </w:p>
    <w:p w14:paraId="6B92E377" w14:textId="77777777" w:rsidR="004F511F" w:rsidRPr="004F511F" w:rsidRDefault="004F511F" w:rsidP="004F511F">
      <w:pPr>
        <w:jc w:val="both"/>
        <w:rPr>
          <w:rFonts w:ascii="Arial" w:hAnsi="Arial" w:cs="Arial"/>
        </w:rPr>
      </w:pPr>
      <w:r w:rsidRPr="004F511F">
        <w:rPr>
          <w:rFonts w:ascii="Arial" w:hAnsi="Arial" w:cs="Arial"/>
        </w:rPr>
        <w:t xml:space="preserve">Welsh Government (2026) </w:t>
      </w:r>
      <w:r w:rsidRPr="004F511F">
        <w:rPr>
          <w:rFonts w:ascii="Arial" w:hAnsi="Arial" w:cs="Arial"/>
          <w:i/>
          <w:iCs/>
        </w:rPr>
        <w:t>National Minimum Standards for Regulated Childcare for Children up to the age of 12 years: Statutory Guidance.</w:t>
      </w:r>
      <w:r w:rsidRPr="004F511F">
        <w:rPr>
          <w:rFonts w:ascii="Arial" w:hAnsi="Arial" w:cs="Arial"/>
        </w:rPr>
        <w:t xml:space="preserve"> Available at: </w:t>
      </w:r>
      <w:hyperlink r:id="rId33" w:history="1">
        <w:r w:rsidRPr="004F511F">
          <w:rPr>
            <w:rStyle w:val="Hyperlink"/>
            <w:rFonts w:ascii="Arial" w:hAnsi="Arial" w:cs="Arial"/>
          </w:rPr>
          <w:t>National Minimum Standards for Regulated Childcare for children up to the age of 12 years: statutory guidance [HTML] | GOV.WALES</w:t>
        </w:r>
      </w:hyperlink>
      <w:r w:rsidRPr="004F511F">
        <w:rPr>
          <w:rFonts w:ascii="Arial" w:hAnsi="Arial" w:cs="Arial"/>
        </w:rPr>
        <w:t xml:space="preserve"> (Accessed: 22nd October 2026)</w:t>
      </w:r>
    </w:p>
    <w:p w14:paraId="3C89FE27" w14:textId="77777777" w:rsidR="008C0700" w:rsidRDefault="008C0700" w:rsidP="007411B8">
      <w:pPr>
        <w:jc w:val="both"/>
      </w:pPr>
    </w:p>
    <w:p w14:paraId="787F63C3" w14:textId="31228171" w:rsidR="00097BC5" w:rsidRPr="003B4525" w:rsidRDefault="00097BC5" w:rsidP="007411B8">
      <w:pPr>
        <w:jc w:val="both"/>
        <w:rPr>
          <w:rFonts w:ascii="Arial" w:hAnsi="Arial" w:cs="Arial"/>
        </w:rPr>
      </w:pPr>
    </w:p>
    <w:sectPr w:rsidR="00097BC5" w:rsidRPr="003B45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17903D" w14:textId="77777777" w:rsidR="00834B6D" w:rsidRDefault="00834B6D" w:rsidP="00BD743A">
      <w:pPr>
        <w:spacing w:after="0" w:line="240" w:lineRule="auto"/>
      </w:pPr>
      <w:r>
        <w:separator/>
      </w:r>
    </w:p>
  </w:endnote>
  <w:endnote w:type="continuationSeparator" w:id="0">
    <w:p w14:paraId="5859BC09" w14:textId="77777777" w:rsidR="00834B6D" w:rsidRDefault="00834B6D" w:rsidP="00BD74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9975265"/>
      <w:docPartObj>
        <w:docPartGallery w:val="Page Numbers (Bottom of Page)"/>
        <w:docPartUnique/>
      </w:docPartObj>
    </w:sdtPr>
    <w:sdtContent>
      <w:p w14:paraId="746A1F6C" w14:textId="77777777" w:rsidR="00BD743A" w:rsidRDefault="00BD743A">
        <w:pPr>
          <w:pStyle w:val="Footer"/>
          <w:jc w:val="center"/>
        </w:pPr>
      </w:p>
      <w:p w14:paraId="742FFF0F" w14:textId="3B818F7A" w:rsidR="00BD743A" w:rsidRDefault="00BD743A">
        <w:pPr>
          <w:pStyle w:val="Footer"/>
          <w:jc w:val="center"/>
        </w:pPr>
        <w:r>
          <w:fldChar w:fldCharType="begin"/>
        </w:r>
        <w:r>
          <w:instrText>PAGE   \* MERGEFORMAT</w:instrText>
        </w:r>
        <w:r>
          <w:fldChar w:fldCharType="separate"/>
        </w:r>
        <w:r>
          <w:t>2</w:t>
        </w:r>
        <w:r>
          <w:fldChar w:fldCharType="end"/>
        </w:r>
      </w:p>
    </w:sdtContent>
  </w:sdt>
  <w:p w14:paraId="6CA77337" w14:textId="77777777" w:rsidR="00BD743A" w:rsidRDefault="00BD74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4318D9" w14:textId="77777777" w:rsidR="00834B6D" w:rsidRDefault="00834B6D" w:rsidP="00BD743A">
      <w:pPr>
        <w:spacing w:after="0" w:line="240" w:lineRule="auto"/>
      </w:pPr>
      <w:r>
        <w:separator/>
      </w:r>
    </w:p>
  </w:footnote>
  <w:footnote w:type="continuationSeparator" w:id="0">
    <w:p w14:paraId="61EFBFA7" w14:textId="77777777" w:rsidR="00834B6D" w:rsidRDefault="00834B6D" w:rsidP="00BD74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500E75" w14:textId="21436404" w:rsidR="00BD743A" w:rsidRDefault="00BD743A">
    <w:pPr>
      <w:pStyle w:val="Header"/>
      <w:rPr>
        <w:rFonts w:ascii="Arial" w:hAnsi="Arial" w:cs="Arial"/>
      </w:rPr>
    </w:pPr>
    <w:r w:rsidRPr="00BD743A">
      <w:rPr>
        <w:rFonts w:ascii="Arial" w:hAnsi="Arial" w:cs="Arial"/>
      </w:rPr>
      <w:t>2605459</w:t>
    </w:r>
    <w:r>
      <w:rPr>
        <w:rFonts w:ascii="Arial" w:hAnsi="Arial" w:cs="Arial"/>
      </w:rPr>
      <w:t xml:space="preserve">                                          ECEY4014                                     </w:t>
    </w:r>
    <w:r w:rsidR="0082223C">
      <w:rPr>
        <w:rFonts w:ascii="Arial" w:hAnsi="Arial" w:cs="Arial"/>
      </w:rPr>
      <w:t>3130 Words</w:t>
    </w:r>
  </w:p>
  <w:p w14:paraId="67D3250A" w14:textId="77777777" w:rsidR="0082223C" w:rsidRPr="00BD743A" w:rsidRDefault="0082223C">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E25CC"/>
    <w:multiLevelType w:val="hybridMultilevel"/>
    <w:tmpl w:val="E6E8E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ED091C"/>
    <w:multiLevelType w:val="hybridMultilevel"/>
    <w:tmpl w:val="26FABD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CE6EED"/>
    <w:multiLevelType w:val="hybridMultilevel"/>
    <w:tmpl w:val="79FC1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7F7349"/>
    <w:multiLevelType w:val="hybridMultilevel"/>
    <w:tmpl w:val="04384FA4"/>
    <w:lvl w:ilvl="0" w:tplc="CF86F3C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8D190A"/>
    <w:multiLevelType w:val="hybridMultilevel"/>
    <w:tmpl w:val="72CA1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850030"/>
    <w:multiLevelType w:val="hybridMultilevel"/>
    <w:tmpl w:val="A8E04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302DC4"/>
    <w:multiLevelType w:val="hybridMultilevel"/>
    <w:tmpl w:val="DE981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5F6586"/>
    <w:multiLevelType w:val="hybridMultilevel"/>
    <w:tmpl w:val="536CB332"/>
    <w:lvl w:ilvl="0" w:tplc="52CCBD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DA6660"/>
    <w:multiLevelType w:val="hybridMultilevel"/>
    <w:tmpl w:val="0798C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6A5197"/>
    <w:multiLevelType w:val="hybridMultilevel"/>
    <w:tmpl w:val="BF221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D03EFA"/>
    <w:multiLevelType w:val="hybridMultilevel"/>
    <w:tmpl w:val="22742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237084">
    <w:abstractNumId w:val="10"/>
  </w:num>
  <w:num w:numId="2" w16cid:durableId="66073122">
    <w:abstractNumId w:val="8"/>
  </w:num>
  <w:num w:numId="3" w16cid:durableId="853960841">
    <w:abstractNumId w:val="1"/>
  </w:num>
  <w:num w:numId="4" w16cid:durableId="8139131">
    <w:abstractNumId w:val="0"/>
  </w:num>
  <w:num w:numId="5" w16cid:durableId="1455564873">
    <w:abstractNumId w:val="4"/>
  </w:num>
  <w:num w:numId="6" w16cid:durableId="614021011">
    <w:abstractNumId w:val="6"/>
  </w:num>
  <w:num w:numId="7" w16cid:durableId="339553160">
    <w:abstractNumId w:val="5"/>
  </w:num>
  <w:num w:numId="8" w16cid:durableId="1264337968">
    <w:abstractNumId w:val="2"/>
  </w:num>
  <w:num w:numId="9" w16cid:durableId="708337575">
    <w:abstractNumId w:val="9"/>
  </w:num>
  <w:num w:numId="10" w16cid:durableId="1240797208">
    <w:abstractNumId w:val="7"/>
  </w:num>
  <w:num w:numId="11" w16cid:durableId="12573299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43A"/>
    <w:rsid w:val="00003C30"/>
    <w:rsid w:val="00003F77"/>
    <w:rsid w:val="00021F54"/>
    <w:rsid w:val="00026FF6"/>
    <w:rsid w:val="000302E4"/>
    <w:rsid w:val="00051717"/>
    <w:rsid w:val="00072DDD"/>
    <w:rsid w:val="00074780"/>
    <w:rsid w:val="0008082E"/>
    <w:rsid w:val="00083C76"/>
    <w:rsid w:val="00083E6C"/>
    <w:rsid w:val="00085038"/>
    <w:rsid w:val="000932FE"/>
    <w:rsid w:val="00097BC5"/>
    <w:rsid w:val="000A242C"/>
    <w:rsid w:val="000B0C43"/>
    <w:rsid w:val="000C353B"/>
    <w:rsid w:val="000C45D6"/>
    <w:rsid w:val="000C4C11"/>
    <w:rsid w:val="000C599B"/>
    <w:rsid w:val="000C772A"/>
    <w:rsid w:val="000D38C5"/>
    <w:rsid w:val="000E285A"/>
    <w:rsid w:val="000E342D"/>
    <w:rsid w:val="000E3B1F"/>
    <w:rsid w:val="000E7003"/>
    <w:rsid w:val="000F0956"/>
    <w:rsid w:val="000F43D6"/>
    <w:rsid w:val="000F597A"/>
    <w:rsid w:val="00100EE0"/>
    <w:rsid w:val="001018F4"/>
    <w:rsid w:val="001075E0"/>
    <w:rsid w:val="0011703F"/>
    <w:rsid w:val="00120FE9"/>
    <w:rsid w:val="00121368"/>
    <w:rsid w:val="00132D49"/>
    <w:rsid w:val="00133056"/>
    <w:rsid w:val="00141D10"/>
    <w:rsid w:val="00155208"/>
    <w:rsid w:val="00161200"/>
    <w:rsid w:val="00161387"/>
    <w:rsid w:val="00166FD9"/>
    <w:rsid w:val="001732FF"/>
    <w:rsid w:val="001762F6"/>
    <w:rsid w:val="00176D99"/>
    <w:rsid w:val="00181206"/>
    <w:rsid w:val="00186B80"/>
    <w:rsid w:val="00187E30"/>
    <w:rsid w:val="0019578E"/>
    <w:rsid w:val="001A190F"/>
    <w:rsid w:val="001A47B8"/>
    <w:rsid w:val="001B0396"/>
    <w:rsid w:val="001B2685"/>
    <w:rsid w:val="001B5019"/>
    <w:rsid w:val="001C7DFC"/>
    <w:rsid w:val="001D0540"/>
    <w:rsid w:val="001D29D6"/>
    <w:rsid w:val="001E4CED"/>
    <w:rsid w:val="001F1D51"/>
    <w:rsid w:val="001F1ED0"/>
    <w:rsid w:val="002051B9"/>
    <w:rsid w:val="002076FF"/>
    <w:rsid w:val="002125E8"/>
    <w:rsid w:val="00213FEF"/>
    <w:rsid w:val="0021629D"/>
    <w:rsid w:val="00217E79"/>
    <w:rsid w:val="00220DD2"/>
    <w:rsid w:val="002221E0"/>
    <w:rsid w:val="00222D8B"/>
    <w:rsid w:val="00233F57"/>
    <w:rsid w:val="00235BC1"/>
    <w:rsid w:val="00235BF8"/>
    <w:rsid w:val="00236853"/>
    <w:rsid w:val="002428B9"/>
    <w:rsid w:val="00247F17"/>
    <w:rsid w:val="002519B9"/>
    <w:rsid w:val="00252BCD"/>
    <w:rsid w:val="002551F0"/>
    <w:rsid w:val="002572BA"/>
    <w:rsid w:val="00272D25"/>
    <w:rsid w:val="00286EFC"/>
    <w:rsid w:val="00290D0B"/>
    <w:rsid w:val="00295568"/>
    <w:rsid w:val="002A2088"/>
    <w:rsid w:val="002A63DA"/>
    <w:rsid w:val="002A752E"/>
    <w:rsid w:val="002A79A9"/>
    <w:rsid w:val="002B2BED"/>
    <w:rsid w:val="002B56B5"/>
    <w:rsid w:val="002B634E"/>
    <w:rsid w:val="002C28D1"/>
    <w:rsid w:val="002C76F1"/>
    <w:rsid w:val="002D02AB"/>
    <w:rsid w:val="002D6657"/>
    <w:rsid w:val="002D7F98"/>
    <w:rsid w:val="002E0D70"/>
    <w:rsid w:val="002F2618"/>
    <w:rsid w:val="002F2B33"/>
    <w:rsid w:val="0031021F"/>
    <w:rsid w:val="003121DD"/>
    <w:rsid w:val="00315575"/>
    <w:rsid w:val="00321B1F"/>
    <w:rsid w:val="00321F49"/>
    <w:rsid w:val="00331608"/>
    <w:rsid w:val="0033486B"/>
    <w:rsid w:val="003357B0"/>
    <w:rsid w:val="00343A91"/>
    <w:rsid w:val="0034666B"/>
    <w:rsid w:val="00346CB6"/>
    <w:rsid w:val="00353D34"/>
    <w:rsid w:val="0036114A"/>
    <w:rsid w:val="00372313"/>
    <w:rsid w:val="003773E6"/>
    <w:rsid w:val="003A142F"/>
    <w:rsid w:val="003A5547"/>
    <w:rsid w:val="003A6E6D"/>
    <w:rsid w:val="003B0631"/>
    <w:rsid w:val="003B300D"/>
    <w:rsid w:val="003B37E9"/>
    <w:rsid w:val="003B3862"/>
    <w:rsid w:val="003B4525"/>
    <w:rsid w:val="003B5766"/>
    <w:rsid w:val="003C63AD"/>
    <w:rsid w:val="003D1EE7"/>
    <w:rsid w:val="003D5647"/>
    <w:rsid w:val="003E0110"/>
    <w:rsid w:val="003E0A76"/>
    <w:rsid w:val="003E1978"/>
    <w:rsid w:val="003F3892"/>
    <w:rsid w:val="003F75EE"/>
    <w:rsid w:val="00412DDD"/>
    <w:rsid w:val="00413438"/>
    <w:rsid w:val="00420A16"/>
    <w:rsid w:val="00422D1B"/>
    <w:rsid w:val="00434E4F"/>
    <w:rsid w:val="004359FD"/>
    <w:rsid w:val="0044623E"/>
    <w:rsid w:val="00457A49"/>
    <w:rsid w:val="004601B0"/>
    <w:rsid w:val="00481DCA"/>
    <w:rsid w:val="004866E9"/>
    <w:rsid w:val="00486987"/>
    <w:rsid w:val="00490EA9"/>
    <w:rsid w:val="00496D7A"/>
    <w:rsid w:val="004A056F"/>
    <w:rsid w:val="004A1C56"/>
    <w:rsid w:val="004A5776"/>
    <w:rsid w:val="004A6D0C"/>
    <w:rsid w:val="004B1DB1"/>
    <w:rsid w:val="004B4064"/>
    <w:rsid w:val="004D1AE6"/>
    <w:rsid w:val="004D36A6"/>
    <w:rsid w:val="004E0CFE"/>
    <w:rsid w:val="004E306D"/>
    <w:rsid w:val="004E616F"/>
    <w:rsid w:val="004E6569"/>
    <w:rsid w:val="004F126F"/>
    <w:rsid w:val="004F4B5E"/>
    <w:rsid w:val="004F511F"/>
    <w:rsid w:val="005040BA"/>
    <w:rsid w:val="005054E3"/>
    <w:rsid w:val="00506273"/>
    <w:rsid w:val="00511FA8"/>
    <w:rsid w:val="00514C43"/>
    <w:rsid w:val="00514D70"/>
    <w:rsid w:val="0052069E"/>
    <w:rsid w:val="00523255"/>
    <w:rsid w:val="00535660"/>
    <w:rsid w:val="005361CC"/>
    <w:rsid w:val="00543DFA"/>
    <w:rsid w:val="00545A95"/>
    <w:rsid w:val="00547EA1"/>
    <w:rsid w:val="00551A40"/>
    <w:rsid w:val="005538C7"/>
    <w:rsid w:val="005576AB"/>
    <w:rsid w:val="005606A8"/>
    <w:rsid w:val="005647EE"/>
    <w:rsid w:val="005675FE"/>
    <w:rsid w:val="00570428"/>
    <w:rsid w:val="00584BE1"/>
    <w:rsid w:val="00587FB7"/>
    <w:rsid w:val="00592D2C"/>
    <w:rsid w:val="005A4791"/>
    <w:rsid w:val="005B5D5A"/>
    <w:rsid w:val="005B6FDA"/>
    <w:rsid w:val="005C0090"/>
    <w:rsid w:val="005C1D44"/>
    <w:rsid w:val="005D117A"/>
    <w:rsid w:val="005D1281"/>
    <w:rsid w:val="005D1451"/>
    <w:rsid w:val="005D6085"/>
    <w:rsid w:val="005D6D4A"/>
    <w:rsid w:val="005E172F"/>
    <w:rsid w:val="005E1994"/>
    <w:rsid w:val="005E4C75"/>
    <w:rsid w:val="005F0C05"/>
    <w:rsid w:val="005F7CEC"/>
    <w:rsid w:val="006020F6"/>
    <w:rsid w:val="0060432E"/>
    <w:rsid w:val="00610B95"/>
    <w:rsid w:val="006111A5"/>
    <w:rsid w:val="00612E0C"/>
    <w:rsid w:val="0061446F"/>
    <w:rsid w:val="00622846"/>
    <w:rsid w:val="00622DBF"/>
    <w:rsid w:val="00633751"/>
    <w:rsid w:val="00633CFE"/>
    <w:rsid w:val="00645978"/>
    <w:rsid w:val="006469BE"/>
    <w:rsid w:val="00647BA6"/>
    <w:rsid w:val="00651D5F"/>
    <w:rsid w:val="00655F06"/>
    <w:rsid w:val="00673E55"/>
    <w:rsid w:val="006770D9"/>
    <w:rsid w:val="00681792"/>
    <w:rsid w:val="006859A6"/>
    <w:rsid w:val="006A125D"/>
    <w:rsid w:val="006A51E8"/>
    <w:rsid w:val="006B445C"/>
    <w:rsid w:val="006E0998"/>
    <w:rsid w:val="006E27BD"/>
    <w:rsid w:val="006E4165"/>
    <w:rsid w:val="006F1E2E"/>
    <w:rsid w:val="006F5598"/>
    <w:rsid w:val="00706500"/>
    <w:rsid w:val="00707E6B"/>
    <w:rsid w:val="00711CA2"/>
    <w:rsid w:val="00723721"/>
    <w:rsid w:val="007254CF"/>
    <w:rsid w:val="00725E9A"/>
    <w:rsid w:val="007278F0"/>
    <w:rsid w:val="00734661"/>
    <w:rsid w:val="00736677"/>
    <w:rsid w:val="007411B8"/>
    <w:rsid w:val="007456A7"/>
    <w:rsid w:val="00752A6B"/>
    <w:rsid w:val="00752D4D"/>
    <w:rsid w:val="00753361"/>
    <w:rsid w:val="0075390E"/>
    <w:rsid w:val="00756CC9"/>
    <w:rsid w:val="007621B1"/>
    <w:rsid w:val="0076321E"/>
    <w:rsid w:val="007718F3"/>
    <w:rsid w:val="007737DD"/>
    <w:rsid w:val="0078560F"/>
    <w:rsid w:val="007856E6"/>
    <w:rsid w:val="00785ACE"/>
    <w:rsid w:val="0078643C"/>
    <w:rsid w:val="007864E7"/>
    <w:rsid w:val="00787B7C"/>
    <w:rsid w:val="007977C3"/>
    <w:rsid w:val="007A0857"/>
    <w:rsid w:val="007A1C40"/>
    <w:rsid w:val="007A52F2"/>
    <w:rsid w:val="007A7D15"/>
    <w:rsid w:val="007B6D35"/>
    <w:rsid w:val="007C3623"/>
    <w:rsid w:val="007C3B9A"/>
    <w:rsid w:val="007C6263"/>
    <w:rsid w:val="007D0F8E"/>
    <w:rsid w:val="007E4E34"/>
    <w:rsid w:val="007F3266"/>
    <w:rsid w:val="007F38CF"/>
    <w:rsid w:val="007F6394"/>
    <w:rsid w:val="007F7BBA"/>
    <w:rsid w:val="007F7C97"/>
    <w:rsid w:val="00801760"/>
    <w:rsid w:val="00806178"/>
    <w:rsid w:val="00807E50"/>
    <w:rsid w:val="0081481D"/>
    <w:rsid w:val="00817C44"/>
    <w:rsid w:val="0082223C"/>
    <w:rsid w:val="0082243E"/>
    <w:rsid w:val="008226E8"/>
    <w:rsid w:val="00823129"/>
    <w:rsid w:val="00825FBF"/>
    <w:rsid w:val="00833759"/>
    <w:rsid w:val="00834B6D"/>
    <w:rsid w:val="008350F3"/>
    <w:rsid w:val="0083588F"/>
    <w:rsid w:val="008438FE"/>
    <w:rsid w:val="00846D43"/>
    <w:rsid w:val="00851515"/>
    <w:rsid w:val="00855636"/>
    <w:rsid w:val="00856E51"/>
    <w:rsid w:val="00862BE2"/>
    <w:rsid w:val="00870F54"/>
    <w:rsid w:val="00870FC1"/>
    <w:rsid w:val="00872962"/>
    <w:rsid w:val="00874E91"/>
    <w:rsid w:val="0087548A"/>
    <w:rsid w:val="00875503"/>
    <w:rsid w:val="00882339"/>
    <w:rsid w:val="0089074A"/>
    <w:rsid w:val="00891EEA"/>
    <w:rsid w:val="00894968"/>
    <w:rsid w:val="0089514C"/>
    <w:rsid w:val="0089600D"/>
    <w:rsid w:val="00896F5B"/>
    <w:rsid w:val="00897732"/>
    <w:rsid w:val="00897A3C"/>
    <w:rsid w:val="008A04D2"/>
    <w:rsid w:val="008B219F"/>
    <w:rsid w:val="008B5578"/>
    <w:rsid w:val="008C0700"/>
    <w:rsid w:val="008C7A8B"/>
    <w:rsid w:val="008C7B78"/>
    <w:rsid w:val="008D4470"/>
    <w:rsid w:val="008E3481"/>
    <w:rsid w:val="008F64D3"/>
    <w:rsid w:val="008F782C"/>
    <w:rsid w:val="00917010"/>
    <w:rsid w:val="009259F0"/>
    <w:rsid w:val="009277ED"/>
    <w:rsid w:val="009364FF"/>
    <w:rsid w:val="00942206"/>
    <w:rsid w:val="00953797"/>
    <w:rsid w:val="00954357"/>
    <w:rsid w:val="009578A4"/>
    <w:rsid w:val="009609E3"/>
    <w:rsid w:val="00964228"/>
    <w:rsid w:val="00966B5B"/>
    <w:rsid w:val="00970675"/>
    <w:rsid w:val="009761AD"/>
    <w:rsid w:val="00983F68"/>
    <w:rsid w:val="0098445C"/>
    <w:rsid w:val="00985ED6"/>
    <w:rsid w:val="00986917"/>
    <w:rsid w:val="00990056"/>
    <w:rsid w:val="009914FA"/>
    <w:rsid w:val="0099433B"/>
    <w:rsid w:val="00995E4F"/>
    <w:rsid w:val="00997AC1"/>
    <w:rsid w:val="009A141F"/>
    <w:rsid w:val="009A3DAF"/>
    <w:rsid w:val="009A4C04"/>
    <w:rsid w:val="009A61B1"/>
    <w:rsid w:val="009B2683"/>
    <w:rsid w:val="009B439B"/>
    <w:rsid w:val="009B6914"/>
    <w:rsid w:val="009C296C"/>
    <w:rsid w:val="009C32AF"/>
    <w:rsid w:val="009D29E0"/>
    <w:rsid w:val="009D3440"/>
    <w:rsid w:val="009E1832"/>
    <w:rsid w:val="009E4112"/>
    <w:rsid w:val="009F1079"/>
    <w:rsid w:val="009F227C"/>
    <w:rsid w:val="009F7D34"/>
    <w:rsid w:val="00A00472"/>
    <w:rsid w:val="00A02C1C"/>
    <w:rsid w:val="00A057D0"/>
    <w:rsid w:val="00A06F01"/>
    <w:rsid w:val="00A07500"/>
    <w:rsid w:val="00A07935"/>
    <w:rsid w:val="00A07FBC"/>
    <w:rsid w:val="00A11386"/>
    <w:rsid w:val="00A1278F"/>
    <w:rsid w:val="00A12CC1"/>
    <w:rsid w:val="00A22695"/>
    <w:rsid w:val="00A24F7C"/>
    <w:rsid w:val="00A26152"/>
    <w:rsid w:val="00A35053"/>
    <w:rsid w:val="00A42D67"/>
    <w:rsid w:val="00A44463"/>
    <w:rsid w:val="00A56F60"/>
    <w:rsid w:val="00A57EAA"/>
    <w:rsid w:val="00A65A19"/>
    <w:rsid w:val="00A727AE"/>
    <w:rsid w:val="00A759D6"/>
    <w:rsid w:val="00A773EE"/>
    <w:rsid w:val="00A86775"/>
    <w:rsid w:val="00A90444"/>
    <w:rsid w:val="00A9363D"/>
    <w:rsid w:val="00AC4273"/>
    <w:rsid w:val="00AC43C5"/>
    <w:rsid w:val="00AC661C"/>
    <w:rsid w:val="00AC7F8F"/>
    <w:rsid w:val="00AD382A"/>
    <w:rsid w:val="00AD3B5A"/>
    <w:rsid w:val="00AE08E8"/>
    <w:rsid w:val="00B10375"/>
    <w:rsid w:val="00B11E69"/>
    <w:rsid w:val="00B11FFF"/>
    <w:rsid w:val="00B12866"/>
    <w:rsid w:val="00B1355D"/>
    <w:rsid w:val="00B16E45"/>
    <w:rsid w:val="00B23014"/>
    <w:rsid w:val="00B304A3"/>
    <w:rsid w:val="00B51B83"/>
    <w:rsid w:val="00B56B3D"/>
    <w:rsid w:val="00B57313"/>
    <w:rsid w:val="00B62712"/>
    <w:rsid w:val="00B7229D"/>
    <w:rsid w:val="00B736E5"/>
    <w:rsid w:val="00B77170"/>
    <w:rsid w:val="00B8176B"/>
    <w:rsid w:val="00B826E4"/>
    <w:rsid w:val="00B83A59"/>
    <w:rsid w:val="00B84675"/>
    <w:rsid w:val="00B84F20"/>
    <w:rsid w:val="00B91C43"/>
    <w:rsid w:val="00B93D71"/>
    <w:rsid w:val="00B954F8"/>
    <w:rsid w:val="00BB04B3"/>
    <w:rsid w:val="00BB0FF8"/>
    <w:rsid w:val="00BB181A"/>
    <w:rsid w:val="00BB1DF5"/>
    <w:rsid w:val="00BB1F23"/>
    <w:rsid w:val="00BC0C69"/>
    <w:rsid w:val="00BC1D46"/>
    <w:rsid w:val="00BD743A"/>
    <w:rsid w:val="00BE5B8C"/>
    <w:rsid w:val="00BF1A6A"/>
    <w:rsid w:val="00BF7E6B"/>
    <w:rsid w:val="00C03D8C"/>
    <w:rsid w:val="00C04CD7"/>
    <w:rsid w:val="00C0679A"/>
    <w:rsid w:val="00C1314E"/>
    <w:rsid w:val="00C216ED"/>
    <w:rsid w:val="00C23210"/>
    <w:rsid w:val="00C23768"/>
    <w:rsid w:val="00C25068"/>
    <w:rsid w:val="00C33CE9"/>
    <w:rsid w:val="00C46020"/>
    <w:rsid w:val="00C55827"/>
    <w:rsid w:val="00C64EE9"/>
    <w:rsid w:val="00C70E6B"/>
    <w:rsid w:val="00C74A2B"/>
    <w:rsid w:val="00C85F8D"/>
    <w:rsid w:val="00C87F96"/>
    <w:rsid w:val="00C90DA9"/>
    <w:rsid w:val="00CA58B6"/>
    <w:rsid w:val="00CA6252"/>
    <w:rsid w:val="00CB03BC"/>
    <w:rsid w:val="00CB1655"/>
    <w:rsid w:val="00CB4567"/>
    <w:rsid w:val="00CB7F84"/>
    <w:rsid w:val="00CC5B7E"/>
    <w:rsid w:val="00CE0BA2"/>
    <w:rsid w:val="00CE2F88"/>
    <w:rsid w:val="00CE3090"/>
    <w:rsid w:val="00CE510D"/>
    <w:rsid w:val="00D01EF1"/>
    <w:rsid w:val="00D06C26"/>
    <w:rsid w:val="00D111DF"/>
    <w:rsid w:val="00D13439"/>
    <w:rsid w:val="00D25A58"/>
    <w:rsid w:val="00D27CDF"/>
    <w:rsid w:val="00D324DD"/>
    <w:rsid w:val="00D33499"/>
    <w:rsid w:val="00D46672"/>
    <w:rsid w:val="00D549F2"/>
    <w:rsid w:val="00D559B4"/>
    <w:rsid w:val="00D63DCE"/>
    <w:rsid w:val="00D67D5A"/>
    <w:rsid w:val="00D7042D"/>
    <w:rsid w:val="00D83F2B"/>
    <w:rsid w:val="00D914C3"/>
    <w:rsid w:val="00DA5757"/>
    <w:rsid w:val="00DB3CB4"/>
    <w:rsid w:val="00DB4A20"/>
    <w:rsid w:val="00DC67CC"/>
    <w:rsid w:val="00DF00C9"/>
    <w:rsid w:val="00E01FC4"/>
    <w:rsid w:val="00E03CFD"/>
    <w:rsid w:val="00E12303"/>
    <w:rsid w:val="00E14F1D"/>
    <w:rsid w:val="00E166E5"/>
    <w:rsid w:val="00E313D2"/>
    <w:rsid w:val="00E420C8"/>
    <w:rsid w:val="00E46FC8"/>
    <w:rsid w:val="00E504BB"/>
    <w:rsid w:val="00E52059"/>
    <w:rsid w:val="00E5322E"/>
    <w:rsid w:val="00E53979"/>
    <w:rsid w:val="00E562A1"/>
    <w:rsid w:val="00E61C6C"/>
    <w:rsid w:val="00E65A10"/>
    <w:rsid w:val="00E7462C"/>
    <w:rsid w:val="00E75D53"/>
    <w:rsid w:val="00E77419"/>
    <w:rsid w:val="00E978F5"/>
    <w:rsid w:val="00EC13CA"/>
    <w:rsid w:val="00EC2BAA"/>
    <w:rsid w:val="00EC4508"/>
    <w:rsid w:val="00ED6347"/>
    <w:rsid w:val="00ED6C1A"/>
    <w:rsid w:val="00EE6DFD"/>
    <w:rsid w:val="00EE7882"/>
    <w:rsid w:val="00EF03D0"/>
    <w:rsid w:val="00EF36F6"/>
    <w:rsid w:val="00F02DBB"/>
    <w:rsid w:val="00F14AAC"/>
    <w:rsid w:val="00F51615"/>
    <w:rsid w:val="00F52A97"/>
    <w:rsid w:val="00F5400B"/>
    <w:rsid w:val="00F5707C"/>
    <w:rsid w:val="00F626FE"/>
    <w:rsid w:val="00F75DF9"/>
    <w:rsid w:val="00F821E2"/>
    <w:rsid w:val="00F82FF0"/>
    <w:rsid w:val="00F8376D"/>
    <w:rsid w:val="00F90B09"/>
    <w:rsid w:val="00F930F3"/>
    <w:rsid w:val="00FB19A5"/>
    <w:rsid w:val="00FB47A4"/>
    <w:rsid w:val="00FC5408"/>
    <w:rsid w:val="00FD6B0D"/>
    <w:rsid w:val="00FE3C8D"/>
    <w:rsid w:val="00FE40B1"/>
    <w:rsid w:val="00FE5EBD"/>
    <w:rsid w:val="00FE6DA0"/>
    <w:rsid w:val="00FF0D44"/>
    <w:rsid w:val="00FF6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60C8D"/>
  <w15:chartTrackingRefBased/>
  <w15:docId w15:val="{20E6EAD5-C0A5-466A-A4CE-BF125D3D7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74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74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74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74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74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74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4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4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4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4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74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74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74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74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74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74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74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743A"/>
    <w:rPr>
      <w:rFonts w:eastAsiaTheme="majorEastAsia" w:cstheme="majorBidi"/>
      <w:color w:val="272727" w:themeColor="text1" w:themeTint="D8"/>
    </w:rPr>
  </w:style>
  <w:style w:type="paragraph" w:styleId="Title">
    <w:name w:val="Title"/>
    <w:basedOn w:val="Normal"/>
    <w:next w:val="Normal"/>
    <w:link w:val="TitleChar"/>
    <w:uiPriority w:val="10"/>
    <w:qFormat/>
    <w:rsid w:val="00BD74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4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74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4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743A"/>
    <w:pPr>
      <w:spacing w:before="160"/>
      <w:jc w:val="center"/>
    </w:pPr>
    <w:rPr>
      <w:i/>
      <w:iCs/>
      <w:color w:val="404040" w:themeColor="text1" w:themeTint="BF"/>
    </w:rPr>
  </w:style>
  <w:style w:type="character" w:customStyle="1" w:styleId="QuoteChar">
    <w:name w:val="Quote Char"/>
    <w:basedOn w:val="DefaultParagraphFont"/>
    <w:link w:val="Quote"/>
    <w:uiPriority w:val="29"/>
    <w:rsid w:val="00BD743A"/>
    <w:rPr>
      <w:i/>
      <w:iCs/>
      <w:color w:val="404040" w:themeColor="text1" w:themeTint="BF"/>
    </w:rPr>
  </w:style>
  <w:style w:type="paragraph" w:styleId="ListParagraph">
    <w:name w:val="List Paragraph"/>
    <w:basedOn w:val="Normal"/>
    <w:uiPriority w:val="34"/>
    <w:qFormat/>
    <w:rsid w:val="00BD743A"/>
    <w:pPr>
      <w:ind w:left="720"/>
      <w:contextualSpacing/>
    </w:pPr>
  </w:style>
  <w:style w:type="character" w:styleId="IntenseEmphasis">
    <w:name w:val="Intense Emphasis"/>
    <w:basedOn w:val="DefaultParagraphFont"/>
    <w:uiPriority w:val="21"/>
    <w:qFormat/>
    <w:rsid w:val="00BD743A"/>
    <w:rPr>
      <w:i/>
      <w:iCs/>
      <w:color w:val="0F4761" w:themeColor="accent1" w:themeShade="BF"/>
    </w:rPr>
  </w:style>
  <w:style w:type="paragraph" w:styleId="IntenseQuote">
    <w:name w:val="Intense Quote"/>
    <w:basedOn w:val="Normal"/>
    <w:next w:val="Normal"/>
    <w:link w:val="IntenseQuoteChar"/>
    <w:uiPriority w:val="30"/>
    <w:qFormat/>
    <w:rsid w:val="00BD74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743A"/>
    <w:rPr>
      <w:i/>
      <w:iCs/>
      <w:color w:val="0F4761" w:themeColor="accent1" w:themeShade="BF"/>
    </w:rPr>
  </w:style>
  <w:style w:type="character" w:styleId="IntenseReference">
    <w:name w:val="Intense Reference"/>
    <w:basedOn w:val="DefaultParagraphFont"/>
    <w:uiPriority w:val="32"/>
    <w:qFormat/>
    <w:rsid w:val="00BD743A"/>
    <w:rPr>
      <w:b/>
      <w:bCs/>
      <w:smallCaps/>
      <w:color w:val="0F4761" w:themeColor="accent1" w:themeShade="BF"/>
      <w:spacing w:val="5"/>
    </w:rPr>
  </w:style>
  <w:style w:type="paragraph" w:styleId="Header">
    <w:name w:val="header"/>
    <w:basedOn w:val="Normal"/>
    <w:link w:val="HeaderChar"/>
    <w:uiPriority w:val="99"/>
    <w:unhideWhenUsed/>
    <w:rsid w:val="00BD74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43A"/>
  </w:style>
  <w:style w:type="paragraph" w:styleId="Footer">
    <w:name w:val="footer"/>
    <w:basedOn w:val="Normal"/>
    <w:link w:val="FooterChar"/>
    <w:uiPriority w:val="99"/>
    <w:unhideWhenUsed/>
    <w:rsid w:val="00BD74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43A"/>
  </w:style>
  <w:style w:type="character" w:styleId="Hyperlink">
    <w:name w:val="Hyperlink"/>
    <w:basedOn w:val="DefaultParagraphFont"/>
    <w:uiPriority w:val="99"/>
    <w:unhideWhenUsed/>
    <w:rsid w:val="00BD743A"/>
    <w:rPr>
      <w:color w:val="467886" w:themeColor="hyperlink"/>
      <w:u w:val="single"/>
    </w:rPr>
  </w:style>
  <w:style w:type="character" w:styleId="UnresolvedMention">
    <w:name w:val="Unresolved Mention"/>
    <w:basedOn w:val="DefaultParagraphFont"/>
    <w:uiPriority w:val="99"/>
    <w:semiHidden/>
    <w:unhideWhenUsed/>
    <w:rsid w:val="00BD743A"/>
    <w:rPr>
      <w:color w:val="605E5C"/>
      <w:shd w:val="clear" w:color="auto" w:fill="E1DFDD"/>
    </w:rPr>
  </w:style>
  <w:style w:type="table" w:styleId="TableGrid">
    <w:name w:val="Table Grid"/>
    <w:basedOn w:val="TableNormal"/>
    <w:uiPriority w:val="39"/>
    <w:rsid w:val="00BD74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B445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7F3266"/>
    <w:rPr>
      <w:color w:val="96607D" w:themeColor="followedHyperlink"/>
      <w:u w:val="single"/>
    </w:rPr>
  </w:style>
  <w:style w:type="paragraph" w:styleId="Revision">
    <w:name w:val="Revision"/>
    <w:hidden/>
    <w:uiPriority w:val="99"/>
    <w:semiHidden/>
    <w:rsid w:val="006020F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file:///C:/Users/caita/Downloads/feduc-10-1535104%20(2).pdf" TargetMode="External"/><Relationship Id="rId26" Type="http://schemas.openxmlformats.org/officeDocument/2006/relationships/hyperlink" Target="https://www.tandfonline.com/doi/pdf/10.1080/14681366.2024.2344123?" TargetMode="External"/><Relationship Id="rId3" Type="http://schemas.openxmlformats.org/officeDocument/2006/relationships/customXml" Target="../customXml/item3.xml"/><Relationship Id="rId21" Type="http://schemas.openxmlformats.org/officeDocument/2006/relationships/hyperlink" Target="https://onlinelibrary.wiley.com/doi/epdf/10.1002/imhj.22056"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file:///C:/Users/caita/Downloads/fpsyg-10-02574%20(2).pdf" TargetMode="External"/><Relationship Id="rId25" Type="http://schemas.openxmlformats.org/officeDocument/2006/relationships/hyperlink" Target="https://learning.nspcc.org.uk/media/h0cjt3xz/evidence-snapshot-multi-agency-working-jan-2025.pdf" TargetMode="External"/><Relationship Id="rId33" Type="http://schemas.openxmlformats.org/officeDocument/2006/relationships/hyperlink" Target="https://www.gov.wales/national-minimum-standards-regulated-childcare-children-age-12-years-statutory-guidance-contents-standard-6?" TargetMode="External"/><Relationship Id="rId2" Type="http://schemas.openxmlformats.org/officeDocument/2006/relationships/customXml" Target="../customXml/item2.xml"/><Relationship Id="rId16" Type="http://schemas.openxmlformats.org/officeDocument/2006/relationships/hyperlink" Target="https://www.earlyyears.tv/david-kolb-learning-styles-cycle/" TargetMode="External"/><Relationship Id="rId20" Type="http://schemas.openxmlformats.org/officeDocument/2006/relationships/hyperlink" Target="https://www.researchgate.net/profile/David-Kolb-2/publication/235701029_Experiential_Learning_Experience_As_The_Source_Of_Learning_And_Development/links/00b7d52aa908562f9f000000/Experiential-Learning-Experience-As-The-Source-Of-Learning-And-Development.pdf?origin=publication_detail&amp;_tp=eyJjb250ZXh0Ijp7ImZpcnN0UGFnZSI6InB1YmxpY2F0aW9uIiwicGFnZSI6InB1YmxpY2F0aW9uRG93bmxvYWQiLCJwcmV2aW91c1BhZ2UiOiJwdWJsaWNhdGlvbl9kb3dubG9hZCJ9fQ&amp;__cf_chl_tk=3sppoLlvknTAM1qZkENiEOxTZJzwTOrQR1fMLwg.WMU-1792924472-1.0.1.1-celdWxTjw3DKm_qnM6UZ5mNMXEC25tsE4Drc1E7yunA" TargetMode="External"/><Relationship Id="rId29" Type="http://schemas.openxmlformats.org/officeDocument/2006/relationships/hyperlink" Target="https://www.unicef.org.uk/wp-content/uploads/2016/08/unicef-convention-rights-child-uncrc.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hyperlink" Target="https://api.pageplace.de/preview/DT0400.9781315316994_A31962939/preview-9781315316994_A31962939.pdf" TargetMode="External"/><Relationship Id="rId32" Type="http://schemas.openxmlformats.org/officeDocument/2006/relationships/hyperlink" Target="https://www.gov.wales/national-multi-agency-practice-framework-childrens-services-html?" TargetMode="External"/><Relationship Id="rId5" Type="http://schemas.openxmlformats.org/officeDocument/2006/relationships/styles" Target="styles.xml"/><Relationship Id="rId15" Type="http://schemas.openxmlformats.org/officeDocument/2006/relationships/hyperlink" Target="https://drkrishnaathal.com/blog/gibbs-reflective-cycle-explained-a-framework-for-structured-self-reflection/" TargetMode="External"/><Relationship Id="rId23" Type="http://schemas.openxmlformats.org/officeDocument/2006/relationships/hyperlink" Target="https://books.google.co.uk/books?id=1XCLAgAAQBAJ&amp;printsec=frontcover&amp;source=gbs_ge_summary_r&amp;cad=0" TargetMode="External"/><Relationship Id="rId28" Type="http://schemas.openxmlformats.org/officeDocument/2006/relationships/hyperlink" Target="https://www.unicef.org/media/60981/file/convention-rights-child-text-child-friendly-version.pdf" TargetMode="External"/><Relationship Id="rId10" Type="http://schemas.openxmlformats.org/officeDocument/2006/relationships/hyperlink" Target="https://copilot.microsoft.com" TargetMode="External"/><Relationship Id="rId19" Type="http://schemas.openxmlformats.org/officeDocument/2006/relationships/hyperlink" Target="https://thoughtsmostlyaboutlearning.wordpress.com/wp-content/uploads/2015/12/learning-by-doing-graham-gibbs.pdf" TargetMode="External"/><Relationship Id="rId31" Type="http://schemas.openxmlformats.org/officeDocument/2006/relationships/hyperlink" Target="https://hwb.gov.wales/api/storage/4901fbbb-6aa2-4412-be18-f73ca2c3c599/a-quality-framework-for-early-childhood-play-learning-and-care-v2.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 Id="rId22" Type="http://schemas.openxmlformats.org/officeDocument/2006/relationships/hyperlink" Target="https://hwb.gov.wales/curriculum-for-wales/designing-your-curriculum/pedagogy" TargetMode="External"/><Relationship Id="rId27" Type="http://schemas.openxmlformats.org/officeDocument/2006/relationships/hyperlink" Target="https://journal.fi/jecer/article/view/114077/67276?acceptCookies=1" TargetMode="External"/><Relationship Id="rId30" Type="http://schemas.openxmlformats.org/officeDocument/2006/relationships/hyperlink" Target="https://www.gov.wales/sites/default/files/publications/2019-07/working-together-to-safeguard-people-information-sharing-to-safeguard-children.pdf?" TargetMode="External"/><Relationship Id="rId35" Type="http://schemas.openxmlformats.org/officeDocument/2006/relationships/theme" Target="theme/theme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5" ma:contentTypeDescription="Create a new document." ma:contentTypeScope="" ma:versionID="41a33efacaa54e62b0cfa87c95b2de8f">
  <xsd:schema xmlns:xsd="http://www.w3.org/2001/XMLSchema" xmlns:xs="http://www.w3.org/2001/XMLSchema" xmlns:p="http://schemas.microsoft.com/office/2006/metadata/properties" xmlns:ns3="577751d0-6084-4994-a202-0c32fc3287d3" targetNamespace="http://schemas.microsoft.com/office/2006/metadata/properties" ma:root="true" ma:fieldsID="00a8b67e128d03a63ef61df0ddd26f06"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Props1.xml><?xml version="1.0" encoding="utf-8"?>
<ds:datastoreItem xmlns:ds="http://schemas.openxmlformats.org/officeDocument/2006/customXml" ds:itemID="{038EA6A2-9EAD-4001-874D-B5770FF39D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87390ED-47C5-41C5-A665-EAE04790C28C}">
  <ds:schemaRefs>
    <ds:schemaRef ds:uri="http://schemas.microsoft.com/sharepoint/v3/contenttype/forms"/>
  </ds:schemaRefs>
</ds:datastoreItem>
</file>

<file path=customXml/itemProps3.xml><?xml version="1.0" encoding="utf-8"?>
<ds:datastoreItem xmlns:ds="http://schemas.openxmlformats.org/officeDocument/2006/customXml" ds:itemID="{6A131825-186E-4082-922A-EEEB5D8A42A2}">
  <ds:schemaRefs>
    <ds:schemaRef ds:uri="http://schemas.microsoft.com/office/2006/metadata/properties"/>
    <ds:schemaRef ds:uri="http://schemas.microsoft.com/office/infopath/2007/PartnerControls"/>
    <ds:schemaRef ds:uri="577751d0-6084-4994-a202-0c32fc3287d3"/>
  </ds:schemaRefs>
</ds:datastoreItem>
</file>

<file path=docProps/app.xml><?xml version="1.0" encoding="utf-8"?>
<Properties xmlns="http://schemas.openxmlformats.org/officeDocument/2006/extended-properties" xmlns:vt="http://schemas.openxmlformats.org/officeDocument/2006/docPropsVTypes">
  <Template>Normal</Template>
  <TotalTime>11105</TotalTime>
  <Pages>11</Pages>
  <Words>3336</Words>
  <Characters>19018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O'Sullivan (2605459)</dc:creator>
  <cp:keywords/>
  <dc:description/>
  <cp:lastModifiedBy>Caitlin O'Sullivan (2605459)</cp:lastModifiedBy>
  <cp:revision>251</cp:revision>
  <dcterms:created xsi:type="dcterms:W3CDTF">2026-09-28T17:52:00Z</dcterms:created>
  <dcterms:modified xsi:type="dcterms:W3CDTF">2026-10-25T11:47:00Z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