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068FB9" w14:textId="77777777" w:rsidR="0077442E" w:rsidRDefault="0077442E" w:rsidP="0077442E">
      <w:pPr>
        <w:jc w:val="both"/>
      </w:pPr>
      <w:r>
        <w:t>Louix Farthing</w:t>
      </w:r>
    </w:p>
    <w:p w14:paraId="52C4A30B" w14:textId="77777777" w:rsidR="0077442E" w:rsidRDefault="0077442E" w:rsidP="0077442E">
      <w:pPr>
        <w:jc w:val="both"/>
      </w:pPr>
      <w:r>
        <w:t>1401504</w:t>
      </w:r>
    </w:p>
    <w:p w14:paraId="5CAFBA21" w14:textId="77777777" w:rsidR="0077442E" w:rsidRDefault="0077442E" w:rsidP="0077442E">
      <w:pPr>
        <w:jc w:val="both"/>
      </w:pPr>
      <w:r>
        <w:t xml:space="preserve">Dr Fiona Mitchell </w:t>
      </w:r>
    </w:p>
    <w:p w14:paraId="5C847BB9" w14:textId="77777777" w:rsidR="0077442E" w:rsidRDefault="0077442E" w:rsidP="0077442E">
      <w:pPr>
        <w:jc w:val="both"/>
      </w:pPr>
      <w:r>
        <w:t xml:space="preserve"> </w:t>
      </w:r>
    </w:p>
    <w:p w14:paraId="618B4C16" w14:textId="77777777" w:rsidR="0077442E" w:rsidRDefault="0077442E" w:rsidP="0077442E">
      <w:pPr>
        <w:jc w:val="both"/>
        <w:rPr>
          <w:sz w:val="36"/>
          <w:u w:val="single"/>
        </w:rPr>
      </w:pPr>
      <w:r>
        <w:rPr>
          <w:sz w:val="36"/>
          <w:u w:val="single"/>
        </w:rPr>
        <w:t>To what extent do ‘revenant burials’ indicate a fear of the dead returning?</w:t>
      </w:r>
    </w:p>
    <w:p w14:paraId="37F2C6B4" w14:textId="77777777" w:rsidR="0077442E" w:rsidRDefault="0077442E" w:rsidP="00A6634E">
      <w:pPr>
        <w:spacing w:line="480" w:lineRule="auto"/>
        <w:jc w:val="both"/>
        <w:rPr>
          <w:sz w:val="36"/>
          <w:u w:val="single"/>
        </w:rPr>
      </w:pPr>
      <w:bookmarkStart w:id="0" w:name="_GoBack"/>
    </w:p>
    <w:p w14:paraId="77BDB1A4" w14:textId="77777777" w:rsidR="0077442E" w:rsidRDefault="0077442E" w:rsidP="00A6634E">
      <w:pPr>
        <w:spacing w:before="240" w:after="120" w:line="480" w:lineRule="auto"/>
        <w:jc w:val="both"/>
        <w:rPr>
          <w:sz w:val="28"/>
          <w:szCs w:val="28"/>
        </w:rPr>
      </w:pPr>
      <w:r>
        <w:rPr>
          <w:sz w:val="28"/>
          <w:szCs w:val="28"/>
        </w:rPr>
        <w:t xml:space="preserve">The term ‘revenant’, in the ancient context refers to an individual whom has died however has been reincarnated in the physical form of that individual, however unlike a ghost; revenants often are lacking the characteristics and personalities of the deceased. While there are many examples of ghosts in ancient literature, namely the ghost of </w:t>
      </w:r>
      <w:r w:rsidR="00852637">
        <w:rPr>
          <w:sz w:val="28"/>
          <w:szCs w:val="28"/>
        </w:rPr>
        <w:t>Anchises from Virgil’s Aeneid</w:t>
      </w:r>
      <w:r w:rsidR="00852637">
        <w:rPr>
          <w:rStyle w:val="EndnoteReference"/>
          <w:sz w:val="28"/>
          <w:szCs w:val="28"/>
        </w:rPr>
        <w:endnoteReference w:id="1"/>
      </w:r>
      <w:r w:rsidR="00191408">
        <w:rPr>
          <w:sz w:val="28"/>
          <w:szCs w:val="28"/>
        </w:rPr>
        <w:t>; the appearance of revenants is somewhat less common. This essay will</w:t>
      </w:r>
      <w:r w:rsidR="00E26FB9">
        <w:rPr>
          <w:sz w:val="28"/>
          <w:szCs w:val="28"/>
        </w:rPr>
        <w:t xml:space="preserve"> primarily</w:t>
      </w:r>
      <w:r w:rsidR="00191408">
        <w:rPr>
          <w:sz w:val="28"/>
          <w:szCs w:val="28"/>
        </w:rPr>
        <w:t xml:space="preserve"> </w:t>
      </w:r>
      <w:r w:rsidR="00E26FB9">
        <w:rPr>
          <w:sz w:val="28"/>
          <w:szCs w:val="28"/>
        </w:rPr>
        <w:t xml:space="preserve">employ </w:t>
      </w:r>
      <w:r w:rsidR="00191408">
        <w:rPr>
          <w:sz w:val="28"/>
          <w:szCs w:val="28"/>
        </w:rPr>
        <w:t>particular archaeological examples</w:t>
      </w:r>
      <w:r w:rsidR="00E26FB9">
        <w:rPr>
          <w:sz w:val="28"/>
          <w:szCs w:val="28"/>
        </w:rPr>
        <w:t>, accompanied by select literary examples</w:t>
      </w:r>
      <w:r w:rsidR="00191408">
        <w:rPr>
          <w:sz w:val="28"/>
          <w:szCs w:val="28"/>
        </w:rPr>
        <w:t xml:space="preserve"> regarding burial to infer the extent to which a revenant burial may indicate the fear of the deceased returning.  </w:t>
      </w:r>
    </w:p>
    <w:p w14:paraId="4354E101" w14:textId="77777777" w:rsidR="00191408" w:rsidRDefault="00191408" w:rsidP="00A6634E">
      <w:pPr>
        <w:spacing w:before="240" w:after="120" w:line="480" w:lineRule="auto"/>
        <w:jc w:val="both"/>
        <w:rPr>
          <w:sz w:val="28"/>
          <w:szCs w:val="28"/>
        </w:rPr>
      </w:pPr>
    </w:p>
    <w:p w14:paraId="2A48CA17" w14:textId="491CDF99" w:rsidR="00D32ABB" w:rsidRDefault="00191408" w:rsidP="00A6634E">
      <w:pPr>
        <w:spacing w:before="240" w:after="120" w:line="480" w:lineRule="auto"/>
        <w:jc w:val="both"/>
        <w:rPr>
          <w:sz w:val="28"/>
          <w:szCs w:val="28"/>
        </w:rPr>
      </w:pPr>
      <w:r>
        <w:rPr>
          <w:sz w:val="28"/>
          <w:szCs w:val="28"/>
        </w:rPr>
        <w:t xml:space="preserve">Generally, the methods to dispose of a body in the ancient world vary depending on where the grave is located, when the grave is dated and who the grave may </w:t>
      </w:r>
      <w:r w:rsidR="00700317">
        <w:rPr>
          <w:sz w:val="28"/>
          <w:szCs w:val="28"/>
        </w:rPr>
        <w:t>potentially belong to</w:t>
      </w:r>
      <w:r w:rsidR="00700317">
        <w:rPr>
          <w:rStyle w:val="EndnoteReference"/>
          <w:sz w:val="28"/>
          <w:szCs w:val="28"/>
        </w:rPr>
        <w:endnoteReference w:id="2"/>
      </w:r>
      <w:r w:rsidR="00700317">
        <w:rPr>
          <w:sz w:val="28"/>
          <w:szCs w:val="28"/>
        </w:rPr>
        <w:t xml:space="preserve">. The former two criteria often being the most important in the study of burial sites. The reasons for this include firstly; a difference in </w:t>
      </w:r>
      <w:r w:rsidR="00700317">
        <w:rPr>
          <w:sz w:val="28"/>
          <w:szCs w:val="28"/>
        </w:rPr>
        <w:lastRenderedPageBreak/>
        <w:t>individual belief and culture</w:t>
      </w:r>
      <w:r w:rsidR="00D32ABB">
        <w:rPr>
          <w:sz w:val="28"/>
          <w:szCs w:val="28"/>
        </w:rPr>
        <w:t xml:space="preserve"> across various regions in the ancient world- for example the preferred method for disposal in Britain during the first century AD was inhumation, while in mainland Italy during the same period we see a large number of cremations</w:t>
      </w:r>
      <w:r w:rsidR="00192327">
        <w:rPr>
          <w:rStyle w:val="EndnoteReference"/>
          <w:sz w:val="28"/>
          <w:szCs w:val="28"/>
        </w:rPr>
        <w:endnoteReference w:id="3"/>
      </w:r>
      <w:r w:rsidR="00D32ABB">
        <w:rPr>
          <w:sz w:val="28"/>
          <w:szCs w:val="28"/>
        </w:rPr>
        <w:t>. And secondly, over time the circumstances in which people decide how to dispose of remains are vastly different to those some time earlier, mainly the wealth and status of the average person will influence how they decide to dispose of remains; i.e the wealthier you are the higher standard of funeral. Therefore when studying the issue of ‘revenant burials’ it is important to take into consid</w:t>
      </w:r>
      <w:r w:rsidR="0001342D">
        <w:rPr>
          <w:sz w:val="28"/>
          <w:szCs w:val="28"/>
        </w:rPr>
        <w:t xml:space="preserve">eration these factors in order to utilise a consistent set of burial evidence. Proceeding without caution in this matter may lead to the misidentification of burial sites as ‘revenant’ burials and thus inconsistency when assessing whether or not an individuals relatives and contemporaries showed genuine concern in disposing of an individual. </w:t>
      </w:r>
    </w:p>
    <w:p w14:paraId="457DAF52" w14:textId="51ED87BE" w:rsidR="00946746" w:rsidRDefault="0001342D" w:rsidP="00A6634E">
      <w:pPr>
        <w:spacing w:before="240" w:after="120" w:line="480" w:lineRule="auto"/>
        <w:jc w:val="both"/>
        <w:rPr>
          <w:sz w:val="28"/>
          <w:szCs w:val="28"/>
        </w:rPr>
      </w:pPr>
      <w:r>
        <w:rPr>
          <w:sz w:val="28"/>
          <w:szCs w:val="28"/>
        </w:rPr>
        <w:t xml:space="preserve">Moreover it is important </w:t>
      </w:r>
      <w:r w:rsidR="0012170E">
        <w:rPr>
          <w:sz w:val="28"/>
          <w:szCs w:val="28"/>
        </w:rPr>
        <w:t>to note that by the reasoning of Weaver</w:t>
      </w:r>
      <w:r w:rsidR="0012170E">
        <w:rPr>
          <w:rStyle w:val="EndnoteReference"/>
          <w:sz w:val="28"/>
          <w:szCs w:val="28"/>
        </w:rPr>
        <w:endnoteReference w:id="4"/>
      </w:r>
      <w:r w:rsidR="0012170E">
        <w:rPr>
          <w:sz w:val="28"/>
          <w:szCs w:val="28"/>
        </w:rPr>
        <w:t>, a deceased individual whom has not yet been buried exists in a space in between the afterlife and the physical world, and the rites of passage exist to help the individual transition between the two planes. Naturally it would be assumed in the ancient world that it may be this phase which a body may be corrupted and subsequently allow the individual to become a ‘revenant’</w:t>
      </w:r>
      <w:r w:rsidR="00BE5C5E">
        <w:rPr>
          <w:sz w:val="28"/>
          <w:szCs w:val="28"/>
        </w:rPr>
        <w:t xml:space="preserve">; however this is not always the case. Often the association with demonic </w:t>
      </w:r>
      <w:r w:rsidR="009E5CB4">
        <w:rPr>
          <w:sz w:val="28"/>
          <w:szCs w:val="28"/>
        </w:rPr>
        <w:t xml:space="preserve">possession may be founded </w:t>
      </w:r>
      <w:r w:rsidR="009E5CB4">
        <w:rPr>
          <w:sz w:val="28"/>
          <w:szCs w:val="28"/>
        </w:rPr>
        <w:lastRenderedPageBreak/>
        <w:t xml:space="preserve">in a number of factors such as the nature of the death, </w:t>
      </w:r>
      <w:r w:rsidR="00E26FB9">
        <w:rPr>
          <w:sz w:val="28"/>
          <w:szCs w:val="28"/>
        </w:rPr>
        <w:t>i.e.</w:t>
      </w:r>
      <w:r w:rsidR="009E5CB4">
        <w:rPr>
          <w:sz w:val="28"/>
          <w:szCs w:val="28"/>
        </w:rPr>
        <w:t xml:space="preserve"> suicide/</w:t>
      </w:r>
      <w:r w:rsidR="00C40851">
        <w:rPr>
          <w:sz w:val="28"/>
          <w:szCs w:val="28"/>
        </w:rPr>
        <w:t>murder</w:t>
      </w:r>
      <w:r w:rsidR="00562B6E">
        <w:rPr>
          <w:rStyle w:val="EndnoteReference"/>
          <w:sz w:val="28"/>
          <w:szCs w:val="28"/>
        </w:rPr>
        <w:endnoteReference w:id="5"/>
      </w:r>
      <w:r w:rsidR="00C40851">
        <w:rPr>
          <w:sz w:val="28"/>
          <w:szCs w:val="28"/>
        </w:rPr>
        <w:t xml:space="preserve"> (</w:t>
      </w:r>
      <w:r w:rsidR="009E5CB4">
        <w:rPr>
          <w:sz w:val="28"/>
          <w:szCs w:val="28"/>
        </w:rPr>
        <w:t>note the differences</w:t>
      </w:r>
      <w:r w:rsidR="00E26FB9">
        <w:rPr>
          <w:sz w:val="28"/>
          <w:szCs w:val="28"/>
        </w:rPr>
        <w:t xml:space="preserve"> shown</w:t>
      </w:r>
      <w:r w:rsidR="009E5CB4">
        <w:rPr>
          <w:sz w:val="28"/>
          <w:szCs w:val="28"/>
        </w:rPr>
        <w:t xml:space="preserve"> between</w:t>
      </w:r>
      <w:r w:rsidR="00E26FB9">
        <w:rPr>
          <w:sz w:val="28"/>
          <w:szCs w:val="28"/>
        </w:rPr>
        <w:t xml:space="preserve"> the ghosts</w:t>
      </w:r>
      <w:r w:rsidR="009E5CB4">
        <w:rPr>
          <w:sz w:val="28"/>
          <w:szCs w:val="28"/>
        </w:rPr>
        <w:t xml:space="preserve"> Anchises and Dido in book 6 of the </w:t>
      </w:r>
      <w:r w:rsidR="00E26FB9">
        <w:rPr>
          <w:sz w:val="28"/>
          <w:szCs w:val="28"/>
        </w:rPr>
        <w:t>Aeneid</w:t>
      </w:r>
      <w:r w:rsidR="00C40851">
        <w:rPr>
          <w:sz w:val="28"/>
          <w:szCs w:val="28"/>
        </w:rPr>
        <w:t xml:space="preserve"> where Anchises has suffered a natural death while Dido has committed suicide in an act of passion and madness</w:t>
      </w:r>
      <w:r w:rsidR="00E26FB9">
        <w:rPr>
          <w:sz w:val="28"/>
          <w:szCs w:val="28"/>
        </w:rPr>
        <w:t>)</w:t>
      </w:r>
      <w:r w:rsidR="003F3DDE">
        <w:rPr>
          <w:rStyle w:val="EndnoteReference"/>
          <w:sz w:val="28"/>
          <w:szCs w:val="28"/>
        </w:rPr>
        <w:endnoteReference w:id="6"/>
      </w:r>
      <w:r w:rsidR="00E26FB9">
        <w:rPr>
          <w:sz w:val="28"/>
          <w:szCs w:val="28"/>
        </w:rPr>
        <w:t>, where the death occurred and the perception of the individual in life, i.e. disabilities, deformations or general character and attitude</w:t>
      </w:r>
      <w:r w:rsidR="007A7402">
        <w:rPr>
          <w:sz w:val="28"/>
          <w:szCs w:val="28"/>
        </w:rPr>
        <w:t>. Moreover the treatment of remains in this stage of the burial process would be conducted with respect and with an eye to preserve the corpse as best as possible until the day of the funeral however in the case of ‘revenant’ burials the course of action may differ. Take for example the apparent revenant burials from Kamarina, here in one particular grave we may see that the remains have been covered with a seri</w:t>
      </w:r>
      <w:r w:rsidR="00BE5C5E">
        <w:rPr>
          <w:sz w:val="28"/>
          <w:szCs w:val="28"/>
        </w:rPr>
        <w:t xml:space="preserve">es of boulders and rocks- possibly indicating that this persons relatives were perhaps concerned with the notion of this individual of returning from the dead to become a ‘revenant’, however I believe there may be other explanations to why this individual has been buried in such a manner. </w:t>
      </w:r>
      <w:r w:rsidR="009E5CB4">
        <w:rPr>
          <w:sz w:val="28"/>
          <w:szCs w:val="28"/>
        </w:rPr>
        <w:t xml:space="preserve">Consider firstly this persons status in society at the time of his death, while there are no other recorded finds in this grave besides the remains we could assume that this individual was of a lower social class thus perhaps could not afford a proper grave to be arranged thus is covered with rocks to act as a sarcophagus, as we know from other graves at the site that these were indeed used in at least one other burial in the region.  </w:t>
      </w:r>
      <w:r w:rsidR="00E26FB9">
        <w:rPr>
          <w:sz w:val="28"/>
          <w:szCs w:val="28"/>
        </w:rPr>
        <w:t xml:space="preserve">Secondly it is worth </w:t>
      </w:r>
      <w:r w:rsidR="00E26FB9">
        <w:rPr>
          <w:sz w:val="28"/>
          <w:szCs w:val="28"/>
        </w:rPr>
        <w:lastRenderedPageBreak/>
        <w:t xml:space="preserve">considering the practicality of this burial, as was known in the ancient world animals are often attracted to corpses thus in order to avoid any disruption of the remains from local wildlife, the organiser of this funeral may have placed the stones there as a pre-emptive measure against  this occurrence. </w:t>
      </w:r>
      <w:r w:rsidR="00946746">
        <w:rPr>
          <w:sz w:val="28"/>
          <w:szCs w:val="28"/>
        </w:rPr>
        <w:t>Alternatively it may be the case that this individual may have been executed for a crime and thus the stones are placed on him as a mark of disrespect.</w:t>
      </w:r>
      <w:r w:rsidR="003F3DDE">
        <w:rPr>
          <w:sz w:val="28"/>
          <w:szCs w:val="28"/>
        </w:rPr>
        <w:t xml:space="preserve"> The most plausible explanation for this occurrence may be found in light of Danforths contribution in regards to Greek burial beliefs; this states that often a ‘revenant’ is identified by partial decomposition and will often swell up after death to then cause harm to </w:t>
      </w:r>
      <w:r w:rsidR="002657BC">
        <w:rPr>
          <w:sz w:val="28"/>
          <w:szCs w:val="28"/>
        </w:rPr>
        <w:t>their family and neighbours</w:t>
      </w:r>
      <w:r w:rsidR="002657BC">
        <w:rPr>
          <w:rStyle w:val="EndnoteReference"/>
          <w:sz w:val="28"/>
          <w:szCs w:val="28"/>
        </w:rPr>
        <w:endnoteReference w:id="7"/>
      </w:r>
      <w:r w:rsidR="002657BC">
        <w:rPr>
          <w:sz w:val="28"/>
          <w:szCs w:val="28"/>
        </w:rPr>
        <w:t xml:space="preserve">. It is </w:t>
      </w:r>
      <w:r w:rsidR="00C40851">
        <w:rPr>
          <w:sz w:val="28"/>
          <w:szCs w:val="28"/>
        </w:rPr>
        <w:t xml:space="preserve">well known that a build-up of gasses in the corpse will cause excessive swelling of the individual, coupled with the congealing of blood in the extremities, it is reasonable to assume that in this instance this natural occurrence may have been mistaken as an indicator for demonic possession, thus his relatives covering the body with stones.  </w:t>
      </w:r>
      <w:r w:rsidR="00946746">
        <w:rPr>
          <w:sz w:val="28"/>
          <w:szCs w:val="28"/>
        </w:rPr>
        <w:t xml:space="preserve"> However I believe that it is less likely that these stones were placed here to deter grave looters, seeing as there are no material finds of substantial value at this grave site and considering the notion that these stones may have been placed there in the absence of a formal burial vessel, this individual would most likely not have been wealthy enough to warrant an exhumation for profit. </w:t>
      </w:r>
      <w:r w:rsidR="00A36607">
        <w:rPr>
          <w:sz w:val="28"/>
          <w:szCs w:val="28"/>
        </w:rPr>
        <w:t xml:space="preserve">Furthermore in </w:t>
      </w:r>
      <w:r w:rsidR="00A36607">
        <w:rPr>
          <w:sz w:val="28"/>
          <w:szCs w:val="28"/>
        </w:rPr>
        <w:lastRenderedPageBreak/>
        <w:t xml:space="preserve">light of this, it is unlikely that this particular example would constitute a pre-emptive burial method to deter the deceased from rising as a ‘revenant’. </w:t>
      </w:r>
    </w:p>
    <w:p w14:paraId="4C63DE35" w14:textId="1E269A05" w:rsidR="00475CD7" w:rsidRDefault="00475CD7" w:rsidP="00A6634E">
      <w:pPr>
        <w:spacing w:before="240" w:after="120" w:line="480" w:lineRule="auto"/>
        <w:jc w:val="both"/>
        <w:rPr>
          <w:sz w:val="28"/>
          <w:szCs w:val="28"/>
        </w:rPr>
      </w:pPr>
    </w:p>
    <w:p w14:paraId="49EF76FA" w14:textId="37097E78" w:rsidR="00475CD7" w:rsidRDefault="00475CD7" w:rsidP="00A6634E">
      <w:pPr>
        <w:spacing w:before="240" w:after="120" w:line="480" w:lineRule="auto"/>
        <w:jc w:val="both"/>
        <w:rPr>
          <w:sz w:val="28"/>
          <w:szCs w:val="28"/>
        </w:rPr>
      </w:pPr>
      <w:r>
        <w:rPr>
          <w:sz w:val="28"/>
          <w:szCs w:val="28"/>
        </w:rPr>
        <w:t xml:space="preserve">Moreover in some historical literary accounts the appearance of what would be classed as a ‘revenant’ </w:t>
      </w:r>
      <w:r w:rsidR="00E52EF7">
        <w:rPr>
          <w:sz w:val="28"/>
          <w:szCs w:val="28"/>
        </w:rPr>
        <w:t>may in fact be confused with a person whom is wrongfully pronounced dead. Pliny for example detai</w:t>
      </w:r>
      <w:r w:rsidR="00BE37BC">
        <w:rPr>
          <w:sz w:val="28"/>
          <w:szCs w:val="28"/>
        </w:rPr>
        <w:t xml:space="preserve">ls that during the cremation of  </w:t>
      </w:r>
      <w:r w:rsidR="00F33EA1">
        <w:rPr>
          <w:sz w:val="28"/>
          <w:szCs w:val="28"/>
        </w:rPr>
        <w:t>Aviola</w:t>
      </w:r>
      <w:r w:rsidR="00BE37BC">
        <w:rPr>
          <w:sz w:val="28"/>
          <w:szCs w:val="28"/>
        </w:rPr>
        <w:t xml:space="preserve">        the corpse has risen from</w:t>
      </w:r>
      <w:r w:rsidR="0067547F">
        <w:rPr>
          <w:sz w:val="28"/>
          <w:szCs w:val="28"/>
        </w:rPr>
        <w:t xml:space="preserve"> the funeral pyre, in what may be </w:t>
      </w:r>
      <w:r w:rsidR="00BE37BC">
        <w:rPr>
          <w:sz w:val="28"/>
          <w:szCs w:val="28"/>
        </w:rPr>
        <w:t xml:space="preserve">a supernatural </w:t>
      </w:r>
      <w:r w:rsidR="0067547F">
        <w:rPr>
          <w:sz w:val="28"/>
          <w:szCs w:val="28"/>
        </w:rPr>
        <w:t xml:space="preserve">occurrence , however the language following this description seems to suggest that pliny is sceptical of this notion. The lines I am referring too are as follows: </w:t>
      </w:r>
    </w:p>
    <w:p w14:paraId="02458542" w14:textId="77777777" w:rsidR="00F33EA1" w:rsidRDefault="00F33EA1" w:rsidP="00A6634E">
      <w:pPr>
        <w:spacing w:before="240" w:after="120" w:line="480" w:lineRule="auto"/>
        <w:jc w:val="both"/>
        <w:rPr>
          <w:sz w:val="28"/>
          <w:szCs w:val="28"/>
        </w:rPr>
      </w:pPr>
    </w:p>
    <w:p w14:paraId="7C4437C1" w14:textId="48C2256A" w:rsidR="0067547F" w:rsidRDefault="0067547F" w:rsidP="00A6634E">
      <w:pPr>
        <w:spacing w:before="240" w:after="120" w:line="480" w:lineRule="auto"/>
        <w:ind w:left="720"/>
        <w:jc w:val="both"/>
        <w:rPr>
          <w:i/>
          <w:sz w:val="28"/>
          <w:szCs w:val="28"/>
        </w:rPr>
      </w:pPr>
      <w:r>
        <w:rPr>
          <w:i/>
          <w:sz w:val="28"/>
          <w:szCs w:val="28"/>
        </w:rPr>
        <w:t>“</w:t>
      </w:r>
      <w:r w:rsidRPr="00F33EA1">
        <w:rPr>
          <w:sz w:val="28"/>
          <w:szCs w:val="28"/>
        </w:rPr>
        <w:t>by reason of the violence of the flames, no assistance could be rendered him, in consequence of which he was burnt alive</w:t>
      </w:r>
      <w:r>
        <w:rPr>
          <w:i/>
          <w:sz w:val="28"/>
          <w:szCs w:val="28"/>
        </w:rPr>
        <w:t>”</w:t>
      </w:r>
      <w:r w:rsidR="00F33EA1">
        <w:rPr>
          <w:rStyle w:val="EndnoteReference"/>
          <w:i/>
          <w:sz w:val="28"/>
          <w:szCs w:val="28"/>
        </w:rPr>
        <w:endnoteReference w:id="8"/>
      </w:r>
      <w:r>
        <w:rPr>
          <w:i/>
          <w:sz w:val="28"/>
          <w:szCs w:val="28"/>
        </w:rPr>
        <w:t xml:space="preserve"> </w:t>
      </w:r>
    </w:p>
    <w:p w14:paraId="2BDF838E" w14:textId="77777777" w:rsidR="00F33EA1" w:rsidRDefault="00F33EA1" w:rsidP="00A6634E">
      <w:pPr>
        <w:spacing w:before="240" w:after="120" w:line="480" w:lineRule="auto"/>
        <w:jc w:val="both"/>
        <w:rPr>
          <w:sz w:val="28"/>
          <w:szCs w:val="28"/>
        </w:rPr>
      </w:pPr>
    </w:p>
    <w:p w14:paraId="0E7F4747" w14:textId="4C1A669D" w:rsidR="0067547F" w:rsidRDefault="0067547F" w:rsidP="00A6634E">
      <w:pPr>
        <w:spacing w:before="240" w:after="120" w:line="480" w:lineRule="auto"/>
        <w:jc w:val="both"/>
        <w:rPr>
          <w:sz w:val="28"/>
          <w:szCs w:val="28"/>
        </w:rPr>
      </w:pPr>
      <w:r>
        <w:rPr>
          <w:sz w:val="28"/>
          <w:szCs w:val="28"/>
        </w:rPr>
        <w:t>Here it is interesting to note that Pliny regards individual in question as alive while the body is consumed by flames, where as if this individual had risen as a ‘revenant’ his language choice would no doubt be different in describing the person. Other possible langua</w:t>
      </w:r>
      <w:r w:rsidR="00F33EA1">
        <w:rPr>
          <w:sz w:val="28"/>
          <w:szCs w:val="28"/>
        </w:rPr>
        <w:t xml:space="preserve">ge choices such as that used in the account of Gabineus’s alleged resurrection would certainly be more prudent in this case. </w:t>
      </w:r>
      <w:r w:rsidR="00F33EA1">
        <w:rPr>
          <w:sz w:val="28"/>
          <w:szCs w:val="28"/>
        </w:rPr>
        <w:lastRenderedPageBreak/>
        <w:t xml:space="preserve">Consider the differences between the following passage and that of the former passage: </w:t>
      </w:r>
    </w:p>
    <w:p w14:paraId="12C23B82" w14:textId="77777777" w:rsidR="00F33EA1" w:rsidRDefault="00F33EA1" w:rsidP="00A6634E">
      <w:pPr>
        <w:spacing w:before="240" w:after="120" w:line="480" w:lineRule="auto"/>
        <w:jc w:val="both"/>
        <w:rPr>
          <w:i/>
          <w:sz w:val="28"/>
          <w:szCs w:val="28"/>
        </w:rPr>
      </w:pPr>
    </w:p>
    <w:p w14:paraId="63933EDA" w14:textId="77777777" w:rsidR="00F33EA1" w:rsidRDefault="00F33EA1" w:rsidP="00A6634E">
      <w:pPr>
        <w:spacing w:before="240" w:after="120" w:line="480" w:lineRule="auto"/>
        <w:jc w:val="both"/>
        <w:rPr>
          <w:i/>
          <w:sz w:val="28"/>
          <w:szCs w:val="28"/>
        </w:rPr>
      </w:pPr>
    </w:p>
    <w:p w14:paraId="63D9515E" w14:textId="77777777" w:rsidR="00F33EA1" w:rsidRDefault="00F33EA1" w:rsidP="00A6634E">
      <w:pPr>
        <w:spacing w:before="240" w:after="120" w:line="480" w:lineRule="auto"/>
        <w:jc w:val="both"/>
        <w:rPr>
          <w:i/>
          <w:sz w:val="28"/>
          <w:szCs w:val="28"/>
        </w:rPr>
      </w:pPr>
    </w:p>
    <w:p w14:paraId="3C36014D" w14:textId="77777777" w:rsidR="00F33EA1" w:rsidRDefault="00F33EA1" w:rsidP="00A6634E">
      <w:pPr>
        <w:spacing w:before="240" w:after="120" w:line="480" w:lineRule="auto"/>
        <w:jc w:val="both"/>
        <w:rPr>
          <w:i/>
          <w:sz w:val="28"/>
          <w:szCs w:val="28"/>
        </w:rPr>
      </w:pPr>
    </w:p>
    <w:p w14:paraId="76F7708F" w14:textId="77777777" w:rsidR="00F33EA1" w:rsidRDefault="00F33EA1" w:rsidP="00A6634E">
      <w:pPr>
        <w:spacing w:before="240" w:after="120" w:line="480" w:lineRule="auto"/>
        <w:jc w:val="both"/>
        <w:rPr>
          <w:i/>
          <w:sz w:val="28"/>
          <w:szCs w:val="28"/>
        </w:rPr>
      </w:pPr>
    </w:p>
    <w:p w14:paraId="3129BBD8" w14:textId="3CAE9456" w:rsidR="00F33EA1" w:rsidRPr="00F33EA1" w:rsidRDefault="00F33EA1" w:rsidP="00A6634E">
      <w:pPr>
        <w:spacing w:before="240" w:after="120" w:line="480" w:lineRule="auto"/>
        <w:jc w:val="both"/>
        <w:rPr>
          <w:sz w:val="28"/>
          <w:szCs w:val="28"/>
          <w:u w:val="single"/>
        </w:rPr>
      </w:pPr>
      <w:r>
        <w:rPr>
          <w:i/>
          <w:sz w:val="28"/>
          <w:szCs w:val="28"/>
        </w:rPr>
        <w:t>“</w:t>
      </w:r>
      <w:r w:rsidRPr="00F33EA1">
        <w:rPr>
          <w:sz w:val="28"/>
          <w:szCs w:val="28"/>
        </w:rPr>
        <w:t>In the Sicilian war, Gabienus, the bravest of all Cæsar's naval commanders, was taken prisoner by Sextus Pompeius, who ordered his throat to be cut; after which, his head almost severed from his body, he lay the whole of the day upon the seashore. Towards evening, with groans and entreaties, he begged the crowds of people who had assembled, that they would prevail upon Pompeius to come to him, or else send one of his most confidential friends, as he had just returned from the shades below, and had some important news to communicate</w:t>
      </w:r>
      <w:r>
        <w:rPr>
          <w:sz w:val="28"/>
          <w:szCs w:val="28"/>
          <w:u w:val="single"/>
        </w:rPr>
        <w:t>”</w:t>
      </w:r>
      <w:r>
        <w:rPr>
          <w:rStyle w:val="EndnoteReference"/>
          <w:sz w:val="28"/>
          <w:szCs w:val="28"/>
          <w:u w:val="single"/>
        </w:rPr>
        <w:endnoteReference w:id="9"/>
      </w:r>
    </w:p>
    <w:p w14:paraId="6BAB03B4" w14:textId="7C33DC77" w:rsidR="0067547F" w:rsidRDefault="0067547F" w:rsidP="00A6634E">
      <w:pPr>
        <w:spacing w:before="240" w:after="120" w:line="480" w:lineRule="auto"/>
        <w:jc w:val="both"/>
        <w:rPr>
          <w:sz w:val="28"/>
          <w:szCs w:val="28"/>
        </w:rPr>
      </w:pPr>
    </w:p>
    <w:p w14:paraId="6C9DAD20" w14:textId="07841CEA" w:rsidR="00C852A1" w:rsidRDefault="00C852A1" w:rsidP="00A6634E">
      <w:pPr>
        <w:spacing w:before="240" w:after="120" w:line="480" w:lineRule="auto"/>
        <w:jc w:val="both"/>
        <w:rPr>
          <w:sz w:val="28"/>
          <w:szCs w:val="28"/>
        </w:rPr>
      </w:pPr>
      <w:r>
        <w:rPr>
          <w:sz w:val="28"/>
          <w:szCs w:val="28"/>
        </w:rPr>
        <w:t xml:space="preserve">Here Pliny refers to the individual as a body and uses no language to suggest a false diagnosis of death, however this example may be problematic because in </w:t>
      </w:r>
      <w:r>
        <w:rPr>
          <w:sz w:val="28"/>
          <w:szCs w:val="28"/>
        </w:rPr>
        <w:lastRenderedPageBreak/>
        <w:t xml:space="preserve">this case it certainly seems that Gabienus has been dead for some time before reanimating to converse with the on looking peoples however Pliny neglects to characterise the corpse as a revenant, using his name instead of non descript nouns such as “it” or similar language to his previous account. Furthermore the confidants of Sextus Pompeius and Sextus himself do not seem to be fearful of the corpse and take no measures to prevent the rising of the dead, instead listen to what he has to say. </w:t>
      </w:r>
    </w:p>
    <w:p w14:paraId="01BBA3E6" w14:textId="77777777" w:rsidR="00A36607" w:rsidRDefault="00A36607" w:rsidP="00A6634E">
      <w:pPr>
        <w:spacing w:before="240" w:after="120" w:line="480" w:lineRule="auto"/>
        <w:jc w:val="both"/>
        <w:rPr>
          <w:sz w:val="28"/>
          <w:szCs w:val="28"/>
        </w:rPr>
      </w:pPr>
    </w:p>
    <w:p w14:paraId="7E67659E" w14:textId="77777777" w:rsidR="00A36607" w:rsidRDefault="00A36607" w:rsidP="00A6634E">
      <w:pPr>
        <w:spacing w:before="240" w:after="120" w:line="480" w:lineRule="auto"/>
        <w:jc w:val="both"/>
        <w:rPr>
          <w:sz w:val="28"/>
          <w:szCs w:val="28"/>
        </w:rPr>
      </w:pPr>
    </w:p>
    <w:p w14:paraId="5FB2590E" w14:textId="287FD25A" w:rsidR="00A36607" w:rsidRDefault="00A36607" w:rsidP="00A6634E">
      <w:pPr>
        <w:spacing w:before="240" w:after="120" w:line="480" w:lineRule="auto"/>
        <w:jc w:val="both"/>
        <w:rPr>
          <w:sz w:val="28"/>
          <w:szCs w:val="28"/>
        </w:rPr>
      </w:pPr>
      <w:r>
        <w:rPr>
          <w:sz w:val="28"/>
          <w:szCs w:val="28"/>
        </w:rPr>
        <w:t>However, in several other examples we may see that the treatment, conduct and circumstance of the burial is vastly different to the aforementioned example. Instead, these sites exhibit highly unusual and unorthodox presentation of the remains</w:t>
      </w:r>
      <w:r w:rsidR="003F3DDE">
        <w:rPr>
          <w:sz w:val="28"/>
          <w:szCs w:val="28"/>
        </w:rPr>
        <w:t xml:space="preserve">. </w:t>
      </w:r>
      <w:r w:rsidR="00C852A1">
        <w:rPr>
          <w:sz w:val="28"/>
          <w:szCs w:val="28"/>
        </w:rPr>
        <w:t>A burial from Merenda, dating from the third century BC seems to indicate a proactive attempt to disable the corpse in question, as the woman buried here has been cut in half and placed inside of a container</w:t>
      </w:r>
      <w:r w:rsidR="00685CCD">
        <w:rPr>
          <w:sz w:val="28"/>
          <w:szCs w:val="28"/>
        </w:rPr>
        <w:t xml:space="preserve">. As highlighted by Danforth this dismemberment of the corpse symbolically detaches the deceased individual from the realms of the living even more so that a simple burial. Consider the lament which Danforth presents: </w:t>
      </w:r>
    </w:p>
    <w:p w14:paraId="4AB581D0" w14:textId="423A9068" w:rsidR="00685CCD" w:rsidRDefault="00685CCD" w:rsidP="00A6634E">
      <w:pPr>
        <w:spacing w:before="240" w:after="120" w:line="480" w:lineRule="auto"/>
        <w:jc w:val="both"/>
        <w:rPr>
          <w:sz w:val="28"/>
          <w:szCs w:val="28"/>
        </w:rPr>
      </w:pPr>
    </w:p>
    <w:p w14:paraId="5BC2C7F0" w14:textId="3CAA7783" w:rsidR="00685CCD" w:rsidRDefault="00685CCD" w:rsidP="00A6634E">
      <w:pPr>
        <w:spacing w:before="240" w:after="120" w:line="480" w:lineRule="auto"/>
        <w:jc w:val="both"/>
        <w:rPr>
          <w:sz w:val="28"/>
          <w:szCs w:val="28"/>
        </w:rPr>
      </w:pPr>
      <w:r>
        <w:rPr>
          <w:sz w:val="28"/>
          <w:szCs w:val="28"/>
        </w:rPr>
        <w:lastRenderedPageBreak/>
        <w:t>“He ate my eyes, with which I saw the world</w:t>
      </w:r>
    </w:p>
    <w:p w14:paraId="5ED25BE7" w14:textId="661FECF4" w:rsidR="00685CCD" w:rsidRDefault="00685CCD" w:rsidP="00A6634E">
      <w:pPr>
        <w:spacing w:before="240" w:after="120" w:line="480" w:lineRule="auto"/>
        <w:jc w:val="both"/>
        <w:rPr>
          <w:sz w:val="28"/>
          <w:szCs w:val="28"/>
        </w:rPr>
      </w:pPr>
      <w:r>
        <w:rPr>
          <w:sz w:val="28"/>
          <w:szCs w:val="28"/>
        </w:rPr>
        <w:t xml:space="preserve">He ate my tounge with which I sang like a nightingale </w:t>
      </w:r>
    </w:p>
    <w:p w14:paraId="71D22CC5" w14:textId="308B8F1B" w:rsidR="00685CCD" w:rsidRDefault="00685CCD" w:rsidP="00A6634E">
      <w:pPr>
        <w:spacing w:before="240" w:after="120" w:line="480" w:lineRule="auto"/>
        <w:jc w:val="both"/>
        <w:rPr>
          <w:sz w:val="28"/>
          <w:szCs w:val="28"/>
        </w:rPr>
      </w:pPr>
      <w:r>
        <w:rPr>
          <w:sz w:val="28"/>
          <w:szCs w:val="28"/>
        </w:rPr>
        <w:t>He ate my hands, with which I did my chores</w:t>
      </w:r>
    </w:p>
    <w:p w14:paraId="74FDCC5B" w14:textId="6A052170" w:rsidR="00685CCD" w:rsidRDefault="00685CCD" w:rsidP="00A6634E">
      <w:pPr>
        <w:spacing w:before="240" w:after="120" w:line="480" w:lineRule="auto"/>
        <w:jc w:val="both"/>
        <w:rPr>
          <w:sz w:val="28"/>
          <w:szCs w:val="28"/>
        </w:rPr>
      </w:pPr>
      <w:r>
        <w:rPr>
          <w:sz w:val="28"/>
          <w:szCs w:val="28"/>
        </w:rPr>
        <w:t>And he ate my feet with which I used to come and go”</w:t>
      </w:r>
      <w:r>
        <w:rPr>
          <w:rStyle w:val="EndnoteReference"/>
          <w:sz w:val="28"/>
          <w:szCs w:val="28"/>
        </w:rPr>
        <w:endnoteReference w:id="10"/>
      </w:r>
    </w:p>
    <w:p w14:paraId="61E0B57B" w14:textId="02361B18" w:rsidR="00685CCD" w:rsidRDefault="00685CCD" w:rsidP="00A6634E">
      <w:pPr>
        <w:spacing w:before="240" w:after="120" w:line="480" w:lineRule="auto"/>
        <w:jc w:val="both"/>
        <w:rPr>
          <w:sz w:val="28"/>
          <w:szCs w:val="28"/>
        </w:rPr>
      </w:pPr>
    </w:p>
    <w:p w14:paraId="70BA0E14" w14:textId="17838FE2" w:rsidR="00685CCD" w:rsidRPr="0077442E" w:rsidRDefault="00685CCD" w:rsidP="00A6634E">
      <w:pPr>
        <w:spacing w:before="240" w:after="120" w:line="480" w:lineRule="auto"/>
        <w:jc w:val="both"/>
        <w:rPr>
          <w:sz w:val="28"/>
          <w:szCs w:val="28"/>
        </w:rPr>
      </w:pPr>
      <w:r>
        <w:rPr>
          <w:sz w:val="28"/>
          <w:szCs w:val="28"/>
        </w:rPr>
        <w:t xml:space="preserve">This detachment of limbs and extremities prevents the individual being able to conduct himself in death as he would in life, in the case of the woman we see that this is done to the extreme, if a corpse is unable to function in the afterlife due to dismemberment, it would certainly seem plausible that they are unable to rise as a revenant due to this lack of functioning body parts. It is this belief why we may also see the woman being placed in separate container upon her burial. </w:t>
      </w:r>
    </w:p>
    <w:p w14:paraId="580F5543" w14:textId="421D9635" w:rsidR="0077442E" w:rsidRDefault="0077442E" w:rsidP="00A6634E">
      <w:pPr>
        <w:spacing w:line="480" w:lineRule="auto"/>
        <w:jc w:val="both"/>
        <w:rPr>
          <w:sz w:val="36"/>
          <w:u w:val="single"/>
        </w:rPr>
      </w:pPr>
    </w:p>
    <w:p w14:paraId="2A7D1D71" w14:textId="288FDA62" w:rsidR="0067547F" w:rsidRDefault="0067547F" w:rsidP="00A6634E">
      <w:pPr>
        <w:spacing w:after="480" w:line="480" w:lineRule="auto"/>
        <w:jc w:val="both"/>
        <w:rPr>
          <w:sz w:val="28"/>
          <w:szCs w:val="28"/>
        </w:rPr>
      </w:pPr>
    </w:p>
    <w:p w14:paraId="3B2ACDF8" w14:textId="77777777" w:rsidR="0067547F" w:rsidRDefault="0067547F" w:rsidP="00A6634E">
      <w:pPr>
        <w:spacing w:line="480" w:lineRule="auto"/>
        <w:jc w:val="both"/>
        <w:rPr>
          <w:sz w:val="28"/>
          <w:szCs w:val="28"/>
        </w:rPr>
      </w:pPr>
    </w:p>
    <w:p w14:paraId="04183697" w14:textId="358F6A7A" w:rsidR="00475CD7" w:rsidRPr="00475CD7" w:rsidRDefault="00475CD7" w:rsidP="00A6634E">
      <w:pPr>
        <w:spacing w:line="480" w:lineRule="auto"/>
        <w:jc w:val="both"/>
        <w:rPr>
          <w:sz w:val="28"/>
          <w:szCs w:val="28"/>
        </w:rPr>
      </w:pPr>
      <w:r>
        <w:rPr>
          <w:sz w:val="28"/>
          <w:szCs w:val="28"/>
        </w:rPr>
        <w:t xml:space="preserve">In conclusion, I believe that while certainly some grave sites exhibit unusual practises such as the weighing down of the remains with stones, being nailed in </w:t>
      </w:r>
      <w:r>
        <w:rPr>
          <w:sz w:val="28"/>
          <w:szCs w:val="28"/>
        </w:rPr>
        <w:lastRenderedPageBreak/>
        <w:t>place or dismembered in such a way that the dead is further disconnected from the realm of the living, i.e. lament 21 in Danforths work- generally it is dif</w:t>
      </w:r>
      <w:r w:rsidR="00E52EF7">
        <w:rPr>
          <w:sz w:val="28"/>
          <w:szCs w:val="28"/>
        </w:rPr>
        <w:t>ficult to discern whether a burial has been carried out with the forethought of protecting the living from a reanimated corpse purely from the grave alone- in order to accurately characterise a burial as one of the ‘revenant’ type it is prudent that the corpse is accompanied by some sort of inscription detailing the circumstances of this</w:t>
      </w:r>
      <w:r w:rsidR="00BE37BC">
        <w:rPr>
          <w:sz w:val="28"/>
          <w:szCs w:val="28"/>
        </w:rPr>
        <w:t xml:space="preserve"> grave or indeed curse tablets in and around the remains- otherwise what may be merely an unorthodox or rushed burial (such as those occurring after battle) may be misinterpreted as a burial orchestrated to prevent the reincarnation of the dead</w:t>
      </w:r>
      <w:r w:rsidR="00E11B5F">
        <w:rPr>
          <w:sz w:val="28"/>
          <w:szCs w:val="28"/>
        </w:rPr>
        <w:t xml:space="preserve">. Despite this however it seems that the effort put into some of these examples suggest that the fear of rising revenants was </w:t>
      </w:r>
      <w:r w:rsidR="00F33EA1">
        <w:rPr>
          <w:sz w:val="28"/>
          <w:szCs w:val="28"/>
        </w:rPr>
        <w:t>in fact</w:t>
      </w:r>
      <w:r w:rsidR="00E11B5F">
        <w:rPr>
          <w:sz w:val="28"/>
          <w:szCs w:val="28"/>
        </w:rPr>
        <w:t xml:space="preserve"> very real in the ancient context</w:t>
      </w:r>
      <w:r w:rsidR="0067547F">
        <w:rPr>
          <w:sz w:val="28"/>
          <w:szCs w:val="28"/>
        </w:rPr>
        <w:t xml:space="preserve">. </w:t>
      </w:r>
    </w:p>
    <w:bookmarkEnd w:id="0"/>
    <w:p w14:paraId="4760D726" w14:textId="4EB34474" w:rsidR="00475CD7" w:rsidRDefault="00475CD7" w:rsidP="0077442E">
      <w:pPr>
        <w:jc w:val="both"/>
        <w:rPr>
          <w:sz w:val="36"/>
          <w:u w:val="single"/>
        </w:rPr>
      </w:pPr>
    </w:p>
    <w:p w14:paraId="4E55FBF8" w14:textId="41E518EF" w:rsidR="00475CD7" w:rsidRDefault="00475CD7" w:rsidP="0077442E">
      <w:pPr>
        <w:jc w:val="both"/>
        <w:rPr>
          <w:sz w:val="36"/>
          <w:u w:val="single"/>
        </w:rPr>
      </w:pPr>
    </w:p>
    <w:p w14:paraId="5F46C9BF" w14:textId="77777777" w:rsidR="0077442E" w:rsidRPr="0077442E" w:rsidRDefault="0077442E" w:rsidP="0077442E">
      <w:pPr>
        <w:jc w:val="both"/>
        <w:rPr>
          <w:sz w:val="36"/>
          <w:u w:val="single"/>
        </w:rPr>
      </w:pPr>
    </w:p>
    <w:sectPr w:rsidR="0077442E" w:rsidRPr="007744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9A0CBC" w14:textId="77777777" w:rsidR="00A477EF" w:rsidRDefault="00A477EF" w:rsidP="00852637">
      <w:pPr>
        <w:spacing w:after="0" w:line="240" w:lineRule="auto"/>
      </w:pPr>
      <w:r>
        <w:separator/>
      </w:r>
    </w:p>
  </w:endnote>
  <w:endnote w:type="continuationSeparator" w:id="0">
    <w:p w14:paraId="41EFA0F6" w14:textId="77777777" w:rsidR="00A477EF" w:rsidRDefault="00A477EF" w:rsidP="00852637">
      <w:pPr>
        <w:spacing w:after="0" w:line="240" w:lineRule="auto"/>
      </w:pPr>
      <w:r>
        <w:continuationSeparator/>
      </w:r>
    </w:p>
  </w:endnote>
  <w:endnote w:id="1">
    <w:p w14:paraId="2A7E33B7" w14:textId="77777777" w:rsidR="00852637" w:rsidRDefault="00852637">
      <w:pPr>
        <w:pStyle w:val="EndnoteText"/>
      </w:pPr>
      <w:r>
        <w:rPr>
          <w:rStyle w:val="EndnoteReference"/>
        </w:rPr>
        <w:endnoteRef/>
      </w:r>
      <w:r>
        <w:t xml:space="preserve"> Virgil ‘The Aeniad’ Book 6 </w:t>
      </w:r>
      <w:r w:rsidR="00D551A4">
        <w:t xml:space="preserve">   </w:t>
      </w:r>
    </w:p>
  </w:endnote>
  <w:endnote w:id="2">
    <w:p w14:paraId="4692B6D7" w14:textId="77777777" w:rsidR="00700317" w:rsidRDefault="00700317">
      <w:pPr>
        <w:pStyle w:val="EndnoteText"/>
      </w:pPr>
      <w:r>
        <w:rPr>
          <w:rStyle w:val="EndnoteReference"/>
        </w:rPr>
        <w:endnoteRef/>
      </w:r>
      <w:r>
        <w:t xml:space="preserve"> Carrie.L and Sulosky Weaver, 2015 ‘Bioarchaeology of classical Kamarina life and death in Greek sicily’ Gainsv</w:t>
      </w:r>
      <w:r w:rsidR="007A7402">
        <w:t>ille, University of Florida p18, 23,25</w:t>
      </w:r>
    </w:p>
  </w:endnote>
  <w:endnote w:id="3">
    <w:p w14:paraId="73BACF37" w14:textId="5DF82210" w:rsidR="00192327" w:rsidRDefault="00192327">
      <w:pPr>
        <w:pStyle w:val="EndnoteText"/>
      </w:pPr>
      <w:r>
        <w:rPr>
          <w:rStyle w:val="EndnoteReference"/>
        </w:rPr>
        <w:endnoteRef/>
      </w:r>
      <w:r>
        <w:t xml:space="preserve"> Patronius, ‘Satryicon’ </w:t>
      </w:r>
      <w:r w:rsidR="009B5948">
        <w:t>71</w:t>
      </w:r>
    </w:p>
  </w:endnote>
  <w:endnote w:id="4">
    <w:p w14:paraId="057D3B43" w14:textId="77777777" w:rsidR="0012170E" w:rsidRDefault="0012170E">
      <w:pPr>
        <w:pStyle w:val="EndnoteText"/>
      </w:pPr>
      <w:r>
        <w:rPr>
          <w:rStyle w:val="EndnoteReference"/>
        </w:rPr>
        <w:endnoteRef/>
      </w:r>
      <w:r>
        <w:t xml:space="preserve"> Ibid p19</w:t>
      </w:r>
    </w:p>
  </w:endnote>
  <w:endnote w:id="5">
    <w:p w14:paraId="50B36650" w14:textId="7071FB4F" w:rsidR="00562B6E" w:rsidRDefault="00562B6E">
      <w:pPr>
        <w:pStyle w:val="EndnoteText"/>
      </w:pPr>
      <w:r>
        <w:rPr>
          <w:rStyle w:val="EndnoteReference"/>
        </w:rPr>
        <w:endnoteRef/>
      </w:r>
      <w:r>
        <w:t xml:space="preserve"> </w:t>
      </w:r>
      <w:r w:rsidRPr="00562B6E">
        <w:t> Lecouteux</w:t>
      </w:r>
      <w:r>
        <w:t>. C ‘The return of the dead: ghosts, Ancestors and the transparent veil of the pagan mind’ 2009 Inner traditions international p</w:t>
      </w:r>
      <w:r w:rsidR="00E11B5F">
        <w:t xml:space="preserve">3 </w:t>
      </w:r>
    </w:p>
  </w:endnote>
  <w:endnote w:id="6">
    <w:p w14:paraId="3057350F" w14:textId="77777777" w:rsidR="003F3DDE" w:rsidRDefault="003F3DDE">
      <w:pPr>
        <w:pStyle w:val="EndnoteText"/>
      </w:pPr>
      <w:r>
        <w:rPr>
          <w:rStyle w:val="EndnoteReference"/>
        </w:rPr>
        <w:endnoteRef/>
      </w:r>
      <w:r>
        <w:t xml:space="preserve"> Virgil, ‘The Aeniad’ book 6 </w:t>
      </w:r>
    </w:p>
  </w:endnote>
  <w:endnote w:id="7">
    <w:p w14:paraId="1C9B5160" w14:textId="77777777" w:rsidR="002657BC" w:rsidRDefault="002657BC">
      <w:pPr>
        <w:pStyle w:val="EndnoteText"/>
      </w:pPr>
      <w:r>
        <w:rPr>
          <w:rStyle w:val="EndnoteReference"/>
        </w:rPr>
        <w:endnoteRef/>
      </w:r>
      <w:r>
        <w:t xml:space="preserve"> L.M Danforth, ‘The death rituals of Rural Greece’ 1982 Princeton University press p53</w:t>
      </w:r>
    </w:p>
  </w:endnote>
  <w:endnote w:id="8">
    <w:p w14:paraId="5B223C8E" w14:textId="00ED20C9" w:rsidR="00F33EA1" w:rsidRDefault="00F33EA1">
      <w:pPr>
        <w:pStyle w:val="EndnoteText"/>
      </w:pPr>
      <w:r>
        <w:rPr>
          <w:rStyle w:val="EndnoteReference"/>
        </w:rPr>
        <w:endnoteRef/>
      </w:r>
      <w:r>
        <w:t xml:space="preserve"> Pliny ‘Natural Histories’ 7.53 -2211 </w:t>
      </w:r>
    </w:p>
  </w:endnote>
  <w:endnote w:id="9">
    <w:p w14:paraId="107D6D27" w14:textId="00B6818B" w:rsidR="00F33EA1" w:rsidRDefault="00F33EA1">
      <w:pPr>
        <w:pStyle w:val="EndnoteText"/>
      </w:pPr>
      <w:r>
        <w:rPr>
          <w:rStyle w:val="EndnoteReference"/>
        </w:rPr>
        <w:endnoteRef/>
      </w:r>
      <w:r>
        <w:t xml:space="preserve"> Ibid – 7.53 2213</w:t>
      </w:r>
    </w:p>
  </w:endnote>
  <w:endnote w:id="10">
    <w:p w14:paraId="0C996EBD" w14:textId="08C20E57" w:rsidR="00685CCD" w:rsidRDefault="00685CCD">
      <w:pPr>
        <w:pStyle w:val="EndnoteText"/>
      </w:pPr>
      <w:r>
        <w:rPr>
          <w:rStyle w:val="EndnoteReference"/>
        </w:rPr>
        <w:endnoteRef/>
      </w:r>
      <w:r>
        <w:t xml:space="preserve"> Danforth ‘The death rituals of rural Greece” p102</w:t>
      </w:r>
    </w:p>
    <w:p w14:paraId="17ACC6DF" w14:textId="2E2DB1F6" w:rsidR="007A5282" w:rsidRDefault="007A5282">
      <w:pPr>
        <w:pStyle w:val="EndnoteText"/>
      </w:pPr>
    </w:p>
    <w:p w14:paraId="2A10F4B3" w14:textId="678831B2" w:rsidR="007A5282" w:rsidRDefault="007A5282">
      <w:pPr>
        <w:pStyle w:val="EndnoteText"/>
      </w:pPr>
    </w:p>
    <w:p w14:paraId="6EE75C1E" w14:textId="3CC5DEAA" w:rsidR="007A5282" w:rsidRDefault="007A5282">
      <w:pPr>
        <w:pStyle w:val="EndnoteText"/>
      </w:pPr>
    </w:p>
    <w:p w14:paraId="0DFBEBAA" w14:textId="148C8C50" w:rsidR="007A5282" w:rsidRDefault="007A5282">
      <w:pPr>
        <w:pStyle w:val="EndnoteText"/>
      </w:pPr>
    </w:p>
    <w:p w14:paraId="6EEF8B56" w14:textId="76C15DDF" w:rsidR="007A5282" w:rsidRDefault="007A5282">
      <w:pPr>
        <w:pStyle w:val="EndnoteText"/>
      </w:pPr>
    </w:p>
    <w:p w14:paraId="733B291F" w14:textId="7A957D6C" w:rsidR="007A5282" w:rsidRPr="007A5282" w:rsidRDefault="007A5282">
      <w:pPr>
        <w:pStyle w:val="EndnoteText"/>
        <w:rPr>
          <w:sz w:val="40"/>
          <w:szCs w:val="40"/>
        </w:rPr>
      </w:pPr>
      <w:r w:rsidRPr="007A5282">
        <w:rPr>
          <w:sz w:val="40"/>
          <w:szCs w:val="40"/>
        </w:rPr>
        <w:t xml:space="preserve">Bibliography: </w:t>
      </w:r>
    </w:p>
    <w:p w14:paraId="53F98614" w14:textId="5A15A163" w:rsidR="007A5282" w:rsidRDefault="007A5282">
      <w:pPr>
        <w:pStyle w:val="EndnoteText"/>
      </w:pPr>
    </w:p>
    <w:p w14:paraId="0ADD4B61" w14:textId="31851601" w:rsidR="007A5282" w:rsidRDefault="007A5282">
      <w:pPr>
        <w:pStyle w:val="EndnoteText"/>
        <w:rPr>
          <w:sz w:val="28"/>
        </w:rPr>
      </w:pPr>
      <w:r w:rsidRPr="007A5282">
        <w:rPr>
          <w:sz w:val="28"/>
        </w:rPr>
        <w:t>Carrie.L and Sulosky Weaver, 2015 ‘Bioarchaeology of classical Kamarina life and death in Greek sicily’ Gainsville, University of Florida</w:t>
      </w:r>
    </w:p>
    <w:p w14:paraId="59A9E39A" w14:textId="7E62B7D2" w:rsidR="007A5282" w:rsidRDefault="007A5282">
      <w:pPr>
        <w:pStyle w:val="EndnoteText"/>
        <w:rPr>
          <w:sz w:val="28"/>
        </w:rPr>
      </w:pPr>
    </w:p>
    <w:p w14:paraId="2C32E0E9" w14:textId="0FEBAFBF" w:rsidR="001C7678" w:rsidRDefault="001C7678">
      <w:pPr>
        <w:pStyle w:val="EndnoteText"/>
        <w:rPr>
          <w:sz w:val="28"/>
        </w:rPr>
      </w:pPr>
      <w:r>
        <w:rPr>
          <w:sz w:val="28"/>
        </w:rPr>
        <w:t>Keswani. P ‘Mortuary ritual and society in Bronze age Cyprus’ 2004 Equinox Publishing</w:t>
      </w:r>
    </w:p>
    <w:p w14:paraId="74680BC9" w14:textId="77777777" w:rsidR="001C7678" w:rsidRDefault="001C7678">
      <w:pPr>
        <w:pStyle w:val="EndnoteText"/>
        <w:rPr>
          <w:sz w:val="28"/>
        </w:rPr>
      </w:pPr>
    </w:p>
    <w:p w14:paraId="385165B4" w14:textId="323CE982" w:rsidR="001C7678" w:rsidRPr="001C7678" w:rsidRDefault="001C7678" w:rsidP="001C7678">
      <w:pPr>
        <w:pStyle w:val="EndnoteText"/>
        <w:rPr>
          <w:sz w:val="28"/>
        </w:rPr>
      </w:pPr>
      <w:r w:rsidRPr="001C7678">
        <w:rPr>
          <w:sz w:val="28"/>
        </w:rPr>
        <w:t>L.M Danforth, ‘The death rituals of Rural Greece’ 1982 Princeton University press</w:t>
      </w:r>
    </w:p>
    <w:p w14:paraId="6C8A5556" w14:textId="5307D829" w:rsidR="007A5282" w:rsidRDefault="007A5282">
      <w:pPr>
        <w:pStyle w:val="EndnoteText"/>
      </w:pPr>
    </w:p>
    <w:p w14:paraId="6EFC8EA2" w14:textId="081BA940" w:rsidR="001C7678" w:rsidRDefault="001C7678" w:rsidP="001C7678">
      <w:pPr>
        <w:pStyle w:val="EndnoteText"/>
        <w:rPr>
          <w:sz w:val="28"/>
        </w:rPr>
      </w:pPr>
      <w:r w:rsidRPr="001C7678">
        <w:rPr>
          <w:sz w:val="28"/>
        </w:rPr>
        <w:t>Lecouteux. C ‘The return of the dead: ghosts, Ancestors and the transparent veil of the pagan mind’ 2009 Inner traditions international</w:t>
      </w:r>
    </w:p>
    <w:p w14:paraId="2838AC35" w14:textId="21332A53" w:rsidR="001C7678" w:rsidRDefault="001C7678" w:rsidP="001C7678">
      <w:pPr>
        <w:pStyle w:val="EndnoteText"/>
        <w:rPr>
          <w:sz w:val="28"/>
        </w:rPr>
      </w:pPr>
    </w:p>
    <w:p w14:paraId="42EB670D" w14:textId="4B47104D" w:rsidR="001C7678" w:rsidRDefault="001C7678" w:rsidP="001C7678">
      <w:pPr>
        <w:pStyle w:val="EndnoteText"/>
        <w:rPr>
          <w:sz w:val="28"/>
        </w:rPr>
      </w:pPr>
      <w:r>
        <w:rPr>
          <w:sz w:val="28"/>
        </w:rPr>
        <w:t>Ogden. D ‘Greek and Roman Necromancy’ 2001 Princeton University press</w:t>
      </w:r>
    </w:p>
    <w:p w14:paraId="00492AAD" w14:textId="11F6D404" w:rsidR="001C7678" w:rsidRDefault="001C7678" w:rsidP="001C7678">
      <w:pPr>
        <w:pStyle w:val="EndnoteText"/>
        <w:rPr>
          <w:sz w:val="28"/>
        </w:rPr>
      </w:pPr>
    </w:p>
    <w:p w14:paraId="45305487" w14:textId="37C556A2" w:rsidR="001C7678" w:rsidRDefault="001C7678" w:rsidP="001C7678">
      <w:pPr>
        <w:pStyle w:val="EndnoteText"/>
        <w:rPr>
          <w:sz w:val="28"/>
        </w:rPr>
      </w:pPr>
      <w:r>
        <w:rPr>
          <w:sz w:val="28"/>
        </w:rPr>
        <w:t>Ogden. D ‘Magic, witchcraft and ghosts in the Greek and Roman World’ 2002 Oxford University Press</w:t>
      </w:r>
    </w:p>
    <w:p w14:paraId="28996895" w14:textId="204DECE7" w:rsidR="001C7678" w:rsidRDefault="001C7678" w:rsidP="001C7678">
      <w:pPr>
        <w:pStyle w:val="EndnoteText"/>
        <w:rPr>
          <w:sz w:val="28"/>
        </w:rPr>
      </w:pPr>
    </w:p>
    <w:p w14:paraId="68862C69" w14:textId="1624F3DE" w:rsidR="001C7678" w:rsidRDefault="001C7678" w:rsidP="001C7678">
      <w:pPr>
        <w:pStyle w:val="EndnoteText"/>
      </w:pPr>
    </w:p>
    <w:p w14:paraId="22AC3E3A" w14:textId="7DD7EBCA" w:rsidR="00F9764C" w:rsidRDefault="00F9764C" w:rsidP="001C7678">
      <w:pPr>
        <w:pStyle w:val="EndnoteText"/>
        <w:rPr>
          <w:sz w:val="36"/>
        </w:rPr>
      </w:pPr>
      <w:r>
        <w:rPr>
          <w:sz w:val="36"/>
        </w:rPr>
        <w:t xml:space="preserve">Ancient Soures: </w:t>
      </w:r>
    </w:p>
    <w:p w14:paraId="5F7DB285" w14:textId="7436882E" w:rsidR="00F9764C" w:rsidRDefault="00F9764C" w:rsidP="001C7678">
      <w:pPr>
        <w:pStyle w:val="EndnoteText"/>
        <w:rPr>
          <w:sz w:val="36"/>
        </w:rPr>
      </w:pPr>
    </w:p>
    <w:p w14:paraId="6B13542E" w14:textId="6BA925E7" w:rsidR="00F9764C" w:rsidRDefault="00F9764C" w:rsidP="001C7678">
      <w:pPr>
        <w:pStyle w:val="EndnoteText"/>
        <w:rPr>
          <w:sz w:val="36"/>
        </w:rPr>
      </w:pPr>
      <w:r>
        <w:rPr>
          <w:sz w:val="36"/>
        </w:rPr>
        <w:t xml:space="preserve">Pliny Natural Histories- Trans. John Bostock and H.T Riley 1855 </w:t>
      </w:r>
    </w:p>
    <w:p w14:paraId="6EC02F37" w14:textId="5DE0517B" w:rsidR="00F9764C" w:rsidRDefault="00F9764C" w:rsidP="001C7678">
      <w:pPr>
        <w:pStyle w:val="EndnoteText"/>
        <w:rPr>
          <w:sz w:val="36"/>
        </w:rPr>
      </w:pPr>
    </w:p>
    <w:p w14:paraId="40F23558" w14:textId="1B7F3D2D" w:rsidR="009B5948" w:rsidRDefault="009B5948" w:rsidP="001C7678">
      <w:pPr>
        <w:pStyle w:val="EndnoteText"/>
        <w:rPr>
          <w:sz w:val="36"/>
        </w:rPr>
      </w:pPr>
      <w:r>
        <w:rPr>
          <w:sz w:val="36"/>
        </w:rPr>
        <w:t xml:space="preserve">Patronius’ Satyricon </w:t>
      </w:r>
    </w:p>
    <w:p w14:paraId="01A2C94F" w14:textId="6BA55672" w:rsidR="00F9764C" w:rsidRPr="00F9764C" w:rsidRDefault="00F9764C" w:rsidP="001C7678">
      <w:pPr>
        <w:pStyle w:val="EndnoteText"/>
        <w:rPr>
          <w:sz w:val="36"/>
        </w:rPr>
      </w:pPr>
      <w:r>
        <w:rPr>
          <w:sz w:val="36"/>
        </w:rPr>
        <w:t xml:space="preserve">Virgil ‘The Aeniad’ Penguin classics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2E8D19" w14:textId="77777777" w:rsidR="00A477EF" w:rsidRDefault="00A477EF" w:rsidP="00852637">
      <w:pPr>
        <w:spacing w:after="0" w:line="240" w:lineRule="auto"/>
      </w:pPr>
      <w:r>
        <w:separator/>
      </w:r>
    </w:p>
  </w:footnote>
  <w:footnote w:type="continuationSeparator" w:id="0">
    <w:p w14:paraId="7D2E3645" w14:textId="77777777" w:rsidR="00A477EF" w:rsidRDefault="00A477EF" w:rsidP="008526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42E"/>
    <w:rsid w:val="0001342D"/>
    <w:rsid w:val="0012170E"/>
    <w:rsid w:val="00191408"/>
    <w:rsid w:val="00192327"/>
    <w:rsid w:val="001C7678"/>
    <w:rsid w:val="002657BC"/>
    <w:rsid w:val="003F3DDE"/>
    <w:rsid w:val="00475CD7"/>
    <w:rsid w:val="00562B6E"/>
    <w:rsid w:val="0067547F"/>
    <w:rsid w:val="00685CCD"/>
    <w:rsid w:val="00700317"/>
    <w:rsid w:val="0077442E"/>
    <w:rsid w:val="007A5282"/>
    <w:rsid w:val="007A7402"/>
    <w:rsid w:val="00852637"/>
    <w:rsid w:val="008F5CD9"/>
    <w:rsid w:val="00946746"/>
    <w:rsid w:val="009B5948"/>
    <w:rsid w:val="009E5CB4"/>
    <w:rsid w:val="00A36607"/>
    <w:rsid w:val="00A477EF"/>
    <w:rsid w:val="00A6634E"/>
    <w:rsid w:val="00BE37BC"/>
    <w:rsid w:val="00BE5C5E"/>
    <w:rsid w:val="00C40851"/>
    <w:rsid w:val="00C852A1"/>
    <w:rsid w:val="00CC5BC4"/>
    <w:rsid w:val="00D32ABB"/>
    <w:rsid w:val="00D551A4"/>
    <w:rsid w:val="00E11B5F"/>
    <w:rsid w:val="00E26FB9"/>
    <w:rsid w:val="00E52EF7"/>
    <w:rsid w:val="00F33EA1"/>
    <w:rsid w:val="00F97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16770"/>
  <w15:chartTrackingRefBased/>
  <w15:docId w15:val="{77890BAF-9D04-4B52-A6C2-C9F219497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85263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52637"/>
    <w:rPr>
      <w:sz w:val="20"/>
      <w:szCs w:val="20"/>
    </w:rPr>
  </w:style>
  <w:style w:type="character" w:styleId="EndnoteReference">
    <w:name w:val="endnote reference"/>
    <w:basedOn w:val="DefaultParagraphFont"/>
    <w:uiPriority w:val="99"/>
    <w:semiHidden/>
    <w:unhideWhenUsed/>
    <w:rsid w:val="00852637"/>
    <w:rPr>
      <w:vertAlign w:val="superscript"/>
    </w:rPr>
  </w:style>
  <w:style w:type="paragraph" w:styleId="FootnoteText">
    <w:name w:val="footnote text"/>
    <w:basedOn w:val="Normal"/>
    <w:link w:val="FootnoteTextChar"/>
    <w:uiPriority w:val="99"/>
    <w:semiHidden/>
    <w:unhideWhenUsed/>
    <w:rsid w:val="002657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57BC"/>
    <w:rPr>
      <w:sz w:val="20"/>
      <w:szCs w:val="20"/>
    </w:rPr>
  </w:style>
  <w:style w:type="character" w:styleId="FootnoteReference">
    <w:name w:val="footnote reference"/>
    <w:basedOn w:val="DefaultParagraphFont"/>
    <w:uiPriority w:val="99"/>
    <w:semiHidden/>
    <w:unhideWhenUsed/>
    <w:rsid w:val="002657B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69084-4899-47E0-96CD-043E09E97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1583</Words>
  <Characters>9028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Louix Farthing (1401504)</dc:creator>
  <cp:keywords/>
  <dc:description/>
  <cp:lastModifiedBy>Louix Farthing (1401504)</cp:lastModifiedBy>
  <cp:revision>7</cp:revision>
  <dcterms:created xsi:type="dcterms:W3CDTF">2018-01-19T15:13:00Z</dcterms:created>
  <dcterms:modified xsi:type="dcterms:W3CDTF">2018-01-19T15:26:00Z</dcterms:modified>
</cp:coreProperties>
</file>