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5705D" w:rsidP="0019189C" w:rsidRDefault="00000000" w14:paraId="48BE694B" w14:textId="77777777">
      <w:pPr>
        <w:spacing w:before="600" w:after="900"/>
        <w:jc w:val="center"/>
      </w:pPr>
      <w:r>
        <w:rPr>
          <w:noProof/>
        </w:rPr>
        <w:drawing>
          <wp:inline distT="0" distB="0" distL="0" distR="0" wp14:anchorId="08475F1B" wp14:editId="35184B47">
            <wp:extent cx="2714625" cy="1085850"/>
            <wp:effectExtent l="0" t="0" r="0" b="0"/>
            <wp:docPr id="1" name="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714625" cy="1085850"/>
                    </a:xfrm>
                    <a:prstGeom prst="rect">
                      <a:avLst/>
                    </a:prstGeom>
                  </pic:spPr>
                </pic:pic>
              </a:graphicData>
            </a:graphic>
          </wp:inline>
        </w:drawing>
      </w:r>
    </w:p>
    <w:p w:rsidRPr="004D101D" w:rsidR="0055705D" w:rsidP="0019189C" w:rsidRDefault="00000000" w14:paraId="4BDA327E" w14:textId="0E9AFB2F">
      <w:pPr>
        <w:spacing w:before="200" w:after="200" w:line="360" w:lineRule="auto"/>
        <w:jc w:val="center"/>
        <w:rPr>
          <w:color w:val="000000" w:themeColor="text1"/>
        </w:rPr>
      </w:pPr>
      <w:r>
        <w:rPr>
          <w:b/>
          <w:bCs/>
          <w:sz w:val="24"/>
          <w:szCs w:val="24"/>
        </w:rPr>
        <w:t xml:space="preserve">Student name: </w:t>
      </w:r>
      <w:r w:rsidR="00F57DAC">
        <w:rPr>
          <w:sz w:val="24"/>
          <w:szCs w:val="24"/>
        </w:rPr>
        <w:t>Daylinda Beleta</w:t>
      </w:r>
    </w:p>
    <w:p w:rsidRPr="00977291" w:rsidR="0055705D" w:rsidP="0019189C" w:rsidRDefault="00000000" w14:paraId="0CCFFA39" w14:textId="78FA29B3">
      <w:pPr>
        <w:spacing w:before="200" w:after="200" w:line="360" w:lineRule="auto"/>
        <w:jc w:val="center"/>
      </w:pPr>
      <w:r>
        <w:rPr>
          <w:b/>
          <w:bCs/>
          <w:sz w:val="24"/>
          <w:szCs w:val="24"/>
        </w:rPr>
        <w:t xml:space="preserve">Student ID: </w:t>
      </w:r>
      <w:r w:rsidR="00977291">
        <w:rPr>
          <w:sz w:val="24"/>
          <w:szCs w:val="24"/>
        </w:rPr>
        <w:t>2509670</w:t>
      </w:r>
    </w:p>
    <w:p w:rsidR="0055705D" w:rsidP="0019189C" w:rsidRDefault="0055705D" w14:paraId="21BF0625" w14:textId="77777777">
      <w:pPr>
        <w:spacing w:after="300"/>
        <w:jc w:val="center"/>
      </w:pPr>
    </w:p>
    <w:p w:rsidR="0055705D" w:rsidP="0019189C" w:rsidRDefault="00000000" w14:paraId="385B7E14" w14:textId="77777777">
      <w:pPr>
        <w:spacing w:before="200" w:after="200" w:line="360" w:lineRule="auto"/>
        <w:jc w:val="center"/>
      </w:pPr>
      <w:r>
        <w:rPr>
          <w:b/>
          <w:bCs/>
          <w:sz w:val="24"/>
          <w:szCs w:val="24"/>
        </w:rPr>
        <w:t xml:space="preserve">Module name: </w:t>
      </w:r>
      <w:r>
        <w:rPr>
          <w:sz w:val="24"/>
          <w:szCs w:val="24"/>
        </w:rPr>
        <w:t>Introduction to Physiology</w:t>
      </w:r>
    </w:p>
    <w:p w:rsidR="0055705D" w:rsidP="0019189C" w:rsidRDefault="00000000" w14:paraId="2900876E" w14:textId="77777777">
      <w:pPr>
        <w:spacing w:before="200" w:after="200" w:line="360" w:lineRule="auto"/>
        <w:jc w:val="center"/>
      </w:pPr>
      <w:r>
        <w:rPr>
          <w:b/>
          <w:bCs/>
          <w:sz w:val="24"/>
          <w:szCs w:val="24"/>
        </w:rPr>
        <w:t xml:space="preserve">Module code: </w:t>
      </w:r>
      <w:r>
        <w:rPr>
          <w:sz w:val="24"/>
          <w:szCs w:val="24"/>
        </w:rPr>
        <w:t>BMHP5023</w:t>
      </w:r>
    </w:p>
    <w:p w:rsidR="0055705D" w:rsidP="0019189C" w:rsidRDefault="00000000" w14:paraId="1458495A" w14:textId="0D055ED8">
      <w:pPr>
        <w:spacing w:before="200" w:after="200" w:line="360" w:lineRule="auto"/>
        <w:jc w:val="center"/>
      </w:pPr>
      <w:r w:rsidRPr="713ABF01" w:rsidR="4AA0681D">
        <w:rPr>
          <w:b w:val="1"/>
          <w:bCs w:val="1"/>
          <w:sz w:val="24"/>
          <w:szCs w:val="24"/>
        </w:rPr>
        <w:t xml:space="preserve">Lecturer name: </w:t>
      </w:r>
      <w:r w:rsidRPr="713ABF01" w:rsidR="04FCA35D">
        <w:rPr>
          <w:sz w:val="24"/>
          <w:szCs w:val="24"/>
        </w:rPr>
        <w:t>S</w:t>
      </w:r>
      <w:r w:rsidRPr="713ABF01" w:rsidR="50BF06CC">
        <w:rPr>
          <w:sz w:val="24"/>
          <w:szCs w:val="24"/>
        </w:rPr>
        <w:t>o</w:t>
      </w:r>
      <w:r w:rsidRPr="713ABF01" w:rsidR="47B8BCCE">
        <w:rPr>
          <w:sz w:val="24"/>
          <w:szCs w:val="24"/>
        </w:rPr>
        <w:t>b</w:t>
      </w:r>
      <w:r w:rsidRPr="713ABF01" w:rsidR="50BF06CC">
        <w:rPr>
          <w:sz w:val="24"/>
          <w:szCs w:val="24"/>
        </w:rPr>
        <w:t>an</w:t>
      </w:r>
      <w:r w:rsidRPr="713ABF01" w:rsidR="50BF06CC">
        <w:rPr>
          <w:sz w:val="24"/>
          <w:szCs w:val="24"/>
        </w:rPr>
        <w:t xml:space="preserve"> Sadiq</w:t>
      </w:r>
    </w:p>
    <w:p w:rsidR="0055705D" w:rsidP="0019189C" w:rsidRDefault="0055705D" w14:paraId="1A02B2A0" w14:textId="77777777">
      <w:pPr>
        <w:spacing w:after="300"/>
        <w:jc w:val="center"/>
      </w:pPr>
    </w:p>
    <w:p w:rsidR="0055705D" w:rsidP="0019189C" w:rsidRDefault="00000000" w14:paraId="748B6F0D" w14:textId="77777777">
      <w:pPr>
        <w:spacing w:before="200" w:after="200" w:line="360" w:lineRule="auto"/>
        <w:jc w:val="center"/>
      </w:pPr>
      <w:r>
        <w:rPr>
          <w:b/>
          <w:bCs/>
          <w:sz w:val="24"/>
          <w:szCs w:val="24"/>
        </w:rPr>
        <w:t xml:space="preserve">Assessment: </w:t>
      </w:r>
      <w:r>
        <w:rPr>
          <w:sz w:val="24"/>
          <w:szCs w:val="24"/>
        </w:rPr>
        <w:t>Component 1: Written Assignment (Case Study Report) – Case Study 1: Type 2 Diabetes</w:t>
      </w:r>
    </w:p>
    <w:p w:rsidR="0055705D" w:rsidRDefault="00000000" w14:paraId="24303824" w14:textId="77777777">
      <w:r>
        <w:br w:type="page"/>
      </w:r>
    </w:p>
    <w:p w:rsidR="0055705D" w:rsidRDefault="00000000" w14:paraId="68E67EA3" w14:textId="77777777">
      <w:pPr>
        <w:pStyle w:val="Heading1"/>
        <w:keepNext/>
        <w:spacing w:before="240" w:after="120" w:line="360" w:lineRule="auto"/>
      </w:pPr>
      <w:r>
        <w:rPr>
          <w:b/>
          <w:bCs/>
          <w:color w:val="000000"/>
          <w:sz w:val="28"/>
          <w:szCs w:val="28"/>
        </w:rPr>
        <w:lastRenderedPageBreak/>
        <w:t>1. Introduction</w:t>
      </w:r>
    </w:p>
    <w:p w:rsidR="0055705D" w:rsidRDefault="0019189C" w14:paraId="6D9530F1" w14:textId="1EAED453">
      <w:pPr>
        <w:spacing w:after="120" w:line="360" w:lineRule="auto"/>
      </w:pPr>
      <w:r w:rsidR="34CB27F0">
        <w:rPr/>
        <w:t xml:space="preserve">This report was prepared from the perspective of a practice nurse at a local GP practice, where the cases of diabetes among the patients have been increasing steadily. Contact within the clinic suggests that these individuals need to understand more about their condition and lifestyle factors that affect them so that they become aware of their treatment </w:t>
      </w:r>
      <w:r w:rsidR="5A59B68C">
        <w:rPr/>
        <w:t>r</w:t>
      </w:r>
      <w:r w:rsidR="5A59B68C">
        <w:rPr/>
        <w:t>egime</w:t>
      </w:r>
      <w:r w:rsidR="019EAEE7">
        <w:rPr/>
        <w:t>n</w:t>
      </w:r>
      <w:r w:rsidR="5A59B68C">
        <w:rPr/>
        <w:t>s</w:t>
      </w:r>
      <w:r w:rsidR="5A59B68C">
        <w:rPr/>
        <w:t xml:space="preserve"> </w:t>
      </w:r>
      <w:r w:rsidR="34CB27F0">
        <w:rPr/>
        <w:t xml:space="preserve">and </w:t>
      </w:r>
      <w:bookmarkStart w:name="_Int_MwNYMzLu" w:id="1634256744"/>
      <w:r w:rsidR="34CB27F0">
        <w:rPr/>
        <w:t>are able to</w:t>
      </w:r>
      <w:bookmarkEnd w:id="1634256744"/>
      <w:r w:rsidR="34CB27F0">
        <w:rPr/>
        <w:t xml:space="preserve"> control their blood glucose levels successfully. This report outlines the regulation of blood glucose levels, the process by which glucose and oxygen are converted into energy, the importance of monitoring blood glucose, and evidence-based changes to one’s lifestyle.</w:t>
      </w:r>
    </w:p>
    <w:p w:rsidR="0055705D" w:rsidRDefault="00000000" w14:paraId="0F8385D0" w14:textId="77777777">
      <w:pPr>
        <w:pStyle w:val="Heading2"/>
        <w:keepNext/>
        <w:spacing w:before="160" w:after="80" w:line="360" w:lineRule="auto"/>
      </w:pPr>
      <w:r>
        <w:rPr>
          <w:b/>
          <w:bCs/>
          <w:color w:val="000000"/>
          <w:sz w:val="24"/>
          <w:szCs w:val="24"/>
        </w:rPr>
        <w:t>What is diabetes?</w:t>
      </w:r>
    </w:p>
    <w:p w:rsidR="0055705D" w:rsidRDefault="0019189C" w14:paraId="43B14492" w14:textId="204C03EB">
      <w:pPr>
        <w:spacing w:after="120" w:line="360" w:lineRule="auto"/>
      </w:pPr>
      <w:r w:rsidRPr="0019189C">
        <w:t>Diabetes mellitus refers to a chronic disease where the blood glucose level stays elevated because of insufficient production of insulin by the pancreas or ineffective utilisation of the insulin produced by the body; this leads to damage to the nerves and blood vessels (World Health Organ</w:t>
      </w:r>
      <w:r w:rsidR="004B3BF0">
        <w:t>is</w:t>
      </w:r>
      <w:r w:rsidRPr="0019189C">
        <w:t>ation, 2024). Type 1 diabetes occurs due to autoimmune destruction of pancreatic β-cells leading to absolute insulin deficiency, and lifelong insulin therapy is needed (Hall &amp; Hall, 2021; World Health Organ</w:t>
      </w:r>
      <w:r w:rsidR="004B3BF0">
        <w:t>is</w:t>
      </w:r>
      <w:r w:rsidRPr="0019189C">
        <w:t>ation, 2024). Type 2 diabetes, accounting for more than 95% of all cases, is characterised by insulin resistance along with inadequate insulin secretion (Petersen &amp; Shulman, 2018; World Health Organ</w:t>
      </w:r>
      <w:r w:rsidR="004B3BF0">
        <w:t>is</w:t>
      </w:r>
      <w:r w:rsidRPr="0019189C">
        <w:t>ation, 2024). This type is the focus of the report.</w:t>
      </w:r>
    </w:p>
    <w:p w:rsidR="0055705D" w:rsidRDefault="00000000" w14:paraId="02A05DE0" w14:textId="77777777">
      <w:pPr>
        <w:pStyle w:val="Heading2"/>
        <w:keepNext/>
        <w:spacing w:before="160" w:after="80" w:line="360" w:lineRule="auto"/>
      </w:pPr>
      <w:r>
        <w:rPr>
          <w:b/>
          <w:bCs/>
          <w:color w:val="000000"/>
          <w:sz w:val="24"/>
          <w:szCs w:val="24"/>
        </w:rPr>
        <w:t>Risk factors for Type 2 diabetes</w:t>
      </w:r>
    </w:p>
    <w:p w:rsidR="0055705D" w:rsidRDefault="0019189C" w14:paraId="5D3DFCC4" w14:textId="5D954BF4">
      <w:pPr>
        <w:spacing w:after="120" w:line="360" w:lineRule="auto"/>
      </w:pPr>
      <w:r w:rsidR="34CB27F0">
        <w:rPr/>
        <w:t xml:space="preserve">The most important risk factors are overweight, especially central fatness, inactivity, </w:t>
      </w:r>
      <w:bookmarkStart w:name="_Int_LtDoPXSU" w:id="461965713"/>
      <w:r w:rsidR="34CB27F0">
        <w:rPr/>
        <w:t>an excessive</w:t>
      </w:r>
      <w:bookmarkEnd w:id="461965713"/>
      <w:r w:rsidR="34CB27F0">
        <w:rPr/>
        <w:t xml:space="preserve"> consumption of sugar and saturated fats, smoking, genetic </w:t>
      </w:r>
      <w:bookmarkStart w:name="_Int_rDoeyOJC" w:id="562979231"/>
      <w:r w:rsidR="34CB27F0">
        <w:rPr/>
        <w:t>factors</w:t>
      </w:r>
      <w:bookmarkEnd w:id="562979231"/>
      <w:r w:rsidR="34CB27F0">
        <w:rPr/>
        <w:t xml:space="preserve"> and history of gestational diabetes (World Health Organ</w:t>
      </w:r>
      <w:r w:rsidR="08495FA2">
        <w:rPr/>
        <w:t>is</w:t>
      </w:r>
      <w:r w:rsidR="34CB27F0">
        <w:rPr/>
        <w:t>ation, 2024). Excessive weight is said to be the largest single risk factor, while there are also risks associated with age and ethnicity, with individuals of Black African, African-Caribbean or South Asian origin being at higher risk after the age of 25, compared to the age of 40 for whites (Diabetes UK, no date a). The global number of individuals affected by diabetes was estimated at 830 million in 2022, and it is still increasing due to aging population, urban</w:t>
      </w:r>
      <w:r w:rsidR="08495FA2">
        <w:rPr/>
        <w:t>is</w:t>
      </w:r>
      <w:r w:rsidR="34CB27F0">
        <w:rPr/>
        <w:t>ation and obesity (Khan et al., 2020; World Health Organ</w:t>
      </w:r>
      <w:r w:rsidR="08495FA2">
        <w:rPr/>
        <w:t>is</w:t>
      </w:r>
      <w:r w:rsidR="34CB27F0">
        <w:rPr/>
        <w:t>ation, 2024).</w:t>
      </w:r>
    </w:p>
    <w:p w:rsidR="0055705D" w:rsidRDefault="00000000" w14:paraId="2E16D35B" w14:textId="77777777">
      <w:pPr>
        <w:pStyle w:val="Heading2"/>
        <w:keepNext/>
        <w:spacing w:before="160" w:after="80" w:line="360" w:lineRule="auto"/>
      </w:pPr>
      <w:r>
        <w:rPr>
          <w:b/>
          <w:bCs/>
          <w:color w:val="000000"/>
          <w:sz w:val="24"/>
          <w:szCs w:val="24"/>
        </w:rPr>
        <w:t>The importance of patient education</w:t>
      </w:r>
    </w:p>
    <w:p w:rsidR="0055705D" w:rsidRDefault="0019189C" w14:paraId="3CB726F8" w14:textId="732EB43E">
      <w:pPr>
        <w:spacing w:after="120" w:line="360" w:lineRule="auto"/>
      </w:pPr>
      <w:r w:rsidR="34CB27F0">
        <w:rPr/>
        <w:t xml:space="preserve">Patient education plays a key role in </w:t>
      </w:r>
      <w:bookmarkStart w:name="_Int_szKNVwk5" w:id="1326186006"/>
      <w:r w:rsidR="34CB27F0">
        <w:rPr/>
        <w:t>a GP</w:t>
      </w:r>
      <w:bookmarkEnd w:id="1326186006"/>
      <w:r w:rsidR="34CB27F0">
        <w:rPr/>
        <w:t xml:space="preserve"> practice. Patients can take care of themselves and manage their conditions well when they have a good understanding of their condition. Structured diabetes self-management education and support help to enhance knowledge, </w:t>
      </w:r>
      <w:r w:rsidR="34CB27F0">
        <w:rPr/>
        <w:t>self-management behaviors, and glycaemic outcomes (Powers et al., 2020), and NICE (2026) encourages that structured education be provided to all adults at diagnosis.</w:t>
      </w:r>
    </w:p>
    <w:p w:rsidR="0055705D" w:rsidRDefault="00000000" w14:paraId="595EDAEC" w14:textId="77777777">
      <w:pPr>
        <w:pStyle w:val="Heading1"/>
        <w:keepNext/>
        <w:spacing w:before="240" w:after="120" w:line="360" w:lineRule="auto"/>
      </w:pPr>
      <w:r>
        <w:rPr>
          <w:b/>
          <w:bCs/>
          <w:color w:val="000000"/>
          <w:sz w:val="28"/>
          <w:szCs w:val="28"/>
        </w:rPr>
        <w:t>2. Blood Sugar Regulation</w:t>
      </w:r>
    </w:p>
    <w:p w:rsidR="0055705D" w:rsidRDefault="00000000" w14:paraId="27017FFB" w14:textId="77777777">
      <w:pPr>
        <w:pStyle w:val="Heading2"/>
        <w:keepNext/>
        <w:spacing w:before="160" w:after="80" w:line="360" w:lineRule="auto"/>
      </w:pPr>
      <w:r>
        <w:rPr>
          <w:b/>
          <w:bCs/>
          <w:color w:val="000000"/>
          <w:sz w:val="24"/>
          <w:szCs w:val="24"/>
        </w:rPr>
        <w:t>Homeostasis and the normal glucose range</w:t>
      </w:r>
    </w:p>
    <w:p w:rsidR="0055705D" w:rsidRDefault="0019189C" w14:paraId="7F977767" w14:textId="4AD21805">
      <w:pPr>
        <w:spacing w:after="120" w:line="360" w:lineRule="auto"/>
      </w:pPr>
      <w:r w:rsidRPr="0019189C">
        <w:t xml:space="preserve">Homeostasis involves the ability to maintain an internal constant state through a negative feedback loop, where the change in a set-point provokes action that counteracts it (Hall and Hall, 2021). Typically, fasting levels of blood glucose stay around 4–6 mmol/L and only slightly increase after food intake (Hall and Hall, 2021). Precise control of this parameter is important because glucose serves as a fuel for the brain cells, and therefore </w:t>
      </w:r>
      <w:proofErr w:type="spellStart"/>
      <w:r w:rsidRPr="0019189C">
        <w:t>hypoglycaemia</w:t>
      </w:r>
      <w:proofErr w:type="spellEnd"/>
      <w:r w:rsidRPr="0019189C">
        <w:t xml:space="preserve"> (a state with low concentration of sugar below 3.9 mmol/L; </w:t>
      </w:r>
      <w:proofErr w:type="spellStart"/>
      <w:r w:rsidRPr="0019189C">
        <w:t>Battelino</w:t>
      </w:r>
      <w:proofErr w:type="spellEnd"/>
      <w:r w:rsidRPr="0019189C">
        <w:t xml:space="preserve"> et al., 2019) leads to seizures, convulsions and unconsciousness, while high blood glucose results in a number of health problems.</w:t>
      </w:r>
    </w:p>
    <w:p w:rsidR="0055705D" w:rsidRDefault="00000000" w14:paraId="70CCA599" w14:textId="77777777">
      <w:pPr>
        <w:pStyle w:val="Heading2"/>
        <w:keepNext/>
        <w:spacing w:before="160" w:after="80" w:line="360" w:lineRule="auto"/>
      </w:pPr>
      <w:r>
        <w:rPr>
          <w:b/>
          <w:bCs/>
          <w:color w:val="000000"/>
          <w:sz w:val="24"/>
          <w:szCs w:val="24"/>
        </w:rPr>
        <w:t>Response to rising and falling glucose</w:t>
      </w:r>
    </w:p>
    <w:p w:rsidR="0019189C" w:rsidP="0019189C" w:rsidRDefault="0019189C" w14:paraId="55014FCD" w14:textId="77777777">
      <w:pPr>
        <w:spacing w:after="120" w:line="360" w:lineRule="auto"/>
      </w:pPr>
      <w:r w:rsidR="34CB27F0">
        <w:rPr/>
        <w:t xml:space="preserve">The pancreas </w:t>
      </w:r>
      <w:bookmarkStart w:name="_Int_hYvwqs6H" w:id="924487980"/>
      <w:r w:rsidR="34CB27F0">
        <w:rPr/>
        <w:t>acts</w:t>
      </w:r>
      <w:bookmarkEnd w:id="924487980"/>
      <w:r w:rsidR="34CB27F0">
        <w:rPr/>
        <w:t xml:space="preserve"> both as the sensory and the motor component. β-cells of the islets of Langerhans in the pancreas release insulin whereas α-cells release glucagon after a meal (Hall and Hall, 2021). The β-cells detect the increase in blood glucose following a meal and hence release insulin. Insulin binds to its receptors in the target tissues causing the translocation of GLUT4 proteins in the skeletal muscles and adipose cells. This results in the entrance of the glucose molecule into the cells via facilitated diffusion (Petersen and Shulman, 2018). In the liver, insulin enhances the process of glycogenesis while inhibiting the process of gluconeogenesis, leading to decreased glucose production (Petersen and Shulman, 2018). Therefore, blood glucose concentration lowers back to the set point (Figure 1).</w:t>
      </w:r>
    </w:p>
    <w:p w:rsidR="0055705D" w:rsidP="0019189C" w:rsidRDefault="0019189C" w14:paraId="0BB1301E" w14:textId="18B936D0">
      <w:pPr>
        <w:spacing w:after="120" w:line="360" w:lineRule="auto"/>
      </w:pPr>
      <w:r w:rsidR="34CB27F0">
        <w:rPr/>
        <w:t xml:space="preserve">Fasting or exercises cause </w:t>
      </w:r>
      <w:bookmarkStart w:name="_Int_LJK5Q41a" w:id="1952573198"/>
      <w:r w:rsidR="34CB27F0">
        <w:rPr/>
        <w:t>decrease</w:t>
      </w:r>
      <w:bookmarkEnd w:id="1952573198"/>
      <w:r w:rsidR="34CB27F0">
        <w:rPr/>
        <w:t xml:space="preserve"> in glucose concentration in the </w:t>
      </w:r>
      <w:bookmarkStart w:name="_Int_g84drmUq" w:id="1117051612"/>
      <w:r w:rsidR="34CB27F0">
        <w:rPr/>
        <w:t>blood</w:t>
      </w:r>
      <w:bookmarkEnd w:id="1117051612"/>
      <w:r w:rsidR="34CB27F0">
        <w:rPr/>
        <w:t xml:space="preserve"> leading to less production of insulin while at the same time causing the α-cells to produce and secrete glucagon. Glucagon works mainly on the liver, inducing processes of glycogenolysis and gluconeogenesis, thereby releasing glucose molecules into the blood (Hall and Hall, 2021).</w:t>
      </w:r>
    </w:p>
    <w:p w:rsidR="0055705D" w:rsidRDefault="00000000" w14:paraId="278FAB11" w14:textId="77777777">
      <w:pPr>
        <w:keepNext/>
        <w:spacing w:before="120" w:after="60"/>
        <w:jc w:val="center"/>
      </w:pPr>
      <w:r>
        <w:rPr>
          <w:noProof/>
        </w:rPr>
        <w:lastRenderedPageBreak/>
        <w:drawing>
          <wp:inline distT="0" distB="0" distL="0" distR="0" wp14:anchorId="000CACAD" wp14:editId="01492013">
            <wp:extent cx="4953000" cy="2847975"/>
            <wp:effectExtent l="0" t="0" r="0" b="0"/>
            <wp:docPr id="1045308622" name="fig1.png" descr="fig1.png" title="fig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953000" cy="2847975"/>
                    </a:xfrm>
                    <a:prstGeom prst="rect">
                      <a:avLst/>
                    </a:prstGeom>
                  </pic:spPr>
                </pic:pic>
              </a:graphicData>
            </a:graphic>
          </wp:inline>
        </w:drawing>
      </w:r>
    </w:p>
    <w:p w:rsidR="0055705D" w:rsidRDefault="00000000" w14:paraId="4DA27F8B" w14:textId="77777777">
      <w:pPr>
        <w:spacing w:after="200" w:line="276" w:lineRule="auto"/>
        <w:jc w:val="center"/>
      </w:pPr>
      <w:r>
        <w:rPr>
          <w:b/>
          <w:bCs/>
          <w:sz w:val="20"/>
          <w:szCs w:val="20"/>
        </w:rPr>
        <w:t>Figure 1:</w:t>
      </w:r>
      <w:r>
        <w:rPr>
          <w:sz w:val="20"/>
          <w:szCs w:val="20"/>
        </w:rPr>
        <w:t xml:space="preserve"> Negative feedback regulation of blood glucose by insulin and glucagon (created by the author, adapted from Hall and Hall, 2021).</w:t>
      </w:r>
    </w:p>
    <w:p w:rsidR="0055705D" w:rsidRDefault="00000000" w14:paraId="6E03E590" w14:textId="77777777">
      <w:pPr>
        <w:pStyle w:val="Heading2"/>
        <w:keepNext/>
        <w:spacing w:before="160" w:after="80" w:line="360" w:lineRule="auto"/>
      </w:pPr>
      <w:r>
        <w:rPr>
          <w:b/>
          <w:bCs/>
          <w:color w:val="000000"/>
          <w:sz w:val="24"/>
          <w:szCs w:val="24"/>
        </w:rPr>
        <w:t>Failure of regulation in Type 2 diabetes</w:t>
      </w:r>
    </w:p>
    <w:p w:rsidR="0055705D" w:rsidRDefault="0019189C" w14:paraId="268ABEFF" w14:textId="57C519BE">
      <w:pPr>
        <w:spacing w:after="120" w:line="360" w:lineRule="auto"/>
      </w:pPr>
      <w:r w:rsidRPr="0019189C">
        <w:t>This mechanism in Type 2 diabetes is compromised due to insulin resistance in the muscles, liver, and adipose tissue which is partly mediated by accumulation of lipids in these organs. This hinders the signaling of insulin, causing a decline in transporters on the membrane which results in reduced glucose uptake as well as increased glucose production by the liver. This prompts the β-cell to produce more insulin in an effort to meet this increase in demand and eventually becomes unable to produce insulin (Petersen &amp; Shulman, 2018; Davies et al., 2022). This is the reason for hyperglycemia despite the presence of insulin in patients undergoing surgery.</w:t>
      </w:r>
    </w:p>
    <w:p w:rsidR="0055705D" w:rsidRDefault="00000000" w14:paraId="33CE15E1" w14:textId="77777777">
      <w:pPr>
        <w:pStyle w:val="Heading1"/>
        <w:keepNext/>
        <w:spacing w:before="240" w:after="120" w:line="360" w:lineRule="auto"/>
      </w:pPr>
      <w:r>
        <w:rPr>
          <w:b/>
          <w:bCs/>
          <w:color w:val="000000"/>
          <w:sz w:val="28"/>
          <w:szCs w:val="28"/>
        </w:rPr>
        <w:t>3. Oxygen and Glucose in Cellular Metabolism</w:t>
      </w:r>
    </w:p>
    <w:p w:rsidR="0019189C" w:rsidP="0019189C" w:rsidRDefault="0019189C" w14:paraId="5DCCC008" w14:textId="77777777">
      <w:pPr>
        <w:spacing w:after="120" w:line="360" w:lineRule="auto"/>
      </w:pPr>
      <w:r>
        <w:t>Energy for cellular processes can be obtained via aerobic respiration. In aerobic respiration, the energy that is contained within glucose is released in a process involving oxygen, and it is transferred as adenosine triphosphate (ATP) for muscle contraction, active transport and biosynthesis (Hall and Hall, 2021). The overall equation is: C6H12O6 + 6O2 → 6CO2 + 6H2O + ATP. Oxygen is supplied via blood, while glucose is transported into most cells in a regulated manner with insulin playing a role here, connecting this process to diabetes.</w:t>
      </w:r>
    </w:p>
    <w:p w:rsidR="0055705D" w:rsidP="0019189C" w:rsidRDefault="0019189C" w14:paraId="5E0EF589" w14:textId="7BC8C5AF">
      <w:pPr>
        <w:spacing w:after="120" w:line="360" w:lineRule="auto"/>
      </w:pPr>
      <w:r w:rsidR="34CB27F0">
        <w:rPr/>
        <w:t>There are three main steps of respiration (</w:t>
      </w:r>
      <w:bookmarkStart w:name="_Int_n8Qf9YET" w:id="1415808633"/>
      <w:r w:rsidR="34CB27F0">
        <w:rPr/>
        <w:t>figure</w:t>
      </w:r>
      <w:bookmarkEnd w:id="1415808633"/>
      <w:r w:rsidR="34CB27F0">
        <w:rPr/>
        <w:t xml:space="preserve"> 2). Glycolysis is performed in the cytoplasm. One glucose molecule is split into two molecules of pyruvate. As </w:t>
      </w:r>
      <w:bookmarkStart w:name="_Int_ikeZCbTh" w:id="1522460784"/>
      <w:r w:rsidR="34CB27F0">
        <w:rPr/>
        <w:t>the</w:t>
      </w:r>
      <w:bookmarkEnd w:id="1522460784"/>
      <w:r w:rsidR="34CB27F0">
        <w:rPr/>
        <w:t xml:space="preserve"> result of </w:t>
      </w:r>
      <w:bookmarkStart w:name="_Int_qvAU0v8t" w:id="134091968"/>
      <w:r w:rsidR="34CB27F0">
        <w:rPr/>
        <w:t>glycolysis</w:t>
      </w:r>
      <w:bookmarkEnd w:id="134091968"/>
      <w:r w:rsidR="34CB27F0">
        <w:rPr/>
        <w:t xml:space="preserve"> 2 ATP and 2 NADH are produced without using any oxygen molecules. Next, pyruvate molecules enter the mitochondria where they get converted into acetyl-CoA and get </w:t>
      </w:r>
      <w:r w:rsidR="34CB27F0">
        <w:rPr/>
        <w:t>oxidised</w:t>
      </w:r>
      <w:r w:rsidR="34CB27F0">
        <w:rPr/>
        <w:t xml:space="preserve"> in the Krebs cycle within the mitochondrial matrix producing carbon dioxide and creating </w:t>
      </w:r>
      <w:r w:rsidR="34CB27F0">
        <w:rPr/>
        <w:t>NADH and FADH2 (Martínez-Reyes and Chandel, 2020). Finally, during the oxidative phosphorylation occurring in the mitochondrial membrane, the electrons from NADH and FADH2 are passed along the electron transport chain to oxygen molecules where they get combined into water while the generated proton gradient. This stage produces most of the ATP; overall about 30–38 ATP are formed per glucose molecule, depending on the efficiency of mitochondrial transport (Hall and Hall, 2021).</w:t>
      </w:r>
    </w:p>
    <w:p w:rsidR="0055705D" w:rsidRDefault="00000000" w14:paraId="7EEE7A5B" w14:textId="77777777">
      <w:pPr>
        <w:keepNext/>
        <w:spacing w:before="120" w:after="60"/>
        <w:jc w:val="center"/>
      </w:pPr>
      <w:r>
        <w:rPr>
          <w:noProof/>
        </w:rPr>
        <w:drawing>
          <wp:inline distT="0" distB="0" distL="0" distR="0" wp14:anchorId="6D60275B" wp14:editId="1CD2CD3B">
            <wp:extent cx="4953000" cy="2228850"/>
            <wp:effectExtent l="0" t="0" r="0" b="0"/>
            <wp:docPr id="1140811373" name="fig2.png" descr="fig2.png" title="fi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953000" cy="2228850"/>
                    </a:xfrm>
                    <a:prstGeom prst="rect">
                      <a:avLst/>
                    </a:prstGeom>
                  </pic:spPr>
                </pic:pic>
              </a:graphicData>
            </a:graphic>
          </wp:inline>
        </w:drawing>
      </w:r>
    </w:p>
    <w:p w:rsidR="0055705D" w:rsidRDefault="00000000" w14:paraId="1DD9035A" w14:textId="77777777">
      <w:pPr>
        <w:spacing w:after="200" w:line="276" w:lineRule="auto"/>
        <w:jc w:val="center"/>
      </w:pPr>
      <w:r>
        <w:rPr>
          <w:b/>
          <w:bCs/>
          <w:sz w:val="20"/>
          <w:szCs w:val="20"/>
        </w:rPr>
        <w:t>Figure 2:</w:t>
      </w:r>
      <w:r>
        <w:rPr>
          <w:sz w:val="20"/>
          <w:szCs w:val="20"/>
        </w:rPr>
        <w:t xml:space="preserve"> Stages of aerobic respiration and where they occur in the cell (created by the author, adapted from Hall and Hall, 2021).</w:t>
      </w:r>
    </w:p>
    <w:p w:rsidR="0055705D" w:rsidRDefault="0019189C" w14:paraId="296244C6" w14:textId="7AD594CC">
      <w:pPr>
        <w:spacing w:after="120" w:line="360" w:lineRule="auto"/>
      </w:pPr>
      <w:r w:rsidR="34CB27F0">
        <w:rPr/>
        <w:t xml:space="preserve">Where there is </w:t>
      </w:r>
      <w:bookmarkStart w:name="_Int_TkbYJWlf" w:id="1927303204"/>
      <w:r w:rsidR="34CB27F0">
        <w:rPr/>
        <w:t>lack</w:t>
      </w:r>
      <w:bookmarkEnd w:id="1927303204"/>
      <w:r w:rsidR="34CB27F0">
        <w:rPr/>
        <w:t xml:space="preserve"> of oxygen in the body, the cells util</w:t>
      </w:r>
      <w:r w:rsidR="08495FA2">
        <w:rPr/>
        <w:t>is</w:t>
      </w:r>
      <w:r w:rsidR="34CB27F0">
        <w:rPr/>
        <w:t xml:space="preserve">e anaerobic glycolysis to produce lactate from pyruvate </w:t>
      </w:r>
      <w:bookmarkStart w:name="_Int_Y7zlwILj" w:id="89206479"/>
      <w:r w:rsidR="34CB27F0">
        <w:rPr/>
        <w:t>in order to</w:t>
      </w:r>
      <w:bookmarkEnd w:id="89206479"/>
      <w:r w:rsidR="34CB27F0">
        <w:rPr/>
        <w:t xml:space="preserve"> regenerate NAD</w:t>
      </w:r>
      <w:r w:rsidRPr="713ABF01" w:rsidR="34CB27F0">
        <w:rPr>
          <w:rFonts w:ascii="Cambria Math" w:hAnsi="Cambria Math" w:cs="Cambria Math"/>
        </w:rPr>
        <w:t>⁺</w:t>
      </w:r>
      <w:r w:rsidR="34CB27F0">
        <w:rPr/>
        <w:t xml:space="preserve">, and hence two ATP molecules are produced; lactic acid accumulates (Hall and Hall, 2021). Patients who have uncontrolled diabetes will fail to transport the glucose into their cells due to lack of insulin; therefore, they will begin to break down fat </w:t>
      </w:r>
      <w:bookmarkStart w:name="_Int_KQDOTfDt" w:id="1397910068"/>
      <w:r w:rsidR="34CB27F0">
        <w:rPr/>
        <w:t>in order to</w:t>
      </w:r>
      <w:bookmarkEnd w:id="1397910068"/>
      <w:r w:rsidR="34CB27F0">
        <w:rPr/>
        <w:t xml:space="preserve"> obtain energy. Where there is severe lack of insulin, excess ketones formation results into a condition known as diabetic ketoacidosis (DKA); it involves hyperglycaemia, ketonaemia and metabolic acidosis; this condition is </w:t>
      </w:r>
      <w:bookmarkStart w:name="_Int_Yc6DSMDE" w:id="813083196"/>
      <w:r w:rsidR="34CB27F0">
        <w:rPr/>
        <w:t>an emergency situation</w:t>
      </w:r>
      <w:bookmarkEnd w:id="813083196"/>
      <w:r w:rsidR="34CB27F0">
        <w:rPr/>
        <w:t xml:space="preserve"> (Dhatariya et al., 2020). This condition is common among Type 1 diabetes, but can occur in Type 2 diabetes, especially during severe illnesses or SGLT2 inhibitors treatment (Dhatariya et al., 2020)</w:t>
      </w:r>
      <w:r w:rsidR="34CB27F0">
        <w:rPr/>
        <w:t>.</w:t>
      </w:r>
    </w:p>
    <w:p w:rsidR="0055705D" w:rsidRDefault="00000000" w14:paraId="39F538CC" w14:textId="77777777">
      <w:pPr>
        <w:pStyle w:val="Heading1"/>
        <w:keepNext/>
        <w:spacing w:before="240" w:after="120" w:line="360" w:lineRule="auto"/>
      </w:pPr>
      <w:r>
        <w:rPr>
          <w:b/>
          <w:bCs/>
          <w:color w:val="000000"/>
          <w:sz w:val="28"/>
          <w:szCs w:val="28"/>
        </w:rPr>
        <w:t>4. Recording and Tracking Blood Sugar Levels</w:t>
      </w:r>
    </w:p>
    <w:p w:rsidR="0055705D" w:rsidRDefault="00000000" w14:paraId="0F90ADEC" w14:textId="77777777">
      <w:pPr>
        <w:pStyle w:val="Heading2"/>
        <w:keepNext/>
        <w:spacing w:before="160" w:after="80" w:line="360" w:lineRule="auto"/>
      </w:pPr>
      <w:r>
        <w:rPr>
          <w:b/>
          <w:bCs/>
          <w:color w:val="000000"/>
          <w:sz w:val="24"/>
          <w:szCs w:val="24"/>
        </w:rPr>
        <w:t>Monitoring methods</w:t>
      </w:r>
    </w:p>
    <w:p w:rsidR="0055705D" w:rsidRDefault="0019189C" w14:paraId="3C6CF8F9" w14:textId="7EECBD07">
      <w:pPr>
        <w:spacing w:after="120" w:line="360" w:lineRule="auto"/>
      </w:pPr>
      <w:r w:rsidRPr="0019189C">
        <w:t>Three primary techniques are util</w:t>
      </w:r>
      <w:r w:rsidR="004B3BF0">
        <w:t>is</w:t>
      </w:r>
      <w:r w:rsidRPr="0019189C">
        <w:t xml:space="preserve">ed (Table 1). Capillary self-monitoring provides an instant finger-prick test. HbA1c level indicates average blood glucose levels for the past two to three months, with a general goal being 48 mmol/mol (6.5%) or lower (Diabetes UK, no date b). Continuous glucose monitoring (CGM) provides interstitial glucose level measurement using a sensor, and its trends and time in range with general targets being more than 70% of time </w:t>
      </w:r>
      <w:r w:rsidRPr="0019189C">
        <w:lastRenderedPageBreak/>
        <w:t>between 3.9 and 10.0 mmol/L and less than 4% of time below 3.9 mmol/L (</w:t>
      </w:r>
      <w:proofErr w:type="spellStart"/>
      <w:r w:rsidRPr="0019189C">
        <w:t>Battelino</w:t>
      </w:r>
      <w:proofErr w:type="spellEnd"/>
      <w:r w:rsidRPr="0019189C">
        <w:t xml:space="preserve"> et al., 2019).</w:t>
      </w:r>
    </w:p>
    <w:p w:rsidR="0055705D" w:rsidRDefault="00000000" w14:paraId="3B9831D0" w14:textId="77777777">
      <w:pPr>
        <w:keepNext/>
        <w:spacing w:before="120" w:after="80" w:line="276" w:lineRule="auto"/>
      </w:pPr>
      <w:r>
        <w:rPr>
          <w:b/>
          <w:bCs/>
          <w:sz w:val="20"/>
          <w:szCs w:val="20"/>
        </w:rPr>
        <w:t>Table 1:</w:t>
      </w:r>
      <w:r>
        <w:rPr>
          <w:sz w:val="20"/>
          <w:szCs w:val="20"/>
        </w:rPr>
        <w:t xml:space="preserve"> Blood glucose monitoring methods (compiled from NICE, 2026; Diabetes UK, no date b; </w:t>
      </w:r>
      <w:proofErr w:type="spellStart"/>
      <w:r>
        <w:rPr>
          <w:sz w:val="20"/>
          <w:szCs w:val="20"/>
        </w:rPr>
        <w:t>Battelino</w:t>
      </w:r>
      <w:proofErr w:type="spellEnd"/>
      <w:r>
        <w:rPr>
          <w:sz w:val="20"/>
          <w:szCs w:val="20"/>
        </w:rPr>
        <w:t xml:space="preserve"> et al., 2019).</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700"/>
        <w:gridCol w:w="2500"/>
        <w:gridCol w:w="2300"/>
        <w:gridCol w:w="2526"/>
      </w:tblGrid>
      <w:tr w:rsidR="0055705D" w:rsidTr="0019189C" w14:paraId="7DC7A5F2" w14:textId="77777777">
        <w:trPr>
          <w:cantSplit/>
          <w:tblHeader/>
        </w:trPr>
        <w:tc>
          <w:tcPr>
            <w:tcW w:w="17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58BBCBBB" w14:textId="77777777">
            <w:pPr>
              <w:spacing w:line="252" w:lineRule="auto"/>
            </w:pPr>
            <w:r>
              <w:rPr>
                <w:b/>
                <w:bCs/>
                <w:sz w:val="18"/>
                <w:szCs w:val="18"/>
              </w:rPr>
              <w:t>Method</w:t>
            </w:r>
          </w:p>
        </w:tc>
        <w:tc>
          <w:tcPr>
            <w:tcW w:w="25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3783B69A" w14:textId="77777777">
            <w:pPr>
              <w:spacing w:line="252" w:lineRule="auto"/>
            </w:pPr>
            <w:r>
              <w:rPr>
                <w:b/>
                <w:bCs/>
                <w:sz w:val="18"/>
                <w:szCs w:val="18"/>
              </w:rPr>
              <w:t>How it works</w:t>
            </w:r>
          </w:p>
        </w:tc>
        <w:tc>
          <w:tcPr>
            <w:tcW w:w="23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5300FA7A" w14:textId="77777777">
            <w:pPr>
              <w:spacing w:line="252" w:lineRule="auto"/>
            </w:pPr>
            <w:r>
              <w:rPr>
                <w:b/>
                <w:bCs/>
                <w:sz w:val="18"/>
                <w:szCs w:val="18"/>
              </w:rPr>
              <w:t>Information provided</w:t>
            </w:r>
          </w:p>
        </w:tc>
        <w:tc>
          <w:tcPr>
            <w:tcW w:w="2526"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6795ED90" w14:textId="77777777">
            <w:pPr>
              <w:spacing w:line="252" w:lineRule="auto"/>
            </w:pPr>
            <w:r>
              <w:rPr>
                <w:b/>
                <w:bCs/>
                <w:sz w:val="18"/>
                <w:szCs w:val="18"/>
              </w:rPr>
              <w:t>Use in Type 2 diabetes (NICE, 2026)</w:t>
            </w:r>
          </w:p>
        </w:tc>
      </w:tr>
      <w:tr w:rsidR="0055705D" w14:paraId="4796DCC0" w14:textId="77777777">
        <w:trPr>
          <w:cantSplit/>
        </w:trPr>
        <w:tc>
          <w:tcPr>
            <w:tcW w:w="17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6F361FAF" w14:textId="77777777">
            <w:pPr>
              <w:spacing w:line="252" w:lineRule="auto"/>
            </w:pPr>
            <w:r>
              <w:rPr>
                <w:sz w:val="18"/>
                <w:szCs w:val="18"/>
              </w:rPr>
              <w:t>Capillary self-monitoring</w:t>
            </w:r>
          </w:p>
        </w:tc>
        <w:tc>
          <w:tcPr>
            <w:tcW w:w="25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0A6A76A3" w14:textId="77777777">
            <w:pPr>
              <w:spacing w:line="252" w:lineRule="auto"/>
            </w:pPr>
            <w:r>
              <w:rPr>
                <w:sz w:val="18"/>
                <w:szCs w:val="18"/>
              </w:rPr>
              <w:t>Finger-prick blood on a test strip read by a meter</w:t>
            </w:r>
          </w:p>
        </w:tc>
        <w:tc>
          <w:tcPr>
            <w:tcW w:w="23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3155FAA5" w14:textId="77777777">
            <w:pPr>
              <w:spacing w:line="252" w:lineRule="auto"/>
            </w:pPr>
            <w:r>
              <w:rPr>
                <w:sz w:val="18"/>
                <w:szCs w:val="18"/>
              </w:rPr>
              <w:t>Instant glucose; effect of meals, activity and illness</w:t>
            </w:r>
          </w:p>
        </w:tc>
        <w:tc>
          <w:tcPr>
            <w:tcW w:w="2526"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4A7D64F5" w14:textId="77777777">
            <w:pPr>
              <w:spacing w:line="252" w:lineRule="auto"/>
            </w:pPr>
            <w:r>
              <w:rPr>
                <w:sz w:val="18"/>
                <w:szCs w:val="18"/>
              </w:rPr>
              <w:t xml:space="preserve">Selected patients, such as those on insulin or at risk of </w:t>
            </w:r>
            <w:proofErr w:type="spellStart"/>
            <w:r>
              <w:rPr>
                <w:sz w:val="18"/>
                <w:szCs w:val="18"/>
              </w:rPr>
              <w:t>hypoglycaemia</w:t>
            </w:r>
            <w:proofErr w:type="spellEnd"/>
          </w:p>
        </w:tc>
      </w:tr>
      <w:tr w:rsidR="0055705D" w14:paraId="4D80034A" w14:textId="77777777">
        <w:trPr>
          <w:cantSplit/>
        </w:trPr>
        <w:tc>
          <w:tcPr>
            <w:tcW w:w="17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019F921D" w14:textId="77777777">
            <w:pPr>
              <w:spacing w:line="252" w:lineRule="auto"/>
            </w:pPr>
            <w:r>
              <w:rPr>
                <w:sz w:val="18"/>
                <w:szCs w:val="18"/>
              </w:rPr>
              <w:t>HbA1c</w:t>
            </w:r>
          </w:p>
        </w:tc>
        <w:tc>
          <w:tcPr>
            <w:tcW w:w="25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61B50646" w14:textId="77777777">
            <w:pPr>
              <w:spacing w:line="252" w:lineRule="auto"/>
            </w:pPr>
            <w:r>
              <w:rPr>
                <w:sz w:val="18"/>
                <w:szCs w:val="18"/>
              </w:rPr>
              <w:t xml:space="preserve">Laboratory test of glycated </w:t>
            </w:r>
            <w:proofErr w:type="spellStart"/>
            <w:r>
              <w:rPr>
                <w:sz w:val="18"/>
                <w:szCs w:val="18"/>
              </w:rPr>
              <w:t>haemoglobin</w:t>
            </w:r>
            <w:proofErr w:type="spellEnd"/>
          </w:p>
        </w:tc>
        <w:tc>
          <w:tcPr>
            <w:tcW w:w="23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78BE9DEB" w14:textId="77777777">
            <w:pPr>
              <w:spacing w:line="252" w:lineRule="auto"/>
            </w:pPr>
            <w:r>
              <w:rPr>
                <w:sz w:val="18"/>
                <w:szCs w:val="18"/>
              </w:rPr>
              <w:t>Average glucose over 2–3 months</w:t>
            </w:r>
          </w:p>
        </w:tc>
        <w:tc>
          <w:tcPr>
            <w:tcW w:w="2526"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43BD3AA7" w14:textId="77777777">
            <w:pPr>
              <w:spacing w:line="252" w:lineRule="auto"/>
            </w:pPr>
            <w:r>
              <w:rPr>
                <w:sz w:val="18"/>
                <w:szCs w:val="18"/>
              </w:rPr>
              <w:t>Every 3–6 months until stable, then 6-monthly</w:t>
            </w:r>
          </w:p>
        </w:tc>
      </w:tr>
      <w:tr w:rsidR="0055705D" w14:paraId="42BD7A66" w14:textId="77777777">
        <w:trPr>
          <w:cantSplit/>
        </w:trPr>
        <w:tc>
          <w:tcPr>
            <w:tcW w:w="17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430B19EE" w14:textId="77777777">
            <w:pPr>
              <w:spacing w:line="252" w:lineRule="auto"/>
            </w:pPr>
            <w:r>
              <w:rPr>
                <w:sz w:val="18"/>
                <w:szCs w:val="18"/>
              </w:rPr>
              <w:t>Continuous glucose monitoring</w:t>
            </w:r>
          </w:p>
        </w:tc>
        <w:tc>
          <w:tcPr>
            <w:tcW w:w="25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1BEE9675" w14:textId="77777777">
            <w:pPr>
              <w:spacing w:line="252" w:lineRule="auto"/>
            </w:pPr>
            <w:r>
              <w:rPr>
                <w:sz w:val="18"/>
                <w:szCs w:val="18"/>
              </w:rPr>
              <w:t>Sensor under the skin measures interstitial glucose</w:t>
            </w:r>
          </w:p>
        </w:tc>
        <w:tc>
          <w:tcPr>
            <w:tcW w:w="2300"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2B0EB58F" w14:textId="77777777">
            <w:pPr>
              <w:spacing w:line="252" w:lineRule="auto"/>
            </w:pPr>
            <w:r>
              <w:rPr>
                <w:sz w:val="18"/>
                <w:szCs w:val="18"/>
              </w:rPr>
              <w:t xml:space="preserve">Trends, time in range, </w:t>
            </w:r>
            <w:proofErr w:type="spellStart"/>
            <w:r>
              <w:rPr>
                <w:sz w:val="18"/>
                <w:szCs w:val="18"/>
              </w:rPr>
              <w:t>hypoglycaemia</w:t>
            </w:r>
            <w:proofErr w:type="spellEnd"/>
          </w:p>
        </w:tc>
        <w:tc>
          <w:tcPr>
            <w:tcW w:w="2526" w:type="dxa"/>
            <w:tcBorders>
              <w:top w:val="single" w:color="808080" w:sz="4" w:space="0"/>
              <w:left w:val="single" w:color="808080" w:sz="4" w:space="0"/>
              <w:bottom w:val="single" w:color="808080" w:sz="4" w:space="0"/>
              <w:right w:val="single" w:color="808080" w:sz="4" w:space="0"/>
            </w:tcBorders>
            <w:tcMar>
              <w:top w:w="60" w:type="dxa"/>
              <w:left w:w="90" w:type="dxa"/>
              <w:bottom w:w="60" w:type="dxa"/>
              <w:right w:w="90" w:type="dxa"/>
            </w:tcMar>
          </w:tcPr>
          <w:p w:rsidR="0055705D" w:rsidRDefault="00000000" w14:paraId="6E580B7C" w14:textId="77777777">
            <w:pPr>
              <w:spacing w:line="252" w:lineRule="auto"/>
            </w:pPr>
            <w:r>
              <w:rPr>
                <w:sz w:val="18"/>
                <w:szCs w:val="18"/>
              </w:rPr>
              <w:t>Selected patients, such as some on insulin</w:t>
            </w:r>
          </w:p>
        </w:tc>
      </w:tr>
    </w:tbl>
    <w:p w:rsidR="0055705D" w:rsidRDefault="0055705D" w14:paraId="7A0D79B0" w14:textId="77777777">
      <w:pPr>
        <w:spacing w:after="120"/>
      </w:pPr>
    </w:p>
    <w:p w:rsidR="0055705D" w:rsidRDefault="00000000" w14:paraId="72023E95" w14:textId="77777777">
      <w:pPr>
        <w:pStyle w:val="Heading2"/>
        <w:keepNext/>
        <w:spacing w:before="160" w:after="80" w:line="360" w:lineRule="auto"/>
      </w:pPr>
      <w:r>
        <w:rPr>
          <w:b/>
          <w:bCs/>
          <w:color w:val="000000"/>
          <w:sz w:val="24"/>
          <w:szCs w:val="24"/>
        </w:rPr>
        <w:t>Why consistent tracking matters</w:t>
      </w:r>
    </w:p>
    <w:p w:rsidR="0055705D" w:rsidRDefault="0019189C" w14:paraId="5B27DED3" w14:textId="69F7E688">
      <w:pPr>
        <w:spacing w:after="120" w:line="360" w:lineRule="auto"/>
      </w:pPr>
      <w:r w:rsidR="34CB27F0">
        <w:rPr/>
        <w:t xml:space="preserve">Recorded data ensures patient safety and management of care plans. Recordings highlight instances of </w:t>
      </w:r>
      <w:bookmarkStart w:name="_Int_ooPyQdQF" w:id="791530387"/>
      <w:r w:rsidR="34CB27F0">
        <w:rPr/>
        <w:t>hypoglycemia</w:t>
      </w:r>
      <w:bookmarkEnd w:id="791530387"/>
      <w:r w:rsidR="34CB27F0">
        <w:rPr/>
        <w:t xml:space="preserve"> especially for patients using insulin and Sulfonylureas. Clinicians are enabled to manage the medication safely and not just based on the result from one visit to the clinic. Recording patterns in relation to food intake, exercise, or illness enables patients to identify the impact of their actions on their glucose levels, motivating them to make changes (NICE, 2026; Powers et al., 2020). It is thus important for patients visiting the surgery to maintain a recording of their measurements.</w:t>
      </w:r>
    </w:p>
    <w:p w:rsidR="0055705D" w:rsidRDefault="00000000" w14:paraId="239C38DE" w14:textId="77777777">
      <w:pPr>
        <w:pStyle w:val="Heading1"/>
        <w:keepNext/>
        <w:spacing w:before="240" w:after="120" w:line="360" w:lineRule="auto"/>
      </w:pPr>
      <w:r>
        <w:rPr>
          <w:b/>
          <w:bCs/>
          <w:color w:val="000000"/>
          <w:sz w:val="28"/>
          <w:szCs w:val="28"/>
        </w:rPr>
        <w:t>5. Evidence-Based Lifestyle Recommendations</w:t>
      </w:r>
    </w:p>
    <w:p w:rsidR="0055705D" w:rsidRDefault="00000000" w14:paraId="3B3E6BEC" w14:textId="77777777">
      <w:pPr>
        <w:pStyle w:val="Heading2"/>
        <w:keepNext/>
        <w:spacing w:before="160" w:after="80" w:line="360" w:lineRule="auto"/>
      </w:pPr>
      <w:r>
        <w:rPr>
          <w:b/>
          <w:bCs/>
          <w:color w:val="000000"/>
          <w:sz w:val="24"/>
          <w:szCs w:val="24"/>
        </w:rPr>
        <w:t>Diet</w:t>
      </w:r>
    </w:p>
    <w:p w:rsidR="0055705D" w:rsidRDefault="0019189C" w14:paraId="64BF1D51" w14:textId="4F76AC8C">
      <w:pPr>
        <w:spacing w:after="120" w:line="360" w:lineRule="auto"/>
      </w:pPr>
      <w:r w:rsidRPr="0019189C">
        <w:t xml:space="preserve">Not all diets work for everyone, but general advice </w:t>
      </w:r>
      <w:proofErr w:type="spellStart"/>
      <w:r w:rsidRPr="0019189C">
        <w:t>favours</w:t>
      </w:r>
      <w:proofErr w:type="spellEnd"/>
      <w:r w:rsidRPr="0019189C">
        <w:t xml:space="preserve"> Mediterranean-type, plant-based and lower-carb diets that focus on vegetables, whole grains and unprocessed foods and avoid added sugars, refined grains and sweetened beverages (Evert et al., 2019). NICE (2026) recommends high-</w:t>
      </w:r>
      <w:proofErr w:type="spellStart"/>
      <w:r w:rsidRPr="0019189C">
        <w:t>fibre</w:t>
      </w:r>
      <w:proofErr w:type="spellEnd"/>
      <w:r w:rsidRPr="0019189C">
        <w:t xml:space="preserve">, low </w:t>
      </w:r>
      <w:proofErr w:type="spellStart"/>
      <w:r w:rsidRPr="0019189C">
        <w:t>glycaemic</w:t>
      </w:r>
      <w:proofErr w:type="spellEnd"/>
      <w:r w:rsidRPr="0019189C">
        <w:t xml:space="preserve"> index carbohydrates that release glucose more slowly and produce no post-meal spikes, together with portion control. Evidence is especially strong for weight reduction; in the </w:t>
      </w:r>
      <w:proofErr w:type="spellStart"/>
      <w:r w:rsidRPr="0019189C">
        <w:t>DiRECT</w:t>
      </w:r>
      <w:proofErr w:type="spellEnd"/>
      <w:r w:rsidRPr="0019189C">
        <w:t xml:space="preserve"> study, a primary care </w:t>
      </w:r>
      <w:proofErr w:type="spellStart"/>
      <w:r w:rsidRPr="0019189C">
        <w:t>programme</w:t>
      </w:r>
      <w:proofErr w:type="spellEnd"/>
      <w:r w:rsidRPr="0019189C">
        <w:t xml:space="preserve"> involving total diet replacement followed by food re-introduction produced diabetes remission in 46% of participants at 12 months versus 4% in the control group, and in 86% of those who lost 15 kg or more (Lean et al., 2018). The practice nurse can thus refer appropriate patients to weight management </w:t>
      </w:r>
      <w:proofErr w:type="spellStart"/>
      <w:r w:rsidRPr="0019189C">
        <w:t>programmes</w:t>
      </w:r>
      <w:proofErr w:type="spellEnd"/>
      <w:r w:rsidRPr="0019189C">
        <w:t>.</w:t>
      </w:r>
    </w:p>
    <w:p w:rsidR="0055705D" w:rsidRDefault="00000000" w14:paraId="12D48B70" w14:textId="77777777">
      <w:pPr>
        <w:pStyle w:val="Heading2"/>
        <w:keepNext/>
        <w:spacing w:before="160" w:after="80" w:line="360" w:lineRule="auto"/>
      </w:pPr>
      <w:r>
        <w:rPr>
          <w:b/>
          <w:bCs/>
          <w:color w:val="000000"/>
          <w:sz w:val="24"/>
          <w:szCs w:val="24"/>
        </w:rPr>
        <w:lastRenderedPageBreak/>
        <w:t>Physical activity</w:t>
      </w:r>
    </w:p>
    <w:p w:rsidR="0055705D" w:rsidRDefault="0019189C" w14:paraId="7EF60773" w14:textId="564DC1B4">
      <w:pPr>
        <w:spacing w:after="120" w:line="360" w:lineRule="auto"/>
      </w:pPr>
      <w:r w:rsidRPr="0019189C">
        <w:t xml:space="preserve">Exercise facilitates increased glucose uptake by working muscles and enhances insulin sensitivity which helps in </w:t>
      </w:r>
      <w:proofErr w:type="spellStart"/>
      <w:r w:rsidRPr="0019189C">
        <w:t>glycaemic</w:t>
      </w:r>
      <w:proofErr w:type="spellEnd"/>
      <w:r w:rsidRPr="0019189C">
        <w:t xml:space="preserve"> control and cardiovascular benefits (Kanaley et al., 2022). As per the guidelines by the Chief Medical Officers of the United Kingdom, it is advised to be physically active for 150 minutes per week with moderate intensity exercise or 75 minutes per week with vigorous intensity exercise and muscle strengthening exercises twice a week (Department of Health and Social Care, 2019). The American College of Sports Medicine consensus statement advises that both aerobic and resistance training should be included with reduced time spent on sitting (Kanaley et al., 2022).</w:t>
      </w:r>
    </w:p>
    <w:p w:rsidR="0055705D" w:rsidRDefault="00000000" w14:paraId="3F88B6B8" w14:textId="77777777">
      <w:pPr>
        <w:pStyle w:val="Heading2"/>
        <w:keepNext/>
        <w:spacing w:before="160" w:after="80" w:line="360" w:lineRule="auto"/>
      </w:pPr>
      <w:r>
        <w:rPr>
          <w:b/>
          <w:bCs/>
          <w:color w:val="000000"/>
          <w:sz w:val="24"/>
          <w:szCs w:val="24"/>
        </w:rPr>
        <w:t>Smoking cessation</w:t>
      </w:r>
    </w:p>
    <w:p w:rsidR="0055705D" w:rsidRDefault="0019189C" w14:paraId="7AD69911" w14:textId="3FD323D4">
      <w:pPr>
        <w:spacing w:after="120" w:line="360" w:lineRule="auto"/>
      </w:pPr>
      <w:r w:rsidRPr="0019189C">
        <w:t>Smoking is a standalone risk factor for type 2 diabetes mellitus. Smoking leads to insulin resistance and inflammation, causes poor glycemic control and increases the risks of heart disease, kidney disease, and neuropathy (Durlach et al., 2022). Hence, quitting smoking is one of the most beneficial interventions that a person can do because even though he/she might gain some weight after quitting, it still outweighs the benefits of quitting and the patient needs to be supported in dealing with weight gain rather than continuing smoking (Durlach et al., 2022). Following NICE guidelines (2021), the practice nurse needs to give very brief advice (ask, advise, act) at every contact, refer to NHS stop smoking services providing behavioral support and offer pharmacological intervention like nicotine replacement therapy or varenicline. These measures target insulin resistance and are the cornerstone of person-centered type 2 diabetes mellitus care (Davies et al., 2022).</w:t>
      </w:r>
    </w:p>
    <w:p w:rsidR="0055705D" w:rsidRDefault="00000000" w14:paraId="15BB146B" w14:textId="77777777">
      <w:pPr>
        <w:pStyle w:val="Heading1"/>
        <w:keepNext/>
        <w:spacing w:before="240" w:after="120" w:line="360" w:lineRule="auto"/>
      </w:pPr>
      <w:r>
        <w:rPr>
          <w:b/>
          <w:bCs/>
          <w:color w:val="000000"/>
          <w:sz w:val="28"/>
          <w:szCs w:val="28"/>
        </w:rPr>
        <w:t>6. Conclusion</w:t>
      </w:r>
    </w:p>
    <w:p w:rsidR="0019189C" w:rsidP="0019189C" w:rsidRDefault="0019189C" w14:paraId="76CF3142" w14:textId="77777777">
      <w:pPr>
        <w:spacing w:after="120" w:line="360" w:lineRule="auto"/>
      </w:pPr>
      <w:r>
        <w:t>Glucose levels in the blood are maintained within tight limits through negative feedback involving the pancreas, liver, and muscles, whereby insulin decreases and glucagon increases glucose levels. With Type 2 diabetes, insulin resistance and impairment of β-cells' functions cause this imbalance, which results in glucose not being able to enter the cells to facilitate aerobic respiration.</w:t>
      </w:r>
    </w:p>
    <w:p w:rsidR="0019189C" w:rsidP="0019189C" w:rsidRDefault="0019189C" w14:paraId="05A1A771" w14:textId="77777777">
      <w:pPr>
        <w:spacing w:after="120" w:line="360" w:lineRule="auto"/>
      </w:pPr>
      <w:r>
        <w:t xml:space="preserve">Monitoring and lifestyle change are directly associated with good outcomes. Continuous monitoring of glucose and HbA1c levels allows patients to see the effects of food, exercise, and medication on their diabetes control, avoid </w:t>
      </w:r>
      <w:proofErr w:type="spellStart"/>
      <w:r>
        <w:t>hypoglycaemia</w:t>
      </w:r>
      <w:proofErr w:type="spellEnd"/>
      <w:r>
        <w:t>, and make necessary changes in their treatment regime, while healthy eating, weight loss, exercise, and giving up smoking increase insulin sensitivity.</w:t>
      </w:r>
    </w:p>
    <w:p w:rsidR="0055705D" w:rsidP="0019189C" w:rsidRDefault="0019189C" w14:paraId="25D64B33" w14:textId="79FE697C">
      <w:pPr>
        <w:spacing w:after="120" w:line="360" w:lineRule="auto"/>
      </w:pPr>
      <w:r>
        <w:lastRenderedPageBreak/>
        <w:t>The general conclusion for patients is that Type 2 diabetes is controllable. By learning about their disease, keeping track of their readings, and making changes in their lifestyles with help from the practice team, patients will safeguard their health in the future.</w:t>
      </w:r>
    </w:p>
    <w:p w:rsidR="0055705D" w:rsidRDefault="00000000" w14:paraId="290FAB76" w14:textId="77777777">
      <w:r>
        <w:br w:type="page"/>
      </w:r>
    </w:p>
    <w:p w:rsidR="0055705D" w:rsidRDefault="00000000" w14:paraId="59318FBA" w14:textId="77777777">
      <w:pPr>
        <w:pStyle w:val="Heading1"/>
        <w:keepNext/>
        <w:spacing w:before="240" w:after="120" w:line="360" w:lineRule="auto"/>
      </w:pPr>
      <w:r>
        <w:rPr>
          <w:b/>
          <w:bCs/>
          <w:color w:val="000000"/>
          <w:sz w:val="28"/>
          <w:szCs w:val="28"/>
        </w:rPr>
        <w:lastRenderedPageBreak/>
        <w:t>7. Reference List</w:t>
      </w:r>
    </w:p>
    <w:p w:rsidR="0055705D" w:rsidRDefault="00000000" w14:paraId="5D63C5CF" w14:textId="77777777">
      <w:pPr>
        <w:spacing w:after="120" w:line="360" w:lineRule="auto"/>
        <w:ind w:left="720" w:hanging="720"/>
      </w:pPr>
      <w:proofErr w:type="spellStart"/>
      <w:r>
        <w:t>Battelino</w:t>
      </w:r>
      <w:proofErr w:type="spellEnd"/>
      <w:r>
        <w:t xml:space="preserve">, T. </w:t>
      </w:r>
      <w:r>
        <w:rPr>
          <w:i/>
          <w:iCs/>
        </w:rPr>
        <w:t>et al.</w:t>
      </w:r>
      <w:r>
        <w:t xml:space="preserve"> (2019) 'Clinical targets for continuous glucose monitoring data interpretation: recommendations from the international consensus on time in range', </w:t>
      </w:r>
      <w:r>
        <w:rPr>
          <w:i/>
          <w:iCs/>
        </w:rPr>
        <w:t>Diabetes Care</w:t>
      </w:r>
      <w:r>
        <w:t>, 42(8), pp. 1593–1603. https://doi.org/10.2337/dci19-0028</w:t>
      </w:r>
    </w:p>
    <w:p w:rsidR="0055705D" w:rsidRDefault="00000000" w14:paraId="57A87DF9" w14:textId="77777777">
      <w:pPr>
        <w:spacing w:after="120" w:line="360" w:lineRule="auto"/>
        <w:ind w:left="720" w:hanging="720"/>
      </w:pPr>
      <w:r>
        <w:t xml:space="preserve">Davies, M.J. </w:t>
      </w:r>
      <w:r>
        <w:rPr>
          <w:i/>
          <w:iCs/>
        </w:rPr>
        <w:t>et al.</w:t>
      </w:r>
      <w:r>
        <w:t xml:space="preserve"> (2022) 'Management of hyperglycemia in type 2 diabetes, 2022. A consensus report by the American Diabetes Association (ADA) and the European Association for the Study of Diabetes (EASD)', </w:t>
      </w:r>
      <w:r>
        <w:rPr>
          <w:i/>
          <w:iCs/>
        </w:rPr>
        <w:t>Diabetes Care</w:t>
      </w:r>
      <w:r>
        <w:t>, 45(11), pp. 2753–2786. https://doi.org/10.2337/dci22-0034</w:t>
      </w:r>
    </w:p>
    <w:p w:rsidR="0055705D" w:rsidRDefault="00000000" w14:paraId="75F5A93F" w14:textId="77777777">
      <w:pPr>
        <w:spacing w:after="120" w:line="360" w:lineRule="auto"/>
        <w:ind w:left="720" w:hanging="720"/>
      </w:pPr>
      <w:r>
        <w:t xml:space="preserve">Department of Health and Social Care (2019) </w:t>
      </w:r>
      <w:r>
        <w:rPr>
          <w:i/>
          <w:iCs/>
        </w:rPr>
        <w:t>UK Chief Medical Officers' physical activity guidelines</w:t>
      </w:r>
      <w:r>
        <w:t>. Available at: https://www.gov.uk/government/publications/physical-activity-guidelines-uk-chief-medical-officers-report/uk-chief-medical-officers-physical-activity-guidelines (Accessed: 17 October 2026).</w:t>
      </w:r>
    </w:p>
    <w:p w:rsidR="0055705D" w:rsidRDefault="00000000" w14:paraId="6C6AD663" w14:textId="77777777">
      <w:pPr>
        <w:spacing w:after="120" w:line="360" w:lineRule="auto"/>
        <w:ind w:left="720" w:hanging="720"/>
      </w:pPr>
      <w:proofErr w:type="spellStart"/>
      <w:r>
        <w:t>Dhatariya</w:t>
      </w:r>
      <w:proofErr w:type="spellEnd"/>
      <w:r>
        <w:t xml:space="preserve">, K.K. </w:t>
      </w:r>
      <w:r>
        <w:rPr>
          <w:i/>
          <w:iCs/>
        </w:rPr>
        <w:t>et al.</w:t>
      </w:r>
      <w:r>
        <w:t xml:space="preserve"> (2020) 'Diabetic ketoacidosis', </w:t>
      </w:r>
      <w:r>
        <w:rPr>
          <w:i/>
          <w:iCs/>
        </w:rPr>
        <w:t>Nature Reviews Disease Primers</w:t>
      </w:r>
      <w:r>
        <w:t>, 6, article 40. https://doi.org/10.1038/s41572-020-0165-1</w:t>
      </w:r>
    </w:p>
    <w:p w:rsidR="0055705D" w:rsidRDefault="00000000" w14:paraId="59AF8195" w14:textId="77777777">
      <w:pPr>
        <w:spacing w:after="120" w:line="360" w:lineRule="auto"/>
        <w:ind w:left="720" w:hanging="720"/>
      </w:pPr>
      <w:r>
        <w:t xml:space="preserve">Diabetes UK (no date a) </w:t>
      </w:r>
      <w:r>
        <w:rPr>
          <w:i/>
          <w:iCs/>
        </w:rPr>
        <w:t>Ethnicity and type 2 diabetes</w:t>
      </w:r>
      <w:r>
        <w:t>. Available at: https://www.diabetes.org.uk/preventing-type-2-diabetes/diabetes-ethnicity (Accessed: 17 October 2026).</w:t>
      </w:r>
    </w:p>
    <w:p w:rsidR="0055705D" w:rsidRDefault="00000000" w14:paraId="3D0B2771" w14:textId="77777777">
      <w:pPr>
        <w:spacing w:after="120" w:line="360" w:lineRule="auto"/>
        <w:ind w:left="720" w:hanging="720"/>
      </w:pPr>
      <w:r>
        <w:t xml:space="preserve">Diabetes UK (no date b) </w:t>
      </w:r>
      <w:r>
        <w:rPr>
          <w:i/>
          <w:iCs/>
        </w:rPr>
        <w:t>What is HbA1c? Blood test, target levels</w:t>
      </w:r>
      <w:r>
        <w:t>. Available at: https://www.diabetes.org.uk/about-diabetes/looking-after-diabetes/hba1c (Accessed: 17 October 2026).</w:t>
      </w:r>
    </w:p>
    <w:p w:rsidR="0055705D" w:rsidRDefault="00000000" w14:paraId="6FF4EC9F" w14:textId="77777777">
      <w:pPr>
        <w:spacing w:after="120" w:line="360" w:lineRule="auto"/>
        <w:ind w:left="720" w:hanging="720"/>
      </w:pPr>
      <w:r>
        <w:t xml:space="preserve">Durlach, V. </w:t>
      </w:r>
      <w:r>
        <w:rPr>
          <w:i/>
          <w:iCs/>
        </w:rPr>
        <w:t>et al.</w:t>
      </w:r>
      <w:r>
        <w:t xml:space="preserve"> (2022) 'Smoking and diabetes interplay: a comprehensive review and joint statement', </w:t>
      </w:r>
      <w:r>
        <w:rPr>
          <w:i/>
          <w:iCs/>
        </w:rPr>
        <w:t>Diabetes &amp; Metabolism</w:t>
      </w:r>
      <w:r>
        <w:t>, 48, article 101370. https://doi.org/10.1016/j.diabet.2022.101370</w:t>
      </w:r>
    </w:p>
    <w:p w:rsidR="0055705D" w:rsidRDefault="00000000" w14:paraId="2226700C" w14:textId="77777777">
      <w:pPr>
        <w:spacing w:after="120" w:line="360" w:lineRule="auto"/>
        <w:ind w:left="720" w:hanging="720"/>
      </w:pPr>
      <w:r>
        <w:t xml:space="preserve">Evert, A.B. </w:t>
      </w:r>
      <w:r>
        <w:rPr>
          <w:i/>
          <w:iCs/>
        </w:rPr>
        <w:t>et al.</w:t>
      </w:r>
      <w:r>
        <w:t xml:space="preserve"> (2019) 'Nutrition therapy for adults with diabetes or prediabetes: a consensus report', </w:t>
      </w:r>
      <w:r>
        <w:rPr>
          <w:i/>
          <w:iCs/>
        </w:rPr>
        <w:t>Diabetes Care</w:t>
      </w:r>
      <w:r>
        <w:t>, 42(5), pp. 731–754. https://doi.org/10.2337/dci19-0014</w:t>
      </w:r>
    </w:p>
    <w:p w:rsidR="0055705D" w:rsidRDefault="00000000" w14:paraId="37A53F92" w14:textId="77777777">
      <w:pPr>
        <w:spacing w:after="120" w:line="360" w:lineRule="auto"/>
        <w:ind w:left="720" w:hanging="720"/>
      </w:pPr>
      <w:r>
        <w:t xml:space="preserve">Hall, J.E. and Hall, M.E. (2021) </w:t>
      </w:r>
      <w:r>
        <w:rPr>
          <w:i/>
          <w:iCs/>
        </w:rPr>
        <w:t>Guyton and Hall textbook of medical physiology</w:t>
      </w:r>
      <w:r>
        <w:t xml:space="preserve">. 14th </w:t>
      </w:r>
      <w:proofErr w:type="spellStart"/>
      <w:r>
        <w:t>edn</w:t>
      </w:r>
      <w:proofErr w:type="spellEnd"/>
      <w:r>
        <w:t>. Philadelphia: Elsevier.</w:t>
      </w:r>
    </w:p>
    <w:p w:rsidR="0055705D" w:rsidRDefault="00000000" w14:paraId="59849B41" w14:textId="77777777">
      <w:pPr>
        <w:spacing w:after="120" w:line="360" w:lineRule="auto"/>
        <w:ind w:left="720" w:hanging="720"/>
      </w:pPr>
      <w:r>
        <w:t xml:space="preserve">Kanaley, J.A. </w:t>
      </w:r>
      <w:r>
        <w:rPr>
          <w:i/>
          <w:iCs/>
        </w:rPr>
        <w:t>et al.</w:t>
      </w:r>
      <w:r>
        <w:t xml:space="preserve"> (2022) 'Exercise/physical activity in individuals with type 2 diabetes: a consensus statement from the American College of Sports Medicine', </w:t>
      </w:r>
      <w:r>
        <w:rPr>
          <w:i/>
          <w:iCs/>
        </w:rPr>
        <w:t>Medicine &amp; Science in Sports &amp; Exercise</w:t>
      </w:r>
      <w:r>
        <w:t>, 54(2), pp. 353–368. https://doi.org/10.1249/MSS.0000000000002800</w:t>
      </w:r>
    </w:p>
    <w:p w:rsidR="0055705D" w:rsidRDefault="00000000" w14:paraId="4F44F6F0" w14:textId="77777777">
      <w:pPr>
        <w:spacing w:after="120" w:line="360" w:lineRule="auto"/>
        <w:ind w:left="720" w:hanging="720"/>
      </w:pPr>
      <w:r>
        <w:lastRenderedPageBreak/>
        <w:t xml:space="preserve">Khan, M.A.B. </w:t>
      </w:r>
      <w:r>
        <w:rPr>
          <w:i/>
          <w:iCs/>
        </w:rPr>
        <w:t>et al.</w:t>
      </w:r>
      <w:r>
        <w:t xml:space="preserve"> (2020) 'Epidemiology of type 2 diabetes – global burden of disease and forecasted trends', </w:t>
      </w:r>
      <w:r>
        <w:rPr>
          <w:i/>
          <w:iCs/>
        </w:rPr>
        <w:t>Journal of Epidemiology and Global Health</w:t>
      </w:r>
      <w:r>
        <w:t>, 10(1), pp. 107–111. https://doi.org/10.2991/jegh.k.191028.001</w:t>
      </w:r>
    </w:p>
    <w:p w:rsidR="0055705D" w:rsidRDefault="00000000" w14:paraId="23C2255D" w14:textId="77777777">
      <w:pPr>
        <w:spacing w:after="120" w:line="360" w:lineRule="auto"/>
        <w:ind w:left="720" w:hanging="720"/>
      </w:pPr>
      <w:r>
        <w:t xml:space="preserve">Lean, M.E.J. </w:t>
      </w:r>
      <w:r>
        <w:rPr>
          <w:i/>
          <w:iCs/>
        </w:rPr>
        <w:t>et al.</w:t>
      </w:r>
      <w:r>
        <w:t xml:space="preserve"> (2018) 'Primary care-led weight management for remission of type 2 diabetes (</w:t>
      </w:r>
      <w:proofErr w:type="spellStart"/>
      <w:r>
        <w:t>DiRECT</w:t>
      </w:r>
      <w:proofErr w:type="spellEnd"/>
      <w:r>
        <w:t>): an open-label, cluster-</w:t>
      </w:r>
      <w:proofErr w:type="spellStart"/>
      <w:r>
        <w:t>randomised</w:t>
      </w:r>
      <w:proofErr w:type="spellEnd"/>
      <w:r>
        <w:t xml:space="preserve"> trial', </w:t>
      </w:r>
      <w:r>
        <w:rPr>
          <w:i/>
          <w:iCs/>
        </w:rPr>
        <w:t>The Lancet</w:t>
      </w:r>
      <w:r>
        <w:t>, 391(10120), pp. 541–551. https://doi.org/10.1016/S0140-6736(17)33102-1</w:t>
      </w:r>
    </w:p>
    <w:p w:rsidR="0055705D" w:rsidRDefault="00000000" w14:paraId="6A2021E5" w14:textId="77777777">
      <w:pPr>
        <w:spacing w:after="120" w:line="360" w:lineRule="auto"/>
        <w:ind w:left="720" w:hanging="720"/>
      </w:pPr>
      <w:r>
        <w:t xml:space="preserve">Martínez-Reyes, I. and Chandel, N.S. (2020) 'Mitochondrial TCA cycle metabolism and function', </w:t>
      </w:r>
      <w:r>
        <w:rPr>
          <w:i/>
          <w:iCs/>
        </w:rPr>
        <w:t>Nature Communications</w:t>
      </w:r>
      <w:r>
        <w:t>, 11, article 102. https://doi.org/10.1038/s41467-019-13668-3</w:t>
      </w:r>
    </w:p>
    <w:p w:rsidR="0055705D" w:rsidRDefault="00000000" w14:paraId="6DC14879" w14:textId="77777777">
      <w:pPr>
        <w:spacing w:after="120" w:line="360" w:lineRule="auto"/>
        <w:ind w:left="720" w:hanging="720"/>
      </w:pPr>
      <w:r>
        <w:t xml:space="preserve">National Institute for Health and Care Excellence (NICE) (2021) </w:t>
      </w:r>
      <w:r>
        <w:rPr>
          <w:i/>
          <w:iCs/>
        </w:rPr>
        <w:t>Tobacco: preventing uptake, promoting quitting and treating dependence (NG209)</w:t>
      </w:r>
      <w:r>
        <w:t>. Available at: https://www.nice.org.uk/guidance/ng209 (Accessed: 17 October 2026).</w:t>
      </w:r>
    </w:p>
    <w:p w:rsidR="0055705D" w:rsidRDefault="00000000" w14:paraId="2B063495" w14:textId="77777777">
      <w:pPr>
        <w:spacing w:after="120" w:line="360" w:lineRule="auto"/>
        <w:ind w:left="720" w:hanging="720"/>
      </w:pPr>
      <w:r>
        <w:t xml:space="preserve">National Institute for Health and Care Excellence (NICE) (2026) </w:t>
      </w:r>
      <w:r>
        <w:rPr>
          <w:i/>
          <w:iCs/>
        </w:rPr>
        <w:t>Type 2 diabetes in adults: management (NG28)</w:t>
      </w:r>
      <w:r>
        <w:t>. Available at: https://www.nice.org.uk/guidance/ng28 (Accessed: 17 October 2026).</w:t>
      </w:r>
    </w:p>
    <w:p w:rsidR="0055705D" w:rsidRDefault="00000000" w14:paraId="281BFDE4" w14:textId="77777777">
      <w:pPr>
        <w:spacing w:after="120" w:line="360" w:lineRule="auto"/>
        <w:ind w:left="720" w:hanging="720"/>
      </w:pPr>
      <w:r>
        <w:t xml:space="preserve">Petersen, M.C. and Shulman, G.I. (2018) 'Mechanisms of insulin action and insulin resistance', </w:t>
      </w:r>
      <w:r>
        <w:rPr>
          <w:i/>
          <w:iCs/>
        </w:rPr>
        <w:t>Physiological Reviews</w:t>
      </w:r>
      <w:r>
        <w:t>, 98(4), pp. 2133–2223. https://doi.org/10.1152/physrev.00063.2017</w:t>
      </w:r>
    </w:p>
    <w:p w:rsidR="0055705D" w:rsidRDefault="00000000" w14:paraId="54E7CB6D" w14:textId="77777777">
      <w:pPr>
        <w:spacing w:after="120" w:line="360" w:lineRule="auto"/>
        <w:ind w:left="720" w:hanging="720"/>
      </w:pPr>
      <w:r>
        <w:t xml:space="preserve">Powers, M.A. </w:t>
      </w:r>
      <w:r>
        <w:rPr>
          <w:i/>
          <w:iCs/>
        </w:rPr>
        <w:t>et al.</w:t>
      </w:r>
      <w:r>
        <w:t xml:space="preserve"> (2020) 'Diabetes self-management education and support in adults with type 2 diabetes: a consensus report of the American Diabetes Association, the Association of Diabetes Care &amp; Education Specialists, the Academy of Nutrition and Dietetics, the American Academy of Family Physicians, the American Academy of PAs, the American Association of Nurse Practitioners, and the American Pharmacists Association', </w:t>
      </w:r>
      <w:r>
        <w:rPr>
          <w:i/>
          <w:iCs/>
        </w:rPr>
        <w:t>Diabetes Care</w:t>
      </w:r>
      <w:r>
        <w:t>, 43(7), pp. 1636–1649. https://doi.org/10.2337/dci20-0023</w:t>
      </w:r>
    </w:p>
    <w:p w:rsidR="0055705D" w:rsidRDefault="00000000" w14:paraId="5B73E5E5" w14:textId="77D6EDBC">
      <w:pPr>
        <w:spacing w:after="120" w:line="360" w:lineRule="auto"/>
        <w:ind w:left="720" w:hanging="720"/>
      </w:pPr>
      <w:r>
        <w:t xml:space="preserve">World Health </w:t>
      </w:r>
      <w:proofErr w:type="spellStart"/>
      <w:r>
        <w:t>Organ</w:t>
      </w:r>
      <w:r w:rsidR="004B3BF0">
        <w:t>is</w:t>
      </w:r>
      <w:r>
        <w:t>ation</w:t>
      </w:r>
      <w:proofErr w:type="spellEnd"/>
      <w:r>
        <w:t xml:space="preserve"> (2024) </w:t>
      </w:r>
      <w:r>
        <w:rPr>
          <w:i/>
          <w:iCs/>
        </w:rPr>
        <w:t>Diabetes</w:t>
      </w:r>
      <w:r>
        <w:t>. Available at: https://www.who.int/news-room/fact-sheets/detail/diabetes (Accessed: 17 October 2026).</w:t>
      </w:r>
    </w:p>
    <w:sectPr w:rsidR="0055705D">
      <w:footerReference w:type="default" r:id="rId10"/>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2792E" w:rsidRDefault="0062792E" w14:paraId="7DD8AD7E" w14:textId="77777777">
      <w:r>
        <w:separator/>
      </w:r>
    </w:p>
  </w:endnote>
  <w:endnote w:type="continuationSeparator" w:id="0">
    <w:p w:rsidR="0062792E" w:rsidRDefault="0062792E" w14:paraId="0B2B38D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5705D" w:rsidRDefault="00000000" w14:paraId="1DD1F179" w14:textId="77777777">
    <w:pPr>
      <w:jc w:val="center"/>
    </w:pPr>
    <w:r>
      <w:rPr>
        <w:sz w:val="20"/>
        <w:szCs w:val="20"/>
      </w:rPr>
      <w:fldChar w:fldCharType="begin"/>
    </w:r>
    <w:r>
      <w:rPr>
        <w:sz w:val="20"/>
        <w:szCs w:val="20"/>
      </w:rPr>
      <w:instrText>PAGE</w:instrText>
    </w:r>
    <w:r>
      <w:rPr>
        <w:sz w:val="20"/>
        <w:szCs w:val="20"/>
      </w:rPr>
      <w:fldChar w:fldCharType="separate"/>
    </w:r>
    <w:r w:rsidR="0019189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2792E" w:rsidRDefault="0062792E" w14:paraId="1E2ED890" w14:textId="77777777">
      <w:r>
        <w:separator/>
      </w:r>
    </w:p>
  </w:footnote>
  <w:footnote w:type="continuationSeparator" w:id="0">
    <w:p w:rsidR="0062792E" w:rsidRDefault="0062792E" w14:paraId="7F56E3CF" w14:textId="77777777">
      <w:r>
        <w:continuationSeparator/>
      </w:r>
    </w:p>
  </w:footnote>
</w:footnotes>
</file>

<file path=word/intelligence2.xml><?xml version="1.0" encoding="utf-8"?>
<int2:intelligence xmlns:int2="http://schemas.microsoft.com/office/intelligence/2020/intelligence">
  <int2:observations>
    <int2:textHash int2:hashCode="myznzXaQUePDzP" int2:id="JhQ6bEgO">
      <int2:state int2:type="spell" int2:value="Rejected"/>
    </int2:textHash>
    <int2:textHash int2:hashCode="f5LPZyOorupdpP" int2:id="FghBOcn8">
      <int2:state int2:type="spell" int2:value="Rejected"/>
    </int2:textHash>
    <int2:textHash int2:hashCode="OrtZNwJC/JiGrS" int2:id="xjoPUmIS">
      <int2:state int2:type="spell" int2:value="Rejected"/>
    </int2:textHash>
    <int2:textHash int2:hashCode="JKFzPKi7CuRaP/" int2:id="COjl9m9d">
      <int2:state int2:type="spell" int2:value="Rejected"/>
    </int2:textHash>
    <int2:textHash int2:hashCode="ni8UUdXdlt6RIo" int2:id="vBY1c5Hk">
      <int2:state int2:type="spell" int2:value="Rejected"/>
    </int2:textHash>
    <int2:textHash int2:hashCode="4H0CMf2cP+GZ+p" int2:id="ukJTvNGR">
      <int2:state int2:type="spell" int2:value="Rejected"/>
    </int2:textHash>
    <int2:textHash int2:hashCode="7PGAFEkfwt9kky" int2:id="uiXBO0qs">
      <int2:state int2:type="spell" int2:value="Rejected"/>
    </int2:textHash>
    <int2:textHash int2:hashCode="O5nTF0iOUKDs8B" int2:id="GrD1Zexf">
      <int2:state int2:type="spell" int2:value="Rejected"/>
    </int2:textHash>
    <int2:textHash int2:hashCode="9cjQR/ALTLMwRJ" int2:id="deWWXmRS">
      <int2:state int2:type="spell" int2:value="Rejected"/>
    </int2:textHash>
    <int2:textHash int2:hashCode="18+qBMQGHKf3fS" int2:id="c9Hjxde4">
      <int2:state int2:type="spell" int2:value="Rejected"/>
    </int2:textHash>
    <int2:textHash int2:hashCode="d6vvkjI26POa0b" int2:id="EXAZ2HOR">
      <int2:state int2:type="spell" int2:value="Rejected"/>
    </int2:textHash>
    <int2:textHash int2:hashCode="pz2QIEqb0rZQkg" int2:id="iVb50Log">
      <int2:state int2:type="spell" int2:value="Rejected"/>
    </int2:textHash>
    <int2:textHash int2:hashCode="cX0s8U8xbTIkI0" int2:id="gjnyf7sf">
      <int2:state int2:type="spell" int2:value="Rejected"/>
    </int2:textHash>
    <int2:textHash int2:hashCode="UAeY4LaWx2bpkm" int2:id="DM3pXpcH">
      <int2:state int2:type="spell" int2:value="Rejected"/>
    </int2:textHash>
    <int2:textHash int2:hashCode="wZ67MIMbYC6VN8" int2:id="psybOjCN">
      <int2:state int2:type="spell" int2:value="Rejected"/>
    </int2:textHash>
    <int2:textHash int2:hashCode="uxqn3pUhtzJMKS" int2:id="0rs2A81Q">
      <int2:state int2:type="spell" int2:value="Rejected"/>
    </int2:textHash>
    <int2:textHash int2:hashCode="yLGa3PbIwIauAZ" int2:id="WAWIBFQK">
      <int2:state int2:type="spell" int2:value="Rejected"/>
    </int2:textHash>
    <int2:textHash int2:hashCode="m/C6mGJeQTWOW1" int2:id="plfjaxPi">
      <int2:state int2:type="spell" int2:value="Rejected"/>
    </int2:textHash>
    <int2:textHash int2:hashCode="ibp3p9vECz0eg5" int2:id="EeBDLemE">
      <int2:state int2:type="spell" int2:value="Rejected"/>
    </int2:textHash>
    <int2:bookmark int2:bookmarkName="_Int_szKNVwk5" int2:invalidationBookmarkName="" int2:hashCode="QvlwtRO0YDqbN/" int2:id="p6QdZZFh">
      <int2:state int2:type="gram" int2:value="Rejected"/>
    </int2:bookmark>
    <int2:bookmark int2:bookmarkName="_Int_ooPyQdQF" int2:invalidationBookmarkName="" int2:hashCode="pgJXtXgQY9gSKe" int2:id="ZQmKL8Yq">
      <int2:state int2:type="gram" int2:value="Rejected"/>
    </int2:bookmark>
    <int2:bookmark int2:bookmarkName="_Int_Yc6DSMDE" int2:invalidationBookmarkName="" int2:hashCode="/u6Z+v5XYgo44e" int2:id="SwNvyvFG">
      <int2:state int2:type="style" int2:value="Rejected"/>
    </int2:bookmark>
    <int2:bookmark int2:bookmarkName="_Int_Y7zlwILj" int2:invalidationBookmarkName="" int2:hashCode="e0dMsLOcF3PXGS" int2:id="SSYaVPzw">
      <int2:state int2:type="style" int2:value="Rejected"/>
    </int2:bookmark>
    <int2:bookmark int2:bookmarkName="_Int_KQDOTfDt" int2:invalidationBookmarkName="" int2:hashCode="e0dMsLOcF3PXGS" int2:id="NF32ZVU5">
      <int2:state int2:type="style" int2:value="Rejected"/>
    </int2:bookmark>
    <int2:bookmark int2:bookmarkName="_Int_TkbYJWlf" int2:invalidationBookmarkName="" int2:hashCode="1mWKne+ud/F1fL" int2:id="fFlTmN1R">
      <int2:state int2:type="gram" int2:value="Rejected"/>
    </int2:bookmark>
    <int2:bookmark int2:bookmarkName="_Int_ikeZCbTh" int2:invalidationBookmarkName="" int2:hashCode="u8zfLvsztS5snQ" int2:id="iVKm90FY">
      <int2:state int2:type="gram" int2:value="Rejected"/>
    </int2:bookmark>
    <int2:bookmark int2:bookmarkName="_Int_n8Qf9YET" int2:invalidationBookmarkName="" int2:hashCode="+FvcZ+i7Ii7ZUj" int2:id="KjOILyft">
      <int2:state int2:type="gram" int2:value="Rejected"/>
    </int2:bookmark>
    <int2:bookmark int2:bookmarkName="_Int_qvAU0v8t" int2:invalidationBookmarkName="" int2:hashCode="60xXNw0jTgEaZE" int2:id="bnSsdscj">
      <int2:state int2:type="gram" int2:value="Rejected"/>
    </int2:bookmark>
    <int2:bookmark int2:bookmarkName="_Int_g84drmUq" int2:invalidationBookmarkName="" int2:hashCode="wsSolr4rOrFSEv" int2:id="fxPi1s35">
      <int2:state int2:type="gram" int2:value="Rejected"/>
    </int2:bookmark>
    <int2:bookmark int2:bookmarkName="_Int_LJK5Q41a" int2:invalidationBookmarkName="" int2:hashCode="EQ3TL5MGeyZ6kv" int2:id="2yu2oVV9">
      <int2:state int2:type="gram" int2:value="Rejected"/>
    </int2:bookmark>
    <int2:bookmark int2:bookmarkName="_Int_hYvwqs6H" int2:invalidationBookmarkName="" int2:hashCode="7tj0RQsGpF850J" int2:id="rkqYBlTp">
      <int2:state int2:type="gram" int2:value="Rejected"/>
    </int2:bookmark>
    <int2:bookmark int2:bookmarkName="_Int_LtDoPXSU" int2:invalidationBookmarkName="" int2:hashCode="wUavUdhbqODjIj" int2:id="yoVi63jV">
      <int2:state int2:type="gram" int2:value="Rejected"/>
    </int2:bookmark>
    <int2:bookmark int2:bookmarkName="_Int_rDoeyOJC" int2:invalidationBookmarkName="" int2:hashCode="l7M8STxuylTZLD" int2:id="1zD0PwPV">
      <int2:state int2:type="gram" int2:value="Rejected"/>
    </int2:bookmark>
    <int2:bookmark int2:bookmarkName="_Int_MwNYMzLu" int2:invalidationBookmarkName="" int2:hashCode="YD+82+V1vFecXo" int2:id="3AR5mAr3">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356E8B"/>
    <w:multiLevelType w:val="hybridMultilevel"/>
    <w:tmpl w:val="37E48E8C"/>
    <w:lvl w:ilvl="0" w:tplc="018CB9C8">
      <w:start w:val="1"/>
      <w:numFmt w:val="bullet"/>
      <w:lvlText w:val="●"/>
      <w:lvlJc w:val="left"/>
      <w:pPr>
        <w:ind w:left="720" w:hanging="360"/>
      </w:pPr>
    </w:lvl>
    <w:lvl w:ilvl="1" w:tplc="B17A3F02">
      <w:start w:val="1"/>
      <w:numFmt w:val="bullet"/>
      <w:lvlText w:val="○"/>
      <w:lvlJc w:val="left"/>
      <w:pPr>
        <w:ind w:left="1440" w:hanging="360"/>
      </w:pPr>
    </w:lvl>
    <w:lvl w:ilvl="2" w:tplc="C442D550">
      <w:start w:val="1"/>
      <w:numFmt w:val="bullet"/>
      <w:lvlText w:val="■"/>
      <w:lvlJc w:val="left"/>
      <w:pPr>
        <w:ind w:left="2160" w:hanging="360"/>
      </w:pPr>
    </w:lvl>
    <w:lvl w:ilvl="3" w:tplc="DE364794">
      <w:start w:val="1"/>
      <w:numFmt w:val="bullet"/>
      <w:lvlText w:val="●"/>
      <w:lvlJc w:val="left"/>
      <w:pPr>
        <w:ind w:left="2880" w:hanging="360"/>
      </w:pPr>
    </w:lvl>
    <w:lvl w:ilvl="4" w:tplc="7B061376">
      <w:start w:val="1"/>
      <w:numFmt w:val="bullet"/>
      <w:lvlText w:val="○"/>
      <w:lvlJc w:val="left"/>
      <w:pPr>
        <w:ind w:left="3600" w:hanging="360"/>
      </w:pPr>
    </w:lvl>
    <w:lvl w:ilvl="5" w:tplc="17AA5C80">
      <w:start w:val="1"/>
      <w:numFmt w:val="bullet"/>
      <w:lvlText w:val="■"/>
      <w:lvlJc w:val="left"/>
      <w:pPr>
        <w:ind w:left="4320" w:hanging="360"/>
      </w:pPr>
    </w:lvl>
    <w:lvl w:ilvl="6" w:tplc="38C0A018">
      <w:start w:val="1"/>
      <w:numFmt w:val="bullet"/>
      <w:lvlText w:val="●"/>
      <w:lvlJc w:val="left"/>
      <w:pPr>
        <w:ind w:left="5040" w:hanging="360"/>
      </w:pPr>
    </w:lvl>
    <w:lvl w:ilvl="7" w:tplc="475C04A8">
      <w:start w:val="1"/>
      <w:numFmt w:val="bullet"/>
      <w:lvlText w:val="●"/>
      <w:lvlJc w:val="left"/>
      <w:pPr>
        <w:ind w:left="5760" w:hanging="360"/>
      </w:pPr>
    </w:lvl>
    <w:lvl w:ilvl="8" w:tplc="185AAF08">
      <w:start w:val="1"/>
      <w:numFmt w:val="bullet"/>
      <w:lvlText w:val="●"/>
      <w:lvlJc w:val="left"/>
      <w:pPr>
        <w:ind w:left="6480" w:hanging="360"/>
      </w:pPr>
    </w:lvl>
  </w:abstractNum>
  <w:num w:numId="1" w16cid:durableId="8084803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05D"/>
    <w:rsid w:val="00000000"/>
    <w:rsid w:val="000B2BFF"/>
    <w:rsid w:val="0019189C"/>
    <w:rsid w:val="003C0677"/>
    <w:rsid w:val="004B3BF0"/>
    <w:rsid w:val="004D101D"/>
    <w:rsid w:val="00502F7C"/>
    <w:rsid w:val="0055705D"/>
    <w:rsid w:val="0062792E"/>
    <w:rsid w:val="00760660"/>
    <w:rsid w:val="00771108"/>
    <w:rsid w:val="008B6728"/>
    <w:rsid w:val="008C40FB"/>
    <w:rsid w:val="00903D57"/>
    <w:rsid w:val="00977291"/>
    <w:rsid w:val="009D66CA"/>
    <w:rsid w:val="00C7275C"/>
    <w:rsid w:val="00D60EC0"/>
    <w:rsid w:val="00F57DAC"/>
    <w:rsid w:val="019EAEE7"/>
    <w:rsid w:val="04FCA35D"/>
    <w:rsid w:val="08495FA2"/>
    <w:rsid w:val="1E276739"/>
    <w:rsid w:val="22DAE1F0"/>
    <w:rsid w:val="34CB27F0"/>
    <w:rsid w:val="44F2097D"/>
    <w:rsid w:val="47B8BCCE"/>
    <w:rsid w:val="4AA0681D"/>
    <w:rsid w:val="4D253449"/>
    <w:rsid w:val="50BF06CC"/>
    <w:rsid w:val="5A59B68C"/>
    <w:rsid w:val="6B61F28C"/>
    <w:rsid w:val="713ABF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798187A4"/>
  <w15:docId w15:val="{362243E0-761F-0142-8FA9-D9B10F310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Id9" /><Relationship Type="http://schemas.microsoft.com/office/2020/10/relationships/intelligence" Target="intelligence2.xml" Id="R821331116a4e4f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Daylinda Araujo Beleta (2509670)</lastModifiedBy>
  <revision>13</revision>
  <dcterms:created xsi:type="dcterms:W3CDTF">2026-10-25T11:20:00.0000000Z</dcterms:created>
  <dcterms:modified xsi:type="dcterms:W3CDTF">2026-10-25T11:34:31.5088834Z</dcterms:modified>
</coreProperties>
</file>