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49047749"/>
        <w:docPartObj>
          <w:docPartGallery w:val="Cover Pages"/>
          <w:docPartUnique/>
        </w:docPartObj>
      </w:sdtPr>
      <w:sdtEndPr/>
      <w:sdtContent>
        <w:p w14:paraId="4EC0E604" w14:textId="3A895E34" w:rsidR="00AF5683" w:rsidRDefault="00AF5683"/>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F5683" w14:paraId="4A5A68DF" w14:textId="77777777">
            <w:tc>
              <w:tcPr>
                <w:tcW w:w="7672" w:type="dxa"/>
                <w:tcMar>
                  <w:top w:w="216" w:type="dxa"/>
                  <w:left w:w="115" w:type="dxa"/>
                  <w:bottom w:w="216" w:type="dxa"/>
                  <w:right w:w="115" w:type="dxa"/>
                </w:tcMar>
              </w:tcPr>
              <w:p w14:paraId="59451599" w14:textId="2710545A" w:rsidR="00AF5683" w:rsidRDefault="00AF5683">
                <w:pPr>
                  <w:pStyle w:val="a9"/>
                  <w:rPr>
                    <w:color w:val="2F5496" w:themeColor="accent1" w:themeShade="BF"/>
                    <w:sz w:val="24"/>
                  </w:rPr>
                </w:pPr>
              </w:p>
            </w:tc>
          </w:tr>
          <w:tr w:rsidR="00AF5683" w14:paraId="1022C105" w14:textId="77777777">
            <w:tc>
              <w:tcPr>
                <w:tcW w:w="7672" w:type="dxa"/>
              </w:tcPr>
              <w:sdt>
                <w:sdtPr>
                  <w:rPr>
                    <w:rFonts w:asciiTheme="majorHAnsi" w:eastAsiaTheme="majorEastAsia" w:hAnsiTheme="majorHAnsi" w:cstheme="majorBidi"/>
                    <w:b/>
                    <w:bCs/>
                    <w:color w:val="4472C4" w:themeColor="accent1"/>
                    <w:sz w:val="72"/>
                    <w:szCs w:val="72"/>
                  </w:rPr>
                  <w:alias w:val="Title"/>
                  <w:id w:val="13406919"/>
                  <w:placeholder>
                    <w:docPart w:val="36D4DF02AE524160AD7B91EE94FDE892"/>
                  </w:placeholder>
                  <w:dataBinding w:prefixMappings="xmlns:ns0='http://schemas.openxmlformats.org/package/2006/metadata/core-properties' xmlns:ns1='http://purl.org/dc/elements/1.1/'" w:xpath="/ns0:coreProperties[1]/ns1:title[1]" w:storeItemID="{6C3C8BC8-F283-45AE-878A-BAB7291924A1}"/>
                  <w:text/>
                </w:sdtPr>
                <w:sdtEndPr/>
                <w:sdtContent>
                  <w:p w14:paraId="09760822" w14:textId="0EE61AA0" w:rsidR="00AF5683" w:rsidRPr="00AF5683" w:rsidRDefault="00AF5683">
                    <w:pPr>
                      <w:pStyle w:val="a9"/>
                      <w:spacing w:line="216" w:lineRule="auto"/>
                      <w:rPr>
                        <w:rFonts w:asciiTheme="majorHAnsi" w:eastAsiaTheme="majorEastAsia" w:hAnsiTheme="majorHAnsi" w:cstheme="majorBidi"/>
                        <w:b/>
                        <w:bCs/>
                        <w:color w:val="4472C4" w:themeColor="accent1"/>
                        <w:sz w:val="72"/>
                        <w:szCs w:val="72"/>
                      </w:rPr>
                    </w:pPr>
                    <w:r w:rsidRPr="00AF5683">
                      <w:rPr>
                        <w:rFonts w:asciiTheme="majorHAnsi" w:eastAsiaTheme="majorEastAsia" w:hAnsiTheme="majorHAnsi" w:cstheme="majorBidi"/>
                        <w:b/>
                        <w:bCs/>
                        <w:color w:val="4472C4" w:themeColor="accent1"/>
                        <w:sz w:val="72"/>
                        <w:szCs w:val="72"/>
                      </w:rPr>
                      <w:t>LCBB4004 Marketing Fundamentals Analysis and Evaluation - Assessment 2</w:t>
                    </w:r>
                  </w:p>
                </w:sdtContent>
              </w:sdt>
            </w:tc>
          </w:tr>
          <w:tr w:rsidR="00AF5683" w14:paraId="3F6C0F16" w14:textId="77777777">
            <w:sdt>
              <w:sdtPr>
                <w:rPr>
                  <w:color w:val="2F5496" w:themeColor="accent1" w:themeShade="BF"/>
                  <w:sz w:val="24"/>
                  <w:szCs w:val="24"/>
                </w:rPr>
                <w:alias w:val="Subtitle"/>
                <w:id w:val="13406923"/>
                <w:placeholder>
                  <w:docPart w:val="980AA421348F49E5B1F1210BE2510DD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05386EE" w14:textId="03CF7933" w:rsidR="00AF5683" w:rsidRDefault="00AF5683">
                    <w:pPr>
                      <w:pStyle w:val="a9"/>
                      <w:rPr>
                        <w:color w:val="2F5496" w:themeColor="accent1" w:themeShade="BF"/>
                        <w:sz w:val="24"/>
                      </w:rPr>
                    </w:pPr>
                    <w:r w:rsidRPr="00AF5683">
                      <w:rPr>
                        <w:color w:val="2F5496" w:themeColor="accent1" w:themeShade="BF"/>
                        <w:sz w:val="24"/>
                        <w:szCs w:val="24"/>
                      </w:rPr>
                      <w:t>Lecturer: Tushara Balendran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AF5683" w14:paraId="6CBAF321"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7FC6D02B0031493CBC5E9B1BC9A135AF"/>
                  </w:placeholder>
                  <w:dataBinding w:prefixMappings="xmlns:ns0='http://schemas.openxmlformats.org/package/2006/metadata/core-properties' xmlns:ns1='http://purl.org/dc/elements/1.1/'" w:xpath="/ns0:coreProperties[1]/ns1:creator[1]" w:storeItemID="{6C3C8BC8-F283-45AE-878A-BAB7291924A1}"/>
                  <w:text/>
                </w:sdtPr>
                <w:sdtEndPr/>
                <w:sdtContent>
                  <w:p w14:paraId="2F8B826E" w14:textId="65E5307E" w:rsidR="00AF5683" w:rsidRDefault="00AF5683">
                    <w:pPr>
                      <w:pStyle w:val="a9"/>
                      <w:rPr>
                        <w:color w:val="4472C4" w:themeColor="accent1"/>
                        <w:sz w:val="28"/>
                        <w:szCs w:val="28"/>
                      </w:rPr>
                    </w:pPr>
                    <w:r>
                      <w:rPr>
                        <w:color w:val="4472C4" w:themeColor="accent1"/>
                        <w:sz w:val="28"/>
                        <w:szCs w:val="28"/>
                      </w:rPr>
                      <w:t>Student ID:</w:t>
                    </w:r>
                    <w:r w:rsidR="00382642">
                      <w:rPr>
                        <w:color w:val="4472C4" w:themeColor="accent1"/>
                        <w:sz w:val="28"/>
                        <w:szCs w:val="28"/>
                      </w:rPr>
                      <w:t xml:space="preserve"> 1917122</w:t>
                    </w:r>
                  </w:p>
                </w:sdtContent>
              </w:sdt>
              <w:sdt>
                <w:sdtPr>
                  <w:rPr>
                    <w:color w:val="4472C4" w:themeColor="accent1"/>
                    <w:sz w:val="28"/>
                    <w:szCs w:val="28"/>
                  </w:rPr>
                  <w:alias w:val="Date"/>
                  <w:tag w:val="Date"/>
                  <w:id w:val="13406932"/>
                  <w:placeholder>
                    <w:docPart w:val="A100DD603BD5406DA0A5F1EA5F1BC72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6177BB9" w14:textId="6B7AEE7B" w:rsidR="00AF5683" w:rsidRDefault="00AF5683">
                    <w:pPr>
                      <w:pStyle w:val="a9"/>
                      <w:rPr>
                        <w:color w:val="4472C4" w:themeColor="accent1"/>
                        <w:sz w:val="28"/>
                        <w:szCs w:val="28"/>
                      </w:rPr>
                    </w:pPr>
                    <w:r>
                      <w:rPr>
                        <w:color w:val="4472C4" w:themeColor="accent1"/>
                        <w:sz w:val="28"/>
                        <w:szCs w:val="28"/>
                      </w:rPr>
                      <w:t>Student Name:</w:t>
                    </w:r>
                    <w:r w:rsidR="00382642">
                      <w:rPr>
                        <w:color w:val="4472C4" w:themeColor="accent1"/>
                        <w:sz w:val="28"/>
                        <w:szCs w:val="28"/>
                      </w:rPr>
                      <w:t xml:space="preserve"> Krasimira Tsacheva</w:t>
                    </w:r>
                  </w:p>
                </w:sdtContent>
              </w:sdt>
              <w:p w14:paraId="1DF21FCE" w14:textId="77777777" w:rsidR="00AF5683" w:rsidRDefault="00AF5683">
                <w:pPr>
                  <w:pStyle w:val="a9"/>
                  <w:rPr>
                    <w:color w:val="4472C4" w:themeColor="accent1"/>
                  </w:rPr>
                </w:pPr>
              </w:p>
            </w:tc>
          </w:tr>
        </w:tbl>
        <w:p w14:paraId="59AE4A40" w14:textId="4E876062" w:rsidR="00AF5683" w:rsidRDefault="00AF5683">
          <w:pPr>
            <w:spacing w:after="160" w:line="259" w:lineRule="auto"/>
          </w:pPr>
          <w:r>
            <w:br w:type="page"/>
          </w:r>
        </w:p>
      </w:sdtContent>
    </w:sdt>
    <w:sdt>
      <w:sdtPr>
        <w:rPr>
          <w:rFonts w:ascii="Arial" w:eastAsiaTheme="minorHAnsi" w:hAnsi="Arial" w:cstheme="minorBidi"/>
          <w:color w:val="auto"/>
          <w:sz w:val="22"/>
          <w:szCs w:val="22"/>
          <w:lang w:val="en-GB"/>
        </w:rPr>
        <w:id w:val="-614833275"/>
        <w:docPartObj>
          <w:docPartGallery w:val="Table of Contents"/>
          <w:docPartUnique/>
        </w:docPartObj>
      </w:sdtPr>
      <w:sdtEndPr>
        <w:rPr>
          <w:b/>
          <w:bCs/>
          <w:noProof/>
        </w:rPr>
      </w:sdtEndPr>
      <w:sdtContent>
        <w:p w14:paraId="30927CD4" w14:textId="55746758" w:rsidR="00212938" w:rsidRDefault="00212938">
          <w:pPr>
            <w:pStyle w:val="ad"/>
          </w:pPr>
          <w:r>
            <w:t>Table of Contents</w:t>
          </w:r>
        </w:p>
        <w:p w14:paraId="142CD0DB" w14:textId="414EF90E" w:rsidR="00212938" w:rsidRDefault="00212938">
          <w:pPr>
            <w:pStyle w:val="11"/>
            <w:tabs>
              <w:tab w:val="right" w:leader="dot" w:pos="9016"/>
            </w:tabs>
            <w:rPr>
              <w:noProof/>
            </w:rPr>
          </w:pPr>
          <w:r>
            <w:fldChar w:fldCharType="begin"/>
          </w:r>
          <w:r>
            <w:instrText xml:space="preserve"> TOC \o "1-3" \h \z \u </w:instrText>
          </w:r>
          <w:r>
            <w:fldChar w:fldCharType="separate"/>
          </w:r>
          <w:hyperlink w:anchor="_Toc48670449" w:history="1">
            <w:r w:rsidRPr="003B528D">
              <w:rPr>
                <w:rStyle w:val="ab"/>
                <w:noProof/>
              </w:rPr>
              <w:t>Introduction</w:t>
            </w:r>
            <w:r>
              <w:rPr>
                <w:noProof/>
                <w:webHidden/>
              </w:rPr>
              <w:tab/>
            </w:r>
            <w:r>
              <w:rPr>
                <w:noProof/>
                <w:webHidden/>
              </w:rPr>
              <w:fldChar w:fldCharType="begin"/>
            </w:r>
            <w:r>
              <w:rPr>
                <w:noProof/>
                <w:webHidden/>
              </w:rPr>
              <w:instrText xml:space="preserve"> PAGEREF _Toc48670449 \h </w:instrText>
            </w:r>
            <w:r>
              <w:rPr>
                <w:noProof/>
                <w:webHidden/>
              </w:rPr>
            </w:r>
            <w:r>
              <w:rPr>
                <w:noProof/>
                <w:webHidden/>
              </w:rPr>
              <w:fldChar w:fldCharType="separate"/>
            </w:r>
            <w:r>
              <w:rPr>
                <w:noProof/>
                <w:webHidden/>
              </w:rPr>
              <w:t>2</w:t>
            </w:r>
            <w:r>
              <w:rPr>
                <w:noProof/>
                <w:webHidden/>
              </w:rPr>
              <w:fldChar w:fldCharType="end"/>
            </w:r>
          </w:hyperlink>
        </w:p>
        <w:p w14:paraId="1655103E" w14:textId="17AF90F0" w:rsidR="00212938" w:rsidRDefault="009E1BF2">
          <w:pPr>
            <w:pStyle w:val="11"/>
            <w:tabs>
              <w:tab w:val="right" w:leader="dot" w:pos="9016"/>
            </w:tabs>
            <w:rPr>
              <w:noProof/>
            </w:rPr>
          </w:pPr>
          <w:hyperlink w:anchor="_Toc48670450" w:history="1">
            <w:r w:rsidR="00212938" w:rsidRPr="003B528D">
              <w:rPr>
                <w:rStyle w:val="ab"/>
                <w:noProof/>
              </w:rPr>
              <w:t>Market Orientation</w:t>
            </w:r>
            <w:r w:rsidR="00212938">
              <w:rPr>
                <w:noProof/>
                <w:webHidden/>
              </w:rPr>
              <w:tab/>
            </w:r>
            <w:r w:rsidR="00212938">
              <w:rPr>
                <w:noProof/>
                <w:webHidden/>
              </w:rPr>
              <w:fldChar w:fldCharType="begin"/>
            </w:r>
            <w:r w:rsidR="00212938">
              <w:rPr>
                <w:noProof/>
                <w:webHidden/>
              </w:rPr>
              <w:instrText xml:space="preserve"> PAGEREF _Toc48670450 \h </w:instrText>
            </w:r>
            <w:r w:rsidR="00212938">
              <w:rPr>
                <w:noProof/>
                <w:webHidden/>
              </w:rPr>
            </w:r>
            <w:r w:rsidR="00212938">
              <w:rPr>
                <w:noProof/>
                <w:webHidden/>
              </w:rPr>
              <w:fldChar w:fldCharType="separate"/>
            </w:r>
            <w:r w:rsidR="00212938">
              <w:rPr>
                <w:noProof/>
                <w:webHidden/>
              </w:rPr>
              <w:t>2</w:t>
            </w:r>
            <w:r w:rsidR="00212938">
              <w:rPr>
                <w:noProof/>
                <w:webHidden/>
              </w:rPr>
              <w:fldChar w:fldCharType="end"/>
            </w:r>
          </w:hyperlink>
        </w:p>
        <w:p w14:paraId="585CD438" w14:textId="0D613257" w:rsidR="00212938" w:rsidRDefault="009E1BF2">
          <w:pPr>
            <w:pStyle w:val="11"/>
            <w:tabs>
              <w:tab w:val="right" w:leader="dot" w:pos="9016"/>
            </w:tabs>
            <w:rPr>
              <w:noProof/>
            </w:rPr>
          </w:pPr>
          <w:hyperlink w:anchor="_Toc48670451" w:history="1">
            <w:r w:rsidR="00212938" w:rsidRPr="003B528D">
              <w:rPr>
                <w:rStyle w:val="ab"/>
                <w:noProof/>
              </w:rPr>
              <w:t>Customers and their Buying Decisions</w:t>
            </w:r>
            <w:r w:rsidR="00212938">
              <w:rPr>
                <w:noProof/>
                <w:webHidden/>
              </w:rPr>
              <w:tab/>
            </w:r>
            <w:r w:rsidR="00212938">
              <w:rPr>
                <w:noProof/>
                <w:webHidden/>
              </w:rPr>
              <w:fldChar w:fldCharType="begin"/>
            </w:r>
            <w:r w:rsidR="00212938">
              <w:rPr>
                <w:noProof/>
                <w:webHidden/>
              </w:rPr>
              <w:instrText xml:space="preserve"> PAGEREF _Toc48670451 \h </w:instrText>
            </w:r>
            <w:r w:rsidR="00212938">
              <w:rPr>
                <w:noProof/>
                <w:webHidden/>
              </w:rPr>
            </w:r>
            <w:r w:rsidR="00212938">
              <w:rPr>
                <w:noProof/>
                <w:webHidden/>
              </w:rPr>
              <w:fldChar w:fldCharType="separate"/>
            </w:r>
            <w:r w:rsidR="00212938">
              <w:rPr>
                <w:noProof/>
                <w:webHidden/>
              </w:rPr>
              <w:t>3</w:t>
            </w:r>
            <w:r w:rsidR="00212938">
              <w:rPr>
                <w:noProof/>
                <w:webHidden/>
              </w:rPr>
              <w:fldChar w:fldCharType="end"/>
            </w:r>
          </w:hyperlink>
        </w:p>
        <w:p w14:paraId="7C463CEF" w14:textId="7C1E61DC" w:rsidR="00212938" w:rsidRDefault="009E1BF2">
          <w:pPr>
            <w:pStyle w:val="11"/>
            <w:tabs>
              <w:tab w:val="right" w:leader="dot" w:pos="9016"/>
            </w:tabs>
            <w:rPr>
              <w:noProof/>
            </w:rPr>
          </w:pPr>
          <w:hyperlink w:anchor="_Toc48670452" w:history="1">
            <w:r w:rsidR="00212938" w:rsidRPr="003B528D">
              <w:rPr>
                <w:rStyle w:val="ab"/>
                <w:noProof/>
              </w:rPr>
              <w:t>Marketing Value to Customers and Engagement with Stakeholders</w:t>
            </w:r>
            <w:r w:rsidR="00212938">
              <w:rPr>
                <w:noProof/>
                <w:webHidden/>
              </w:rPr>
              <w:tab/>
            </w:r>
            <w:r w:rsidR="00212938">
              <w:rPr>
                <w:noProof/>
                <w:webHidden/>
              </w:rPr>
              <w:fldChar w:fldCharType="begin"/>
            </w:r>
            <w:r w:rsidR="00212938">
              <w:rPr>
                <w:noProof/>
                <w:webHidden/>
              </w:rPr>
              <w:instrText xml:space="preserve"> PAGEREF _Toc48670452 \h </w:instrText>
            </w:r>
            <w:r w:rsidR="00212938">
              <w:rPr>
                <w:noProof/>
                <w:webHidden/>
              </w:rPr>
            </w:r>
            <w:r w:rsidR="00212938">
              <w:rPr>
                <w:noProof/>
                <w:webHidden/>
              </w:rPr>
              <w:fldChar w:fldCharType="separate"/>
            </w:r>
            <w:r w:rsidR="00212938">
              <w:rPr>
                <w:noProof/>
                <w:webHidden/>
              </w:rPr>
              <w:t>4</w:t>
            </w:r>
            <w:r w:rsidR="00212938">
              <w:rPr>
                <w:noProof/>
                <w:webHidden/>
              </w:rPr>
              <w:fldChar w:fldCharType="end"/>
            </w:r>
          </w:hyperlink>
        </w:p>
        <w:p w14:paraId="2D9C9FCD" w14:textId="108EFC00" w:rsidR="00212938" w:rsidRDefault="009E1BF2">
          <w:pPr>
            <w:pStyle w:val="11"/>
            <w:tabs>
              <w:tab w:val="right" w:leader="dot" w:pos="9016"/>
            </w:tabs>
            <w:rPr>
              <w:noProof/>
            </w:rPr>
          </w:pPr>
          <w:hyperlink w:anchor="_Toc48670453" w:history="1">
            <w:r w:rsidR="00212938" w:rsidRPr="003B528D">
              <w:rPr>
                <w:rStyle w:val="ab"/>
                <w:noProof/>
              </w:rPr>
              <w:t>Chanel – Marketing Strategies for Development of Product and Price Value</w:t>
            </w:r>
            <w:r w:rsidR="00212938">
              <w:rPr>
                <w:noProof/>
                <w:webHidden/>
              </w:rPr>
              <w:tab/>
            </w:r>
            <w:r w:rsidR="00212938">
              <w:rPr>
                <w:noProof/>
                <w:webHidden/>
              </w:rPr>
              <w:fldChar w:fldCharType="begin"/>
            </w:r>
            <w:r w:rsidR="00212938">
              <w:rPr>
                <w:noProof/>
                <w:webHidden/>
              </w:rPr>
              <w:instrText xml:space="preserve"> PAGEREF _Toc48670453 \h </w:instrText>
            </w:r>
            <w:r w:rsidR="00212938">
              <w:rPr>
                <w:noProof/>
                <w:webHidden/>
              </w:rPr>
            </w:r>
            <w:r w:rsidR="00212938">
              <w:rPr>
                <w:noProof/>
                <w:webHidden/>
              </w:rPr>
              <w:fldChar w:fldCharType="separate"/>
            </w:r>
            <w:r w:rsidR="00212938">
              <w:rPr>
                <w:noProof/>
                <w:webHidden/>
              </w:rPr>
              <w:t>5</w:t>
            </w:r>
            <w:r w:rsidR="00212938">
              <w:rPr>
                <w:noProof/>
                <w:webHidden/>
              </w:rPr>
              <w:fldChar w:fldCharType="end"/>
            </w:r>
          </w:hyperlink>
        </w:p>
        <w:p w14:paraId="6CAB426D" w14:textId="5A40B8EC" w:rsidR="00212938" w:rsidRDefault="009E1BF2">
          <w:pPr>
            <w:pStyle w:val="11"/>
            <w:tabs>
              <w:tab w:val="right" w:leader="dot" w:pos="9016"/>
            </w:tabs>
            <w:rPr>
              <w:noProof/>
            </w:rPr>
          </w:pPr>
          <w:hyperlink w:anchor="_Toc48670454" w:history="1">
            <w:r w:rsidR="00212938" w:rsidRPr="003B528D">
              <w:rPr>
                <w:rStyle w:val="ab"/>
                <w:noProof/>
              </w:rPr>
              <w:t>Conclusion</w:t>
            </w:r>
            <w:r w:rsidR="00212938">
              <w:rPr>
                <w:noProof/>
                <w:webHidden/>
              </w:rPr>
              <w:tab/>
            </w:r>
            <w:r w:rsidR="00212938">
              <w:rPr>
                <w:noProof/>
                <w:webHidden/>
              </w:rPr>
              <w:fldChar w:fldCharType="begin"/>
            </w:r>
            <w:r w:rsidR="00212938">
              <w:rPr>
                <w:noProof/>
                <w:webHidden/>
              </w:rPr>
              <w:instrText xml:space="preserve"> PAGEREF _Toc48670454 \h </w:instrText>
            </w:r>
            <w:r w:rsidR="00212938">
              <w:rPr>
                <w:noProof/>
                <w:webHidden/>
              </w:rPr>
            </w:r>
            <w:r w:rsidR="00212938">
              <w:rPr>
                <w:noProof/>
                <w:webHidden/>
              </w:rPr>
              <w:fldChar w:fldCharType="separate"/>
            </w:r>
            <w:r w:rsidR="00212938">
              <w:rPr>
                <w:noProof/>
                <w:webHidden/>
              </w:rPr>
              <w:t>7</w:t>
            </w:r>
            <w:r w:rsidR="00212938">
              <w:rPr>
                <w:noProof/>
                <w:webHidden/>
              </w:rPr>
              <w:fldChar w:fldCharType="end"/>
            </w:r>
          </w:hyperlink>
        </w:p>
        <w:p w14:paraId="01205054" w14:textId="7E4109FA" w:rsidR="00212938" w:rsidRDefault="009E1BF2">
          <w:pPr>
            <w:pStyle w:val="11"/>
            <w:tabs>
              <w:tab w:val="right" w:leader="dot" w:pos="9016"/>
            </w:tabs>
            <w:rPr>
              <w:noProof/>
            </w:rPr>
          </w:pPr>
          <w:hyperlink w:anchor="_Toc48670455" w:history="1">
            <w:r w:rsidR="00212938" w:rsidRPr="003B528D">
              <w:rPr>
                <w:rStyle w:val="ab"/>
                <w:noProof/>
              </w:rPr>
              <w:t>Reference List</w:t>
            </w:r>
            <w:r w:rsidR="00212938">
              <w:rPr>
                <w:noProof/>
                <w:webHidden/>
              </w:rPr>
              <w:tab/>
            </w:r>
            <w:r w:rsidR="00212938">
              <w:rPr>
                <w:noProof/>
                <w:webHidden/>
              </w:rPr>
              <w:fldChar w:fldCharType="begin"/>
            </w:r>
            <w:r w:rsidR="00212938">
              <w:rPr>
                <w:noProof/>
                <w:webHidden/>
              </w:rPr>
              <w:instrText xml:space="preserve"> PAGEREF _Toc48670455 \h </w:instrText>
            </w:r>
            <w:r w:rsidR="00212938">
              <w:rPr>
                <w:noProof/>
                <w:webHidden/>
              </w:rPr>
            </w:r>
            <w:r w:rsidR="00212938">
              <w:rPr>
                <w:noProof/>
                <w:webHidden/>
              </w:rPr>
              <w:fldChar w:fldCharType="separate"/>
            </w:r>
            <w:r w:rsidR="00212938">
              <w:rPr>
                <w:noProof/>
                <w:webHidden/>
              </w:rPr>
              <w:t>8</w:t>
            </w:r>
            <w:r w:rsidR="00212938">
              <w:rPr>
                <w:noProof/>
                <w:webHidden/>
              </w:rPr>
              <w:fldChar w:fldCharType="end"/>
            </w:r>
          </w:hyperlink>
        </w:p>
        <w:p w14:paraId="7ECBA395" w14:textId="2028BA00" w:rsidR="00212938" w:rsidRDefault="00212938">
          <w:r>
            <w:rPr>
              <w:b/>
              <w:bCs/>
              <w:noProof/>
            </w:rPr>
            <w:fldChar w:fldCharType="end"/>
          </w:r>
        </w:p>
      </w:sdtContent>
    </w:sdt>
    <w:p w14:paraId="66A122CC" w14:textId="06CD67D4" w:rsidR="00844443" w:rsidRDefault="00844443"/>
    <w:p w14:paraId="1114D136" w14:textId="416DAB96" w:rsidR="00AF5683" w:rsidRDefault="00AF5683"/>
    <w:p w14:paraId="275C7488" w14:textId="20EF537C" w:rsidR="00AF5683" w:rsidRDefault="00AF5683"/>
    <w:p w14:paraId="186279DE" w14:textId="14E9E782" w:rsidR="00AF5683" w:rsidRDefault="00AF5683"/>
    <w:p w14:paraId="6C631FFE" w14:textId="31CF5533" w:rsidR="00AF5683" w:rsidRDefault="00AF5683"/>
    <w:p w14:paraId="7A045E2A" w14:textId="149D6CE4" w:rsidR="00AF5683" w:rsidRDefault="00AF5683"/>
    <w:p w14:paraId="76673593" w14:textId="707F44EE" w:rsidR="00AF5683" w:rsidRDefault="00AF5683"/>
    <w:p w14:paraId="5D845A77" w14:textId="398F78BF" w:rsidR="00AF5683" w:rsidRDefault="00AF5683"/>
    <w:p w14:paraId="50181858" w14:textId="476AC375" w:rsidR="00AF5683" w:rsidRDefault="00AF5683"/>
    <w:p w14:paraId="65D93106" w14:textId="583AA4FF" w:rsidR="00AF5683" w:rsidRDefault="00AF5683"/>
    <w:p w14:paraId="5CD8A11A" w14:textId="7DA953CF" w:rsidR="00AF5683" w:rsidRDefault="00AF5683"/>
    <w:p w14:paraId="64012595" w14:textId="1B0BA8DC" w:rsidR="00AF5683" w:rsidRDefault="00AF5683"/>
    <w:p w14:paraId="2959D0B2" w14:textId="75A80F28" w:rsidR="00AF5683" w:rsidRDefault="00AF5683"/>
    <w:p w14:paraId="4B5A7135" w14:textId="67B5EBDF" w:rsidR="00AF5683" w:rsidRDefault="00AF5683"/>
    <w:p w14:paraId="4926C040" w14:textId="6EAA22DA" w:rsidR="00AF5683" w:rsidRDefault="00AF5683"/>
    <w:p w14:paraId="1007E99A" w14:textId="1A997BB6" w:rsidR="00AF5683" w:rsidRDefault="00AF5683"/>
    <w:p w14:paraId="1130E7E0" w14:textId="1C3C49DA" w:rsidR="00AF5683" w:rsidRDefault="00AF5683"/>
    <w:p w14:paraId="4FEA02FE" w14:textId="5F819919" w:rsidR="00AF5683" w:rsidRDefault="00AF5683"/>
    <w:p w14:paraId="09DB3139" w14:textId="38FC02B7" w:rsidR="00AF5683" w:rsidRDefault="00AF5683"/>
    <w:p w14:paraId="37010A5C" w14:textId="3DF74A22" w:rsidR="00AF5683" w:rsidRDefault="00AF5683"/>
    <w:p w14:paraId="52E3C49B" w14:textId="76390BC0" w:rsidR="00AF5683" w:rsidRDefault="00AF5683" w:rsidP="00AF5683">
      <w:pPr>
        <w:pStyle w:val="1"/>
      </w:pPr>
      <w:bookmarkStart w:id="0" w:name="_Toc48670449"/>
      <w:r>
        <w:lastRenderedPageBreak/>
        <w:t>Introduction</w:t>
      </w:r>
      <w:bookmarkEnd w:id="0"/>
    </w:p>
    <w:p w14:paraId="30ABA732" w14:textId="7E76C2C3" w:rsidR="00C94912" w:rsidRDefault="00C94912" w:rsidP="00C94912">
      <w:r>
        <w:t>Mullins and Walker (2010) argue that “the better incentive from customers is the path to business achievement and that the prevailing cost is worth a mix of all planned items or administrations delivered with high calibre; costs and serious costs; and solid customer support ”(page 24).</w:t>
      </w:r>
    </w:p>
    <w:p w14:paraId="4AB74B17" w14:textId="4439FE22" w:rsidR="00AF5683" w:rsidRDefault="00C94912" w:rsidP="00C94912">
      <w:r>
        <w:t>In order to stimulate customers and investors, advertising activities must control productively and reliably the trade between individuals and associations focused on the needs and requirements of customers and the objects and administrations that best meet those needs and wants. In addition, capacity demonstration focuses on evaluating and responding to components such as items offered / administration (providing the most benefits for dollar needs), transferring administration (building customer relationships and increasing customer reliability), and monetary responsibility, the most attractive money-related outcomes for investors) (Pride et al., 2018).</w:t>
      </w:r>
    </w:p>
    <w:p w14:paraId="4AA544F3" w14:textId="648A5D16" w:rsidR="00AF5683" w:rsidRDefault="00AF5683" w:rsidP="00AF5683">
      <w:pPr>
        <w:pStyle w:val="1"/>
      </w:pPr>
      <w:bookmarkStart w:id="1" w:name="_Toc48670450"/>
      <w:r>
        <w:t>Market Orientation</w:t>
      </w:r>
      <w:bookmarkEnd w:id="1"/>
    </w:p>
    <w:p w14:paraId="566EA84E" w14:textId="49C13E5B" w:rsidR="00C94912" w:rsidRDefault="00C94912" w:rsidP="00C94912">
      <w:r>
        <w:t>The market direction gives the organization an excellent understanding of its customers, competitors, and conditions, which thus encourages the prevailing firm performance.</w:t>
      </w:r>
    </w:p>
    <w:p w14:paraId="6E3B8DAD" w14:textId="77777777" w:rsidR="00C94912" w:rsidRDefault="00C94912" w:rsidP="00C94912">
      <w:r>
        <w:t>As stated by Mullins and Walker (2010), “firms that are advertised facilitate their exercises around the primary goal of meeting neglected customer needs, and these organizations are shown to be more productive and rewarding in maintaining serious serious situations in their enterprises after some time ”(p. 34).</w:t>
      </w:r>
    </w:p>
    <w:p w14:paraId="7DB721C7" w14:textId="77777777" w:rsidR="00C94912" w:rsidRDefault="00C94912" w:rsidP="00C94912">
      <w:r>
        <w:t>Market-based associations operate as stated by business theory, known as the advertising idea, which states that organizing and coordinating all of an organization's exercises around the primary goal of meeting customer needs is the best way to achieve and support management and achieving the goals of the organization after some time (p. 36). Maintaining this favorable position, "companies lined with exhibitions are ready and ready to quickly adapt items and utilitarian projects to respond to changes in this state; these organizations also receive a range of authoritative methods and structures to improve the responsiveness of their dynamics. "(page 36).</w:t>
      </w:r>
    </w:p>
    <w:p w14:paraId="7597B9EA" w14:textId="77777777" w:rsidR="00C94912" w:rsidRDefault="00C94912" w:rsidP="00C94912">
      <w:r>
        <w:t>Despite achieving this procedure, showcases located companies run the risk of succumbing to their own system. In their quest to be aware of the customer base and the ever-changing state of the business sector, companies may experience the negative effects of their quest to meet the needs of each customer by paying little attention to costs. Mullins and Walker ensure that "this would be a means of a money disaster" (p. 37). Moreover, the creators sometimes recommend "companies that make progress by being at the top of its state put some distance between its market, as bosses are reluctant to interfere with methodologies and demonstration programs that have worked before" (p. 39).</w:t>
      </w:r>
    </w:p>
    <w:p w14:paraId="556070FC" w14:textId="58C43221" w:rsidR="00AF5683" w:rsidRDefault="00C94912" w:rsidP="00C94912">
      <w:r>
        <w:t>The case of a market-based association is Chanel. They structure and create elements that will talk to the buyer before the customer even gets the opportunity to "need" the item.</w:t>
      </w:r>
    </w:p>
    <w:p w14:paraId="291650C7" w14:textId="3E2D160C" w:rsidR="00AF5683" w:rsidRDefault="00AF5683" w:rsidP="00AF5683">
      <w:pPr>
        <w:pStyle w:val="1"/>
      </w:pPr>
      <w:bookmarkStart w:id="2" w:name="_Toc48670451"/>
      <w:r>
        <w:lastRenderedPageBreak/>
        <w:t>Customers and their Buying Decisions</w:t>
      </w:r>
      <w:bookmarkEnd w:id="2"/>
    </w:p>
    <w:p w14:paraId="272216BD" w14:textId="77777777" w:rsidR="00C94912" w:rsidRDefault="00C94912" w:rsidP="00C94912">
      <w:r>
        <w:t>Mullins and Walker argue that not everyone buys similarly significant or mentally included in light of the fact that the choice to spend a few thousand dollars on a purchase is a greater condition for the vast majority of the basic choice of adding bananas to the shopping cart. 100). Highly inclusive purchases are essential for the buyer, as they address social needs or the needs of one's own image and can, therefore, carry social and mental hazards. In addition, they may also involve a tonne of money and thus pose a monetary risk. Customers are grouped based on whether 1) they have a high or low degree of inclusion of the items and 2) the person in question participates in a broad data search and evaluation of selected brands or routinely determines at will (p. 101).</w:t>
      </w:r>
    </w:p>
    <w:p w14:paraId="61CF0C74" w14:textId="77777777" w:rsidR="00C94912" w:rsidRDefault="00C94912" w:rsidP="00C94912">
      <w:r>
        <w:t>According to Mullins and Walker, “customers use a distinctive dynamic procedure and can be influenced by a variety of mental, social, and situational factors, depending on how committed they are to the product they are buying. Such behavioural contrasts have significant consequences for advertisers ”(p. 109).</w:t>
      </w:r>
    </w:p>
    <w:p w14:paraId="5F1D9608" w14:textId="77777777" w:rsidR="00C94912" w:rsidRDefault="00C94912" w:rsidP="00C94912">
      <w:r>
        <w:t>These suggestions depend on the choice of the 4 points in the advertising plan for high and low association items. Since these purchases will not be so successful, the advertiser must decide whether most potential customers will be deeply involved in the purchase. When they make this assurance, advertisers will be able to decide on the configuration of the items, to deal with the evaluation of selection, publicity and selection of progress, the choice of appropriations, just as the procedures for building the buyer's contribution (p. 110- 112).</w:t>
      </w:r>
    </w:p>
    <w:p w14:paraId="0D118D39" w14:textId="77777777" w:rsidR="00C94912" w:rsidRDefault="00C94912" w:rsidP="00C94912">
      <w:r>
        <w:t>Different people buy different things for some reason. Mullins and Walker talk about certain factors that affect the dynamic procedure of the buyer. Some of the mental influences include insight, memory, needs and perspectives. Individual factors include segmental qualities and lifestyle. In addition, social impacts include culture, social class, reference events, and family (p. 122).</w:t>
      </w:r>
    </w:p>
    <w:p w14:paraId="75636ECA" w14:textId="77777777" w:rsidR="00C94912" w:rsidRDefault="00C94912" w:rsidP="00C94912">
      <w:r>
        <w:t>All associations buy things. They buy indistinguishable products and ventures from individual buyers. Thus, what distinguishes authoritative markets from buyers' markets is not the types of goods that are bought, but rather the distinctions from an effective point of view. These include 1) buyer inspiration: what the association will associate with the item and the benefits it appears to gain; 2) the social economy of the market, and 3) the idea of ​​the purchase procedure and the relationship between the buyer and the dealer (page 128).</w:t>
      </w:r>
    </w:p>
    <w:p w14:paraId="029E263C" w14:textId="77777777" w:rsidR="00C94912" w:rsidRDefault="00C94912" w:rsidP="00C94912">
      <w:r>
        <w:t>Furthermore, although hierarchical markets are unique in terms of buyer markets, advertisers must respond to a similar order of inquiries for both markets so as to create a strong basis for their promotional plans.</w:t>
      </w:r>
    </w:p>
    <w:p w14:paraId="6FAEDCF9" w14:textId="082D802D" w:rsidR="00AF5683" w:rsidRDefault="00C94912" w:rsidP="00C94912">
      <w:r>
        <w:t>According to Mullins and Walker, "the way in which interest in certain reputable products and businesses is derived from a buyer's hidden request makes it more difficult to evaluate transactions, but also limits the advertiser's ability to influence the request among hierarchical buyers." in fact, even hierarchical advertisers need a strong understanding of buyer behaviour. Several advantages of these promotional program awards include "dispersion channels, complex elements, and huge dollar values, just as reliability among buyers and dealers, in general, will be greater" (p. 128).</w:t>
      </w:r>
    </w:p>
    <w:p w14:paraId="4ED9C390" w14:textId="7A930113" w:rsidR="00AF5683" w:rsidRDefault="00AF5683" w:rsidP="00AF5683">
      <w:pPr>
        <w:pStyle w:val="1"/>
      </w:pPr>
      <w:bookmarkStart w:id="3" w:name="_Toc48670452"/>
      <w:r>
        <w:lastRenderedPageBreak/>
        <w:t>Marketing Value to Customers and Engagement with Stakeholders</w:t>
      </w:r>
      <w:bookmarkEnd w:id="3"/>
    </w:p>
    <w:p w14:paraId="62D17046" w14:textId="77777777" w:rsidR="00C94912" w:rsidRDefault="00C94912" w:rsidP="00C94912">
      <w:r>
        <w:t>Mullins and Walker (2010) consider the division of shop windows: “In principle, in each market, if the different parts can be clearly distinguished, explicit items with explicit advertising projects can be created to meet both the physical needs of the customer and of enthusiastic needs experienced by buyers for their interests ”(p. 179).</w:t>
      </w:r>
    </w:p>
    <w:p w14:paraId="17CD1762" w14:textId="77777777" w:rsidR="00C94912" w:rsidRDefault="00C94912" w:rsidP="00C94912">
      <w:r>
        <w:t>In addition, "the advertising department is progressively gaining in the improvement of promotional systems" (p. 181). "The selection of departments is best done in one of three different ways: depending on who the customers are, it depends on where they are or it depends on how they relate to the relevant market" (p. 183).</w:t>
      </w:r>
    </w:p>
    <w:p w14:paraId="479D4DD8" w14:textId="3206B7EF" w:rsidR="00AF5683" w:rsidRDefault="00C94912" w:rsidP="00C94912">
      <w:r>
        <w:t>The demographic segregation methodology is used when the choice depends on who the customers are; the social economy goes beyond the characteristics of the buyer, such as age, gender, salary, occupation, education and race, and ethnic starting point. The geological separation system is used when the choice depends on where the customers are; geologists consider different areas or localities that differ in their business potential, degree of development, customer needs, societies, atmosphere, administration needs, and serious structures, just like purchasing courses (Cateora et al., 2016). In addition, the psychographic separation system is used when the choice depends on how the buyer relates to the market in question; behavioural qualities include those that depend on the buyer's lifestyle, such as exercises, bonuses, and feelings (pp. 183-86). However, mixtures of different credits are often used to focus more precisely on an attractive fragment; and whether the primary division plot is geological or social, understanding the profile of the objective market segment is useful.</w:t>
      </w:r>
    </w:p>
    <w:p w14:paraId="46A86692" w14:textId="77777777" w:rsidR="00C94912" w:rsidRDefault="00C94912" w:rsidP="00C94912">
      <w:r>
        <w:t>As Malins and Walker point out, in the association's effort to figure out which demonstration procedure to take, a 5-preliminary procedure is applied to best assess potential objective markets:</w:t>
      </w:r>
    </w:p>
    <w:p w14:paraId="4573BC37" w14:textId="77777777" w:rsidR="00C94912" w:rsidRDefault="00C94912" w:rsidP="00C94912">
      <w:r>
        <w:t>1) Select standards to determine the quantity and severity of the window.</w:t>
      </w:r>
    </w:p>
    <w:p w14:paraId="04086745" w14:textId="77777777" w:rsidR="00C94912" w:rsidRDefault="00C94912" w:rsidP="00C94912">
      <w:r>
        <w:t>2) Show tempting and serious variable positions to reflect their relative importance.</w:t>
      </w:r>
    </w:p>
    <w:p w14:paraId="516E7B03" w14:textId="77777777" w:rsidR="00C94912" w:rsidRDefault="00C94912" w:rsidP="00C94912">
      <w:r>
        <w:t>3) Assessment of the current situation of each potential objective market for each factor.</w:t>
      </w:r>
    </w:p>
    <w:p w14:paraId="1671FDBB" w14:textId="77777777" w:rsidR="00C94912" w:rsidRDefault="00C94912" w:rsidP="00C94912">
      <w:r>
        <w:t>4) Design the future situation of each market depending on the expected environmental, customer and serious models.</w:t>
      </w:r>
    </w:p>
    <w:p w14:paraId="2E1FA808" w14:textId="77777777" w:rsidR="00C94912" w:rsidRDefault="00C94912" w:rsidP="00C94912">
      <w:r>
        <w:t>5) Assess the consequences of possible future changes for the needs of business equipment and assets.</w:t>
      </w:r>
    </w:p>
    <w:p w14:paraId="0F7DFE1F" w14:textId="77777777" w:rsidR="00C94912" w:rsidRDefault="00C94912" w:rsidP="00C94912">
      <w:r>
        <w:t>As Mullins and Walker (2010) point out, the presentation of new items is an uncertain business, as most are usually aligned. They do not bomb for specialized reasons; they fail due to the basic reality that insufficient buyers are willing to buy the item (p. 262). To keep a strategic distance from this circumstance, associations must remember that when they build another element, they ensure that a sufficient understanding is created of the needs, preferences and needs of the client.</w:t>
      </w:r>
    </w:p>
    <w:p w14:paraId="6F8A9C1D" w14:textId="77777777" w:rsidR="00C94912" w:rsidRDefault="00C94912" w:rsidP="00C94912">
      <w:r>
        <w:t xml:space="preserve">When advertisers have chosen the understanding they consider important to seek after presenting another item that they believe will be of interest to buyers, advertisers follow a </w:t>
      </w:r>
      <w:r>
        <w:lastRenderedPageBreak/>
        <w:t>procedure to refine new items that will make a better effort for the new item and at the same time will reduce the dangers of frustration (Cateora cit., 2016). Mullins and Walker argue that the progress of procedures to monitor the improvement of new elements is known as the phase door framework, which consists of 5 phases ranging from the right of thought to the sending of items (p. 265). In addition, it is said that the new element must be inspected after the completion of each progression so that it can proceed to the next stage at any time; In this way, thoughts that need advertising potential are stopped before consuming an excessive number of assets to create more. The 5 entrances are talked about:</w:t>
      </w:r>
    </w:p>
    <w:p w14:paraId="3393EEDC" w14:textId="77777777" w:rsidR="00C94912" w:rsidRDefault="00C94912" w:rsidP="00C94912">
      <w:r>
        <w:t>Door 1: Idea Generation Solutions and Initial Screening Solutions - Thought, Initial Evaluation to decide if the thought is vital to the organization</w:t>
      </w:r>
    </w:p>
    <w:p w14:paraId="4D3F3E2B" w14:textId="77777777" w:rsidR="00C94912" w:rsidRDefault="00C94912" w:rsidP="00C94912">
      <w:r>
        <w:t>Input 2: Secondary screening solutions - aluminium grain check (business case readiness) to kill any unstable thoughts before consuming a noticeable measure of assets</w:t>
      </w:r>
    </w:p>
    <w:p w14:paraId="0E40E612" w14:textId="77777777" w:rsidR="00C94912" w:rsidRDefault="00C94912" w:rsidP="00C94912">
      <w:r>
        <w:t>Door 3: Solutions to the business case - the investigation is complete, which includes a rich client, a showcase and a serious investigation; together with the substantial study. This stage is the last chance to stop before proceeding with the overall improvement.</w:t>
      </w:r>
    </w:p>
    <w:p w14:paraId="6AC6E9F9" w14:textId="77777777" w:rsidR="00C94912" w:rsidRDefault="00C94912" w:rsidP="00C94912">
      <w:r>
        <w:t>Input 4: Solutions for review after improvement - the structure of the article and the explicit inclusion of the article are selected, evaluated and defined channels, along with the brand, packaging and organized program for advertising correspondence. All additional advertising research is done at this stage.</w:t>
      </w:r>
    </w:p>
    <w:p w14:paraId="1D257219" w14:textId="6C0AE074" w:rsidR="00AF5683" w:rsidRPr="00AF5683" w:rsidRDefault="00C94912" w:rsidP="00C94912">
      <w:r>
        <w:t>Input 5: Commercialization of the business before commercialization - the item must be presented in a test window.</w:t>
      </w:r>
    </w:p>
    <w:p w14:paraId="4AB0A3E8" w14:textId="720AB759" w:rsidR="00AF5683" w:rsidRDefault="00AF5683" w:rsidP="00AF5683">
      <w:pPr>
        <w:pStyle w:val="1"/>
      </w:pPr>
      <w:bookmarkStart w:id="4" w:name="_Toc48670453"/>
      <w:r>
        <w:t>Chanel – Marketing Strategies for Development of Product and Price Value</w:t>
      </w:r>
      <w:bookmarkEnd w:id="4"/>
    </w:p>
    <w:p w14:paraId="3CEF0776" w14:textId="77777777" w:rsidR="00212938" w:rsidRDefault="00212938" w:rsidP="00212938">
      <w:r>
        <w:t>When offering new items for sale to the public, the evaluation includes generous work at all times. Mullins and Walker report that numerous associations base their assessment on what is important for the recovery or coordination of candidates. However, following these methodologies, associations run the risk of giving an item a value that may not reflect the customer's impression of what the item deserves (customer respect) (p. 281).</w:t>
      </w:r>
    </w:p>
    <w:p w14:paraId="38FE1787" w14:textId="77777777" w:rsidR="00212938" w:rsidRDefault="00212938" w:rsidP="00212938">
      <w:r>
        <w:t>The value chosen should be based on a study of the costs and expenses of the candidates, the vital goals and the observance of different segments of the advertising plan. Similarly, the set costs should cover a decent amount from the valuation of the item, as seen by the expected customer (page 305).</w:t>
      </w:r>
    </w:p>
    <w:p w14:paraId="06D971D5" w14:textId="77777777" w:rsidR="00212938" w:rsidRDefault="00212938" w:rsidP="00212938">
      <w:r>
        <w:t>As price is the last part of customer respect and excellence, the valuation technique must reflect the knowledge of the inspirations of the stores so that there is an excellent opportunity for progress. These techniques depend on explicit destinations subordinate to the goals of the strategic association or strategic ones (Pierre Jeannet and Hennessey, 2005).</w:t>
      </w:r>
    </w:p>
    <w:p w14:paraId="6AA72DCB" w14:textId="5EF0BF69" w:rsidR="00AF5683" w:rsidRDefault="00212938" w:rsidP="00212938">
      <w:r>
        <w:t xml:space="preserve">Amplification of development and infiltration transactions (input evaluation) - this technique is used when the company is an early competitor in another showcase with the potential for </w:t>
      </w:r>
      <w:r>
        <w:lastRenderedPageBreak/>
        <w:t>significant development; low costs are set to attract as many customers as possible (Jean-Pierre Jeannet and Hennessey, 2005).</w:t>
      </w:r>
    </w:p>
    <w:p w14:paraId="71F29DDE" w14:textId="77777777" w:rsidR="00212938" w:rsidRDefault="00212938" w:rsidP="00212938">
      <w:r>
        <w:t>Maintaining quality or separating the administration - this technique is used when a company has a solid serious position, depending on the unsurpassed quality of the item or customer support; his motivation is to create an adequate income to maintain this advantage.</w:t>
      </w:r>
    </w:p>
    <w:p w14:paraId="039F4264" w14:textId="77777777" w:rsidR="00212938" w:rsidRDefault="00212938" w:rsidP="00212938">
      <w:r>
        <w:t>Increasing the current benefit (skimming) - this methodology is used when a company needs to increase the short-term benefits; setting high costs, they require only the smallest value part of the touch of potential customers (Meratian Esfahani and W. Johnson, 2018).</w:t>
      </w:r>
    </w:p>
    <w:p w14:paraId="0FC2A9CF" w14:textId="77777777" w:rsidR="00212938" w:rsidRDefault="00212938" w:rsidP="00212938">
      <w:r>
        <w:t>Increase current benefit (collection) - this methodology is used to increase the immediate benefits before the disappearance of interest on the position; this includes cutting the window, setting up and operating costs for the product, while setting significant costs so as to preserve the edges and increase the benefits.</w:t>
      </w:r>
    </w:p>
    <w:p w14:paraId="39F91582" w14:textId="77777777" w:rsidR="00212938" w:rsidRDefault="00212938" w:rsidP="00212938">
      <w:r>
        <w:t>Durability - this procedure is used when an item has an unstable serious situation, but the weaknesses of the product are corrected; The association just needs to buy time and keep the income in order to make significant changes.</w:t>
      </w:r>
    </w:p>
    <w:p w14:paraId="23BAF59E" w14:textId="77777777" w:rsidR="00212938" w:rsidRDefault="00212938" w:rsidP="00212938">
      <w:r>
        <w:t>Social purposes - this technique is used in most non-profit organizations; costs are sponsored by income from fees or gifts and lower costs are offered to customers to achieve a broader social cause (Meratian Esfahani and W. Johnson, 2018).</w:t>
      </w:r>
    </w:p>
    <w:p w14:paraId="566D7C9F" w14:textId="77777777" w:rsidR="00212938" w:rsidRDefault="00212938" w:rsidP="00212938">
      <w:r>
        <w:t>At a time when the price of another item is set at a low level, it has a much greater opportunity to accept the wishes of customers, who are therefore obliged to quickly create a safe place in the market. The moment the association updates rehearsals that represent something other than deals and income, the superior popularity of the buyer may increase.</w:t>
      </w:r>
    </w:p>
    <w:p w14:paraId="2099D376" w14:textId="214A70B8" w:rsidR="00AF5683" w:rsidRDefault="00212938" w:rsidP="00212938">
      <w:r>
        <w:t>Extravagance is in the design and is currently found in almost every segment of retail, installation and administration. New terms that meet the requirements of extravagance, such as "premium", "ultra-premium" and "hyper luxe" (routine extravagance system: set guidelines for promoting the construction of extravagance brands, 2013), are routinely displayed. The "luxury strategy" is a new definite work that puts any misinformation at rest. Extravagance is as old as humanity and only through a comprehensive understanding of the real idea is it possible to characterize an in-depth arrangement of rules for the viable administration of extravagant brands and articles (Aliferis, 2017). the extremely unique strategies used to transform small private companies, such as Ferrari, Louis Vuitton, Cartier, Chanel, Bulgari, Gucci and Prada, into global brands. The "luxury strategy" clarifies the contrast between "premium" and "extravagance" and sets out the principles to be applied to the advertising mixture for extravagance (as opposed to, for example.) It presents how to carry out an extravagance procedure within an organization and provides clear standards for proving - and remains - "extravagant" (The methodology of extravagance: setting guidelines for demonstrating the construction of extravagant brands, 2013).</w:t>
      </w:r>
    </w:p>
    <w:p w14:paraId="3FD2FD5D" w14:textId="77777777" w:rsidR="00212938" w:rsidRDefault="00212938" w:rsidP="00212938"/>
    <w:p w14:paraId="1150E335" w14:textId="29C39126" w:rsidR="00AF5683" w:rsidRDefault="00AF5683" w:rsidP="00AF5683">
      <w:pPr>
        <w:pStyle w:val="1"/>
      </w:pPr>
      <w:bookmarkStart w:id="5" w:name="_Toc48670454"/>
      <w:r>
        <w:lastRenderedPageBreak/>
        <w:t>Conclusion</w:t>
      </w:r>
      <w:bookmarkEnd w:id="5"/>
    </w:p>
    <w:p w14:paraId="2305FF85" w14:textId="60BD36EC" w:rsidR="00AF5683" w:rsidRDefault="00212938" w:rsidP="00AF5683">
      <w:r w:rsidRPr="00212938">
        <w:t>In general, promotional work undertakes critical work to create an incentive for clients and investors. Immediately outside the bats, the demonstration should provide a direction to focus on a specific customer. Subsequently, improve the organization in a specific way. Preferably, without proper encouragement, the development of the organization may stop or decrease. In case the unsuitable clients and investors are identified or too broad through a demonstration plan, offering some benefit can be testing.</w:t>
      </w:r>
    </w:p>
    <w:p w14:paraId="00228089" w14:textId="46A9C9EE" w:rsidR="00AF5683" w:rsidRDefault="00AF5683" w:rsidP="00AF5683"/>
    <w:p w14:paraId="7AB49835" w14:textId="7D40354B" w:rsidR="00AF5683" w:rsidRDefault="00AF5683" w:rsidP="00AF5683"/>
    <w:p w14:paraId="23496AD2" w14:textId="55F0D9B2" w:rsidR="00AF5683" w:rsidRDefault="00AF5683" w:rsidP="00AF5683"/>
    <w:p w14:paraId="13DC52F7" w14:textId="06678448" w:rsidR="00212938" w:rsidRDefault="00212938" w:rsidP="00AF5683"/>
    <w:p w14:paraId="4C4A7A9F" w14:textId="604F1601" w:rsidR="00212938" w:rsidRDefault="00212938" w:rsidP="00AF5683"/>
    <w:p w14:paraId="550C01F3" w14:textId="48B39C19" w:rsidR="00212938" w:rsidRDefault="00212938" w:rsidP="00AF5683"/>
    <w:p w14:paraId="2D78363D" w14:textId="77C57CC0" w:rsidR="00212938" w:rsidRDefault="00212938" w:rsidP="00AF5683"/>
    <w:p w14:paraId="6E4FD399" w14:textId="07758C8C" w:rsidR="00212938" w:rsidRDefault="00212938" w:rsidP="00AF5683"/>
    <w:p w14:paraId="439D82FE" w14:textId="0CB72397" w:rsidR="00212938" w:rsidRDefault="00212938" w:rsidP="00AF5683"/>
    <w:p w14:paraId="68DD1F1C" w14:textId="77777777" w:rsidR="00212938" w:rsidRDefault="00212938" w:rsidP="00AF5683"/>
    <w:p w14:paraId="07A33CB0" w14:textId="1C5BE09D" w:rsidR="00AF5683" w:rsidRDefault="00AF5683" w:rsidP="00AF5683"/>
    <w:p w14:paraId="0BC4B51D" w14:textId="1464D75B" w:rsidR="00AF5683" w:rsidRDefault="00AF5683" w:rsidP="00AF5683"/>
    <w:p w14:paraId="7BA66BE9" w14:textId="3A86D024" w:rsidR="00AF5683" w:rsidRDefault="00AF5683" w:rsidP="00AF5683"/>
    <w:p w14:paraId="60EBD0B7" w14:textId="51B2DBF0" w:rsidR="00AF5683" w:rsidRDefault="00AF5683" w:rsidP="00AF5683"/>
    <w:p w14:paraId="55AC6FC3" w14:textId="5348630E" w:rsidR="00AF5683" w:rsidRDefault="00AF5683" w:rsidP="00AF5683"/>
    <w:p w14:paraId="1B0CFA69" w14:textId="5BEF5E51" w:rsidR="00AF5683" w:rsidRDefault="00AF5683" w:rsidP="00AF5683"/>
    <w:p w14:paraId="090230E8" w14:textId="341AE1D7" w:rsidR="00AF5683" w:rsidRDefault="00AF5683" w:rsidP="00AF5683"/>
    <w:p w14:paraId="0656B95E" w14:textId="481210D5" w:rsidR="00AF5683" w:rsidRDefault="00AF5683" w:rsidP="00AF5683"/>
    <w:p w14:paraId="781C925E" w14:textId="7B281BED" w:rsidR="00AF5683" w:rsidRDefault="00AF5683" w:rsidP="00AF5683"/>
    <w:p w14:paraId="4CC455FF" w14:textId="2323FE11" w:rsidR="00AF5683" w:rsidRDefault="00AF5683" w:rsidP="00AF5683"/>
    <w:p w14:paraId="6900033B" w14:textId="4088D742" w:rsidR="00AF5683" w:rsidRDefault="00AF5683" w:rsidP="00AF5683"/>
    <w:p w14:paraId="5CB6DD3C" w14:textId="588E333A" w:rsidR="00AF5683" w:rsidRDefault="00AF5683" w:rsidP="00AF5683">
      <w:pPr>
        <w:pStyle w:val="1"/>
      </w:pPr>
      <w:bookmarkStart w:id="6" w:name="_Toc48670455"/>
      <w:r>
        <w:lastRenderedPageBreak/>
        <w:t>Reference List</w:t>
      </w:r>
      <w:bookmarkEnd w:id="6"/>
    </w:p>
    <w:p w14:paraId="68D31F64" w14:textId="73DF43B0" w:rsidR="00C94912" w:rsidRPr="00C94912" w:rsidRDefault="00C94912" w:rsidP="00BC2051">
      <w:r>
        <w:t xml:space="preserve">Aliferis, G. (2017). </w:t>
      </w:r>
      <w:r w:rsidRPr="00C94912">
        <w:t>How Chanel Became the Most Social Luxury Brand</w:t>
      </w:r>
      <w:r>
        <w:t xml:space="preserve">. </w:t>
      </w:r>
      <w:r>
        <w:rPr>
          <w:i/>
          <w:iCs/>
        </w:rPr>
        <w:t xml:space="preserve">Luxury Society </w:t>
      </w:r>
      <w:r>
        <w:t xml:space="preserve">[online]. Available from: </w:t>
      </w:r>
      <w:hyperlink r:id="rId8" w:history="1">
        <w:r w:rsidRPr="008E121A">
          <w:rPr>
            <w:rStyle w:val="ab"/>
          </w:rPr>
          <w:t>https://www.luxurysociety.com/en/articles/2017/08/how-chanel-became-most-social-luxury-brand/</w:t>
        </w:r>
      </w:hyperlink>
      <w:r>
        <w:t xml:space="preserve"> [Accessed: 11/08/2020].</w:t>
      </w:r>
    </w:p>
    <w:p w14:paraId="72ADA914" w14:textId="6AA8CD26" w:rsidR="00BC2051" w:rsidRPr="00BC2051" w:rsidRDefault="00BC2051" w:rsidP="00BC2051">
      <w:r w:rsidRPr="00BC2051">
        <w:t xml:space="preserve">Cateora, P.R., Gilly, M.C., Graham, J.L. and R  Bruce Money (2016). </w:t>
      </w:r>
      <w:r w:rsidRPr="00BC2051">
        <w:rPr>
          <w:i/>
          <w:iCs/>
        </w:rPr>
        <w:t>International marketing</w:t>
      </w:r>
      <w:r w:rsidRPr="00BC2051">
        <w:t>. New York, Ny Mcgrawhill Education.</w:t>
      </w:r>
    </w:p>
    <w:p w14:paraId="70FB0E03" w14:textId="77777777" w:rsidR="00AF5683" w:rsidRPr="00AF5683" w:rsidRDefault="00AF5683" w:rsidP="00AF5683">
      <w:r w:rsidRPr="00AF5683">
        <w:t xml:space="preserve">Jean-Pierre Jeannet and Hennessey, H.D. (2005). </w:t>
      </w:r>
      <w:r w:rsidRPr="00AF5683">
        <w:rPr>
          <w:i/>
          <w:iCs/>
        </w:rPr>
        <w:t>Cases in global marketing strategies</w:t>
      </w:r>
      <w:r w:rsidRPr="00AF5683">
        <w:t>. Boston: Houghton Mifflin.</w:t>
      </w:r>
    </w:p>
    <w:p w14:paraId="0AC7DCF6" w14:textId="77777777" w:rsidR="00BC2051" w:rsidRPr="00BC2051" w:rsidRDefault="00BC2051" w:rsidP="00BC2051">
      <w:r w:rsidRPr="00BC2051">
        <w:t xml:space="preserve">Meratian Esfahani, L. and W. Johnson, L. (2018). Stakeholders’ Engagement and Strategic Management of Social Media. </w:t>
      </w:r>
      <w:r w:rsidRPr="00BC2051">
        <w:rPr>
          <w:i/>
          <w:iCs/>
        </w:rPr>
        <w:t>JOURNAL OF INTERNATIONAL BUSINESS RESEARCH AND MARKETING</w:t>
      </w:r>
      <w:r w:rsidRPr="00BC2051">
        <w:t>, 3(</w:t>
      </w:r>
      <w:r w:rsidRPr="00BC2051">
        <w:rPr>
          <w:b/>
          <w:bCs/>
        </w:rPr>
        <w:t>6</w:t>
      </w:r>
      <w:r w:rsidRPr="00BC2051">
        <w:t>), pp.47–56.</w:t>
      </w:r>
    </w:p>
    <w:p w14:paraId="52A20F37" w14:textId="77777777" w:rsidR="00BC2051" w:rsidRPr="00BC2051" w:rsidRDefault="00BC2051" w:rsidP="00BC2051">
      <w:pPr>
        <w:rPr>
          <w:lang w:val="en-US"/>
        </w:rPr>
      </w:pPr>
      <w:r w:rsidRPr="00BC2051">
        <w:rPr>
          <w:lang w:val="en-US"/>
        </w:rPr>
        <w:t xml:space="preserve">Mullins, J. W., Walker, Jr., O. C. (2010). </w:t>
      </w:r>
      <w:r w:rsidRPr="00BC2051">
        <w:rPr>
          <w:i/>
          <w:iCs/>
          <w:lang w:val="en-US"/>
        </w:rPr>
        <w:t>Marketing management: A strategic decision making approach</w:t>
      </w:r>
      <w:r w:rsidRPr="00BC2051">
        <w:rPr>
          <w:lang w:val="en-US"/>
        </w:rPr>
        <w:t xml:space="preserve"> (7th ed.).  Boston: McGraw-Hill Irwin. </w:t>
      </w:r>
    </w:p>
    <w:p w14:paraId="17DED645" w14:textId="77777777" w:rsidR="00BC2051" w:rsidRPr="00BC2051" w:rsidRDefault="00BC2051" w:rsidP="00BC2051">
      <w:r w:rsidRPr="00BC2051">
        <w:t xml:space="preserve">Pride, W.M., Ferrell, O.C., Lukas, B.A., Schembri, S., Outi Niininen and Riza Casidy (2018). </w:t>
      </w:r>
      <w:r w:rsidRPr="00BC2051">
        <w:rPr>
          <w:i/>
          <w:iCs/>
        </w:rPr>
        <w:t>Marketing principles</w:t>
      </w:r>
      <w:r w:rsidRPr="00BC2051">
        <w:t>. South Melbourne, Vic. Cengage.</w:t>
      </w:r>
    </w:p>
    <w:p w14:paraId="68C4CAC2" w14:textId="77777777" w:rsidR="00AF5683" w:rsidRPr="00AF5683" w:rsidRDefault="00AF5683" w:rsidP="00AF5683">
      <w:r w:rsidRPr="00AF5683">
        <w:t xml:space="preserve">The luxury strategy: break the rules of marketing to build luxury brands. (2013). </w:t>
      </w:r>
      <w:r w:rsidRPr="00AF5683">
        <w:rPr>
          <w:i/>
          <w:iCs/>
        </w:rPr>
        <w:t>Choice Reviews Online</w:t>
      </w:r>
      <w:r w:rsidRPr="00AF5683">
        <w:t>, 50(</w:t>
      </w:r>
      <w:r w:rsidRPr="00AF5683">
        <w:rPr>
          <w:b/>
          <w:bCs/>
        </w:rPr>
        <w:t>07</w:t>
      </w:r>
      <w:r w:rsidRPr="00AF5683">
        <w:t>), pp.50-3944-50–3944.</w:t>
      </w:r>
    </w:p>
    <w:p w14:paraId="62500F96" w14:textId="77777777" w:rsidR="00AF5683" w:rsidRPr="00AF5683" w:rsidRDefault="00AF5683" w:rsidP="00AF5683"/>
    <w:p w14:paraId="62A07D85" w14:textId="41FC3BA5" w:rsidR="00AF5683" w:rsidRDefault="00AF5683" w:rsidP="00AF5683"/>
    <w:p w14:paraId="04890B1A" w14:textId="187B95FA" w:rsidR="00AF5683" w:rsidRDefault="00AF5683" w:rsidP="00AF5683"/>
    <w:p w14:paraId="58354DC4" w14:textId="0FF55004" w:rsidR="00AF5683" w:rsidRDefault="00AF5683" w:rsidP="00AF5683"/>
    <w:p w14:paraId="510B6DF0" w14:textId="3E856AC7" w:rsidR="00AF5683" w:rsidRDefault="00AF5683" w:rsidP="00AF5683"/>
    <w:p w14:paraId="1F5E1EED" w14:textId="78D51A46" w:rsidR="00AF5683" w:rsidRDefault="00AF5683" w:rsidP="00AF5683"/>
    <w:p w14:paraId="225DE7C4" w14:textId="07911942" w:rsidR="00AF5683" w:rsidRDefault="00AF5683" w:rsidP="00AF5683"/>
    <w:p w14:paraId="64829E4A" w14:textId="01FF6842" w:rsidR="00AF5683" w:rsidRDefault="00AF5683" w:rsidP="00AF5683"/>
    <w:p w14:paraId="3E4F6A9E" w14:textId="77777777" w:rsidR="00AF5683" w:rsidRPr="00AF5683" w:rsidRDefault="00AF5683" w:rsidP="00AF5683"/>
    <w:p w14:paraId="324A01E1" w14:textId="5C36DAA5" w:rsidR="00AF5683" w:rsidRDefault="00AF5683"/>
    <w:p w14:paraId="3F6ED7D7" w14:textId="1A5B1C2A" w:rsidR="00AF5683" w:rsidRDefault="00AF5683"/>
    <w:p w14:paraId="34542E8E" w14:textId="1C8AD960" w:rsidR="00AF5683" w:rsidRDefault="00AF5683"/>
    <w:p w14:paraId="15C1FEE9" w14:textId="4E5CEB9D" w:rsidR="00AF5683" w:rsidRDefault="00AF5683"/>
    <w:p w14:paraId="5DC7BE00" w14:textId="52D0E947" w:rsidR="00AF5683" w:rsidRDefault="00AF5683"/>
    <w:p w14:paraId="33923C7C" w14:textId="0C2725E9" w:rsidR="00AF5683" w:rsidRDefault="00AF5683"/>
    <w:p w14:paraId="54E60C59" w14:textId="18748EB9" w:rsidR="00AF5683" w:rsidRDefault="00AF5683"/>
    <w:p w14:paraId="4A940142" w14:textId="77777777" w:rsidR="00AF5683" w:rsidRDefault="00AF5683"/>
    <w:sectPr w:rsidR="00AF5683" w:rsidSect="00AF56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DB416" w14:textId="77777777" w:rsidR="009E1BF2" w:rsidRDefault="009E1BF2" w:rsidP="00AF5683">
      <w:pPr>
        <w:spacing w:after="0" w:line="240" w:lineRule="auto"/>
      </w:pPr>
      <w:r>
        <w:separator/>
      </w:r>
    </w:p>
  </w:endnote>
  <w:endnote w:type="continuationSeparator" w:id="0">
    <w:p w14:paraId="3A777CEF" w14:textId="77777777" w:rsidR="009E1BF2" w:rsidRDefault="009E1BF2" w:rsidP="00AF5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215087"/>
      <w:docPartObj>
        <w:docPartGallery w:val="Page Numbers (Bottom of Page)"/>
        <w:docPartUnique/>
      </w:docPartObj>
    </w:sdtPr>
    <w:sdtEndPr>
      <w:rPr>
        <w:noProof/>
      </w:rPr>
    </w:sdtEndPr>
    <w:sdtContent>
      <w:p w14:paraId="5B13E4E4" w14:textId="47E6BA33" w:rsidR="00AF5683" w:rsidRDefault="00AF5683">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7B6C1216" w14:textId="77777777" w:rsidR="00AF5683" w:rsidRDefault="00AF568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38C9CC" w14:textId="77777777" w:rsidR="009E1BF2" w:rsidRDefault="009E1BF2" w:rsidP="00AF5683">
      <w:pPr>
        <w:spacing w:after="0" w:line="240" w:lineRule="auto"/>
      </w:pPr>
      <w:r>
        <w:separator/>
      </w:r>
    </w:p>
  </w:footnote>
  <w:footnote w:type="continuationSeparator" w:id="0">
    <w:p w14:paraId="26978EAB" w14:textId="77777777" w:rsidR="009E1BF2" w:rsidRDefault="009E1BF2" w:rsidP="00AF56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770"/>
    <w:rsid w:val="00014C0D"/>
    <w:rsid w:val="00106360"/>
    <w:rsid w:val="00212938"/>
    <w:rsid w:val="0038009F"/>
    <w:rsid w:val="00382642"/>
    <w:rsid w:val="003A63CD"/>
    <w:rsid w:val="00631770"/>
    <w:rsid w:val="00844443"/>
    <w:rsid w:val="0097139E"/>
    <w:rsid w:val="009E1BF2"/>
    <w:rsid w:val="00AF5683"/>
    <w:rsid w:val="00BC2051"/>
    <w:rsid w:val="00C94912"/>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F74D4"/>
  <w15:chartTrackingRefBased/>
  <w15:docId w15:val="{D7CFA343-DDB8-46E3-B1EC-C27322B5F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AF5683"/>
    <w:pPr>
      <w:tabs>
        <w:tab w:val="center" w:pos="4513"/>
        <w:tab w:val="right" w:pos="9026"/>
      </w:tabs>
      <w:spacing w:after="0" w:line="240" w:lineRule="auto"/>
    </w:pPr>
  </w:style>
  <w:style w:type="character" w:customStyle="1" w:styleId="a6">
    <w:name w:val="Горен колонтитул Знак"/>
    <w:basedOn w:val="a0"/>
    <w:link w:val="a5"/>
    <w:uiPriority w:val="99"/>
    <w:rsid w:val="00AF5683"/>
    <w:rPr>
      <w:rFonts w:ascii="Arial" w:hAnsi="Arial"/>
    </w:rPr>
  </w:style>
  <w:style w:type="paragraph" w:styleId="a7">
    <w:name w:val="footer"/>
    <w:basedOn w:val="a"/>
    <w:link w:val="a8"/>
    <w:uiPriority w:val="99"/>
    <w:unhideWhenUsed/>
    <w:rsid w:val="00AF5683"/>
    <w:pPr>
      <w:tabs>
        <w:tab w:val="center" w:pos="4513"/>
        <w:tab w:val="right" w:pos="9026"/>
      </w:tabs>
      <w:spacing w:after="0" w:line="240" w:lineRule="auto"/>
    </w:pPr>
  </w:style>
  <w:style w:type="character" w:customStyle="1" w:styleId="a8">
    <w:name w:val="Долен колонтитул Знак"/>
    <w:basedOn w:val="a0"/>
    <w:link w:val="a7"/>
    <w:uiPriority w:val="99"/>
    <w:rsid w:val="00AF5683"/>
    <w:rPr>
      <w:rFonts w:ascii="Arial" w:hAnsi="Arial"/>
    </w:rPr>
  </w:style>
  <w:style w:type="paragraph" w:styleId="a9">
    <w:name w:val="No Spacing"/>
    <w:link w:val="aa"/>
    <w:uiPriority w:val="1"/>
    <w:qFormat/>
    <w:rsid w:val="00AF5683"/>
    <w:pPr>
      <w:spacing w:after="0" w:line="240" w:lineRule="auto"/>
    </w:pPr>
    <w:rPr>
      <w:rFonts w:eastAsiaTheme="minorEastAsia"/>
      <w:lang w:val="en-US"/>
    </w:rPr>
  </w:style>
  <w:style w:type="character" w:customStyle="1" w:styleId="aa">
    <w:name w:val="Без разредка Знак"/>
    <w:basedOn w:val="a0"/>
    <w:link w:val="a9"/>
    <w:uiPriority w:val="1"/>
    <w:rsid w:val="00AF5683"/>
    <w:rPr>
      <w:rFonts w:eastAsiaTheme="minorEastAsia"/>
      <w:lang w:val="en-US"/>
    </w:rPr>
  </w:style>
  <w:style w:type="character" w:styleId="ab">
    <w:name w:val="Hyperlink"/>
    <w:basedOn w:val="a0"/>
    <w:uiPriority w:val="99"/>
    <w:unhideWhenUsed/>
    <w:rsid w:val="00C94912"/>
    <w:rPr>
      <w:color w:val="0563C1" w:themeColor="hyperlink"/>
      <w:u w:val="single"/>
    </w:rPr>
  </w:style>
  <w:style w:type="character" w:styleId="ac">
    <w:name w:val="Unresolved Mention"/>
    <w:basedOn w:val="a0"/>
    <w:uiPriority w:val="99"/>
    <w:semiHidden/>
    <w:unhideWhenUsed/>
    <w:rsid w:val="00C94912"/>
    <w:rPr>
      <w:color w:val="605E5C"/>
      <w:shd w:val="clear" w:color="auto" w:fill="E1DFDD"/>
    </w:rPr>
  </w:style>
  <w:style w:type="paragraph" w:styleId="ad">
    <w:name w:val="TOC Heading"/>
    <w:basedOn w:val="1"/>
    <w:next w:val="a"/>
    <w:uiPriority w:val="39"/>
    <w:unhideWhenUsed/>
    <w:qFormat/>
    <w:rsid w:val="00212938"/>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2129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188708">
      <w:bodyDiv w:val="1"/>
      <w:marLeft w:val="0"/>
      <w:marRight w:val="0"/>
      <w:marTop w:val="0"/>
      <w:marBottom w:val="0"/>
      <w:divBdr>
        <w:top w:val="none" w:sz="0" w:space="0" w:color="auto"/>
        <w:left w:val="none" w:sz="0" w:space="0" w:color="auto"/>
        <w:bottom w:val="none" w:sz="0" w:space="0" w:color="auto"/>
        <w:right w:val="none" w:sz="0" w:space="0" w:color="auto"/>
      </w:divBdr>
      <w:divsChild>
        <w:div w:id="1998872443">
          <w:marLeft w:val="0"/>
          <w:marRight w:val="0"/>
          <w:marTop w:val="0"/>
          <w:marBottom w:val="150"/>
          <w:divBdr>
            <w:top w:val="none" w:sz="0" w:space="0" w:color="auto"/>
            <w:left w:val="none" w:sz="0" w:space="0" w:color="auto"/>
            <w:bottom w:val="none" w:sz="0" w:space="0" w:color="auto"/>
            <w:right w:val="none" w:sz="0" w:space="0" w:color="auto"/>
          </w:divBdr>
        </w:div>
      </w:divsChild>
    </w:div>
    <w:div w:id="1642423257">
      <w:bodyDiv w:val="1"/>
      <w:marLeft w:val="0"/>
      <w:marRight w:val="0"/>
      <w:marTop w:val="0"/>
      <w:marBottom w:val="0"/>
      <w:divBdr>
        <w:top w:val="none" w:sz="0" w:space="0" w:color="auto"/>
        <w:left w:val="none" w:sz="0" w:space="0" w:color="auto"/>
        <w:bottom w:val="none" w:sz="0" w:space="0" w:color="auto"/>
        <w:right w:val="none" w:sz="0" w:space="0" w:color="auto"/>
      </w:divBdr>
      <w:divsChild>
        <w:div w:id="229776215">
          <w:marLeft w:val="0"/>
          <w:marRight w:val="0"/>
          <w:marTop w:val="0"/>
          <w:marBottom w:val="150"/>
          <w:divBdr>
            <w:top w:val="none" w:sz="0" w:space="0" w:color="auto"/>
            <w:left w:val="none" w:sz="0" w:space="0" w:color="auto"/>
            <w:bottom w:val="none" w:sz="0" w:space="0" w:color="auto"/>
            <w:right w:val="none" w:sz="0" w:space="0" w:color="auto"/>
          </w:divBdr>
        </w:div>
      </w:divsChild>
    </w:div>
    <w:div w:id="1671903433">
      <w:bodyDiv w:val="1"/>
      <w:marLeft w:val="0"/>
      <w:marRight w:val="0"/>
      <w:marTop w:val="0"/>
      <w:marBottom w:val="0"/>
      <w:divBdr>
        <w:top w:val="none" w:sz="0" w:space="0" w:color="auto"/>
        <w:left w:val="none" w:sz="0" w:space="0" w:color="auto"/>
        <w:bottom w:val="none" w:sz="0" w:space="0" w:color="auto"/>
        <w:right w:val="none" w:sz="0" w:space="0" w:color="auto"/>
      </w:divBdr>
      <w:divsChild>
        <w:div w:id="1691491933">
          <w:marLeft w:val="0"/>
          <w:marRight w:val="0"/>
          <w:marTop w:val="0"/>
          <w:marBottom w:val="150"/>
          <w:divBdr>
            <w:top w:val="none" w:sz="0" w:space="0" w:color="auto"/>
            <w:left w:val="none" w:sz="0" w:space="0" w:color="auto"/>
            <w:bottom w:val="none" w:sz="0" w:space="0" w:color="auto"/>
            <w:right w:val="none" w:sz="0" w:space="0" w:color="auto"/>
          </w:divBdr>
        </w:div>
      </w:divsChild>
    </w:div>
    <w:div w:id="1938901352">
      <w:bodyDiv w:val="1"/>
      <w:marLeft w:val="0"/>
      <w:marRight w:val="0"/>
      <w:marTop w:val="0"/>
      <w:marBottom w:val="0"/>
      <w:divBdr>
        <w:top w:val="none" w:sz="0" w:space="0" w:color="auto"/>
        <w:left w:val="none" w:sz="0" w:space="0" w:color="auto"/>
        <w:bottom w:val="none" w:sz="0" w:space="0" w:color="auto"/>
        <w:right w:val="none" w:sz="0" w:space="0" w:color="auto"/>
      </w:divBdr>
      <w:divsChild>
        <w:div w:id="1992366131">
          <w:marLeft w:val="0"/>
          <w:marRight w:val="0"/>
          <w:marTop w:val="0"/>
          <w:marBottom w:val="150"/>
          <w:divBdr>
            <w:top w:val="none" w:sz="0" w:space="0" w:color="auto"/>
            <w:left w:val="none" w:sz="0" w:space="0" w:color="auto"/>
            <w:bottom w:val="none" w:sz="0" w:space="0" w:color="auto"/>
            <w:right w:val="none" w:sz="0" w:space="0" w:color="auto"/>
          </w:divBdr>
        </w:div>
      </w:divsChild>
    </w:div>
    <w:div w:id="1996300955">
      <w:bodyDiv w:val="1"/>
      <w:marLeft w:val="0"/>
      <w:marRight w:val="0"/>
      <w:marTop w:val="0"/>
      <w:marBottom w:val="0"/>
      <w:divBdr>
        <w:top w:val="none" w:sz="0" w:space="0" w:color="auto"/>
        <w:left w:val="none" w:sz="0" w:space="0" w:color="auto"/>
        <w:bottom w:val="none" w:sz="0" w:space="0" w:color="auto"/>
        <w:right w:val="none" w:sz="0" w:space="0" w:color="auto"/>
      </w:divBdr>
      <w:divsChild>
        <w:div w:id="131919443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xurysociety.com/en/articles/2017/08/how-chanel-became-most-social-luxury-br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6D4DF02AE524160AD7B91EE94FDE892"/>
        <w:category>
          <w:name w:val="General"/>
          <w:gallery w:val="placeholder"/>
        </w:category>
        <w:types>
          <w:type w:val="bbPlcHdr"/>
        </w:types>
        <w:behaviors>
          <w:behavior w:val="content"/>
        </w:behaviors>
        <w:guid w:val="{B00E2234-5692-4883-A053-B362C048657E}"/>
      </w:docPartPr>
      <w:docPartBody>
        <w:p w:rsidR="00032330" w:rsidRDefault="00351776" w:rsidP="00351776">
          <w:pPr>
            <w:pStyle w:val="36D4DF02AE524160AD7B91EE94FDE892"/>
          </w:pPr>
          <w:r>
            <w:rPr>
              <w:rFonts w:asciiTheme="majorHAnsi" w:eastAsiaTheme="majorEastAsia" w:hAnsiTheme="majorHAnsi" w:cstheme="majorBidi"/>
              <w:color w:val="4472C4" w:themeColor="accent1"/>
              <w:sz w:val="88"/>
              <w:szCs w:val="88"/>
            </w:rPr>
            <w:t>[Document title]</w:t>
          </w:r>
        </w:p>
      </w:docPartBody>
    </w:docPart>
    <w:docPart>
      <w:docPartPr>
        <w:name w:val="980AA421348F49E5B1F1210BE2510DD0"/>
        <w:category>
          <w:name w:val="General"/>
          <w:gallery w:val="placeholder"/>
        </w:category>
        <w:types>
          <w:type w:val="bbPlcHdr"/>
        </w:types>
        <w:behaviors>
          <w:behavior w:val="content"/>
        </w:behaviors>
        <w:guid w:val="{8517FFC6-DD2E-492F-872B-F43ED3842D8E}"/>
      </w:docPartPr>
      <w:docPartBody>
        <w:p w:rsidR="00032330" w:rsidRDefault="00351776" w:rsidP="00351776">
          <w:pPr>
            <w:pStyle w:val="980AA421348F49E5B1F1210BE2510DD0"/>
          </w:pPr>
          <w:r>
            <w:rPr>
              <w:color w:val="2F5496" w:themeColor="accent1" w:themeShade="BF"/>
              <w:sz w:val="24"/>
              <w:szCs w:val="24"/>
            </w:rPr>
            <w:t>[Document subtitle]</w:t>
          </w:r>
        </w:p>
      </w:docPartBody>
    </w:docPart>
    <w:docPart>
      <w:docPartPr>
        <w:name w:val="7FC6D02B0031493CBC5E9B1BC9A135AF"/>
        <w:category>
          <w:name w:val="General"/>
          <w:gallery w:val="placeholder"/>
        </w:category>
        <w:types>
          <w:type w:val="bbPlcHdr"/>
        </w:types>
        <w:behaviors>
          <w:behavior w:val="content"/>
        </w:behaviors>
        <w:guid w:val="{53DAE0E7-7BEC-46D4-829F-1AF609625B47}"/>
      </w:docPartPr>
      <w:docPartBody>
        <w:p w:rsidR="00032330" w:rsidRDefault="00351776" w:rsidP="00351776">
          <w:pPr>
            <w:pStyle w:val="7FC6D02B0031493CBC5E9B1BC9A135AF"/>
          </w:pPr>
          <w:r>
            <w:rPr>
              <w:color w:val="4472C4" w:themeColor="accent1"/>
              <w:sz w:val="28"/>
              <w:szCs w:val="28"/>
            </w:rPr>
            <w:t>[Author name]</w:t>
          </w:r>
        </w:p>
      </w:docPartBody>
    </w:docPart>
    <w:docPart>
      <w:docPartPr>
        <w:name w:val="A100DD603BD5406DA0A5F1EA5F1BC72C"/>
        <w:category>
          <w:name w:val="General"/>
          <w:gallery w:val="placeholder"/>
        </w:category>
        <w:types>
          <w:type w:val="bbPlcHdr"/>
        </w:types>
        <w:behaviors>
          <w:behavior w:val="content"/>
        </w:behaviors>
        <w:guid w:val="{C7211C17-34B0-4A25-A221-F985ED1FFABE}"/>
      </w:docPartPr>
      <w:docPartBody>
        <w:p w:rsidR="00032330" w:rsidRDefault="00351776" w:rsidP="00351776">
          <w:pPr>
            <w:pStyle w:val="A100DD603BD5406DA0A5F1EA5F1BC72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776"/>
    <w:rsid w:val="00005854"/>
    <w:rsid w:val="00032330"/>
    <w:rsid w:val="00351776"/>
    <w:rsid w:val="00E67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FCA05DC57AE4F7EA8BA6B7B2BF19649">
    <w:name w:val="7FCA05DC57AE4F7EA8BA6B7B2BF19649"/>
    <w:rsid w:val="00351776"/>
  </w:style>
  <w:style w:type="paragraph" w:customStyle="1" w:styleId="36D4DF02AE524160AD7B91EE94FDE892">
    <w:name w:val="36D4DF02AE524160AD7B91EE94FDE892"/>
    <w:rsid w:val="00351776"/>
  </w:style>
  <w:style w:type="paragraph" w:customStyle="1" w:styleId="980AA421348F49E5B1F1210BE2510DD0">
    <w:name w:val="980AA421348F49E5B1F1210BE2510DD0"/>
    <w:rsid w:val="00351776"/>
  </w:style>
  <w:style w:type="paragraph" w:customStyle="1" w:styleId="7FC6D02B0031493CBC5E9B1BC9A135AF">
    <w:name w:val="7FC6D02B0031493CBC5E9B1BC9A135AF"/>
    <w:rsid w:val="00351776"/>
  </w:style>
  <w:style w:type="paragraph" w:customStyle="1" w:styleId="A100DD603BD5406DA0A5F1EA5F1BC72C">
    <w:name w:val="A100DD603BD5406DA0A5F1EA5F1BC72C"/>
    <w:rsid w:val="003517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Krasimira Tsacheva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BB8931-3135-470D-B934-00311FE68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 Analysis and Evaluation - Assessment 2</dc:title>
  <dc:subject>Lecturer: Tushara Balendran</dc:subject>
  <dc:creator>Student ID: 1917122</dc:creator>
  <cp:keywords/>
  <dc:description/>
  <cp:revision>6</cp:revision>
  <dcterms:created xsi:type="dcterms:W3CDTF">2020-08-18T15:49:00Z</dcterms:created>
  <dcterms:modified xsi:type="dcterms:W3CDTF">2020-08-24T08:26:00Z</dcterms:modified>
</cp:coreProperties>
</file>