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F099D" w14:textId="77777777" w:rsidR="00FA3F32" w:rsidRPr="009D6CB4" w:rsidRDefault="00FA3F32" w:rsidP="00AA5BCE">
      <w:pPr>
        <w:spacing w:line="360" w:lineRule="auto"/>
        <w:rPr>
          <w:rFonts w:ascii="Arial" w:hAnsi="Arial" w:cs="Arial"/>
          <w:sz w:val="24"/>
          <w:szCs w:val="24"/>
        </w:rPr>
      </w:pPr>
      <w:r w:rsidRPr="009D6CB4">
        <w:rPr>
          <w:rFonts w:ascii="Arial" w:hAnsi="Arial" w:cs="Arial"/>
          <w:sz w:val="24"/>
          <w:szCs w:val="24"/>
        </w:rPr>
        <w:t>What are the key social elements that impact on a learner's ability to access education?</w:t>
      </w:r>
    </w:p>
    <w:p w14:paraId="02107B65" w14:textId="77777777" w:rsidR="00FA3F32" w:rsidRPr="009D6CB4" w:rsidRDefault="00FA3F32" w:rsidP="00AA5BCE">
      <w:pPr>
        <w:spacing w:line="360" w:lineRule="auto"/>
        <w:rPr>
          <w:rFonts w:ascii="Arial" w:hAnsi="Arial" w:cs="Arial"/>
          <w:sz w:val="24"/>
          <w:szCs w:val="24"/>
        </w:rPr>
      </w:pPr>
    </w:p>
    <w:p w14:paraId="4D5A7D60" w14:textId="1E436275" w:rsidR="00FA3F32" w:rsidRDefault="00FA3F32" w:rsidP="00AA5BCE">
      <w:pPr>
        <w:spacing w:line="360" w:lineRule="auto"/>
        <w:rPr>
          <w:rFonts w:ascii="Arial" w:hAnsi="Arial" w:cs="Arial"/>
          <w:sz w:val="24"/>
          <w:szCs w:val="24"/>
        </w:rPr>
      </w:pPr>
      <w:r w:rsidRPr="009D6CB4">
        <w:rPr>
          <w:rFonts w:ascii="Arial" w:hAnsi="Arial" w:cs="Arial"/>
          <w:sz w:val="24"/>
          <w:szCs w:val="24"/>
        </w:rPr>
        <w:t xml:space="preserve">This essay will be focusing </w:t>
      </w:r>
      <w:r>
        <w:rPr>
          <w:rFonts w:ascii="Arial" w:hAnsi="Arial" w:cs="Arial"/>
          <w:sz w:val="24"/>
          <w:szCs w:val="24"/>
        </w:rPr>
        <w:t xml:space="preserve">on </w:t>
      </w:r>
      <w:r w:rsidRPr="009D6CB4">
        <w:rPr>
          <w:rFonts w:ascii="Arial" w:hAnsi="Arial" w:cs="Arial"/>
          <w:sz w:val="24"/>
          <w:szCs w:val="24"/>
        </w:rPr>
        <w:t>some of the key social elements the writer considers to have an impact on a learners ability to access education.</w:t>
      </w:r>
      <w:r>
        <w:rPr>
          <w:rFonts w:ascii="Arial" w:hAnsi="Arial" w:cs="Arial"/>
          <w:sz w:val="24"/>
          <w:szCs w:val="24"/>
        </w:rPr>
        <w:t xml:space="preserve">  Education is regarded as a universal human right. Education instils important life skills such as self confidence, better decision making, self discipline, a sense of responsibility,  leadership and teamwork among children and prevents them for enduring social embarrassment and social exclusion.  According to Unicef education provides children with the knowledge and skills to realise their full potential and grow up to build a better life (</w:t>
      </w:r>
      <w:r w:rsidR="00EE558F">
        <w:rPr>
          <w:rFonts w:ascii="Arial" w:hAnsi="Arial" w:cs="Arial"/>
          <w:sz w:val="24"/>
          <w:szCs w:val="24"/>
        </w:rPr>
        <w:t xml:space="preserve">UNICEF, </w:t>
      </w:r>
      <w:r>
        <w:rPr>
          <w:rFonts w:ascii="Arial" w:hAnsi="Arial" w:cs="Arial"/>
          <w:sz w:val="24"/>
          <w:szCs w:val="24"/>
        </w:rPr>
        <w:t>2018)</w:t>
      </w:r>
      <w:r w:rsidR="00EE558F">
        <w:rPr>
          <w:rFonts w:ascii="Arial" w:hAnsi="Arial" w:cs="Arial"/>
          <w:sz w:val="24"/>
          <w:szCs w:val="24"/>
        </w:rPr>
        <w:t>.</w:t>
      </w:r>
      <w:r>
        <w:rPr>
          <w:rFonts w:ascii="Arial" w:hAnsi="Arial" w:cs="Arial"/>
          <w:sz w:val="24"/>
          <w:szCs w:val="24"/>
        </w:rPr>
        <w:t xml:space="preserve">  The lack of access to education leaves a child vulnerable by denying them the right to an education </w:t>
      </w:r>
      <w:r w:rsidR="00311D6C" w:rsidRPr="00311D6C">
        <w:rPr>
          <w:rFonts w:ascii="Arial" w:hAnsi="Arial" w:cs="Arial"/>
          <w:sz w:val="24"/>
          <w:szCs w:val="24"/>
        </w:rPr>
        <w:t>(Rueckert, 2019)</w:t>
      </w:r>
      <w:r>
        <w:rPr>
          <w:rFonts w:ascii="Arial" w:hAnsi="Arial" w:cs="Arial"/>
          <w:sz w:val="24"/>
          <w:szCs w:val="24"/>
        </w:rPr>
        <w:t xml:space="preserve">.   </w:t>
      </w:r>
    </w:p>
    <w:p w14:paraId="2388A1BF" w14:textId="77777777" w:rsidR="00FA3F32" w:rsidRDefault="00FA3F32" w:rsidP="00AA5BCE">
      <w:pPr>
        <w:spacing w:line="360" w:lineRule="auto"/>
        <w:rPr>
          <w:rFonts w:ascii="Arial" w:hAnsi="Arial" w:cs="Arial"/>
          <w:sz w:val="24"/>
          <w:szCs w:val="24"/>
        </w:rPr>
      </w:pPr>
      <w:r>
        <w:rPr>
          <w:rFonts w:ascii="Arial" w:hAnsi="Arial" w:cs="Arial"/>
          <w:sz w:val="24"/>
          <w:szCs w:val="24"/>
        </w:rPr>
        <w:t xml:space="preserve"> </w:t>
      </w:r>
    </w:p>
    <w:p w14:paraId="4BB1ED02" w14:textId="77777777" w:rsidR="00FA3F32" w:rsidRDefault="00FA3F32" w:rsidP="00AA5BCE">
      <w:pPr>
        <w:spacing w:line="360" w:lineRule="auto"/>
        <w:rPr>
          <w:rFonts w:ascii="Arial" w:hAnsi="Arial" w:cs="Arial"/>
          <w:sz w:val="24"/>
          <w:szCs w:val="24"/>
        </w:rPr>
      </w:pPr>
      <w:r>
        <w:rPr>
          <w:rFonts w:ascii="Arial" w:hAnsi="Arial" w:cs="Arial"/>
          <w:sz w:val="24"/>
          <w:szCs w:val="24"/>
        </w:rPr>
        <w:t>This assignment will include a number of barriers that prevent young people from accessing education and achieving their full potential due to their social circumstances. Adverse Childhood Experiences are considered to be social circumstances that are likely to impact on a learner’s ability to access education. Adverse childhood experiences are likely to have many negative long term affects on an individual from childhood throughout their adult years.  Adverse childhood experiences can have significant consequences to a young person’s behaviour and cognitive development and therefore impede their education attainment. Due to the number of adverse childhood experiences that are likely that have the ability to  hinder access to education the writer will be focusing on some of implicating factors which include:  Poverty, neglect, poor mental health and bullying.  Within this assignment the writer will refer to the evidence, policies, reports and practices put in place to help tackle some of the barriers to children accessing education.</w:t>
      </w:r>
    </w:p>
    <w:p w14:paraId="03DE50A7" w14:textId="77777777" w:rsidR="00FA3F32" w:rsidRDefault="00FA3F32" w:rsidP="00AA5BCE">
      <w:pPr>
        <w:spacing w:line="360" w:lineRule="auto"/>
        <w:rPr>
          <w:rFonts w:ascii="Arial" w:hAnsi="Arial" w:cs="Arial"/>
          <w:sz w:val="24"/>
          <w:szCs w:val="24"/>
        </w:rPr>
      </w:pPr>
    </w:p>
    <w:p w14:paraId="02C8D1DE" w14:textId="77777777" w:rsidR="00FA3F32" w:rsidRDefault="00FA3F32" w:rsidP="00AA5BCE">
      <w:pPr>
        <w:spacing w:line="360" w:lineRule="auto"/>
        <w:rPr>
          <w:rFonts w:ascii="Arial" w:hAnsi="Arial" w:cs="Arial"/>
          <w:sz w:val="24"/>
          <w:szCs w:val="24"/>
        </w:rPr>
      </w:pPr>
      <w:r>
        <w:rPr>
          <w:rFonts w:ascii="Arial" w:hAnsi="Arial" w:cs="Arial"/>
          <w:sz w:val="24"/>
          <w:szCs w:val="24"/>
        </w:rPr>
        <w:t xml:space="preserve"> As mentioned in the introduction t</w:t>
      </w:r>
      <w:r w:rsidRPr="009D6CB4">
        <w:rPr>
          <w:rFonts w:ascii="Arial" w:hAnsi="Arial" w:cs="Arial"/>
          <w:sz w:val="24"/>
          <w:szCs w:val="24"/>
        </w:rPr>
        <w:t xml:space="preserve">he writer considers poverty to be a </w:t>
      </w:r>
      <w:r>
        <w:rPr>
          <w:rFonts w:ascii="Arial" w:hAnsi="Arial" w:cs="Arial"/>
          <w:sz w:val="24"/>
          <w:szCs w:val="24"/>
        </w:rPr>
        <w:t>key</w:t>
      </w:r>
      <w:r w:rsidRPr="009D6CB4">
        <w:rPr>
          <w:rFonts w:ascii="Arial" w:hAnsi="Arial" w:cs="Arial"/>
          <w:sz w:val="24"/>
          <w:szCs w:val="24"/>
        </w:rPr>
        <w:t xml:space="preserve"> social element that may impact a learner. According to Habitat for Humanity, (2017) poverty in simple terms means not having enough money to afford basic needs that allow a decent standard of living. </w:t>
      </w:r>
      <w:r>
        <w:rPr>
          <w:rFonts w:ascii="Arial" w:hAnsi="Arial" w:cs="Arial"/>
          <w:sz w:val="24"/>
          <w:szCs w:val="24"/>
        </w:rPr>
        <w:t xml:space="preserve"> However it is well documented in the literature that p</w:t>
      </w:r>
      <w:r w:rsidRPr="009D6CB4">
        <w:rPr>
          <w:rFonts w:ascii="Arial" w:hAnsi="Arial" w:cs="Arial"/>
          <w:sz w:val="24"/>
          <w:szCs w:val="24"/>
        </w:rPr>
        <w:t>overty</w:t>
      </w:r>
      <w:r>
        <w:rPr>
          <w:rFonts w:ascii="Arial" w:hAnsi="Arial" w:cs="Arial"/>
          <w:sz w:val="24"/>
          <w:szCs w:val="24"/>
        </w:rPr>
        <w:t xml:space="preserve"> </w:t>
      </w:r>
      <w:r w:rsidRPr="009D6CB4">
        <w:rPr>
          <w:rFonts w:ascii="Arial" w:hAnsi="Arial" w:cs="Arial"/>
          <w:sz w:val="24"/>
          <w:szCs w:val="24"/>
        </w:rPr>
        <w:t>can be separated into two groups</w:t>
      </w:r>
      <w:r>
        <w:rPr>
          <w:rFonts w:ascii="Arial" w:hAnsi="Arial" w:cs="Arial"/>
          <w:sz w:val="24"/>
          <w:szCs w:val="24"/>
        </w:rPr>
        <w:t>,</w:t>
      </w:r>
      <w:r w:rsidRPr="009D6CB4">
        <w:rPr>
          <w:rFonts w:ascii="Arial" w:hAnsi="Arial" w:cs="Arial"/>
          <w:sz w:val="24"/>
          <w:szCs w:val="24"/>
        </w:rPr>
        <w:t xml:space="preserve"> Relative Poverty and Absolute Poverty. Relative poverty is </w:t>
      </w:r>
      <w:r>
        <w:rPr>
          <w:rFonts w:ascii="Arial" w:hAnsi="Arial" w:cs="Arial"/>
          <w:sz w:val="24"/>
          <w:szCs w:val="24"/>
        </w:rPr>
        <w:t xml:space="preserve">a condition where the household income is 50% lower than the average household income. Absolute Poverty is a condition characterised by severe </w:t>
      </w:r>
      <w:r>
        <w:rPr>
          <w:rFonts w:ascii="Arial" w:hAnsi="Arial" w:cs="Arial"/>
          <w:sz w:val="24"/>
          <w:szCs w:val="24"/>
        </w:rPr>
        <w:lastRenderedPageBreak/>
        <w:t xml:space="preserve">deprivation of basic human needs; where a household income is insufficient to afford basic necessities such as, food, healthcare, sanitation facilities and education. The criteria for Absolute poverty cannot be changed by economic growth, whereas the criteria for Relative poverty can </w:t>
      </w:r>
      <w:r w:rsidRPr="00BF29AE">
        <w:rPr>
          <w:rFonts w:ascii="Arial" w:hAnsi="Arial" w:cs="Arial"/>
          <w:sz w:val="24"/>
          <w:szCs w:val="24"/>
        </w:rPr>
        <w:t>(Pettinger, 2020)</w:t>
      </w:r>
      <w:r>
        <w:rPr>
          <w:rFonts w:ascii="Arial" w:hAnsi="Arial" w:cs="Arial"/>
          <w:sz w:val="24"/>
          <w:szCs w:val="24"/>
        </w:rPr>
        <w:t>. The writer will focus mostly on absolute poverty and then lead onto generational poverty and how this ultimately affects the schooling of children subjected to a background engulfed in poverty.</w:t>
      </w:r>
    </w:p>
    <w:p w14:paraId="6D27D1CA" w14:textId="77777777" w:rsidR="00FA3F32" w:rsidRDefault="00FA3F32" w:rsidP="00AA5BCE">
      <w:pPr>
        <w:spacing w:line="360" w:lineRule="auto"/>
        <w:rPr>
          <w:rFonts w:ascii="Arial" w:hAnsi="Arial" w:cs="Arial"/>
          <w:sz w:val="24"/>
          <w:szCs w:val="24"/>
        </w:rPr>
      </w:pPr>
    </w:p>
    <w:p w14:paraId="2BA82FAB" w14:textId="68B71F36" w:rsidR="00FA3F32" w:rsidRDefault="00FA3F32" w:rsidP="00AA5BCE">
      <w:pPr>
        <w:spacing w:line="360" w:lineRule="auto"/>
        <w:rPr>
          <w:rFonts w:ascii="Arial" w:hAnsi="Arial" w:cs="Arial"/>
          <w:sz w:val="24"/>
          <w:szCs w:val="24"/>
        </w:rPr>
      </w:pPr>
      <w:r>
        <w:rPr>
          <w:rFonts w:ascii="Arial" w:hAnsi="Arial" w:cs="Arial"/>
          <w:sz w:val="24"/>
          <w:szCs w:val="24"/>
        </w:rPr>
        <w:t xml:space="preserve">Poverty can affect a learners access to education in a number of ways, from not being able to afford appropriate school uniform, equipment or even after school clubs. According to Busby, (2019) a study had shown that children from poorer families are three times less likely to take part in any extra-curricular activities. There are a number of possible reasons as to why young people from lower income families may not participate in such activities; cost barriers, access difficulties such as transport and also the fear of not fitting in. Research has shown that children aged 10-15 from higher income families are almost three times more likely to engage in music activities and classes compared to those from lower income families. It has also been found that 2 in 3 children from wealthier families take part in some form of sport compared to the 46% of young people from poorer families (busby, 2019). The research evidence above shows a significant disparity between the two socio-economic family types, the evidence suggests that children from wealthier backgrounds are significantly more advantageous than young people from poorer backgrounds. Although evidence does show that children who take part in extra-curricular activities tend to have better behaviour and performance inside school, there are many other factors as to why children from more deprived backgrounds show poorer performance and behaviour at school. According to Jensen, (2009) the prevailing theory amongst Psychologists and child development experts is that behaviour ultimately stems form a combination of genetics and environment. The writer’s response to this statement is to deduce that children from generational poverty have little chance of breaking the perpetuated cycle of their background. Jensen’s research stretches further and explores the biological impacts that poverty has on children from the early years. According to Jensen, (2009) children from low income families face emotional and social instability. This is typically due to the weak or anxious attachments formed by infants in poverty and this creates the basis for significant insecurity and low self-esteem in childhood (Jensen, 2009). The writer </w:t>
      </w:r>
      <w:r>
        <w:rPr>
          <w:rFonts w:ascii="Arial" w:hAnsi="Arial" w:cs="Arial"/>
          <w:sz w:val="24"/>
          <w:szCs w:val="24"/>
        </w:rPr>
        <w:lastRenderedPageBreak/>
        <w:t>would suggest that the low self esteem and social instability caused by poverty are contributing factors in why children from low income families are less likely to participate in extra-curricular activities, have low attendance at school and avoid seeking additional help, alongside the lack of financial means. Children from low income families are also more likely to go to school hungry; according to Kellogg</w:t>
      </w:r>
      <w:r w:rsidR="007F2013">
        <w:rPr>
          <w:rFonts w:ascii="Arial" w:hAnsi="Arial" w:cs="Arial"/>
          <w:sz w:val="24"/>
          <w:szCs w:val="24"/>
        </w:rPr>
        <w:t>’s</w:t>
      </w:r>
      <w:r>
        <w:rPr>
          <w:rFonts w:ascii="Arial" w:hAnsi="Arial" w:cs="Arial"/>
          <w:sz w:val="24"/>
          <w:szCs w:val="24"/>
        </w:rPr>
        <w:t xml:space="preserve">, (2012) 2.4 children in every class in England and Wales will arrive to school hungry at least once a week. Hunger can cause behavioural issues in the classroom which potentially affect the overall learning atmosphere of the classroom subsequently impacting the learning of others in the class (https.//borgenproject.org). A child’s brain develops rapidly and without adequate nutrition there will be long term effects on a child’s learning ability.  Research has shown that children who arrive to school hungry will lose 8.4 hours a week of learning; this equates to a 70% loss of a child’s primary education (Kelloggs, 2012).  Hunger causes a child to have depleted </w:t>
      </w:r>
      <w:r w:rsidR="0075047F">
        <w:rPr>
          <w:rFonts w:ascii="Arial" w:hAnsi="Arial" w:cs="Arial"/>
          <w:sz w:val="24"/>
          <w:szCs w:val="24"/>
        </w:rPr>
        <w:t>energy</w:t>
      </w:r>
      <w:r>
        <w:rPr>
          <w:rFonts w:ascii="Arial" w:hAnsi="Arial" w:cs="Arial"/>
          <w:sz w:val="24"/>
          <w:szCs w:val="24"/>
        </w:rPr>
        <w:t xml:space="preserve"> stores which affects memory and concentration levels.  The writer considers these findings very problematic and concerning, it demonstrates how disadvantaged children from poor families are in regards to education attainment compared to those from wealthier families simply by not having the basic need of food. Thankfully, there are practices in place to help reduce the number of children arriving to school hungry, one being Kellogg</w:t>
      </w:r>
      <w:r w:rsidR="007D290E">
        <w:rPr>
          <w:rFonts w:ascii="Arial" w:hAnsi="Arial" w:cs="Arial"/>
          <w:sz w:val="24"/>
          <w:szCs w:val="24"/>
        </w:rPr>
        <w:t>’</w:t>
      </w:r>
      <w:r>
        <w:rPr>
          <w:rFonts w:ascii="Arial" w:hAnsi="Arial" w:cs="Arial"/>
          <w:sz w:val="24"/>
          <w:szCs w:val="24"/>
        </w:rPr>
        <w:t>s which has set up breakfast clubs for schools across England and Wales. According to the Kellogg</w:t>
      </w:r>
      <w:r w:rsidR="007D290E">
        <w:rPr>
          <w:rFonts w:ascii="Arial" w:hAnsi="Arial" w:cs="Arial"/>
          <w:sz w:val="24"/>
          <w:szCs w:val="24"/>
        </w:rPr>
        <w:t>’</w:t>
      </w:r>
      <w:r>
        <w:rPr>
          <w:rFonts w:ascii="Arial" w:hAnsi="Arial" w:cs="Arial"/>
          <w:sz w:val="24"/>
          <w:szCs w:val="24"/>
        </w:rPr>
        <w:t>s website, it has been stated that 69% of teachers find that breakfast clubs have a positive impact on their ability to teach their class. Children from low income families also face issues regarding school uniform and equipment. Children from poorer families are more likely to have poor attendance due to not having the appropriate uniform and equipment. The writer would suggest that this is caused by embarrassment or a fear of being bullied for not having the basic school necessities. Furthermore, the writer explored what local schools in Wales are doing in order to tackle some of the key causes that poverty has on a learners attendance. Estyn, (2012) created a report called, “Effective Practice in Tackling Poverty and Disadvantage in Schools’. The report highlights some of the most common issues regarding poverty and school attendance in one of Wales’ most deprived areas. Cefyn Hengoed Comprehensive School is a mixed school with pupils aged 11-16. The school is located on the east side of Swansea and is has been ranked the 11</w:t>
      </w:r>
      <w:r w:rsidRPr="006D322B">
        <w:rPr>
          <w:rFonts w:ascii="Arial" w:hAnsi="Arial" w:cs="Arial"/>
          <w:sz w:val="24"/>
          <w:szCs w:val="24"/>
          <w:vertAlign w:val="superscript"/>
        </w:rPr>
        <w:t>th</w:t>
      </w:r>
      <w:r>
        <w:rPr>
          <w:rFonts w:ascii="Arial" w:hAnsi="Arial" w:cs="Arial"/>
          <w:sz w:val="24"/>
          <w:szCs w:val="24"/>
        </w:rPr>
        <w:t xml:space="preserve"> most deprived ward in Wales. A staggering 73% of learners live in 30% of the poorest areas in Wales. There are 664 total students on </w:t>
      </w:r>
      <w:r>
        <w:rPr>
          <w:rFonts w:ascii="Arial" w:hAnsi="Arial" w:cs="Arial"/>
          <w:sz w:val="24"/>
          <w:szCs w:val="24"/>
        </w:rPr>
        <w:lastRenderedPageBreak/>
        <w:t>roll at the school with 36% of them entitled to free school meals. These findings suggest to the writer that there is a relationship between children who qualify for free school meals and low attendance. This may be because of parents not being able to afford the other basic needs that children require for school. Following a school inspection in 2005, a recommendation was proposed for the school to make a strategic plan to improve their attendance record due to it being deemed unsatisfactory. The plan comprised of implementing four elements that focus on the schools curriculum. The writer found this a rather disappointing read as it surprised the writer of how little investigation took place into exploring other causes to the poor attendance. There appeared to be no evidence in the report suggesting  any help could be provided for families who struggled to finance school uniform and or  supplies.</w:t>
      </w:r>
    </w:p>
    <w:p w14:paraId="6E397248" w14:textId="77777777" w:rsidR="00FA3F32" w:rsidRDefault="00FA3F32" w:rsidP="00AA5BCE">
      <w:pPr>
        <w:spacing w:line="360" w:lineRule="auto"/>
        <w:rPr>
          <w:rFonts w:ascii="Arial" w:hAnsi="Arial" w:cs="Arial"/>
          <w:sz w:val="24"/>
          <w:szCs w:val="24"/>
        </w:rPr>
      </w:pPr>
      <w:r>
        <w:rPr>
          <w:rFonts w:ascii="Arial" w:hAnsi="Arial" w:cs="Arial"/>
          <w:sz w:val="24"/>
          <w:szCs w:val="24"/>
        </w:rPr>
        <w:t xml:space="preserve">   </w:t>
      </w:r>
    </w:p>
    <w:p w14:paraId="2CE23915" w14:textId="1E572BEB" w:rsidR="00FA3F32" w:rsidRDefault="00FA3F32" w:rsidP="00AA5BCE">
      <w:pPr>
        <w:spacing w:line="360" w:lineRule="auto"/>
        <w:rPr>
          <w:rFonts w:ascii="Arial" w:hAnsi="Arial" w:cs="Arial"/>
          <w:sz w:val="24"/>
          <w:szCs w:val="24"/>
        </w:rPr>
      </w:pPr>
      <w:r>
        <w:rPr>
          <w:rFonts w:ascii="Arial" w:hAnsi="Arial" w:cs="Arial"/>
          <w:sz w:val="24"/>
          <w:szCs w:val="24"/>
        </w:rPr>
        <w:t xml:space="preserve">Neglect is another adverse childhood experience considered to impact on a child’s ability to access education.  In basic terms neglect is the failure of a responsible adult/parent to provide care and the basic needs of a child or children in their care (https:www.childwelfare.gov).   According to a research study called ‘The Impact of Initial Adaption to School’ by </w:t>
      </w:r>
      <w:r w:rsidRPr="002B4CA3">
        <w:rPr>
          <w:rFonts w:ascii="Arial" w:hAnsi="Arial" w:cs="Arial"/>
          <w:sz w:val="24"/>
          <w:szCs w:val="24"/>
        </w:rPr>
        <w:t>Jody Todd Manly, Michael Lynch, [...], and Sanne N. Wortel</w:t>
      </w:r>
      <w:r>
        <w:rPr>
          <w:rFonts w:ascii="Arial" w:hAnsi="Arial" w:cs="Arial"/>
          <w:sz w:val="24"/>
          <w:szCs w:val="24"/>
        </w:rPr>
        <w:t xml:space="preserve">, (2013) neglected children had significantly lower scoring behaviour and academic performance than those non-neglected children. The research suggests that neglected children have lower levels of attainment due to not completing each year and having more school difficulties, such as truancy, repeating a grade and getting suspended or expelled due to poor behaviour </w:t>
      </w:r>
      <w:r w:rsidRPr="00E737D3">
        <w:rPr>
          <w:rFonts w:ascii="Arial" w:hAnsi="Arial" w:cs="Arial"/>
          <w:sz w:val="24"/>
          <w:szCs w:val="24"/>
        </w:rPr>
        <w:t>(Manly et al., 2013)</w:t>
      </w:r>
      <w:r>
        <w:rPr>
          <w:rFonts w:ascii="Arial" w:hAnsi="Arial" w:cs="Arial"/>
          <w:sz w:val="24"/>
          <w:szCs w:val="24"/>
        </w:rPr>
        <w:t xml:space="preserve">.  Scientific evidence shows that young children with low caregiver responsiveness may develop significant mental health and physical impairments. These include, cognitive delays, impaired executive function and self regulation skills and disruption to the body’s stress response (Harvard University, 2020). As mentioned above, children from limited caregiver responsiveness are less likely to understand the importance of attainment and education due to their exposure of what may be generational poverty, lack of motivation and a fixed self fulfilling prophecy. Children exposed to this kind of behaviour and lifestyle often view their world of opportunities as limited to the life they have been exposed to; children from such backgrounds may not see the point in applying themselves at school because they feel they are destined to repeat the perpetuated cycle they were born into. Children raised in poverty or in conditions that </w:t>
      </w:r>
      <w:r>
        <w:rPr>
          <w:rFonts w:ascii="Arial" w:hAnsi="Arial" w:cs="Arial"/>
          <w:sz w:val="24"/>
          <w:szCs w:val="24"/>
        </w:rPr>
        <w:lastRenderedPageBreak/>
        <w:t xml:space="preserve">cause adverse childhood experiences are likely to be faced with inter-generational factors; parents who did not attend higher education or engage in their own schooling may not support their children throughout their education as they deem it as pointless or unimportant (Pirrie and Hockings, 2012). In order to tackle inter-generational factors and mirroring the Welsh government introduced a scheme with an ethos that attempts the break the perpetuated cycle of generational poverty. The scheme is called, ‘Re-writing the Future’, and focuses on four main elements to help tackle the generational cycle of low attainment and achievement caused by poverty. The four elements are: High Quality Learning and Teaching, Early Intervention, High Expectations and Aspirations and lastly, Family and Community Engagement. </w:t>
      </w:r>
    </w:p>
    <w:p w14:paraId="7DB49718" w14:textId="77777777" w:rsidR="00FA3F32" w:rsidRDefault="00FA3F32" w:rsidP="00AA5BCE">
      <w:pPr>
        <w:spacing w:line="360" w:lineRule="auto"/>
        <w:rPr>
          <w:rFonts w:ascii="Arial" w:hAnsi="Arial" w:cs="Arial"/>
          <w:sz w:val="24"/>
          <w:szCs w:val="24"/>
        </w:rPr>
      </w:pPr>
    </w:p>
    <w:p w14:paraId="141563F7" w14:textId="4E773D6B" w:rsidR="00FA3F32" w:rsidRDefault="00FA3F32" w:rsidP="00AA5BCE">
      <w:pPr>
        <w:spacing w:line="360" w:lineRule="auto"/>
        <w:rPr>
          <w:rFonts w:ascii="Arial" w:hAnsi="Arial" w:cs="Arial"/>
          <w:sz w:val="24"/>
          <w:szCs w:val="24"/>
        </w:rPr>
      </w:pPr>
      <w:r>
        <w:rPr>
          <w:rFonts w:ascii="Arial" w:hAnsi="Arial" w:cs="Arial"/>
          <w:sz w:val="24"/>
          <w:szCs w:val="24"/>
        </w:rPr>
        <w:t>The writer also considers Mental ill health and Wellbeing to be a social element that may affect a learners ability to access education. Mental health and wellbeing is a broad term for what an individual may be going through emotionally however some issues related to mental health can manifest into physical issues as a consequence of mental ill health.  There are many different diagnosis and illnesses that cover mental health spectrum; some mental illness may be mild or severe. However, both can have severe implications on a young person’s wellbeing, concentration and attainment level throughout their schooling experience.</w:t>
      </w:r>
    </w:p>
    <w:p w14:paraId="13A8B21B" w14:textId="77777777" w:rsidR="00FA3F32" w:rsidRDefault="00FA3F32" w:rsidP="00AA5BCE">
      <w:pPr>
        <w:spacing w:line="360" w:lineRule="auto"/>
        <w:rPr>
          <w:rFonts w:ascii="Arial" w:hAnsi="Arial" w:cs="Arial"/>
          <w:sz w:val="24"/>
          <w:szCs w:val="24"/>
        </w:rPr>
      </w:pPr>
    </w:p>
    <w:p w14:paraId="49C57233" w14:textId="77777777" w:rsidR="00FA3F32" w:rsidRDefault="00FA3F32" w:rsidP="00AA5BCE">
      <w:pPr>
        <w:spacing w:line="360" w:lineRule="auto"/>
        <w:rPr>
          <w:rFonts w:ascii="Arial" w:hAnsi="Arial" w:cs="Arial"/>
          <w:sz w:val="24"/>
          <w:szCs w:val="24"/>
        </w:rPr>
      </w:pPr>
      <w:r>
        <w:rPr>
          <w:rFonts w:ascii="Arial" w:hAnsi="Arial" w:cs="Arial"/>
          <w:sz w:val="24"/>
          <w:szCs w:val="24"/>
        </w:rPr>
        <w:t xml:space="preserve"> Mental Health and Wellbeing can cause severe implications on a young person’s ability to access education; possible reason’s like not being able to focus in class because of depression or anxiety, not attending school or classes due to social anxiety or failing to attend school because of the shame in physical consequences of a mental health condition, i.e anorexia or self harm. A vicious circle can be identified with a young person battling internalised demons; depression and anxiety can disrupt sleep, resulting in poor engagement and concentration in class and not being able to attain the standard of work expected that then provokes further depressive and anxious thoughts and behaviour (Ford, 2019). According to Ford, (2019) depression in particular is often associated with unauthorised attendance, whereas long term poor absence is linked to self-harm and suicidal thoughts and behaviour. Young learners having a considerable amount of time out of school due to their mental health and wellbeing can cause devastating affects for their future prospects. Not attaining well at school can limit a person’s options in life due to not having the </w:t>
      </w:r>
      <w:r>
        <w:rPr>
          <w:rFonts w:ascii="Arial" w:hAnsi="Arial" w:cs="Arial"/>
          <w:sz w:val="24"/>
          <w:szCs w:val="24"/>
        </w:rPr>
        <w:lastRenderedPageBreak/>
        <w:t xml:space="preserve">essential credentials to have a decent paid job, this then can pro-long the persons battle with poor mental health and wellbeing. </w:t>
      </w:r>
    </w:p>
    <w:p w14:paraId="36BAF7CD" w14:textId="77777777" w:rsidR="00FA3F32" w:rsidRDefault="00FA3F32" w:rsidP="00AA5BCE">
      <w:pPr>
        <w:spacing w:line="360" w:lineRule="auto"/>
        <w:rPr>
          <w:rFonts w:ascii="Arial" w:hAnsi="Arial" w:cs="Arial"/>
          <w:sz w:val="24"/>
          <w:szCs w:val="24"/>
        </w:rPr>
      </w:pPr>
    </w:p>
    <w:p w14:paraId="3DC1552E" w14:textId="42EF145D" w:rsidR="00FA3F32" w:rsidRDefault="00FA3F32" w:rsidP="00AA5BCE">
      <w:pPr>
        <w:spacing w:line="360" w:lineRule="auto"/>
        <w:rPr>
          <w:rFonts w:ascii="Arial" w:hAnsi="Arial" w:cs="Arial"/>
          <w:sz w:val="24"/>
          <w:szCs w:val="24"/>
        </w:rPr>
      </w:pPr>
      <w:r>
        <w:rPr>
          <w:rFonts w:ascii="Arial" w:hAnsi="Arial" w:cs="Arial"/>
          <w:sz w:val="24"/>
          <w:szCs w:val="24"/>
        </w:rPr>
        <w:t>The writer has explored the strategies that schools have put in place to help tackle this issue. A report written by White, Gibb, Lea, Street, (2017) called, ‘Supporting Mental Health in Schools and Colleges’ for the Department for Education presented some of the strategies put in place by various schools and colleges in the UK to help overcome the issues surrounding poor mental health and attendance. They found that a large number of their case studies introduced methods such as, teaching students meditation and relaxation techniques, implementing initiatives from external organisations that support mental health, peer mentoring and councillors w</w:t>
      </w:r>
      <w:r w:rsidR="00974A88">
        <w:rPr>
          <w:rFonts w:ascii="Arial" w:hAnsi="Arial" w:cs="Arial"/>
          <w:sz w:val="24"/>
          <w:szCs w:val="24"/>
        </w:rPr>
        <w:t>ere</w:t>
      </w:r>
      <w:r>
        <w:rPr>
          <w:rFonts w:ascii="Arial" w:hAnsi="Arial" w:cs="Arial"/>
          <w:sz w:val="24"/>
          <w:szCs w:val="24"/>
        </w:rPr>
        <w:t xml:space="preserve"> also available at both schools and colleges. </w:t>
      </w:r>
    </w:p>
    <w:p w14:paraId="3CED9A28" w14:textId="77777777" w:rsidR="00FA3F32" w:rsidRDefault="00FA3F32" w:rsidP="00AA5BCE">
      <w:pPr>
        <w:spacing w:line="360" w:lineRule="auto"/>
        <w:rPr>
          <w:rFonts w:ascii="Arial" w:hAnsi="Arial" w:cs="Arial"/>
          <w:sz w:val="24"/>
          <w:szCs w:val="24"/>
        </w:rPr>
      </w:pPr>
    </w:p>
    <w:p w14:paraId="023FBF36" w14:textId="77777777" w:rsidR="00FA3F32" w:rsidRDefault="00FA3F32" w:rsidP="00A46999">
      <w:pPr>
        <w:spacing w:line="360" w:lineRule="auto"/>
        <w:rPr>
          <w:rFonts w:ascii="Arial" w:hAnsi="Arial" w:cs="Arial"/>
          <w:sz w:val="24"/>
          <w:szCs w:val="24"/>
        </w:rPr>
      </w:pPr>
    </w:p>
    <w:p w14:paraId="62972374" w14:textId="77777777" w:rsidR="00FA3F32" w:rsidRDefault="00FA3F32" w:rsidP="00A46999">
      <w:pPr>
        <w:spacing w:line="360" w:lineRule="auto"/>
        <w:rPr>
          <w:rFonts w:ascii="Arial" w:hAnsi="Arial" w:cs="Arial"/>
          <w:sz w:val="24"/>
          <w:szCs w:val="24"/>
        </w:rPr>
      </w:pPr>
      <w:r>
        <w:rPr>
          <w:rFonts w:ascii="Arial" w:hAnsi="Arial" w:cs="Arial"/>
          <w:sz w:val="24"/>
          <w:szCs w:val="24"/>
        </w:rPr>
        <w:t xml:space="preserve">Another adverse childhood experiences is Bullying. Bullying can have major implications for a learner to access education. Bullying is when a person faces repeated negative verbal or physical actions on the part of one or more persons. The fear of attending school in response to bullying is an incredibly common consequence.  According to Mullvain, (2016) in the year of April 2015 a study taken place in a district of central Georgia, USA to find a correlation between students being bullied and their attendance and attainment. Over 700 incidents in the district were reported in the school year of 2011-2012 where children were getting teased or bullied. Results from the Georgia Department of Education Student Health Survey indicated that 36.2% of sixth graders, 31.9% of seventh graders and 28.9% of eighth graders in the district reported to being picked on or teased at school in the last 30 days. Later findings had shown that 3% of children missed school within 30 days due to feeling unsafe. These findings demonstrate the scope of the problem in what is a local district let alone what the possible findings may present on a global scale. The writer would suggest that the above findings represent a severe problem with the relationship between young people who are bullied and their attendance at school. It is not an unknown fact that children who do not attend school regularly often fail to achieve good grades. </w:t>
      </w:r>
    </w:p>
    <w:p w14:paraId="5B37F2C2" w14:textId="77777777" w:rsidR="00FA3F32" w:rsidRDefault="00FA3F32" w:rsidP="00AA5BCE">
      <w:pPr>
        <w:spacing w:line="360" w:lineRule="auto"/>
        <w:rPr>
          <w:rFonts w:ascii="Arial" w:hAnsi="Arial" w:cs="Arial"/>
          <w:sz w:val="24"/>
          <w:szCs w:val="24"/>
        </w:rPr>
      </w:pPr>
    </w:p>
    <w:p w14:paraId="0C68D040" w14:textId="77777777" w:rsidR="00FA3F32" w:rsidRDefault="00FA3F32" w:rsidP="00AA5BCE">
      <w:pPr>
        <w:spacing w:line="360" w:lineRule="auto"/>
        <w:rPr>
          <w:rFonts w:ascii="Arial" w:hAnsi="Arial" w:cs="Arial"/>
          <w:sz w:val="24"/>
          <w:szCs w:val="24"/>
        </w:rPr>
      </w:pPr>
    </w:p>
    <w:p w14:paraId="2C09DD93" w14:textId="0F0FF808" w:rsidR="00FA3F32" w:rsidRDefault="00FA3F32" w:rsidP="00AA5BCE">
      <w:pPr>
        <w:spacing w:line="360" w:lineRule="auto"/>
        <w:rPr>
          <w:rFonts w:ascii="Arial" w:hAnsi="Arial" w:cs="Arial"/>
          <w:sz w:val="24"/>
          <w:szCs w:val="24"/>
        </w:rPr>
      </w:pPr>
      <w:r>
        <w:rPr>
          <w:rFonts w:ascii="Arial" w:hAnsi="Arial" w:cs="Arial"/>
          <w:sz w:val="24"/>
          <w:szCs w:val="24"/>
        </w:rPr>
        <w:lastRenderedPageBreak/>
        <w:t>In conclusion, the four social elements the writer chose to explore on affecting a learners ability to access education all interlink in some form of way. The writer has gained knowledge of the fact that having one of the social exclusion elements often induce another element e.g. poverty and neglect are often interlinked.</w:t>
      </w:r>
    </w:p>
    <w:p w14:paraId="11861E55" w14:textId="77777777" w:rsidR="00FA3F32" w:rsidRDefault="00FA3F32" w:rsidP="00AA5BCE">
      <w:pPr>
        <w:spacing w:line="360" w:lineRule="auto"/>
        <w:rPr>
          <w:rFonts w:ascii="Arial" w:hAnsi="Arial" w:cs="Arial"/>
          <w:sz w:val="24"/>
          <w:szCs w:val="24"/>
        </w:rPr>
      </w:pPr>
    </w:p>
    <w:p w14:paraId="614652C2" w14:textId="77777777" w:rsidR="00FA3F32" w:rsidRDefault="00FA3F32" w:rsidP="00AA5BCE">
      <w:pPr>
        <w:spacing w:line="360" w:lineRule="auto"/>
        <w:rPr>
          <w:rFonts w:ascii="Arial" w:hAnsi="Arial" w:cs="Arial"/>
          <w:sz w:val="24"/>
          <w:szCs w:val="24"/>
        </w:rPr>
      </w:pPr>
    </w:p>
    <w:p w14:paraId="61E1B8F0" w14:textId="4B16A7DB" w:rsidR="00FA3F32" w:rsidRDefault="003665C0" w:rsidP="00AA5BCE">
      <w:pPr>
        <w:spacing w:line="360" w:lineRule="auto"/>
        <w:rPr>
          <w:rFonts w:ascii="Arial" w:hAnsi="Arial" w:cs="Arial"/>
          <w:sz w:val="24"/>
          <w:szCs w:val="24"/>
        </w:rPr>
      </w:pPr>
      <w:r>
        <w:rPr>
          <w:rFonts w:ascii="Arial" w:hAnsi="Arial" w:cs="Arial"/>
          <w:sz w:val="24"/>
          <w:szCs w:val="24"/>
        </w:rPr>
        <w:t>Raised</w:t>
      </w:r>
      <w:r w:rsidR="00FA3F32">
        <w:rPr>
          <w:rFonts w:ascii="Arial" w:hAnsi="Arial" w:cs="Arial"/>
          <w:sz w:val="24"/>
          <w:szCs w:val="24"/>
        </w:rPr>
        <w:t xml:space="preserve"> in generational poverty fits into the catalyst for adverse childhood experiences in which most cases of adverse childhood experiences can lead toward poor mental health and wellbeing. This indicates a vicious circle in what is called social immobility. Those considered to fit into the social exclusion category are often faced with being marginalised, labelled and then in result have blurred vision of other life possibilities. T</w:t>
      </w:r>
      <w:r w:rsidR="00FA3F32" w:rsidRPr="00193CD7">
        <w:rPr>
          <w:rFonts w:ascii="Arial" w:hAnsi="Arial" w:cs="Arial"/>
          <w:sz w:val="24"/>
          <w:szCs w:val="24"/>
        </w:rPr>
        <w:t xml:space="preserve">he lack of access to education causes many issues such as poverty, neglect, mental ill health and </w:t>
      </w:r>
      <w:r w:rsidR="00FA3F32">
        <w:rPr>
          <w:rFonts w:ascii="Arial" w:hAnsi="Arial" w:cs="Arial"/>
          <w:sz w:val="24"/>
          <w:szCs w:val="24"/>
        </w:rPr>
        <w:t>bullying.</w:t>
      </w:r>
      <w:r w:rsidR="00FA3F32" w:rsidRPr="00193CD7">
        <w:rPr>
          <w:rFonts w:ascii="Arial" w:hAnsi="Arial" w:cs="Arial"/>
          <w:sz w:val="24"/>
          <w:szCs w:val="24"/>
        </w:rPr>
        <w:t xml:space="preserve"> These adverse experience in turn have the potential to cause poor physical and emotional health, low self esteem and a lack of knowledge and skills to realise one's full potential</w:t>
      </w:r>
      <w:r w:rsidR="00FA3F32">
        <w:rPr>
          <w:rFonts w:ascii="Arial" w:hAnsi="Arial" w:cs="Arial"/>
          <w:sz w:val="24"/>
          <w:szCs w:val="24"/>
        </w:rPr>
        <w:t xml:space="preserve">. </w:t>
      </w:r>
      <w:r w:rsidR="00FA3F32" w:rsidRPr="00193CD7">
        <w:rPr>
          <w:rFonts w:ascii="Arial" w:hAnsi="Arial" w:cs="Arial"/>
          <w:sz w:val="24"/>
          <w:szCs w:val="24"/>
        </w:rPr>
        <w:t>The Adverse childhood experiences discussed in this essay implies they can negatively impact on an individual through out their entire life span</w:t>
      </w:r>
      <w:r w:rsidR="00FA3F32">
        <w:rPr>
          <w:rFonts w:ascii="Arial" w:hAnsi="Arial" w:cs="Arial"/>
          <w:sz w:val="24"/>
          <w:szCs w:val="24"/>
        </w:rPr>
        <w:t>. The literature suggests that Adverse childhood experiences</w:t>
      </w:r>
      <w:r w:rsidR="00FA3F32" w:rsidRPr="00193CD7">
        <w:rPr>
          <w:rFonts w:ascii="Arial" w:hAnsi="Arial" w:cs="Arial"/>
          <w:sz w:val="24"/>
          <w:szCs w:val="24"/>
        </w:rPr>
        <w:t xml:space="preserve"> are likely to perpetuate generationally without the appropriate intervention. The writer therefore, can deduc</w:t>
      </w:r>
      <w:r w:rsidR="00E12975">
        <w:rPr>
          <w:rFonts w:ascii="Arial" w:hAnsi="Arial" w:cs="Arial"/>
          <w:sz w:val="24"/>
          <w:szCs w:val="24"/>
        </w:rPr>
        <w:t>t</w:t>
      </w:r>
      <w:r w:rsidR="00FA3F32" w:rsidRPr="00193CD7">
        <w:rPr>
          <w:rFonts w:ascii="Arial" w:hAnsi="Arial" w:cs="Arial"/>
          <w:sz w:val="24"/>
          <w:szCs w:val="24"/>
        </w:rPr>
        <w:t xml:space="preserve"> from the evidence discussed in this essay that children having access to education may give them the realisation that they can gain the confidence and the knowledge and skills to break the cycle of negative experiences they have encountered in order to build a better life.</w:t>
      </w:r>
    </w:p>
    <w:p w14:paraId="2B80AE93" w14:textId="77777777" w:rsidR="00FA3F32" w:rsidRDefault="00FA3F32" w:rsidP="00AA5BCE">
      <w:pPr>
        <w:spacing w:line="360" w:lineRule="auto"/>
        <w:rPr>
          <w:rFonts w:ascii="Arial" w:hAnsi="Arial" w:cs="Arial"/>
          <w:sz w:val="24"/>
          <w:szCs w:val="24"/>
        </w:rPr>
      </w:pPr>
    </w:p>
    <w:p w14:paraId="02B5F9A6" w14:textId="77777777" w:rsidR="00FA3F32" w:rsidRDefault="00FA3F32" w:rsidP="00AA5BCE">
      <w:pPr>
        <w:spacing w:line="360" w:lineRule="auto"/>
        <w:rPr>
          <w:rFonts w:ascii="Arial" w:hAnsi="Arial" w:cs="Arial"/>
          <w:sz w:val="24"/>
          <w:szCs w:val="24"/>
        </w:rPr>
      </w:pPr>
    </w:p>
    <w:p w14:paraId="1A370A48" w14:textId="77777777" w:rsidR="00FA3F32" w:rsidRDefault="00FA3F32" w:rsidP="00AA5BCE">
      <w:pPr>
        <w:spacing w:line="360" w:lineRule="auto"/>
        <w:rPr>
          <w:rFonts w:ascii="Arial" w:hAnsi="Arial" w:cs="Arial"/>
          <w:sz w:val="24"/>
          <w:szCs w:val="24"/>
        </w:rPr>
      </w:pPr>
    </w:p>
    <w:p w14:paraId="4C922FBE" w14:textId="77777777" w:rsidR="00FA3F32" w:rsidRDefault="00FA3F32" w:rsidP="00AA5BCE">
      <w:pPr>
        <w:spacing w:line="360" w:lineRule="auto"/>
        <w:rPr>
          <w:rFonts w:ascii="Arial" w:hAnsi="Arial" w:cs="Arial"/>
          <w:sz w:val="24"/>
          <w:szCs w:val="24"/>
        </w:rPr>
      </w:pPr>
      <w:r>
        <w:rPr>
          <w:rFonts w:ascii="Arial" w:hAnsi="Arial" w:cs="Arial"/>
          <w:sz w:val="24"/>
          <w:szCs w:val="24"/>
        </w:rPr>
        <w:t>Bibliography:</w:t>
      </w:r>
    </w:p>
    <w:p w14:paraId="18C0C570" w14:textId="77777777" w:rsidR="00BA2910" w:rsidRDefault="00BA2910" w:rsidP="00AA5BCE">
      <w:pPr>
        <w:spacing w:line="360" w:lineRule="auto"/>
        <w:rPr>
          <w:rFonts w:ascii="Arial" w:hAnsi="Arial" w:cs="Arial"/>
          <w:sz w:val="24"/>
          <w:szCs w:val="24"/>
        </w:rPr>
      </w:pPr>
    </w:p>
    <w:p w14:paraId="1F3E76B9" w14:textId="793F9EEC" w:rsidR="00FA3F32" w:rsidRDefault="00FA3F32" w:rsidP="00AA5BCE">
      <w:pPr>
        <w:spacing w:line="360" w:lineRule="auto"/>
        <w:rPr>
          <w:rFonts w:ascii="Arial" w:hAnsi="Arial" w:cs="Arial"/>
          <w:sz w:val="24"/>
          <w:szCs w:val="24"/>
        </w:rPr>
      </w:pPr>
      <w:r w:rsidRPr="00B422E0">
        <w:rPr>
          <w:rFonts w:ascii="Arial" w:hAnsi="Arial" w:cs="Arial"/>
          <w:sz w:val="24"/>
          <w:szCs w:val="24"/>
        </w:rPr>
        <w:t>Busby, E., 2019. Poorest Children Three Times More Likely To Miss Out On Extra-Curricular Activities, Study Finds. [online] The Independent. Available at: &lt;https://www.independent.co.uk/news/education/education-news/poverty-children-school-extracurricular-music-sport-social-mobility-family-a9010936.html&gt; [Accessed 21 April 2020].</w:t>
      </w:r>
    </w:p>
    <w:p w14:paraId="0752CD6B" w14:textId="77777777" w:rsidR="00BA2910" w:rsidRDefault="00FA3F32" w:rsidP="00AA5BCE">
      <w:pPr>
        <w:spacing w:line="360" w:lineRule="auto"/>
        <w:rPr>
          <w:rFonts w:ascii="Arial" w:hAnsi="Arial" w:cs="Arial"/>
          <w:sz w:val="24"/>
          <w:szCs w:val="24"/>
        </w:rPr>
      </w:pPr>
      <w:r w:rsidRPr="00162F1E">
        <w:rPr>
          <w:rFonts w:ascii="Arial" w:hAnsi="Arial" w:cs="Arial"/>
          <w:sz w:val="24"/>
          <w:szCs w:val="24"/>
        </w:rPr>
        <w:lastRenderedPageBreak/>
        <w:t>Center on the Developing Child at Harvard University. 2020. Neglect. [online] Available at: &lt;https://developingchild.harvard.edu/science/deep-dives/neglect/&gt; [Accessed 5 April 2020].</w:t>
      </w:r>
    </w:p>
    <w:p w14:paraId="2DCF79F3" w14:textId="77777777" w:rsidR="005F4BDC" w:rsidRDefault="005F4BDC" w:rsidP="00AA5BCE">
      <w:pPr>
        <w:spacing w:line="360" w:lineRule="auto"/>
        <w:rPr>
          <w:rFonts w:ascii="Arial" w:hAnsi="Arial" w:cs="Arial"/>
          <w:sz w:val="24"/>
          <w:szCs w:val="24"/>
        </w:rPr>
      </w:pPr>
    </w:p>
    <w:p w14:paraId="72BEAD25" w14:textId="006495B2" w:rsidR="00FA3F32" w:rsidRDefault="00FA3F32" w:rsidP="00AA5BCE">
      <w:pPr>
        <w:spacing w:line="360" w:lineRule="auto"/>
        <w:rPr>
          <w:rFonts w:ascii="Arial" w:hAnsi="Arial" w:cs="Arial"/>
          <w:sz w:val="24"/>
          <w:szCs w:val="24"/>
        </w:rPr>
      </w:pPr>
      <w:r w:rsidRPr="003F0863">
        <w:rPr>
          <w:rFonts w:ascii="Arial" w:hAnsi="Arial" w:cs="Arial"/>
          <w:sz w:val="24"/>
          <w:szCs w:val="24"/>
        </w:rPr>
        <w:t>Jensen, E., 2009. Teaching With Poverty In Mind. ASCD.</w:t>
      </w:r>
    </w:p>
    <w:p w14:paraId="4EB7EF25" w14:textId="77777777" w:rsidR="006E56F4" w:rsidRDefault="006E56F4" w:rsidP="00AA5BCE">
      <w:pPr>
        <w:spacing w:line="360" w:lineRule="auto"/>
        <w:rPr>
          <w:rFonts w:ascii="Arial" w:hAnsi="Arial" w:cs="Arial"/>
          <w:sz w:val="24"/>
          <w:szCs w:val="24"/>
        </w:rPr>
      </w:pPr>
    </w:p>
    <w:p w14:paraId="20BC6DA8" w14:textId="77777777" w:rsidR="00FA3F32" w:rsidRDefault="00FA3F32" w:rsidP="00AA5BCE">
      <w:pPr>
        <w:spacing w:line="360" w:lineRule="auto"/>
        <w:rPr>
          <w:rFonts w:ascii="Arial" w:hAnsi="Arial" w:cs="Arial"/>
          <w:sz w:val="24"/>
          <w:szCs w:val="24"/>
        </w:rPr>
      </w:pPr>
      <w:r w:rsidRPr="007939EB">
        <w:rPr>
          <w:rFonts w:ascii="Arial" w:hAnsi="Arial" w:cs="Arial"/>
          <w:sz w:val="24"/>
          <w:szCs w:val="24"/>
        </w:rPr>
        <w:t>Kelloggs.co.uk. 2012. [online] Available at: &lt;https://www.kelloggs.co.uk/content/dam/europe/kelloggs_gb/pdf/R2_Kellogg_A_Lost_Education.pdf&gt; [Accessed 14 April 2020].</w:t>
      </w:r>
    </w:p>
    <w:p w14:paraId="193FB5B3" w14:textId="77777777" w:rsidR="006E56F4" w:rsidRDefault="006E56F4" w:rsidP="00AA5BCE">
      <w:pPr>
        <w:spacing w:line="360" w:lineRule="auto"/>
        <w:rPr>
          <w:rFonts w:ascii="Arial" w:hAnsi="Arial" w:cs="Arial"/>
          <w:sz w:val="24"/>
          <w:szCs w:val="24"/>
        </w:rPr>
      </w:pPr>
    </w:p>
    <w:p w14:paraId="77C7971A" w14:textId="015E49BE" w:rsidR="00FA3F32" w:rsidRDefault="00FA3F32" w:rsidP="00AA5BCE">
      <w:pPr>
        <w:spacing w:line="360" w:lineRule="auto"/>
        <w:rPr>
          <w:rFonts w:ascii="Arial" w:hAnsi="Arial" w:cs="Arial"/>
          <w:sz w:val="24"/>
          <w:szCs w:val="24"/>
        </w:rPr>
      </w:pPr>
      <w:r w:rsidRPr="009E6BE2">
        <w:rPr>
          <w:rFonts w:ascii="Arial" w:hAnsi="Arial" w:cs="Arial"/>
          <w:sz w:val="24"/>
          <w:szCs w:val="24"/>
        </w:rPr>
        <w:t>Manly, J., Lynch, M., Oshri, A., Herzog, M. and Wortel, S., 2013. The Impact of Neglect on Initial Adaptation to School. Child Maltreatment, 18(3), pp.155-170.</w:t>
      </w:r>
    </w:p>
    <w:p w14:paraId="3CC99FC1" w14:textId="77777777" w:rsidR="006E56F4" w:rsidRDefault="006E56F4" w:rsidP="00AA5BCE">
      <w:pPr>
        <w:spacing w:line="360" w:lineRule="auto"/>
        <w:rPr>
          <w:rFonts w:ascii="Arial" w:hAnsi="Arial" w:cs="Arial"/>
          <w:sz w:val="24"/>
          <w:szCs w:val="24"/>
        </w:rPr>
      </w:pPr>
    </w:p>
    <w:p w14:paraId="3EFCAED1" w14:textId="3C2A45EE" w:rsidR="00FA3F32" w:rsidRDefault="00FA3F32" w:rsidP="00AA5BCE">
      <w:pPr>
        <w:spacing w:line="360" w:lineRule="auto"/>
        <w:rPr>
          <w:rFonts w:ascii="Arial" w:hAnsi="Arial" w:cs="Arial"/>
          <w:sz w:val="24"/>
          <w:szCs w:val="24"/>
        </w:rPr>
      </w:pPr>
      <w:r w:rsidRPr="00AD6B4F">
        <w:rPr>
          <w:rFonts w:ascii="Arial" w:hAnsi="Arial" w:cs="Arial"/>
          <w:sz w:val="24"/>
          <w:szCs w:val="24"/>
        </w:rPr>
        <w:t>Mullvain, P., 2016. Examining The Relationship Between Bullying, Attendance, And Achievement In Schools. [online] Scholarworks.waldenu.edu. Available at: &lt;https://scholarworks.waldenu.edu/cgi/viewcontent.cgi?article=3717&amp;context=dissertations&gt; [Accessed 15 April 2020].</w:t>
      </w:r>
    </w:p>
    <w:p w14:paraId="6027C303" w14:textId="77777777" w:rsidR="006E56F4" w:rsidRDefault="006E56F4" w:rsidP="00AA5BCE">
      <w:pPr>
        <w:spacing w:line="360" w:lineRule="auto"/>
        <w:rPr>
          <w:rFonts w:ascii="Arial" w:hAnsi="Arial" w:cs="Arial"/>
          <w:sz w:val="24"/>
          <w:szCs w:val="24"/>
        </w:rPr>
      </w:pPr>
    </w:p>
    <w:p w14:paraId="7ECB50D4" w14:textId="1EA273ED" w:rsidR="00FA3F32" w:rsidRDefault="00060014" w:rsidP="00AA5BCE">
      <w:pPr>
        <w:spacing w:line="360" w:lineRule="auto"/>
        <w:rPr>
          <w:rFonts w:ascii="Arial" w:hAnsi="Arial" w:cs="Arial"/>
          <w:sz w:val="24"/>
          <w:szCs w:val="24"/>
        </w:rPr>
      </w:pPr>
      <w:r w:rsidRPr="00060014">
        <w:rPr>
          <w:rFonts w:ascii="Arial" w:hAnsi="Arial" w:cs="Arial"/>
          <w:sz w:val="24"/>
          <w:szCs w:val="24"/>
        </w:rPr>
        <w:t>Pettinger, T., 2020. Definition Of Absolute And Relative Poverty - Economics Help. [online] Economics Help. Available at: &lt;https://www.economicshelp.org/blog/glossary/definition-of-absolute-and-relative-poverty/&gt; [Accessed 23 April 2020].</w:t>
      </w:r>
    </w:p>
    <w:p w14:paraId="59460730" w14:textId="6E8EB033" w:rsidR="00871458" w:rsidRDefault="00871458" w:rsidP="00AA5BCE">
      <w:pPr>
        <w:spacing w:line="360" w:lineRule="auto"/>
        <w:rPr>
          <w:rFonts w:ascii="Arial" w:hAnsi="Arial" w:cs="Arial"/>
          <w:sz w:val="24"/>
          <w:szCs w:val="24"/>
        </w:rPr>
      </w:pPr>
    </w:p>
    <w:p w14:paraId="730A86B7" w14:textId="634A6485" w:rsidR="00871458" w:rsidRDefault="00871458" w:rsidP="00AA5BCE">
      <w:pPr>
        <w:spacing w:line="360" w:lineRule="auto"/>
        <w:rPr>
          <w:rFonts w:ascii="Arial" w:hAnsi="Arial" w:cs="Arial"/>
          <w:sz w:val="24"/>
          <w:szCs w:val="24"/>
        </w:rPr>
      </w:pPr>
      <w:r w:rsidRPr="00871458">
        <w:rPr>
          <w:rFonts w:ascii="Arial" w:hAnsi="Arial" w:cs="Arial"/>
          <w:sz w:val="24"/>
          <w:szCs w:val="24"/>
        </w:rPr>
        <w:t>Rueckert, P., 2019. 10 Barriers To Education That Children Living In Poverty Face. [online] Global Citizen. Available at: &lt;https://www.globalcitizen.org/en/content/10-barriers-to-education-around-the-world-2/&gt; [Accessed 11 April 2020].</w:t>
      </w:r>
    </w:p>
    <w:p w14:paraId="37FF3914" w14:textId="553D8A48" w:rsidR="00A20EA4" w:rsidRDefault="00A20EA4" w:rsidP="00AA5BCE">
      <w:pPr>
        <w:spacing w:line="360" w:lineRule="auto"/>
        <w:rPr>
          <w:rFonts w:ascii="Arial" w:hAnsi="Arial" w:cs="Arial"/>
          <w:sz w:val="24"/>
          <w:szCs w:val="24"/>
        </w:rPr>
      </w:pPr>
    </w:p>
    <w:p w14:paraId="34EEDA14" w14:textId="55309102" w:rsidR="00A20EA4" w:rsidRDefault="00A20EA4" w:rsidP="00AA5BCE">
      <w:pPr>
        <w:spacing w:line="360" w:lineRule="auto"/>
        <w:rPr>
          <w:rFonts w:ascii="Arial" w:hAnsi="Arial" w:cs="Arial"/>
          <w:sz w:val="24"/>
          <w:szCs w:val="24"/>
        </w:rPr>
      </w:pPr>
      <w:r w:rsidRPr="00A20EA4">
        <w:rPr>
          <w:rFonts w:ascii="Arial" w:hAnsi="Arial" w:cs="Arial"/>
          <w:sz w:val="24"/>
          <w:szCs w:val="24"/>
        </w:rPr>
        <w:t>The Independent. 2020. Poorest Children Three Times More Likely To Miss Out On Extra-Curricular Activities, Study Finds. [online] Available at: &lt;https://www.independent.co.uk/news/education/education-news/poverty-children-school-extracurricular-music-sport-social-mobility-family-a9010936.html&gt; [Accessed 23 April 2020].</w:t>
      </w:r>
    </w:p>
    <w:p w14:paraId="637A1A02" w14:textId="77777777" w:rsidR="00963A60" w:rsidRDefault="00963A60" w:rsidP="00AA5BCE">
      <w:pPr>
        <w:spacing w:line="360" w:lineRule="auto"/>
        <w:rPr>
          <w:rFonts w:ascii="Arial" w:hAnsi="Arial" w:cs="Arial"/>
          <w:sz w:val="24"/>
          <w:szCs w:val="24"/>
        </w:rPr>
      </w:pPr>
    </w:p>
    <w:p w14:paraId="1D00433E" w14:textId="57048549" w:rsidR="00A20EA4" w:rsidRDefault="00D01F1E" w:rsidP="00AA5BCE">
      <w:pPr>
        <w:spacing w:line="360" w:lineRule="auto"/>
        <w:rPr>
          <w:rFonts w:ascii="Arial" w:hAnsi="Arial" w:cs="Arial"/>
          <w:sz w:val="24"/>
          <w:szCs w:val="24"/>
        </w:rPr>
      </w:pPr>
      <w:r w:rsidRPr="00D01F1E">
        <w:rPr>
          <w:rFonts w:ascii="Arial" w:hAnsi="Arial" w:cs="Arial"/>
          <w:sz w:val="24"/>
          <w:szCs w:val="24"/>
        </w:rPr>
        <w:lastRenderedPageBreak/>
        <w:t>Unicef.org. n.d. Education. [online] Available at: &lt;https://www.unicef.org/education&gt; [Accessed 11 April 2020].</w:t>
      </w:r>
    </w:p>
    <w:p w14:paraId="75C48879" w14:textId="29030150" w:rsidR="00FA3F32" w:rsidRDefault="00FA3F32" w:rsidP="00AA5BCE">
      <w:pPr>
        <w:spacing w:line="360" w:lineRule="auto"/>
        <w:rPr>
          <w:rFonts w:ascii="Arial" w:hAnsi="Arial" w:cs="Arial"/>
          <w:sz w:val="24"/>
          <w:szCs w:val="24"/>
        </w:rPr>
      </w:pPr>
    </w:p>
    <w:p w14:paraId="0FB4769B" w14:textId="77777777" w:rsidR="00FA3F32" w:rsidRDefault="00FA3F32" w:rsidP="00AA5BCE">
      <w:pPr>
        <w:spacing w:line="360" w:lineRule="auto"/>
        <w:rPr>
          <w:rFonts w:ascii="Arial" w:hAnsi="Arial" w:cs="Arial"/>
          <w:sz w:val="24"/>
          <w:szCs w:val="24"/>
        </w:rPr>
      </w:pPr>
    </w:p>
    <w:p w14:paraId="1936DA79" w14:textId="066F66F3" w:rsidR="00FA3F32" w:rsidRDefault="00FA3F32" w:rsidP="00AA5BCE">
      <w:pPr>
        <w:spacing w:line="360" w:lineRule="auto"/>
        <w:rPr>
          <w:rFonts w:ascii="Arial" w:hAnsi="Arial" w:cs="Arial"/>
          <w:sz w:val="24"/>
          <w:szCs w:val="24"/>
        </w:rPr>
      </w:pPr>
    </w:p>
    <w:p w14:paraId="68681657" w14:textId="77777777" w:rsidR="00FA3F32" w:rsidRPr="008B6609" w:rsidRDefault="00FA3F32" w:rsidP="00AA5BCE">
      <w:pPr>
        <w:spacing w:line="360" w:lineRule="auto"/>
        <w:rPr>
          <w:rFonts w:ascii="Arial" w:hAnsi="Arial" w:cs="Arial"/>
          <w:sz w:val="24"/>
          <w:szCs w:val="24"/>
        </w:rPr>
      </w:pPr>
    </w:p>
    <w:p w14:paraId="7C2E0542" w14:textId="77777777" w:rsidR="00FA3F32" w:rsidRDefault="00FA3F32" w:rsidP="00AA5BCE">
      <w:pPr>
        <w:spacing w:line="360" w:lineRule="auto"/>
        <w:rPr>
          <w:rFonts w:ascii="Arial" w:hAnsi="Arial" w:cs="Arial"/>
          <w:sz w:val="24"/>
          <w:szCs w:val="24"/>
        </w:rPr>
      </w:pPr>
    </w:p>
    <w:p w14:paraId="0C8CA646" w14:textId="77777777" w:rsidR="00FA3F32" w:rsidRPr="009D6CB4" w:rsidRDefault="00FA3F32" w:rsidP="00AA5BCE">
      <w:pPr>
        <w:spacing w:line="360" w:lineRule="auto"/>
        <w:rPr>
          <w:rFonts w:ascii="Arial" w:hAnsi="Arial" w:cs="Arial"/>
          <w:sz w:val="24"/>
          <w:szCs w:val="24"/>
        </w:rPr>
      </w:pPr>
    </w:p>
    <w:p w14:paraId="0AD3711F" w14:textId="77777777" w:rsidR="00FA3F32" w:rsidRPr="009D6CB4" w:rsidRDefault="00FA3F32" w:rsidP="00AA5BCE">
      <w:pPr>
        <w:spacing w:line="360" w:lineRule="auto"/>
        <w:rPr>
          <w:rFonts w:ascii="Arial" w:hAnsi="Arial" w:cs="Arial"/>
          <w:sz w:val="24"/>
          <w:szCs w:val="24"/>
        </w:rPr>
      </w:pPr>
      <w:r w:rsidRPr="009D6CB4">
        <w:rPr>
          <w:rFonts w:ascii="Arial" w:hAnsi="Arial" w:cs="Arial"/>
          <w:sz w:val="24"/>
          <w:szCs w:val="24"/>
        </w:rPr>
        <w:t xml:space="preserve"> </w:t>
      </w:r>
    </w:p>
    <w:p w14:paraId="6CA773BF" w14:textId="77777777" w:rsidR="00FA3F32" w:rsidRPr="009D6CB4" w:rsidRDefault="00FA3F32" w:rsidP="00AA5BCE">
      <w:pPr>
        <w:spacing w:line="360" w:lineRule="auto"/>
        <w:rPr>
          <w:rFonts w:ascii="Arial" w:hAnsi="Arial" w:cs="Arial"/>
          <w:sz w:val="24"/>
          <w:szCs w:val="24"/>
        </w:rPr>
      </w:pPr>
    </w:p>
    <w:p w14:paraId="6F105D25" w14:textId="77777777" w:rsidR="00FA3F32" w:rsidRPr="009D6CB4" w:rsidRDefault="00FA3F32" w:rsidP="00AA5BCE">
      <w:pPr>
        <w:spacing w:line="360" w:lineRule="auto"/>
        <w:rPr>
          <w:rFonts w:ascii="Arial" w:hAnsi="Arial" w:cs="Arial"/>
          <w:sz w:val="24"/>
          <w:szCs w:val="24"/>
        </w:rPr>
      </w:pPr>
    </w:p>
    <w:sectPr w:rsidR="00FA3F32" w:rsidRPr="009D6CB4" w:rsidSect="00DC1E4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41FB2" w14:textId="77777777" w:rsidR="00280763" w:rsidRDefault="00280763" w:rsidP="001D69B9">
      <w:r>
        <w:separator/>
      </w:r>
    </w:p>
  </w:endnote>
  <w:endnote w:type="continuationSeparator" w:id="0">
    <w:p w14:paraId="7184603E" w14:textId="77777777" w:rsidR="00280763" w:rsidRDefault="00280763" w:rsidP="001D69B9">
      <w:r>
        <w:continuationSeparator/>
      </w:r>
    </w:p>
  </w:endnote>
  <w:endnote w:type="continuationNotice" w:id="1">
    <w:p w14:paraId="394FBE75" w14:textId="77777777" w:rsidR="00280763" w:rsidRDefault="00280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A0" w:firstRow="1" w:lastRow="0" w:firstColumn="1" w:lastColumn="0" w:noHBand="0" w:noVBand="0"/>
    </w:tblPr>
    <w:tblGrid>
      <w:gridCol w:w="3009"/>
      <w:gridCol w:w="3009"/>
      <w:gridCol w:w="3009"/>
    </w:tblGrid>
    <w:tr w:rsidR="00FA3F32" w:rsidRPr="007A45A7" w14:paraId="2C9CA6B2" w14:textId="77777777" w:rsidTr="569E55B7">
      <w:tc>
        <w:tcPr>
          <w:tcW w:w="3009" w:type="dxa"/>
        </w:tcPr>
        <w:p w14:paraId="0480611A" w14:textId="77777777" w:rsidR="00FA3F32" w:rsidRPr="007A45A7" w:rsidRDefault="00FA3F32" w:rsidP="569E55B7">
          <w:pPr>
            <w:pStyle w:val="Header"/>
            <w:ind w:left="-115"/>
          </w:pPr>
        </w:p>
      </w:tc>
      <w:tc>
        <w:tcPr>
          <w:tcW w:w="3009" w:type="dxa"/>
        </w:tcPr>
        <w:p w14:paraId="4C19E295" w14:textId="77777777" w:rsidR="00FA3F32" w:rsidRPr="007A45A7" w:rsidRDefault="00FA3F32" w:rsidP="569E55B7">
          <w:pPr>
            <w:pStyle w:val="Header"/>
            <w:jc w:val="center"/>
          </w:pPr>
        </w:p>
      </w:tc>
      <w:tc>
        <w:tcPr>
          <w:tcW w:w="3009" w:type="dxa"/>
        </w:tcPr>
        <w:p w14:paraId="18165A8E" w14:textId="77777777" w:rsidR="00FA3F32" w:rsidRPr="007A45A7" w:rsidRDefault="00FA3F32" w:rsidP="569E55B7">
          <w:pPr>
            <w:pStyle w:val="Header"/>
            <w:ind w:right="-115"/>
            <w:jc w:val="right"/>
          </w:pPr>
        </w:p>
      </w:tc>
    </w:tr>
  </w:tbl>
  <w:p w14:paraId="10B3BB7B" w14:textId="77777777" w:rsidR="00FA3F32" w:rsidRDefault="00FA3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CF58D" w14:textId="77777777" w:rsidR="00280763" w:rsidRDefault="00280763" w:rsidP="001D69B9">
      <w:r>
        <w:separator/>
      </w:r>
    </w:p>
  </w:footnote>
  <w:footnote w:type="continuationSeparator" w:id="0">
    <w:p w14:paraId="2A36A447" w14:textId="77777777" w:rsidR="00280763" w:rsidRDefault="00280763" w:rsidP="001D69B9">
      <w:r>
        <w:continuationSeparator/>
      </w:r>
    </w:p>
  </w:footnote>
  <w:footnote w:type="continuationNotice" w:id="1">
    <w:p w14:paraId="4619B254" w14:textId="77777777" w:rsidR="00280763" w:rsidRDefault="002807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A0" w:firstRow="1" w:lastRow="0" w:firstColumn="1" w:lastColumn="0" w:noHBand="0" w:noVBand="0"/>
    </w:tblPr>
    <w:tblGrid>
      <w:gridCol w:w="3009"/>
      <w:gridCol w:w="3009"/>
      <w:gridCol w:w="3009"/>
    </w:tblGrid>
    <w:tr w:rsidR="00FA3F32" w:rsidRPr="007A45A7" w14:paraId="000F7171" w14:textId="77777777" w:rsidTr="569E55B7">
      <w:tc>
        <w:tcPr>
          <w:tcW w:w="3009" w:type="dxa"/>
        </w:tcPr>
        <w:p w14:paraId="4D0EC686" w14:textId="77777777" w:rsidR="00FA3F32" w:rsidRPr="007A45A7" w:rsidRDefault="00FA3F32" w:rsidP="569E55B7">
          <w:pPr>
            <w:pStyle w:val="Header"/>
            <w:ind w:left="-115"/>
          </w:pPr>
        </w:p>
      </w:tc>
      <w:tc>
        <w:tcPr>
          <w:tcW w:w="3009" w:type="dxa"/>
        </w:tcPr>
        <w:p w14:paraId="4AE2D8FF" w14:textId="77777777" w:rsidR="00FA3F32" w:rsidRPr="007A45A7" w:rsidRDefault="00FA3F32" w:rsidP="569E55B7">
          <w:pPr>
            <w:pStyle w:val="Header"/>
            <w:jc w:val="center"/>
          </w:pPr>
        </w:p>
      </w:tc>
      <w:tc>
        <w:tcPr>
          <w:tcW w:w="3009" w:type="dxa"/>
        </w:tcPr>
        <w:p w14:paraId="7BAB9210" w14:textId="77777777" w:rsidR="00FA3F32" w:rsidRPr="007A45A7" w:rsidRDefault="00FA3F32" w:rsidP="569E55B7">
          <w:pPr>
            <w:pStyle w:val="Header"/>
            <w:ind w:right="-115"/>
            <w:jc w:val="right"/>
          </w:pPr>
        </w:p>
      </w:tc>
    </w:tr>
  </w:tbl>
  <w:p w14:paraId="6B7FB8D1" w14:textId="77777777" w:rsidR="00FA3F32" w:rsidRDefault="00FA3F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EA"/>
    <w:rsid w:val="00010377"/>
    <w:rsid w:val="000163B7"/>
    <w:rsid w:val="00016F36"/>
    <w:rsid w:val="000254C6"/>
    <w:rsid w:val="00026C66"/>
    <w:rsid w:val="00032B0E"/>
    <w:rsid w:val="00033FAB"/>
    <w:rsid w:val="00036DBB"/>
    <w:rsid w:val="00037B0A"/>
    <w:rsid w:val="00046017"/>
    <w:rsid w:val="00052459"/>
    <w:rsid w:val="0005558D"/>
    <w:rsid w:val="00060014"/>
    <w:rsid w:val="00067E4C"/>
    <w:rsid w:val="00074185"/>
    <w:rsid w:val="000742FC"/>
    <w:rsid w:val="00076B31"/>
    <w:rsid w:val="0008769E"/>
    <w:rsid w:val="0009221D"/>
    <w:rsid w:val="000927F0"/>
    <w:rsid w:val="00095117"/>
    <w:rsid w:val="00095609"/>
    <w:rsid w:val="000A0FBF"/>
    <w:rsid w:val="000B2E0C"/>
    <w:rsid w:val="000B5C92"/>
    <w:rsid w:val="000C0FCA"/>
    <w:rsid w:val="000C3167"/>
    <w:rsid w:val="000C575A"/>
    <w:rsid w:val="000C59BA"/>
    <w:rsid w:val="000D022F"/>
    <w:rsid w:val="000D2912"/>
    <w:rsid w:val="000D7C27"/>
    <w:rsid w:val="000F0AFA"/>
    <w:rsid w:val="000F46AF"/>
    <w:rsid w:val="000F46F2"/>
    <w:rsid w:val="000F5A8E"/>
    <w:rsid w:val="000F793C"/>
    <w:rsid w:val="001010B4"/>
    <w:rsid w:val="001032B3"/>
    <w:rsid w:val="0010350F"/>
    <w:rsid w:val="0011086C"/>
    <w:rsid w:val="001123FC"/>
    <w:rsid w:val="00116DE0"/>
    <w:rsid w:val="00117AF9"/>
    <w:rsid w:val="00120A84"/>
    <w:rsid w:val="00127110"/>
    <w:rsid w:val="001308C0"/>
    <w:rsid w:val="00130CE9"/>
    <w:rsid w:val="0013243A"/>
    <w:rsid w:val="00137DFD"/>
    <w:rsid w:val="0014445C"/>
    <w:rsid w:val="00155F28"/>
    <w:rsid w:val="0016232A"/>
    <w:rsid w:val="00162673"/>
    <w:rsid w:val="00162F1E"/>
    <w:rsid w:val="00163762"/>
    <w:rsid w:val="00165942"/>
    <w:rsid w:val="00166C8E"/>
    <w:rsid w:val="001745B0"/>
    <w:rsid w:val="00175B3F"/>
    <w:rsid w:val="00185865"/>
    <w:rsid w:val="00185A99"/>
    <w:rsid w:val="00185EF0"/>
    <w:rsid w:val="00193CD7"/>
    <w:rsid w:val="001A0C29"/>
    <w:rsid w:val="001A32E5"/>
    <w:rsid w:val="001A332F"/>
    <w:rsid w:val="001A6F8F"/>
    <w:rsid w:val="001B1EA5"/>
    <w:rsid w:val="001B3441"/>
    <w:rsid w:val="001B425E"/>
    <w:rsid w:val="001C36C3"/>
    <w:rsid w:val="001C5414"/>
    <w:rsid w:val="001D69B9"/>
    <w:rsid w:val="001E1D9C"/>
    <w:rsid w:val="001E3345"/>
    <w:rsid w:val="001E6806"/>
    <w:rsid w:val="002032CD"/>
    <w:rsid w:val="0022129C"/>
    <w:rsid w:val="00225C89"/>
    <w:rsid w:val="002309D2"/>
    <w:rsid w:val="00233BC9"/>
    <w:rsid w:val="002403F6"/>
    <w:rsid w:val="00241EB8"/>
    <w:rsid w:val="002449AF"/>
    <w:rsid w:val="00245D35"/>
    <w:rsid w:val="002471D9"/>
    <w:rsid w:val="0025505D"/>
    <w:rsid w:val="002565F9"/>
    <w:rsid w:val="00271BB7"/>
    <w:rsid w:val="00272437"/>
    <w:rsid w:val="00274081"/>
    <w:rsid w:val="00277CE4"/>
    <w:rsid w:val="00280763"/>
    <w:rsid w:val="00282258"/>
    <w:rsid w:val="00285A76"/>
    <w:rsid w:val="002B0ADF"/>
    <w:rsid w:val="002B4CA3"/>
    <w:rsid w:val="002B756B"/>
    <w:rsid w:val="002D2401"/>
    <w:rsid w:val="002E4C96"/>
    <w:rsid w:val="002E7969"/>
    <w:rsid w:val="002F0385"/>
    <w:rsid w:val="00305E0F"/>
    <w:rsid w:val="003073DA"/>
    <w:rsid w:val="00310556"/>
    <w:rsid w:val="00311D6C"/>
    <w:rsid w:val="00324F60"/>
    <w:rsid w:val="00326593"/>
    <w:rsid w:val="00327F6F"/>
    <w:rsid w:val="00330CAB"/>
    <w:rsid w:val="003325DE"/>
    <w:rsid w:val="003378D3"/>
    <w:rsid w:val="0034014A"/>
    <w:rsid w:val="00345DD4"/>
    <w:rsid w:val="0034749D"/>
    <w:rsid w:val="003478FC"/>
    <w:rsid w:val="00351487"/>
    <w:rsid w:val="003618DD"/>
    <w:rsid w:val="00361C1B"/>
    <w:rsid w:val="003665C0"/>
    <w:rsid w:val="0036779D"/>
    <w:rsid w:val="003773B8"/>
    <w:rsid w:val="00382541"/>
    <w:rsid w:val="003A58F3"/>
    <w:rsid w:val="003B1028"/>
    <w:rsid w:val="003C0B8A"/>
    <w:rsid w:val="003C0D7D"/>
    <w:rsid w:val="003C5ACE"/>
    <w:rsid w:val="003C6E75"/>
    <w:rsid w:val="003D793A"/>
    <w:rsid w:val="003F0863"/>
    <w:rsid w:val="00414DFF"/>
    <w:rsid w:val="00415D6B"/>
    <w:rsid w:val="00415DD0"/>
    <w:rsid w:val="00422B68"/>
    <w:rsid w:val="0042428D"/>
    <w:rsid w:val="004267E2"/>
    <w:rsid w:val="0042705E"/>
    <w:rsid w:val="0043059F"/>
    <w:rsid w:val="0043448B"/>
    <w:rsid w:val="004354BA"/>
    <w:rsid w:val="00436B12"/>
    <w:rsid w:val="0044043C"/>
    <w:rsid w:val="00446427"/>
    <w:rsid w:val="00451B0C"/>
    <w:rsid w:val="00457CF1"/>
    <w:rsid w:val="004620A6"/>
    <w:rsid w:val="00464B5E"/>
    <w:rsid w:val="00477141"/>
    <w:rsid w:val="00490893"/>
    <w:rsid w:val="00494ADA"/>
    <w:rsid w:val="004957EF"/>
    <w:rsid w:val="00496A2B"/>
    <w:rsid w:val="004A7E9E"/>
    <w:rsid w:val="004B0BF0"/>
    <w:rsid w:val="004B5443"/>
    <w:rsid w:val="004B5779"/>
    <w:rsid w:val="004B748A"/>
    <w:rsid w:val="004C2891"/>
    <w:rsid w:val="004D2631"/>
    <w:rsid w:val="004D43E7"/>
    <w:rsid w:val="004D6898"/>
    <w:rsid w:val="004E4408"/>
    <w:rsid w:val="004E7AB7"/>
    <w:rsid w:val="004F1ECD"/>
    <w:rsid w:val="004F4578"/>
    <w:rsid w:val="004F5652"/>
    <w:rsid w:val="004F7647"/>
    <w:rsid w:val="004F7FCA"/>
    <w:rsid w:val="00500761"/>
    <w:rsid w:val="0050199A"/>
    <w:rsid w:val="00501F0A"/>
    <w:rsid w:val="00505502"/>
    <w:rsid w:val="00514E05"/>
    <w:rsid w:val="00515B98"/>
    <w:rsid w:val="005161E4"/>
    <w:rsid w:val="00517E97"/>
    <w:rsid w:val="00521BE7"/>
    <w:rsid w:val="00524B6C"/>
    <w:rsid w:val="00536A0A"/>
    <w:rsid w:val="0054722E"/>
    <w:rsid w:val="00551510"/>
    <w:rsid w:val="00553752"/>
    <w:rsid w:val="0056470B"/>
    <w:rsid w:val="00564C66"/>
    <w:rsid w:val="00573BF7"/>
    <w:rsid w:val="005855C6"/>
    <w:rsid w:val="005875A7"/>
    <w:rsid w:val="005900D0"/>
    <w:rsid w:val="00593B97"/>
    <w:rsid w:val="00593F61"/>
    <w:rsid w:val="00596379"/>
    <w:rsid w:val="005A0843"/>
    <w:rsid w:val="005A5E54"/>
    <w:rsid w:val="005B0C6F"/>
    <w:rsid w:val="005B0EF1"/>
    <w:rsid w:val="005B1249"/>
    <w:rsid w:val="005B4FFE"/>
    <w:rsid w:val="005C255F"/>
    <w:rsid w:val="005D17BE"/>
    <w:rsid w:val="005D2F67"/>
    <w:rsid w:val="005D425C"/>
    <w:rsid w:val="005F4BDC"/>
    <w:rsid w:val="005F7CA9"/>
    <w:rsid w:val="00600226"/>
    <w:rsid w:val="006023DC"/>
    <w:rsid w:val="00602D17"/>
    <w:rsid w:val="006164F2"/>
    <w:rsid w:val="00625140"/>
    <w:rsid w:val="006261EB"/>
    <w:rsid w:val="00646E5C"/>
    <w:rsid w:val="006518FA"/>
    <w:rsid w:val="006556A2"/>
    <w:rsid w:val="006602B0"/>
    <w:rsid w:val="00662D5E"/>
    <w:rsid w:val="00666E51"/>
    <w:rsid w:val="00667C06"/>
    <w:rsid w:val="0067010B"/>
    <w:rsid w:val="00674B84"/>
    <w:rsid w:val="006756D3"/>
    <w:rsid w:val="00696EE7"/>
    <w:rsid w:val="006A2979"/>
    <w:rsid w:val="006A67E7"/>
    <w:rsid w:val="006A76CE"/>
    <w:rsid w:val="006B1B88"/>
    <w:rsid w:val="006C33EF"/>
    <w:rsid w:val="006C717D"/>
    <w:rsid w:val="006D075A"/>
    <w:rsid w:val="006D10BB"/>
    <w:rsid w:val="006D21C5"/>
    <w:rsid w:val="006D322B"/>
    <w:rsid w:val="006D3388"/>
    <w:rsid w:val="006D6177"/>
    <w:rsid w:val="006E1F0E"/>
    <w:rsid w:val="006E494E"/>
    <w:rsid w:val="006E56F4"/>
    <w:rsid w:val="006E5762"/>
    <w:rsid w:val="006E6487"/>
    <w:rsid w:val="00701DEE"/>
    <w:rsid w:val="00724C6F"/>
    <w:rsid w:val="007250E8"/>
    <w:rsid w:val="00725D54"/>
    <w:rsid w:val="0073072B"/>
    <w:rsid w:val="00730AF1"/>
    <w:rsid w:val="007324C3"/>
    <w:rsid w:val="00744799"/>
    <w:rsid w:val="0075047F"/>
    <w:rsid w:val="00762240"/>
    <w:rsid w:val="007629AB"/>
    <w:rsid w:val="007631F1"/>
    <w:rsid w:val="00765F47"/>
    <w:rsid w:val="0076629D"/>
    <w:rsid w:val="00775010"/>
    <w:rsid w:val="00776A1D"/>
    <w:rsid w:val="00777E23"/>
    <w:rsid w:val="00780D25"/>
    <w:rsid w:val="00792AC7"/>
    <w:rsid w:val="007939EB"/>
    <w:rsid w:val="00794703"/>
    <w:rsid w:val="0079544A"/>
    <w:rsid w:val="00795856"/>
    <w:rsid w:val="007A03D9"/>
    <w:rsid w:val="007A2DD1"/>
    <w:rsid w:val="007A3BAA"/>
    <w:rsid w:val="007A45A7"/>
    <w:rsid w:val="007A4BA5"/>
    <w:rsid w:val="007A54A3"/>
    <w:rsid w:val="007A5FA0"/>
    <w:rsid w:val="007B2B59"/>
    <w:rsid w:val="007B78E3"/>
    <w:rsid w:val="007C0842"/>
    <w:rsid w:val="007C4A31"/>
    <w:rsid w:val="007D2691"/>
    <w:rsid w:val="007D290E"/>
    <w:rsid w:val="007D2DB2"/>
    <w:rsid w:val="007D7421"/>
    <w:rsid w:val="007E690E"/>
    <w:rsid w:val="007F2013"/>
    <w:rsid w:val="007F49D0"/>
    <w:rsid w:val="00801FD3"/>
    <w:rsid w:val="00810BE1"/>
    <w:rsid w:val="0081139C"/>
    <w:rsid w:val="00812307"/>
    <w:rsid w:val="00812784"/>
    <w:rsid w:val="00813C60"/>
    <w:rsid w:val="00817A2B"/>
    <w:rsid w:val="00822650"/>
    <w:rsid w:val="00834CF6"/>
    <w:rsid w:val="008535B6"/>
    <w:rsid w:val="00862889"/>
    <w:rsid w:val="00863291"/>
    <w:rsid w:val="008639AD"/>
    <w:rsid w:val="00871458"/>
    <w:rsid w:val="00871D19"/>
    <w:rsid w:val="00873662"/>
    <w:rsid w:val="00886BD9"/>
    <w:rsid w:val="008A265E"/>
    <w:rsid w:val="008A2AFA"/>
    <w:rsid w:val="008A3370"/>
    <w:rsid w:val="008A35A8"/>
    <w:rsid w:val="008A76BE"/>
    <w:rsid w:val="008B6609"/>
    <w:rsid w:val="008B6699"/>
    <w:rsid w:val="008C46A9"/>
    <w:rsid w:val="008C6A9A"/>
    <w:rsid w:val="008D13B3"/>
    <w:rsid w:val="008D709D"/>
    <w:rsid w:val="008D752C"/>
    <w:rsid w:val="008E0B89"/>
    <w:rsid w:val="008E315A"/>
    <w:rsid w:val="008F0D91"/>
    <w:rsid w:val="008F63B5"/>
    <w:rsid w:val="008F657F"/>
    <w:rsid w:val="008F6FD1"/>
    <w:rsid w:val="00907719"/>
    <w:rsid w:val="00910BDB"/>
    <w:rsid w:val="00911323"/>
    <w:rsid w:val="009215BA"/>
    <w:rsid w:val="00922830"/>
    <w:rsid w:val="00922E41"/>
    <w:rsid w:val="009238A1"/>
    <w:rsid w:val="009242DE"/>
    <w:rsid w:val="00924874"/>
    <w:rsid w:val="00925B1B"/>
    <w:rsid w:val="009279FF"/>
    <w:rsid w:val="00932390"/>
    <w:rsid w:val="0093582C"/>
    <w:rsid w:val="00943F66"/>
    <w:rsid w:val="00952F4A"/>
    <w:rsid w:val="00962B27"/>
    <w:rsid w:val="00963A60"/>
    <w:rsid w:val="00974A88"/>
    <w:rsid w:val="00981563"/>
    <w:rsid w:val="00985823"/>
    <w:rsid w:val="009863E9"/>
    <w:rsid w:val="00990C6E"/>
    <w:rsid w:val="009939D6"/>
    <w:rsid w:val="00995353"/>
    <w:rsid w:val="009B79B4"/>
    <w:rsid w:val="009C4CD0"/>
    <w:rsid w:val="009D3D7E"/>
    <w:rsid w:val="009D41C9"/>
    <w:rsid w:val="009D6CB4"/>
    <w:rsid w:val="009E0CD6"/>
    <w:rsid w:val="009E1D43"/>
    <w:rsid w:val="009E3E95"/>
    <w:rsid w:val="009E4AF7"/>
    <w:rsid w:val="009E4DE5"/>
    <w:rsid w:val="009E504F"/>
    <w:rsid w:val="009E6BE2"/>
    <w:rsid w:val="009E6CA5"/>
    <w:rsid w:val="009F0116"/>
    <w:rsid w:val="009F3A37"/>
    <w:rsid w:val="009F77DB"/>
    <w:rsid w:val="00A0180B"/>
    <w:rsid w:val="00A102BF"/>
    <w:rsid w:val="00A143CC"/>
    <w:rsid w:val="00A20EA4"/>
    <w:rsid w:val="00A22E26"/>
    <w:rsid w:val="00A23877"/>
    <w:rsid w:val="00A30847"/>
    <w:rsid w:val="00A30895"/>
    <w:rsid w:val="00A31D12"/>
    <w:rsid w:val="00A329BA"/>
    <w:rsid w:val="00A34546"/>
    <w:rsid w:val="00A362AE"/>
    <w:rsid w:val="00A4491F"/>
    <w:rsid w:val="00A44BA1"/>
    <w:rsid w:val="00A46999"/>
    <w:rsid w:val="00A66EE0"/>
    <w:rsid w:val="00A67F89"/>
    <w:rsid w:val="00A7031C"/>
    <w:rsid w:val="00A722B7"/>
    <w:rsid w:val="00A745E5"/>
    <w:rsid w:val="00A84E1E"/>
    <w:rsid w:val="00A8596D"/>
    <w:rsid w:val="00A90C2F"/>
    <w:rsid w:val="00A95857"/>
    <w:rsid w:val="00A976BB"/>
    <w:rsid w:val="00AA4075"/>
    <w:rsid w:val="00AA5A38"/>
    <w:rsid w:val="00AA5BCE"/>
    <w:rsid w:val="00AB05E2"/>
    <w:rsid w:val="00AB072C"/>
    <w:rsid w:val="00AC6E93"/>
    <w:rsid w:val="00AD0959"/>
    <w:rsid w:val="00AD128E"/>
    <w:rsid w:val="00AD355E"/>
    <w:rsid w:val="00AD6B4F"/>
    <w:rsid w:val="00AE3EBA"/>
    <w:rsid w:val="00AE66A2"/>
    <w:rsid w:val="00AF295C"/>
    <w:rsid w:val="00AF5767"/>
    <w:rsid w:val="00B0686C"/>
    <w:rsid w:val="00B07FB5"/>
    <w:rsid w:val="00B1115B"/>
    <w:rsid w:val="00B160C0"/>
    <w:rsid w:val="00B24E25"/>
    <w:rsid w:val="00B25191"/>
    <w:rsid w:val="00B262C3"/>
    <w:rsid w:val="00B320DD"/>
    <w:rsid w:val="00B3331C"/>
    <w:rsid w:val="00B35EB5"/>
    <w:rsid w:val="00B36843"/>
    <w:rsid w:val="00B3752E"/>
    <w:rsid w:val="00B40245"/>
    <w:rsid w:val="00B422E0"/>
    <w:rsid w:val="00B42B2B"/>
    <w:rsid w:val="00B52DCF"/>
    <w:rsid w:val="00B57442"/>
    <w:rsid w:val="00B61DD4"/>
    <w:rsid w:val="00B64680"/>
    <w:rsid w:val="00B8156B"/>
    <w:rsid w:val="00B8568A"/>
    <w:rsid w:val="00B911D3"/>
    <w:rsid w:val="00B92E5A"/>
    <w:rsid w:val="00B9322E"/>
    <w:rsid w:val="00B95086"/>
    <w:rsid w:val="00BA2910"/>
    <w:rsid w:val="00BA38EA"/>
    <w:rsid w:val="00BA65DD"/>
    <w:rsid w:val="00BA7DED"/>
    <w:rsid w:val="00BB06BD"/>
    <w:rsid w:val="00BB1F3D"/>
    <w:rsid w:val="00BB2BB8"/>
    <w:rsid w:val="00BB52CA"/>
    <w:rsid w:val="00BC278C"/>
    <w:rsid w:val="00BC2C54"/>
    <w:rsid w:val="00BD6389"/>
    <w:rsid w:val="00BD74F5"/>
    <w:rsid w:val="00BE059A"/>
    <w:rsid w:val="00BE4ACE"/>
    <w:rsid w:val="00BE5224"/>
    <w:rsid w:val="00BE61C5"/>
    <w:rsid w:val="00BE634F"/>
    <w:rsid w:val="00BE776C"/>
    <w:rsid w:val="00BF044A"/>
    <w:rsid w:val="00BF16A3"/>
    <w:rsid w:val="00BF29AE"/>
    <w:rsid w:val="00BF6333"/>
    <w:rsid w:val="00C000E3"/>
    <w:rsid w:val="00C053B8"/>
    <w:rsid w:val="00C142AB"/>
    <w:rsid w:val="00C305DD"/>
    <w:rsid w:val="00C41D98"/>
    <w:rsid w:val="00C41E71"/>
    <w:rsid w:val="00C44A9C"/>
    <w:rsid w:val="00C51CC3"/>
    <w:rsid w:val="00C544E2"/>
    <w:rsid w:val="00C54649"/>
    <w:rsid w:val="00C60347"/>
    <w:rsid w:val="00C614CB"/>
    <w:rsid w:val="00C61C42"/>
    <w:rsid w:val="00C61FC5"/>
    <w:rsid w:val="00C657BD"/>
    <w:rsid w:val="00C657D9"/>
    <w:rsid w:val="00C71329"/>
    <w:rsid w:val="00C76418"/>
    <w:rsid w:val="00C768DE"/>
    <w:rsid w:val="00C8652E"/>
    <w:rsid w:val="00C92D42"/>
    <w:rsid w:val="00C93651"/>
    <w:rsid w:val="00C941F2"/>
    <w:rsid w:val="00C947D1"/>
    <w:rsid w:val="00C967AA"/>
    <w:rsid w:val="00C96B32"/>
    <w:rsid w:val="00CA7560"/>
    <w:rsid w:val="00CB731B"/>
    <w:rsid w:val="00CB78B5"/>
    <w:rsid w:val="00CC005D"/>
    <w:rsid w:val="00CC1479"/>
    <w:rsid w:val="00CC60C4"/>
    <w:rsid w:val="00CC6441"/>
    <w:rsid w:val="00CD430D"/>
    <w:rsid w:val="00CD4B7D"/>
    <w:rsid w:val="00CD539F"/>
    <w:rsid w:val="00CD5DD8"/>
    <w:rsid w:val="00CE49C9"/>
    <w:rsid w:val="00CE60F8"/>
    <w:rsid w:val="00D01F1E"/>
    <w:rsid w:val="00D16366"/>
    <w:rsid w:val="00D2176E"/>
    <w:rsid w:val="00D267FD"/>
    <w:rsid w:val="00D26C0B"/>
    <w:rsid w:val="00D422A1"/>
    <w:rsid w:val="00D42478"/>
    <w:rsid w:val="00D44C7D"/>
    <w:rsid w:val="00D4643D"/>
    <w:rsid w:val="00D52C5F"/>
    <w:rsid w:val="00D640AE"/>
    <w:rsid w:val="00D640BD"/>
    <w:rsid w:val="00D65B5F"/>
    <w:rsid w:val="00D72A4E"/>
    <w:rsid w:val="00D7534D"/>
    <w:rsid w:val="00D75E23"/>
    <w:rsid w:val="00D80BFA"/>
    <w:rsid w:val="00D81417"/>
    <w:rsid w:val="00D9026A"/>
    <w:rsid w:val="00D96EF4"/>
    <w:rsid w:val="00DA252C"/>
    <w:rsid w:val="00DA2B51"/>
    <w:rsid w:val="00DB4050"/>
    <w:rsid w:val="00DB76A5"/>
    <w:rsid w:val="00DB7D1F"/>
    <w:rsid w:val="00DC1E4F"/>
    <w:rsid w:val="00DC5C69"/>
    <w:rsid w:val="00DD228D"/>
    <w:rsid w:val="00DD2A59"/>
    <w:rsid w:val="00DD328E"/>
    <w:rsid w:val="00DD5F47"/>
    <w:rsid w:val="00DE1EFB"/>
    <w:rsid w:val="00DE1F5C"/>
    <w:rsid w:val="00DF7A01"/>
    <w:rsid w:val="00E07CC7"/>
    <w:rsid w:val="00E12975"/>
    <w:rsid w:val="00E12BA2"/>
    <w:rsid w:val="00E15B1E"/>
    <w:rsid w:val="00E1735C"/>
    <w:rsid w:val="00E226BE"/>
    <w:rsid w:val="00E231A0"/>
    <w:rsid w:val="00E30061"/>
    <w:rsid w:val="00E307C4"/>
    <w:rsid w:val="00E317EE"/>
    <w:rsid w:val="00E33E3D"/>
    <w:rsid w:val="00E35DFE"/>
    <w:rsid w:val="00E54179"/>
    <w:rsid w:val="00E55939"/>
    <w:rsid w:val="00E644EB"/>
    <w:rsid w:val="00E737D3"/>
    <w:rsid w:val="00E75B20"/>
    <w:rsid w:val="00E82252"/>
    <w:rsid w:val="00E876EC"/>
    <w:rsid w:val="00EA01F2"/>
    <w:rsid w:val="00EA56E0"/>
    <w:rsid w:val="00EA63F6"/>
    <w:rsid w:val="00EB228B"/>
    <w:rsid w:val="00EB23FA"/>
    <w:rsid w:val="00EB7D4F"/>
    <w:rsid w:val="00EC142F"/>
    <w:rsid w:val="00EC2E58"/>
    <w:rsid w:val="00EC567C"/>
    <w:rsid w:val="00EC5DF3"/>
    <w:rsid w:val="00EC737A"/>
    <w:rsid w:val="00ED1B5E"/>
    <w:rsid w:val="00ED2A15"/>
    <w:rsid w:val="00ED2D66"/>
    <w:rsid w:val="00ED5679"/>
    <w:rsid w:val="00EE0E9C"/>
    <w:rsid w:val="00EE3CF6"/>
    <w:rsid w:val="00EE4C57"/>
    <w:rsid w:val="00EE558F"/>
    <w:rsid w:val="00EF6B68"/>
    <w:rsid w:val="00F01BB1"/>
    <w:rsid w:val="00F07807"/>
    <w:rsid w:val="00F20171"/>
    <w:rsid w:val="00F23B39"/>
    <w:rsid w:val="00F253F5"/>
    <w:rsid w:val="00F319FF"/>
    <w:rsid w:val="00F33C26"/>
    <w:rsid w:val="00F33F3D"/>
    <w:rsid w:val="00F45433"/>
    <w:rsid w:val="00F46033"/>
    <w:rsid w:val="00F51241"/>
    <w:rsid w:val="00F53D15"/>
    <w:rsid w:val="00F60A06"/>
    <w:rsid w:val="00F65BA0"/>
    <w:rsid w:val="00F71727"/>
    <w:rsid w:val="00F83448"/>
    <w:rsid w:val="00F866E5"/>
    <w:rsid w:val="00F87E9E"/>
    <w:rsid w:val="00F9343F"/>
    <w:rsid w:val="00F94B1E"/>
    <w:rsid w:val="00F96A1D"/>
    <w:rsid w:val="00FA3F32"/>
    <w:rsid w:val="00FA63FC"/>
    <w:rsid w:val="00FA76F9"/>
    <w:rsid w:val="00FA7E30"/>
    <w:rsid w:val="00FB3BBB"/>
    <w:rsid w:val="00FB623D"/>
    <w:rsid w:val="00FC3186"/>
    <w:rsid w:val="00FC5658"/>
    <w:rsid w:val="00FC6409"/>
    <w:rsid w:val="00FD0D40"/>
    <w:rsid w:val="00FF29F4"/>
    <w:rsid w:val="00FF2D7A"/>
    <w:rsid w:val="00FF3F0B"/>
    <w:rsid w:val="569E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06BB5C5"/>
  <w15:docId w15:val="{406E3D26-CB1C-7440-990F-354BC050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D69B9"/>
    <w:pPr>
      <w:tabs>
        <w:tab w:val="center" w:pos="4513"/>
        <w:tab w:val="right" w:pos="9026"/>
      </w:tabs>
    </w:pPr>
  </w:style>
  <w:style w:type="character" w:customStyle="1" w:styleId="HeaderChar">
    <w:name w:val="Header Char"/>
    <w:basedOn w:val="DefaultParagraphFont"/>
    <w:link w:val="Header"/>
    <w:uiPriority w:val="99"/>
    <w:locked/>
    <w:rsid w:val="001D69B9"/>
    <w:rPr>
      <w:rFonts w:cs="Times New Roman"/>
    </w:rPr>
  </w:style>
  <w:style w:type="paragraph" w:styleId="Footer">
    <w:name w:val="footer"/>
    <w:basedOn w:val="Normal"/>
    <w:link w:val="FooterChar"/>
    <w:uiPriority w:val="99"/>
    <w:rsid w:val="001D69B9"/>
    <w:pPr>
      <w:tabs>
        <w:tab w:val="center" w:pos="4513"/>
        <w:tab w:val="right" w:pos="9026"/>
      </w:tabs>
    </w:pPr>
  </w:style>
  <w:style w:type="character" w:customStyle="1" w:styleId="FooterChar">
    <w:name w:val="Footer Char"/>
    <w:basedOn w:val="DefaultParagraphFont"/>
    <w:link w:val="Footer"/>
    <w:uiPriority w:val="99"/>
    <w:locked/>
    <w:rsid w:val="001D69B9"/>
    <w:rPr>
      <w:rFonts w:cs="Times New Roman"/>
    </w:rPr>
  </w:style>
  <w:style w:type="table" w:styleId="TableGrid">
    <w:name w:val="Table Grid"/>
    <w:basedOn w:val="TableNormal"/>
    <w:uiPriority w:val="99"/>
    <w:rsid w:val="00593F6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rsid w:val="00F01BB1"/>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2863</Words>
  <Characters>16385</Characters>
  <Application>Microsoft Office Word</Application>
  <DocSecurity>0</DocSecurity>
  <Lines>136</Lines>
  <Paragraphs>38</Paragraphs>
  <ScaleCrop>false</ScaleCrop>
  <Company/>
  <LinksUpToDate>false</LinksUpToDate>
  <CharactersWithSpaces>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key social elements that impact on a learner's ability to access education</dc:title>
  <dc:subject/>
  <dc:creator>Lisa Jones (1301544)</dc:creator>
  <cp:keywords/>
  <dc:description/>
  <cp:lastModifiedBy>Lisa Jones (1301544)</cp:lastModifiedBy>
  <cp:revision>2</cp:revision>
  <dcterms:created xsi:type="dcterms:W3CDTF">2020-04-26T20:58:00Z</dcterms:created>
  <dcterms:modified xsi:type="dcterms:W3CDTF">2020-04-26T20:58:00Z</dcterms:modified>
</cp:coreProperties>
</file>