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A6BEEF" w14:textId="59220EF2" w:rsidR="006B400E" w:rsidRPr="001006B5" w:rsidRDefault="006B400E" w:rsidP="006B400E">
      <w:pPr>
        <w:jc w:val="center"/>
        <w:rPr>
          <w:rFonts w:ascii="Bookman Old Style" w:hAnsi="Bookman Old Style"/>
          <w:sz w:val="28"/>
          <w:szCs w:val="28"/>
        </w:rPr>
      </w:pPr>
      <w:r w:rsidRPr="001006B5">
        <w:rPr>
          <w:rFonts w:ascii="Bookman Old Style" w:hAnsi="Bookman Old Style"/>
          <w:sz w:val="28"/>
          <w:szCs w:val="28"/>
        </w:rPr>
        <w:t>Changes in British Policy Towards Northern Ireland Between 1968-1979</w:t>
      </w:r>
    </w:p>
    <w:p w14:paraId="5BF17BCA" w14:textId="238AB8A8" w:rsidR="006B400E" w:rsidRPr="001006B5" w:rsidRDefault="006B400E" w:rsidP="006B400E">
      <w:pPr>
        <w:jc w:val="center"/>
        <w:rPr>
          <w:rFonts w:ascii="Bookman Old Style" w:hAnsi="Bookman Old Style"/>
          <w:sz w:val="22"/>
          <w:szCs w:val="22"/>
        </w:rPr>
      </w:pPr>
      <w:r w:rsidRPr="001006B5">
        <w:rPr>
          <w:rFonts w:ascii="Bookman Old Style" w:hAnsi="Bookman Old Style"/>
          <w:sz w:val="22"/>
          <w:szCs w:val="22"/>
        </w:rPr>
        <w:t>Ania d’Abdank Kunicki</w:t>
      </w:r>
    </w:p>
    <w:p w14:paraId="3121822F" w14:textId="13F76B71" w:rsidR="006B400E" w:rsidRPr="001006B5" w:rsidRDefault="006B400E" w:rsidP="006B400E">
      <w:pPr>
        <w:jc w:val="center"/>
        <w:rPr>
          <w:rFonts w:ascii="Bookman Old Style" w:hAnsi="Bookman Old Style"/>
          <w:sz w:val="22"/>
          <w:szCs w:val="22"/>
        </w:rPr>
      </w:pPr>
      <w:r w:rsidRPr="001006B5">
        <w:rPr>
          <w:rFonts w:ascii="Bookman Old Style" w:hAnsi="Bookman Old Style"/>
          <w:sz w:val="22"/>
          <w:szCs w:val="22"/>
        </w:rPr>
        <w:t>HPHI 5020</w:t>
      </w:r>
    </w:p>
    <w:p w14:paraId="0B465AC6" w14:textId="77777777" w:rsidR="006B400E" w:rsidRPr="001006B5" w:rsidRDefault="006B400E" w:rsidP="007051D0">
      <w:pPr>
        <w:spacing w:line="480" w:lineRule="auto"/>
        <w:jc w:val="center"/>
        <w:rPr>
          <w:rFonts w:ascii="Bookman Old Style" w:hAnsi="Bookman Old Style"/>
          <w:sz w:val="22"/>
          <w:szCs w:val="22"/>
        </w:rPr>
      </w:pPr>
    </w:p>
    <w:p w14:paraId="3440F4D8" w14:textId="6123FE4F" w:rsidR="006B400E" w:rsidRPr="001006B5" w:rsidRDefault="006B400E" w:rsidP="00D110B4">
      <w:pPr>
        <w:spacing w:line="480" w:lineRule="auto"/>
        <w:rPr>
          <w:rFonts w:ascii="Bookman Old Style" w:hAnsi="Bookman Old Style"/>
          <w:sz w:val="22"/>
          <w:szCs w:val="22"/>
        </w:rPr>
      </w:pPr>
      <w:r w:rsidRPr="001006B5">
        <w:rPr>
          <w:rFonts w:ascii="Bookman Old Style" w:hAnsi="Bookman Old Style"/>
          <w:sz w:val="22"/>
          <w:szCs w:val="22"/>
        </w:rPr>
        <w:tab/>
      </w:r>
      <w:r w:rsidR="007C6833" w:rsidRPr="001006B5">
        <w:rPr>
          <w:rFonts w:ascii="Bookman Old Style" w:hAnsi="Bookman Old Style"/>
          <w:sz w:val="22"/>
          <w:szCs w:val="22"/>
        </w:rPr>
        <w:t xml:space="preserve">This period of history in Northern Ireland was fraught with tension and violence between the Catholic and Protestant communities. The violence being perpetuated on both sides and the ever changing policies made it a time of major political instability. This time was marked by profound social, political, and security challenges for both Northern Ireland and the British Government. The major changes and responses to the violence and civil unrest in area forever changed Northern Ireland. From the civil rights movement, </w:t>
      </w:r>
      <w:r w:rsidR="00D65C2C" w:rsidRPr="001006B5">
        <w:rPr>
          <w:rFonts w:ascii="Bookman Old Style" w:hAnsi="Bookman Old Style"/>
          <w:sz w:val="22"/>
          <w:szCs w:val="22"/>
        </w:rPr>
        <w:t>through</w:t>
      </w:r>
      <w:r w:rsidR="007C6833" w:rsidRPr="001006B5">
        <w:rPr>
          <w:rFonts w:ascii="Bookman Old Style" w:hAnsi="Bookman Old Style"/>
          <w:sz w:val="22"/>
          <w:szCs w:val="22"/>
        </w:rPr>
        <w:t xml:space="preserve"> the beginnings of the Troubles and culminating in the election of </w:t>
      </w:r>
      <w:r w:rsidR="00D65C2C" w:rsidRPr="001006B5">
        <w:rPr>
          <w:rFonts w:ascii="Bookman Old Style" w:hAnsi="Bookman Old Style"/>
          <w:sz w:val="22"/>
          <w:szCs w:val="22"/>
        </w:rPr>
        <w:t>Margaret</w:t>
      </w:r>
      <w:r w:rsidR="007C6833" w:rsidRPr="001006B5">
        <w:rPr>
          <w:rFonts w:ascii="Bookman Old Style" w:hAnsi="Bookman Old Style"/>
          <w:sz w:val="22"/>
          <w:szCs w:val="22"/>
        </w:rPr>
        <w:t xml:space="preserve"> Thatcher left a </w:t>
      </w:r>
      <w:r w:rsidR="00D65C2C" w:rsidRPr="001006B5">
        <w:rPr>
          <w:rFonts w:ascii="Bookman Old Style" w:hAnsi="Bookman Old Style"/>
          <w:sz w:val="22"/>
          <w:szCs w:val="22"/>
        </w:rPr>
        <w:t>permanent</w:t>
      </w:r>
      <w:r w:rsidR="007C6833" w:rsidRPr="001006B5">
        <w:rPr>
          <w:rFonts w:ascii="Bookman Old Style" w:hAnsi="Bookman Old Style"/>
          <w:sz w:val="22"/>
          <w:szCs w:val="22"/>
        </w:rPr>
        <w:t xml:space="preserve"> mark on the relationship between Northern Ireland, its people, and Westminster. </w:t>
      </w:r>
      <w:r w:rsidR="00765897" w:rsidRPr="001006B5">
        <w:rPr>
          <w:rFonts w:ascii="Bookman Old Style" w:hAnsi="Bookman Old Style"/>
          <w:sz w:val="22"/>
          <w:szCs w:val="22"/>
        </w:rPr>
        <w:t xml:space="preserve">Going from the start of the troubles to eventually ending this period with the election of Margaret Thatcher shows the changes in policy and the changes in attitude towards the government and the United Kingdom as a whole, as well as where Northern Ireland stood in the midst of it. There </w:t>
      </w:r>
      <w:r w:rsidR="00B45E97" w:rsidRPr="001006B5">
        <w:rPr>
          <w:rFonts w:ascii="Bookman Old Style" w:hAnsi="Bookman Old Style"/>
          <w:sz w:val="22"/>
          <w:szCs w:val="22"/>
        </w:rPr>
        <w:t>were</w:t>
      </w:r>
      <w:r w:rsidR="00765897" w:rsidRPr="001006B5">
        <w:rPr>
          <w:rFonts w:ascii="Bookman Old Style" w:hAnsi="Bookman Old Style"/>
          <w:sz w:val="22"/>
          <w:szCs w:val="22"/>
        </w:rPr>
        <w:t xml:space="preserve"> the policies themselves, and then the affects that it had on the people of Northern Ireland and their own attitudes towards the government. How the divisions between the </w:t>
      </w:r>
      <w:r w:rsidR="00043839" w:rsidRPr="001006B5">
        <w:rPr>
          <w:rFonts w:ascii="Bookman Old Style" w:hAnsi="Bookman Old Style"/>
          <w:sz w:val="22"/>
          <w:szCs w:val="22"/>
        </w:rPr>
        <w:t>Catholic</w:t>
      </w:r>
      <w:r w:rsidR="00765897" w:rsidRPr="001006B5">
        <w:rPr>
          <w:rFonts w:ascii="Bookman Old Style" w:hAnsi="Bookman Old Style"/>
          <w:sz w:val="22"/>
          <w:szCs w:val="22"/>
        </w:rPr>
        <w:t xml:space="preserve"> and Protestant communities deepened over time due to the escalating violence and aggression coming from both sides, these increasingly aggressive attitudes would not improve as quickly as was hoped by the British government </w:t>
      </w:r>
      <w:r w:rsidR="00043839" w:rsidRPr="001006B5">
        <w:rPr>
          <w:rFonts w:ascii="Bookman Old Style" w:hAnsi="Bookman Old Style"/>
          <w:sz w:val="22"/>
          <w:szCs w:val="22"/>
        </w:rPr>
        <w:t>as they believed their involvement in the conflict would be brief. They would soon be proven wrong.</w:t>
      </w:r>
    </w:p>
    <w:p w14:paraId="2A366908" w14:textId="3CED2319" w:rsidR="004073C7" w:rsidRPr="001006B5" w:rsidRDefault="000B1DF1" w:rsidP="00D110B4">
      <w:pPr>
        <w:spacing w:line="480" w:lineRule="auto"/>
        <w:rPr>
          <w:rFonts w:ascii="Bookman Old Style" w:hAnsi="Bookman Old Style"/>
          <w:sz w:val="22"/>
          <w:szCs w:val="22"/>
        </w:rPr>
      </w:pPr>
      <w:r w:rsidRPr="001006B5">
        <w:rPr>
          <w:rFonts w:ascii="Bookman Old Style" w:hAnsi="Bookman Old Style"/>
          <w:sz w:val="22"/>
          <w:szCs w:val="22"/>
        </w:rPr>
        <w:lastRenderedPageBreak/>
        <w:tab/>
      </w:r>
      <w:bookmarkStart w:id="0" w:name="_Hlk179527023"/>
      <w:r w:rsidR="004073C7" w:rsidRPr="001006B5">
        <w:rPr>
          <w:rFonts w:ascii="Bookman Old Style" w:hAnsi="Bookman Old Style"/>
          <w:sz w:val="22"/>
          <w:szCs w:val="22"/>
        </w:rPr>
        <w:t>Before looking at the events from this time period first we must discuss the events leading up to it and how they affected this period of time. In 1921 the Partition Act officially split Ireland into the Republic of Ireland which was now its own separate country from the United Kingdom and the six northeastern counties became Northern Ireland and remained a part of the United Kingdom. At first there was a Government of Northern Ireland (Stormont) that held majority power with Westminster only having control over foreign affairs, taxation, defense, and certain United Kingdom services such as the Post Office. During this time Northern Ireland was experiencing an uneasy stalemate of political stability. Rising tensions between the Catholic and Protestants communities as well as growing frustrations within the Catholic community towards the government and their lack of access to public services, housing, employment, and their inability to serve in their own government led them to start having their own protests and that further led to the Civil Rights movement in Northern Ireland. Being inspired by the Civil Rights movement in the United States of America there were organised peaceful protests that were eventually attacked by Unionists which led to rioting, most notably the Londonderry riots and the “Battle of the Bogside”.</w:t>
      </w:r>
      <w:r w:rsidR="00820981">
        <w:rPr>
          <w:rStyle w:val="FootnoteReference"/>
          <w:rFonts w:ascii="Bookman Old Style" w:hAnsi="Bookman Old Style"/>
          <w:sz w:val="22"/>
          <w:szCs w:val="22"/>
        </w:rPr>
        <w:footnoteReference w:id="1"/>
      </w:r>
      <w:r w:rsidR="004073C7" w:rsidRPr="001006B5">
        <w:rPr>
          <w:rFonts w:ascii="Bookman Old Style" w:hAnsi="Bookman Old Style"/>
          <w:sz w:val="22"/>
          <w:szCs w:val="22"/>
        </w:rPr>
        <w:t xml:space="preserve"> The violent reaction of the Royal Ulster Constabulary and also the violence being televised on a global scale led to the involvement of the British Government and sending British troops to help minimize the violence being perpetuated by both sides. This was a major change from their original hands-off approach where they believed it was an internal conflict that Stormont was responsible for dealing with. It is also possible that due to the fact that the violence was being televised on a global scale and other political conflicts happening around the world at the time that Britain did not want to </w:t>
      </w:r>
      <w:r w:rsidR="004073C7" w:rsidRPr="001006B5">
        <w:rPr>
          <w:rFonts w:ascii="Bookman Old Style" w:hAnsi="Bookman Old Style"/>
          <w:sz w:val="22"/>
          <w:szCs w:val="22"/>
        </w:rPr>
        <w:lastRenderedPageBreak/>
        <w:t xml:space="preserve">seem like they were having conflict in their own country, so they used sending British troops as a way to show they were handling it. Perhaps if it was kept quiet their response would not have been as aggressive. Rising violence and tensions also led to the resurgence of the IRA but more particularly the formation of the Provisional IRA who took on a much more militarized approach than the Official IRA. All of these factors: rising tensions, presence of British troops, and the resurgence of the IRA of course would lead to an escalation in violence and what we would come to know as “The Troubles”. </w:t>
      </w:r>
    </w:p>
    <w:p w14:paraId="17AD66A3" w14:textId="77777777" w:rsidR="00E109B2" w:rsidRPr="001006B5" w:rsidRDefault="00E109B2" w:rsidP="00D110B4">
      <w:pPr>
        <w:spacing w:line="480" w:lineRule="auto"/>
        <w:ind w:firstLine="720"/>
        <w:rPr>
          <w:rFonts w:ascii="Bookman Old Style" w:hAnsi="Bookman Old Style"/>
          <w:sz w:val="22"/>
          <w:szCs w:val="22"/>
        </w:rPr>
      </w:pPr>
      <w:r w:rsidRPr="001006B5">
        <w:rPr>
          <w:rFonts w:ascii="Bookman Old Style" w:hAnsi="Bookman Old Style"/>
          <w:sz w:val="22"/>
          <w:szCs w:val="22"/>
        </w:rPr>
        <w:t xml:space="preserve">With the escalating violence and the introduction of British troops in Northern Ireland it was becoming increasingly obvious that the situation was spiraling out of control. In 1971 Internment without trial was introduced where suspected IRA members were arrested and imprisoned without a chance of fair trial. Overall, this increased the tensions between the Catholic community and the Protestants as well as increasing the dislike and hatred of the government. Then in 1972 with the Bloody Sunday attacks where 14 unarmed civil rights protesters were shot and killed in Derry by British paratroopers it was further adding fuel to the fire for the PIRA to increase their own violent attacks. Originally the Catholic community in Northern Ireland believed that the British troops would come and put an end to the violence that they were facing from the Protestant community as a whole as well as the Royal Ulster Constabulary, but as time went on and the violence escalated, and it became clear that the British troops were not on their side the Catholic community had more reason and cause to support the IRA. With Stormont especially proving unable to handle the growing issues, Westminster decoded to impose Direct Rule and suspend the Government of Northern Ireland. A Northern Ireland Secretary of State was appointed to manage the day-to-day affairs and  Northern Ireland no longer had its own </w:t>
      </w:r>
      <w:r w:rsidRPr="001006B5">
        <w:rPr>
          <w:rFonts w:ascii="Bookman Old Style" w:hAnsi="Bookman Old Style"/>
          <w:sz w:val="22"/>
          <w:szCs w:val="22"/>
        </w:rPr>
        <w:lastRenderedPageBreak/>
        <w:t>assembly. This was another major change considering Westminster’s initial desire for a hands-off approach when regarding Northern Ireland seeing as while Northern Ireland was still a part of the United Kingdom, they were still a separate country and entity under the union. These constant changes in policy, especially the major shift from Stormont to Direct Rule meant that the people of Northern Ireland were now thrown into another period of instability and uncertainty and violence. The sectarian divisions grew wider, and resentment grew deeper as the violence and continued and the search for a solution felt like it was going nowhere. Resentment and hatred are what fueled this movement to keep going as these ordinary people were starting to get involved and had to take a side although most had no choice, your denomination determined the side you were on whether you believed yourself to be a Unionist or a Loyalist. These divisions between communities had lasted for decades and as long as the violence continued it seemed as though they would remain that way.</w:t>
      </w:r>
    </w:p>
    <w:bookmarkEnd w:id="0"/>
    <w:p w14:paraId="6EFFD97D" w14:textId="4E3A8732" w:rsidR="00E55116" w:rsidRPr="001006B5" w:rsidRDefault="005A04C0" w:rsidP="00D110B4">
      <w:pPr>
        <w:spacing w:line="480" w:lineRule="auto"/>
        <w:ind w:firstLine="720"/>
        <w:rPr>
          <w:rFonts w:ascii="Bookman Old Style" w:hAnsi="Bookman Old Style"/>
          <w:sz w:val="22"/>
          <w:szCs w:val="22"/>
        </w:rPr>
      </w:pPr>
      <w:r w:rsidRPr="001006B5">
        <w:rPr>
          <w:rFonts w:ascii="Bookman Old Style" w:hAnsi="Bookman Old Style"/>
          <w:sz w:val="22"/>
          <w:szCs w:val="22"/>
        </w:rPr>
        <w:t>In December 1973 a talk was had in Sunningdale, England where an agreement was reached on a solution to the violence in Northern Ireland. The solution was a power-sharing executive assembly in Northern Ireland. The Sunningdale agreement was proposed after multiple discussion papers and proposals to end the violence in Northern Ireland.</w:t>
      </w:r>
      <w:r w:rsidR="007055DF">
        <w:rPr>
          <w:rStyle w:val="FootnoteReference"/>
          <w:rFonts w:ascii="Bookman Old Style" w:hAnsi="Bookman Old Style"/>
          <w:sz w:val="22"/>
          <w:szCs w:val="22"/>
        </w:rPr>
        <w:footnoteReference w:id="2"/>
      </w:r>
      <w:r w:rsidRPr="001006B5">
        <w:rPr>
          <w:rFonts w:ascii="Bookman Old Style" w:hAnsi="Bookman Old Style"/>
          <w:sz w:val="22"/>
          <w:szCs w:val="22"/>
        </w:rPr>
        <w:t xml:space="preserve"> The power sharing assembly was meant to contain both Unionists and Nationalists in order to give Catholics an equal opportunity of serving in government. It was also eventually meant to have the same powers the previous Stormont government and Westminster would return to their hands-off approach that they had before the start of the Troubles. The meeting for the Sunningdale was the </w:t>
      </w:r>
      <w:r w:rsidRPr="001006B5">
        <w:rPr>
          <w:rFonts w:ascii="Bookman Old Style" w:hAnsi="Bookman Old Style"/>
          <w:sz w:val="22"/>
          <w:szCs w:val="22"/>
        </w:rPr>
        <w:lastRenderedPageBreak/>
        <w:t>first time the British Prime Minister, the Irish Prime Minister, and a delegate for Northern Ireland were in the same place since 1920. The general reaction from the Unionist parties, specifically the United Ulster Unionist Council (UUUC), was not in agreement with the change in power and it showed when multiple MPs, including Brian Faulkner, resigned. This would culminate in the Ulster Workers Union Strike which caused the end of the power-sharing executive, and Westminster ended up resuming Direct Rule over Northern Ireland</w:t>
      </w:r>
      <w:r w:rsidR="007055DF">
        <w:rPr>
          <w:rStyle w:val="FootnoteReference"/>
          <w:rFonts w:ascii="Bookman Old Style" w:hAnsi="Bookman Old Style"/>
          <w:sz w:val="22"/>
          <w:szCs w:val="22"/>
        </w:rPr>
        <w:footnoteReference w:id="3"/>
      </w:r>
      <w:r w:rsidRPr="001006B5">
        <w:rPr>
          <w:rFonts w:ascii="Bookman Old Style" w:hAnsi="Bookman Old Style"/>
          <w:sz w:val="22"/>
          <w:szCs w:val="22"/>
        </w:rPr>
        <w:t xml:space="preserve"> and it would remain that way until the Good Friday agreement in 1998. The reaction from Nationalist parties in Northern Ireland was largely positive. The power-sharing executive ended up only lasting from January-May 1974 when the UUUC declared their strike over and the next day the Northern Ireland Assembly was dissolved and Westminster resumed Direct Rule.  This was another change in government that was meant to be a solution but ended up rising tensions in the region. The lack of resolution and the pushback from unionists increased the sectarian divisions between the Catholics and Protestants. The lack of a solution to the violence would have most likely frustrated the general population since they would now continue to be stuck in the same cycle of violence that they had been in for the past few years. The failure of the Sunningdale agreement was one if the central things used in the writing of the Good Friday agreement. Another major shift in policy from the British Government which would inevitably rise tensions when the desire to fight was still fresh in quite a few people from both sides.</w:t>
      </w:r>
    </w:p>
    <w:p w14:paraId="1E21C03A" w14:textId="79413078" w:rsidR="00E860DB" w:rsidRDefault="000266EA" w:rsidP="00D110B4">
      <w:pPr>
        <w:spacing w:line="480" w:lineRule="auto"/>
        <w:ind w:firstLine="720"/>
        <w:rPr>
          <w:rFonts w:ascii="Bookman Old Style" w:hAnsi="Bookman Old Style"/>
          <w:sz w:val="22"/>
          <w:szCs w:val="22"/>
        </w:rPr>
      </w:pPr>
      <w:r w:rsidRPr="001006B5">
        <w:rPr>
          <w:rFonts w:ascii="Bookman Old Style" w:hAnsi="Bookman Old Style"/>
          <w:sz w:val="22"/>
          <w:szCs w:val="22"/>
        </w:rPr>
        <w:t xml:space="preserve">In the period of 1974-1979 the escalation in violence was noticeable with attacks now happening more often and expanding beyond Northern Ireland. With the bombing on the M62 in Yorkshire, car bombings in both Dublin city centre and </w:t>
      </w:r>
      <w:r w:rsidRPr="001006B5">
        <w:rPr>
          <w:rFonts w:ascii="Bookman Old Style" w:hAnsi="Bookman Old Style"/>
          <w:sz w:val="22"/>
          <w:szCs w:val="22"/>
        </w:rPr>
        <w:lastRenderedPageBreak/>
        <w:t>Monaghan, and then further bombings in public houses in Birmingham</w:t>
      </w:r>
      <w:r w:rsidRPr="001006B5">
        <w:rPr>
          <w:rStyle w:val="FootnoteReference"/>
          <w:rFonts w:ascii="Bookman Old Style" w:hAnsi="Bookman Old Style"/>
          <w:sz w:val="22"/>
          <w:szCs w:val="22"/>
        </w:rPr>
        <w:footnoteReference w:id="4"/>
      </w:r>
      <w:r w:rsidRPr="001006B5">
        <w:rPr>
          <w:rFonts w:ascii="Bookman Old Style" w:hAnsi="Bookman Old Style"/>
          <w:sz w:val="22"/>
          <w:szCs w:val="22"/>
        </w:rPr>
        <w:t xml:space="preserve"> all happening within the same year showed the increased aggression and their growing confidence with bombings now taking place in England and the Republic of Ireland. With Direct Rule now being back in place after the failed power sharing executive, Westminster now had full control over Northern Ireland once again. Compared to the first period of Direct Rule which was described as “passive” this time, especially after 1976, the focus was more on harmonising policy in Northern Ireland with policy in Great Britain. Examples being the decriminalisation of homosexuality as well as policy on abortion.</w:t>
      </w:r>
      <w:r w:rsidRPr="001006B5">
        <w:rPr>
          <w:rStyle w:val="FootnoteReference"/>
          <w:rFonts w:ascii="Bookman Old Style" w:hAnsi="Bookman Old Style"/>
          <w:sz w:val="22"/>
          <w:szCs w:val="22"/>
        </w:rPr>
        <w:footnoteReference w:id="5"/>
      </w:r>
      <w:r w:rsidRPr="001006B5">
        <w:rPr>
          <w:rFonts w:ascii="Bookman Old Style" w:hAnsi="Bookman Old Style"/>
          <w:sz w:val="22"/>
          <w:szCs w:val="22"/>
        </w:rPr>
        <w:t xml:space="preserve">  It was also said that in order for Direct Rule to be seen as more acceptable by the people it needed to be seen as “positive” and a form of good government.</w:t>
      </w:r>
      <w:r w:rsidRPr="001006B5">
        <w:rPr>
          <w:rStyle w:val="FootnoteReference"/>
          <w:rFonts w:ascii="Bookman Old Style" w:hAnsi="Bookman Old Style"/>
          <w:sz w:val="22"/>
          <w:szCs w:val="22"/>
        </w:rPr>
        <w:footnoteReference w:id="6"/>
      </w:r>
      <w:r w:rsidRPr="001006B5">
        <w:rPr>
          <w:rFonts w:ascii="Bookman Old Style" w:hAnsi="Bookman Old Style"/>
          <w:sz w:val="22"/>
          <w:szCs w:val="22"/>
        </w:rPr>
        <w:t xml:space="preserve"> In this period there obviously no other successful attempts at a solution for the conflict such as the Sunningdale agreement, however there were attempts and proposals such as with the constitutional convention in 1975 where British Prime Minister Harold Wilson announced at Stormont that there would be a convention held to discuss the future of Northern Ireland and a future agreement between Northern Ireland and Britain.</w:t>
      </w:r>
      <w:r w:rsidRPr="001006B5">
        <w:rPr>
          <w:rStyle w:val="FootnoteReference"/>
          <w:rFonts w:ascii="Bookman Old Style" w:hAnsi="Bookman Old Style"/>
          <w:sz w:val="22"/>
          <w:szCs w:val="22"/>
        </w:rPr>
        <w:footnoteReference w:id="7"/>
      </w:r>
      <w:r w:rsidRPr="001006B5">
        <w:rPr>
          <w:rFonts w:ascii="Bookman Old Style" w:hAnsi="Bookman Old Style"/>
          <w:sz w:val="22"/>
          <w:szCs w:val="22"/>
        </w:rPr>
        <w:t xml:space="preserve"> There were many talks held between both nationalist and unionist parties and it seemed to be the closest they had been to a return of the Stormont government since the Sunningdale agreement, however the last meeting of the convention which was held on 3rd of March, 1976 ended in uproar after a call for the return of the Stormont government. Six days later, on the 9th of March, 1976, Merlyn Rees then Secretary of State to Northern Ireland announced the dissolution of the Constitutional </w:t>
      </w:r>
      <w:r w:rsidRPr="001006B5">
        <w:rPr>
          <w:rFonts w:ascii="Bookman Old Style" w:hAnsi="Bookman Old Style"/>
          <w:sz w:val="22"/>
          <w:szCs w:val="22"/>
        </w:rPr>
        <w:lastRenderedPageBreak/>
        <w:t>Convention.</w:t>
      </w:r>
      <w:r w:rsidRPr="001006B5">
        <w:rPr>
          <w:rStyle w:val="FootnoteReference"/>
          <w:rFonts w:ascii="Bookman Old Style" w:hAnsi="Bookman Old Style"/>
          <w:sz w:val="22"/>
          <w:szCs w:val="22"/>
        </w:rPr>
        <w:footnoteReference w:id="8"/>
      </w:r>
      <w:r w:rsidRPr="001006B5">
        <w:rPr>
          <w:rFonts w:ascii="Bookman Old Style" w:hAnsi="Bookman Old Style"/>
          <w:sz w:val="22"/>
          <w:szCs w:val="22"/>
        </w:rPr>
        <w:t xml:space="preserve">  There were also further attacks in County Armagh and County Down</w:t>
      </w:r>
      <w:r w:rsidRPr="001006B5">
        <w:rPr>
          <w:rStyle w:val="FootnoteReference"/>
          <w:rFonts w:ascii="Bookman Old Style" w:hAnsi="Bookman Old Style"/>
          <w:sz w:val="22"/>
          <w:szCs w:val="22"/>
        </w:rPr>
        <w:footnoteReference w:id="9"/>
      </w:r>
      <w:r w:rsidRPr="001006B5">
        <w:rPr>
          <w:rFonts w:ascii="Bookman Old Style" w:hAnsi="Bookman Old Style"/>
          <w:sz w:val="22"/>
          <w:szCs w:val="22"/>
        </w:rPr>
        <w:t xml:space="preserve"> which showed the needed focus on security policies and how to best help the people of Northern Ireland during this conflict. It was apparent that the focus of the British Government was security and not necessarily stopping the violence but instead how they reacted to the violence.</w:t>
      </w:r>
      <w:r w:rsidR="001006B5">
        <w:rPr>
          <w:rFonts w:ascii="Bookman Old Style" w:hAnsi="Bookman Old Style"/>
          <w:sz w:val="22"/>
          <w:szCs w:val="22"/>
        </w:rPr>
        <w:t xml:space="preserve"> </w:t>
      </w:r>
    </w:p>
    <w:p w14:paraId="1EEA3FA0" w14:textId="2F2B6F02" w:rsidR="00455B4B" w:rsidRDefault="00455B4B" w:rsidP="00D110B4">
      <w:pPr>
        <w:spacing w:line="480" w:lineRule="auto"/>
        <w:ind w:firstLine="720"/>
        <w:rPr>
          <w:rFonts w:ascii="Bookman Old Style" w:hAnsi="Bookman Old Style"/>
          <w:sz w:val="22"/>
          <w:szCs w:val="22"/>
        </w:rPr>
      </w:pPr>
      <w:r w:rsidRPr="00455B4B">
        <w:rPr>
          <w:rFonts w:ascii="Bookman Old Style" w:hAnsi="Bookman Old Style"/>
          <w:sz w:val="22"/>
          <w:szCs w:val="22"/>
        </w:rPr>
        <w:t>The time of 1978-1979 was filled with shifts and changes as well more conflict and violence with multiple attacks on both Catholic and Protestant civilians, as well as attacks on British Soldiers, the Royal Ulster Constabulary, and members of the IRA.</w:t>
      </w:r>
      <w:r>
        <w:rPr>
          <w:rStyle w:val="FootnoteReference"/>
          <w:rFonts w:ascii="Bookman Old Style" w:hAnsi="Bookman Old Style"/>
          <w:sz w:val="22"/>
          <w:szCs w:val="22"/>
        </w:rPr>
        <w:footnoteReference w:id="10"/>
      </w:r>
      <w:r w:rsidRPr="00455B4B">
        <w:rPr>
          <w:rFonts w:ascii="Bookman Old Style" w:hAnsi="Bookman Old Style"/>
          <w:sz w:val="22"/>
          <w:szCs w:val="22"/>
        </w:rPr>
        <w:t xml:space="preserve">  Britain had also been forced to answer for the mistreatment of internees during internment by the European Court of Human Rights.</w:t>
      </w:r>
      <w:r>
        <w:rPr>
          <w:rStyle w:val="FootnoteReference"/>
          <w:rFonts w:ascii="Bookman Old Style" w:hAnsi="Bookman Old Style"/>
          <w:sz w:val="22"/>
          <w:szCs w:val="22"/>
        </w:rPr>
        <w:footnoteReference w:id="11"/>
      </w:r>
      <w:r w:rsidRPr="00455B4B">
        <w:rPr>
          <w:rFonts w:ascii="Bookman Old Style" w:hAnsi="Bookman Old Style"/>
          <w:sz w:val="22"/>
          <w:szCs w:val="22"/>
        </w:rPr>
        <w:t xml:space="preserve">  This could show on at least a continental level, if not a global level, that maybe the British government was not handling this conflict in the way that they should and perhaps they were doing what they found to be the easiest and quickest way to get rid of the problem. This would not be the first time there were reports of mistreatment of IRA prisoners. In June 1978 Amnesty International published a report alleging the mistreatment of prisoners held at Castlereagh at the hands of the Royal Ulster Constabulary.</w:t>
      </w:r>
      <w:r w:rsidR="00CF005B">
        <w:rPr>
          <w:rStyle w:val="FootnoteReference"/>
          <w:rFonts w:ascii="Bookman Old Style" w:hAnsi="Bookman Old Style"/>
          <w:sz w:val="22"/>
          <w:szCs w:val="22"/>
        </w:rPr>
        <w:footnoteReference w:id="12"/>
      </w:r>
      <w:r w:rsidRPr="00455B4B">
        <w:rPr>
          <w:rFonts w:ascii="Bookman Old Style" w:hAnsi="Bookman Old Style"/>
          <w:sz w:val="22"/>
          <w:szCs w:val="22"/>
        </w:rPr>
        <w:t xml:space="preserve">  Then in February 1978 twelve more people were killed in a bombing in La Mon, Gransha which was near Belfast another act of violence continuing resentment and fueling the fire of the conflict. There was another small shift when David cook, a member of the Alliance Party, became the first non-unionist to be Lord Mayor of Belfast.</w:t>
      </w:r>
      <w:r w:rsidR="00CF005B">
        <w:rPr>
          <w:rStyle w:val="FootnoteReference"/>
          <w:rFonts w:ascii="Bookman Old Style" w:hAnsi="Bookman Old Style"/>
          <w:sz w:val="22"/>
          <w:szCs w:val="22"/>
        </w:rPr>
        <w:footnoteReference w:id="13"/>
      </w:r>
      <w:r w:rsidRPr="00455B4B">
        <w:rPr>
          <w:rFonts w:ascii="Bookman Old Style" w:hAnsi="Bookman Old Style"/>
          <w:sz w:val="22"/>
          <w:szCs w:val="22"/>
        </w:rPr>
        <w:t xml:space="preserve">  That probably </w:t>
      </w:r>
      <w:r w:rsidRPr="00455B4B">
        <w:rPr>
          <w:rFonts w:ascii="Bookman Old Style" w:hAnsi="Bookman Old Style"/>
          <w:sz w:val="22"/>
          <w:szCs w:val="22"/>
        </w:rPr>
        <w:lastRenderedPageBreak/>
        <w:t>changes the view of the public when they were finally seeing someone who wasn’t a unionist in a position of power and government and would probably give more hope that perhaps narratives around non-unionists were changing. Another major change was the election of Margaret Thatcher after winning against the previous Labour government. Not long before her election her political ally, Airy Neave, was killed by a car bomb as he was leaving the Palace of Westminster.</w:t>
      </w:r>
      <w:r w:rsidR="00CF005B">
        <w:rPr>
          <w:rStyle w:val="FootnoteReference"/>
          <w:rFonts w:ascii="Bookman Old Style" w:hAnsi="Bookman Old Style"/>
          <w:sz w:val="22"/>
          <w:szCs w:val="22"/>
        </w:rPr>
        <w:footnoteReference w:id="14"/>
      </w:r>
      <w:r w:rsidRPr="00455B4B">
        <w:rPr>
          <w:rFonts w:ascii="Bookman Old Style" w:hAnsi="Bookman Old Style"/>
          <w:sz w:val="22"/>
          <w:szCs w:val="22"/>
        </w:rPr>
        <w:t xml:space="preserve">  Thatcher viewed herself as a unionist, causing Republicans and the IRA to view her as an enemy right from the start of her time in office. However, for unionists that was exactly the kind of person they’d want in power and ruling over the United Kingdom. They wanted someone who believed Northern Ireland to be part of Britain and was unwavering in their resolve to keep it that way.</w:t>
      </w:r>
    </w:p>
    <w:p w14:paraId="3F010B47" w14:textId="0F7E573D" w:rsidR="00300FD9" w:rsidRDefault="00300FD9" w:rsidP="00D110B4">
      <w:pPr>
        <w:spacing w:line="480" w:lineRule="auto"/>
        <w:ind w:firstLine="720"/>
        <w:rPr>
          <w:rFonts w:ascii="Bookman Old Style" w:hAnsi="Bookman Old Style"/>
          <w:sz w:val="22"/>
          <w:szCs w:val="22"/>
        </w:rPr>
      </w:pPr>
      <w:proofErr w:type="gramStart"/>
      <w:r>
        <w:rPr>
          <w:rFonts w:ascii="Bookman Old Style" w:hAnsi="Bookman Old Style"/>
          <w:sz w:val="22"/>
          <w:szCs w:val="22"/>
        </w:rPr>
        <w:t>Overall</w:t>
      </w:r>
      <w:proofErr w:type="gramEnd"/>
      <w:r>
        <w:rPr>
          <w:rFonts w:ascii="Bookman Old Style" w:hAnsi="Bookman Old Style"/>
          <w:sz w:val="22"/>
          <w:szCs w:val="22"/>
        </w:rPr>
        <w:t xml:space="preserve"> the first ten years of the Troubles conflict was rife with violence, conflict, resentment. It was a time if major political instability </w:t>
      </w:r>
      <w:r w:rsidR="00835FD2">
        <w:rPr>
          <w:rFonts w:ascii="Bookman Old Style" w:hAnsi="Bookman Old Style"/>
          <w:sz w:val="22"/>
          <w:szCs w:val="22"/>
        </w:rPr>
        <w:t>o</w:t>
      </w:r>
      <w:r>
        <w:rPr>
          <w:rFonts w:ascii="Bookman Old Style" w:hAnsi="Bookman Old Style"/>
          <w:sz w:val="22"/>
          <w:szCs w:val="22"/>
        </w:rPr>
        <w:t xml:space="preserve">ver a fight for equal treatment from the Catholic community of Northern Ireland. There were attempts at a solution such as the Sunningdale Agreement that while they made an attempt, tensions were too </w:t>
      </w:r>
      <w:proofErr w:type="gramStart"/>
      <w:r>
        <w:rPr>
          <w:rFonts w:ascii="Bookman Old Style" w:hAnsi="Bookman Old Style"/>
          <w:sz w:val="22"/>
          <w:szCs w:val="22"/>
        </w:rPr>
        <w:t>high</w:t>
      </w:r>
      <w:proofErr w:type="gramEnd"/>
      <w:r>
        <w:rPr>
          <w:rFonts w:ascii="Bookman Old Style" w:hAnsi="Bookman Old Style"/>
          <w:sz w:val="22"/>
          <w:szCs w:val="22"/>
        </w:rPr>
        <w:t xml:space="preserve"> and the animosity perhaps ran too deep for a true attempt at peace to be made. You can also see how in the election of Margaret Thatcher divisions and tensions kept growing between Unionists and Nationalists. It could also show an example of the sentiments of the British population. While their definitely were other reasons why people may have voted for Thatcher however the conflict in Northern Ireland would likely have been a factor</w:t>
      </w:r>
      <w:r w:rsidR="00EA7B68">
        <w:rPr>
          <w:rFonts w:ascii="Bookman Old Style" w:hAnsi="Bookman Old Style"/>
          <w:sz w:val="22"/>
          <w:szCs w:val="22"/>
        </w:rPr>
        <w:t xml:space="preserve"> especially with acts of violence being committed even in England. Everything that happened throughout this conflict, both big and small, would contribute to growing resentment and negative sentiment both towards </w:t>
      </w:r>
      <w:r w:rsidR="00EA7B68">
        <w:rPr>
          <w:rFonts w:ascii="Bookman Old Style" w:hAnsi="Bookman Old Style"/>
          <w:sz w:val="22"/>
          <w:szCs w:val="22"/>
        </w:rPr>
        <w:lastRenderedPageBreak/>
        <w:t>the British government as well as the concept of a united Ireland. These first ten years were crucial to setting up how the conflict would play out throughout the whole 30 years until the Good Friday agreement and even beyond.</w:t>
      </w:r>
    </w:p>
    <w:p w14:paraId="09850E0E" w14:textId="38BE4898" w:rsidR="00835FD2" w:rsidRDefault="00835FD2" w:rsidP="00835FD2">
      <w:pPr>
        <w:spacing w:line="480" w:lineRule="auto"/>
        <w:rPr>
          <w:rFonts w:ascii="Bookman Old Style" w:hAnsi="Bookman Old Style"/>
          <w:sz w:val="22"/>
          <w:szCs w:val="22"/>
          <w:u w:val="single"/>
        </w:rPr>
      </w:pPr>
      <w:r>
        <w:rPr>
          <w:rFonts w:ascii="Bookman Old Style" w:hAnsi="Bookman Old Style"/>
          <w:sz w:val="22"/>
          <w:szCs w:val="22"/>
          <w:u w:val="single"/>
        </w:rPr>
        <w:t>Bibliography:</w:t>
      </w:r>
    </w:p>
    <w:p w14:paraId="37770DF6" w14:textId="77777777" w:rsidR="00835FD2" w:rsidRPr="00835FD2" w:rsidRDefault="00835FD2" w:rsidP="00835FD2">
      <w:pPr>
        <w:spacing w:after="240" w:line="360" w:lineRule="auto"/>
        <w:ind w:hanging="720"/>
        <w:rPr>
          <w:rFonts w:ascii="Bookman Old Style" w:eastAsia="Times New Roman" w:hAnsi="Bookman Old Style" w:cs="Times New Roman"/>
          <w:kern w:val="0"/>
          <w:sz w:val="20"/>
          <w:szCs w:val="20"/>
          <w:lang w:eastAsia="en-CA"/>
          <w14:ligatures w14:val="none"/>
        </w:rPr>
      </w:pPr>
      <w:r w:rsidRPr="00835FD2">
        <w:rPr>
          <w:rFonts w:ascii="Bookman Old Style" w:eastAsia="Times New Roman" w:hAnsi="Bookman Old Style" w:cs="Times New Roman"/>
          <w:kern w:val="0"/>
          <w:sz w:val="20"/>
          <w:szCs w:val="20"/>
          <w:lang w:eastAsia="en-CA"/>
          <w14:ligatures w14:val="none"/>
        </w:rPr>
        <w:t xml:space="preserve">Connolly, Kevin. 2010. ‘Thatcher’s Tenure Shaped by Ireland’, </w:t>
      </w:r>
      <w:r w:rsidRPr="00835FD2">
        <w:rPr>
          <w:rFonts w:ascii="Bookman Old Style" w:eastAsia="Times New Roman" w:hAnsi="Bookman Old Style" w:cs="Times New Roman"/>
          <w:i/>
          <w:iCs/>
          <w:kern w:val="0"/>
          <w:sz w:val="20"/>
          <w:szCs w:val="20"/>
          <w:lang w:eastAsia="en-CA"/>
          <w14:ligatures w14:val="none"/>
        </w:rPr>
        <w:t>BBC News</w:t>
      </w:r>
      <w:r w:rsidRPr="00835FD2">
        <w:rPr>
          <w:rFonts w:ascii="Bookman Old Style" w:eastAsia="Times New Roman" w:hAnsi="Bookman Old Style" w:cs="Times New Roman"/>
          <w:kern w:val="0"/>
          <w:sz w:val="20"/>
          <w:szCs w:val="20"/>
          <w:lang w:eastAsia="en-CA"/>
          <w14:ligatures w14:val="none"/>
        </w:rPr>
        <w:t>, section Northern Ireland &lt;https://www.bbc.co.uk/news/uk-northern-ireland-11598877&gt;</w:t>
      </w:r>
    </w:p>
    <w:p w14:paraId="6D5F5D8D" w14:textId="77777777" w:rsidR="00835FD2" w:rsidRPr="00835FD2" w:rsidRDefault="00835FD2" w:rsidP="00835FD2">
      <w:pPr>
        <w:spacing w:after="240" w:line="360" w:lineRule="auto"/>
        <w:ind w:hanging="720"/>
        <w:rPr>
          <w:rFonts w:ascii="Bookman Old Style" w:eastAsia="Times New Roman" w:hAnsi="Bookman Old Style" w:cs="Times New Roman"/>
          <w:kern w:val="0"/>
          <w:sz w:val="20"/>
          <w:szCs w:val="20"/>
          <w:lang w:eastAsia="en-CA"/>
          <w14:ligatures w14:val="none"/>
        </w:rPr>
      </w:pPr>
      <w:r w:rsidRPr="00835FD2">
        <w:rPr>
          <w:rFonts w:ascii="Bookman Old Style" w:eastAsia="Times New Roman" w:hAnsi="Bookman Old Style" w:cs="Times New Roman"/>
          <w:kern w:val="0"/>
          <w:sz w:val="20"/>
          <w:szCs w:val="20"/>
          <w:lang w:eastAsia="en-CA"/>
          <w14:ligatures w14:val="none"/>
        </w:rPr>
        <w:t xml:space="preserve">Martin, </w:t>
      </w:r>
      <w:proofErr w:type="spellStart"/>
      <w:r w:rsidRPr="00835FD2">
        <w:rPr>
          <w:rFonts w:ascii="Bookman Old Style" w:eastAsia="Times New Roman" w:hAnsi="Bookman Old Style" w:cs="Times New Roman"/>
          <w:kern w:val="0"/>
          <w:sz w:val="20"/>
          <w:szCs w:val="20"/>
          <w:lang w:eastAsia="en-CA"/>
          <w14:ligatures w14:val="none"/>
        </w:rPr>
        <w:t>Melaugh</w:t>
      </w:r>
      <w:proofErr w:type="spellEnd"/>
      <w:r w:rsidRPr="00835FD2">
        <w:rPr>
          <w:rFonts w:ascii="Bookman Old Style" w:eastAsia="Times New Roman" w:hAnsi="Bookman Old Style" w:cs="Times New Roman"/>
          <w:kern w:val="0"/>
          <w:sz w:val="20"/>
          <w:szCs w:val="20"/>
          <w:lang w:eastAsia="en-CA"/>
          <w14:ligatures w14:val="none"/>
        </w:rPr>
        <w:t xml:space="preserve">. 2024. ‘CAIN: Chronology of the Conflict 1978’, </w:t>
      </w:r>
      <w:r w:rsidRPr="00835FD2">
        <w:rPr>
          <w:rFonts w:ascii="Bookman Old Style" w:eastAsia="Times New Roman" w:hAnsi="Bookman Old Style" w:cs="Times New Roman"/>
          <w:i/>
          <w:iCs/>
          <w:kern w:val="0"/>
          <w:sz w:val="20"/>
          <w:szCs w:val="20"/>
          <w:lang w:eastAsia="en-CA"/>
          <w14:ligatures w14:val="none"/>
        </w:rPr>
        <w:t>Ulster.ac.uk</w:t>
      </w:r>
      <w:r w:rsidRPr="00835FD2">
        <w:rPr>
          <w:rFonts w:ascii="Bookman Old Style" w:eastAsia="Times New Roman" w:hAnsi="Bookman Old Style" w:cs="Times New Roman"/>
          <w:kern w:val="0"/>
          <w:sz w:val="20"/>
          <w:szCs w:val="20"/>
          <w:lang w:eastAsia="en-CA"/>
          <w14:ligatures w14:val="none"/>
        </w:rPr>
        <w:t xml:space="preserve"> (CAIN) &lt;https://cain.ulster.ac.uk/othelem/chron/ch78.htm&gt; [accessed 13 October 2024]</w:t>
      </w:r>
    </w:p>
    <w:p w14:paraId="7E94CA21" w14:textId="77777777" w:rsidR="00835FD2" w:rsidRPr="00835FD2" w:rsidRDefault="00835FD2" w:rsidP="00835FD2">
      <w:pPr>
        <w:spacing w:after="240" w:line="360" w:lineRule="auto"/>
        <w:ind w:hanging="720"/>
        <w:rPr>
          <w:rFonts w:ascii="Bookman Old Style" w:eastAsia="Times New Roman" w:hAnsi="Bookman Old Style" w:cs="Times New Roman"/>
          <w:kern w:val="0"/>
          <w:sz w:val="20"/>
          <w:szCs w:val="20"/>
          <w:lang w:eastAsia="en-CA"/>
          <w14:ligatures w14:val="none"/>
        </w:rPr>
      </w:pPr>
      <w:r w:rsidRPr="00835FD2">
        <w:rPr>
          <w:rFonts w:ascii="Bookman Old Style" w:eastAsia="Times New Roman" w:hAnsi="Bookman Old Style" w:cs="Times New Roman"/>
          <w:kern w:val="0"/>
          <w:sz w:val="20"/>
          <w:szCs w:val="20"/>
          <w:lang w:eastAsia="en-CA"/>
          <w14:ligatures w14:val="none"/>
        </w:rPr>
        <w:t xml:space="preserve">McKenna, Fionnuala , and Martin </w:t>
      </w:r>
      <w:proofErr w:type="spellStart"/>
      <w:r w:rsidRPr="00835FD2">
        <w:rPr>
          <w:rFonts w:ascii="Bookman Old Style" w:eastAsia="Times New Roman" w:hAnsi="Bookman Old Style" w:cs="Times New Roman"/>
          <w:kern w:val="0"/>
          <w:sz w:val="20"/>
          <w:szCs w:val="20"/>
          <w:lang w:eastAsia="en-CA"/>
          <w14:ligatures w14:val="none"/>
        </w:rPr>
        <w:t>Melaugh</w:t>
      </w:r>
      <w:proofErr w:type="spellEnd"/>
      <w:r w:rsidRPr="00835FD2">
        <w:rPr>
          <w:rFonts w:ascii="Bookman Old Style" w:eastAsia="Times New Roman" w:hAnsi="Bookman Old Style" w:cs="Times New Roman"/>
          <w:kern w:val="0"/>
          <w:sz w:val="20"/>
          <w:szCs w:val="20"/>
          <w:lang w:eastAsia="en-CA"/>
          <w14:ligatures w14:val="none"/>
        </w:rPr>
        <w:t xml:space="preserve">. [n.d.]. ‘CAIN: Issues: Violence - Chronology of Major Violent Incidents, 1969-1998’, </w:t>
      </w:r>
      <w:r w:rsidRPr="00835FD2">
        <w:rPr>
          <w:rFonts w:ascii="Bookman Old Style" w:eastAsia="Times New Roman" w:hAnsi="Bookman Old Style" w:cs="Times New Roman"/>
          <w:i/>
          <w:iCs/>
          <w:kern w:val="0"/>
          <w:sz w:val="20"/>
          <w:szCs w:val="20"/>
          <w:lang w:eastAsia="en-CA"/>
          <w14:ligatures w14:val="none"/>
        </w:rPr>
        <w:t>Cain.ulster.ac.uk</w:t>
      </w:r>
      <w:r w:rsidRPr="00835FD2">
        <w:rPr>
          <w:rFonts w:ascii="Bookman Old Style" w:eastAsia="Times New Roman" w:hAnsi="Bookman Old Style" w:cs="Times New Roman"/>
          <w:kern w:val="0"/>
          <w:sz w:val="20"/>
          <w:szCs w:val="20"/>
          <w:lang w:eastAsia="en-CA"/>
          <w14:ligatures w14:val="none"/>
        </w:rPr>
        <w:t xml:space="preserve"> (CAIN) &lt;https://cain.ulster.ac.uk/issues/violence/chronmaj.htm&gt; [accessed 13 October 2024]</w:t>
      </w:r>
    </w:p>
    <w:p w14:paraId="2D1B4103" w14:textId="77777777" w:rsidR="00835FD2" w:rsidRDefault="00835FD2" w:rsidP="00835FD2">
      <w:pPr>
        <w:spacing w:after="240" w:line="360" w:lineRule="auto"/>
        <w:ind w:hanging="720"/>
        <w:rPr>
          <w:rFonts w:ascii="Bookman Old Style" w:eastAsia="Times New Roman" w:hAnsi="Bookman Old Style" w:cs="Times New Roman"/>
          <w:kern w:val="0"/>
          <w:sz w:val="20"/>
          <w:szCs w:val="20"/>
          <w:lang w:eastAsia="en-CA"/>
          <w14:ligatures w14:val="none"/>
        </w:rPr>
      </w:pPr>
      <w:proofErr w:type="spellStart"/>
      <w:r w:rsidRPr="00835FD2">
        <w:rPr>
          <w:rFonts w:ascii="Bookman Old Style" w:eastAsia="Times New Roman" w:hAnsi="Bookman Old Style" w:cs="Times New Roman"/>
          <w:kern w:val="0"/>
          <w:sz w:val="20"/>
          <w:szCs w:val="20"/>
          <w:lang w:eastAsia="en-CA"/>
          <w14:ligatures w14:val="none"/>
        </w:rPr>
        <w:t>Melaugh</w:t>
      </w:r>
      <w:proofErr w:type="spellEnd"/>
      <w:r w:rsidRPr="00835FD2">
        <w:rPr>
          <w:rFonts w:ascii="Bookman Old Style" w:eastAsia="Times New Roman" w:hAnsi="Bookman Old Style" w:cs="Times New Roman"/>
          <w:kern w:val="0"/>
          <w:sz w:val="20"/>
          <w:szCs w:val="20"/>
          <w:lang w:eastAsia="en-CA"/>
          <w14:ligatures w14:val="none"/>
        </w:rPr>
        <w:t xml:space="preserve">, Martin . 2024. ‘CAIN: Events: Constitutional Convention - a Chronology of Main Events’, </w:t>
      </w:r>
      <w:r w:rsidRPr="00835FD2">
        <w:rPr>
          <w:rFonts w:ascii="Bookman Old Style" w:eastAsia="Times New Roman" w:hAnsi="Bookman Old Style" w:cs="Times New Roman"/>
          <w:i/>
          <w:iCs/>
          <w:kern w:val="0"/>
          <w:sz w:val="20"/>
          <w:szCs w:val="20"/>
          <w:lang w:eastAsia="en-CA"/>
          <w14:ligatures w14:val="none"/>
        </w:rPr>
        <w:t>Ulster.ac.uk</w:t>
      </w:r>
      <w:r w:rsidRPr="00835FD2">
        <w:rPr>
          <w:rFonts w:ascii="Bookman Old Style" w:eastAsia="Times New Roman" w:hAnsi="Bookman Old Style" w:cs="Times New Roman"/>
          <w:kern w:val="0"/>
          <w:sz w:val="20"/>
          <w:szCs w:val="20"/>
          <w:lang w:eastAsia="en-CA"/>
          <w14:ligatures w14:val="none"/>
        </w:rPr>
        <w:t xml:space="preserve"> (CAIN) &lt;https://cain.ulster.ac.uk/events/convention/chron.htm&gt; [accessed 13 October 2024]</w:t>
      </w:r>
    </w:p>
    <w:p w14:paraId="57E3838C" w14:textId="77777777" w:rsidR="007055DF" w:rsidRDefault="00820981" w:rsidP="007055DF">
      <w:pPr>
        <w:spacing w:after="240" w:line="360" w:lineRule="auto"/>
        <w:ind w:hanging="720"/>
        <w:rPr>
          <w:rFonts w:ascii="Bookman Old Style" w:eastAsia="Times New Roman" w:hAnsi="Bookman Old Style" w:cs="Times New Roman"/>
          <w:kern w:val="0"/>
          <w:sz w:val="20"/>
          <w:szCs w:val="20"/>
          <w:lang w:eastAsia="en-CA"/>
          <w14:ligatures w14:val="none"/>
        </w:rPr>
      </w:pPr>
      <w:proofErr w:type="spellStart"/>
      <w:r w:rsidRPr="00820981">
        <w:rPr>
          <w:rFonts w:ascii="Bookman Old Style" w:eastAsia="Times New Roman" w:hAnsi="Bookman Old Style" w:cs="Times New Roman"/>
          <w:kern w:val="0"/>
          <w:sz w:val="20"/>
          <w:szCs w:val="20"/>
          <w:lang w:eastAsia="en-CA"/>
          <w14:ligatures w14:val="none"/>
        </w:rPr>
        <w:t>Melaugh</w:t>
      </w:r>
      <w:proofErr w:type="spellEnd"/>
      <w:r w:rsidRPr="00820981">
        <w:rPr>
          <w:rFonts w:ascii="Bookman Old Style" w:eastAsia="Times New Roman" w:hAnsi="Bookman Old Style" w:cs="Times New Roman"/>
          <w:kern w:val="0"/>
          <w:sz w:val="20"/>
          <w:szCs w:val="20"/>
          <w:lang w:eastAsia="en-CA"/>
          <w14:ligatures w14:val="none"/>
        </w:rPr>
        <w:t xml:space="preserve">, Martin. 2023. ‘CAIN: Events: Civil Rights - a Chronology of Main Events, 1964-1972’, </w:t>
      </w:r>
      <w:r w:rsidRPr="00820981">
        <w:rPr>
          <w:rFonts w:ascii="Bookman Old Style" w:eastAsia="Times New Roman" w:hAnsi="Bookman Old Style" w:cs="Times New Roman"/>
          <w:i/>
          <w:iCs/>
          <w:kern w:val="0"/>
          <w:sz w:val="20"/>
          <w:szCs w:val="20"/>
          <w:lang w:eastAsia="en-CA"/>
          <w14:ligatures w14:val="none"/>
        </w:rPr>
        <w:t>Cain.ulster.ac.uk</w:t>
      </w:r>
      <w:r w:rsidRPr="00820981">
        <w:rPr>
          <w:rFonts w:ascii="Bookman Old Style" w:eastAsia="Times New Roman" w:hAnsi="Bookman Old Style" w:cs="Times New Roman"/>
          <w:kern w:val="0"/>
          <w:sz w:val="20"/>
          <w:szCs w:val="20"/>
          <w:lang w:eastAsia="en-CA"/>
          <w14:ligatures w14:val="none"/>
        </w:rPr>
        <w:t xml:space="preserve"> (CAIN) </w:t>
      </w:r>
      <w:hyperlink r:id="rId7" w:history="1">
        <w:r w:rsidRPr="00820981">
          <w:rPr>
            <w:rStyle w:val="Hyperlink"/>
            <w:rFonts w:ascii="Bookman Old Style" w:eastAsia="Times New Roman" w:hAnsi="Bookman Old Style" w:cs="Times New Roman"/>
            <w:kern w:val="0"/>
            <w:sz w:val="20"/>
            <w:szCs w:val="20"/>
            <w:lang w:eastAsia="en-CA"/>
            <w14:ligatures w14:val="none"/>
          </w:rPr>
          <w:t>https://cain.ulster.ac.uk/events/crights/chron.htm</w:t>
        </w:r>
      </w:hyperlink>
    </w:p>
    <w:p w14:paraId="0D8A5950" w14:textId="4302A793" w:rsidR="007055DF" w:rsidRPr="007055DF" w:rsidRDefault="007055DF" w:rsidP="007055DF">
      <w:pPr>
        <w:spacing w:after="240" w:line="360" w:lineRule="auto"/>
        <w:ind w:hanging="720"/>
        <w:rPr>
          <w:rFonts w:ascii="Bookman Old Style" w:eastAsia="Times New Roman" w:hAnsi="Bookman Old Style" w:cs="Times New Roman"/>
          <w:kern w:val="0"/>
          <w:sz w:val="20"/>
          <w:szCs w:val="20"/>
          <w:lang w:eastAsia="en-CA"/>
          <w14:ligatures w14:val="none"/>
        </w:rPr>
      </w:pPr>
      <w:proofErr w:type="spellStart"/>
      <w:r>
        <w:rPr>
          <w:rFonts w:ascii="Bookman Old Style" w:eastAsia="Times New Roman" w:hAnsi="Bookman Old Style" w:cs="Times New Roman"/>
          <w:kern w:val="0"/>
          <w:sz w:val="20"/>
          <w:szCs w:val="20"/>
          <w:lang w:eastAsia="en-CA"/>
          <w14:ligatures w14:val="none"/>
        </w:rPr>
        <w:t>Melaugh</w:t>
      </w:r>
      <w:proofErr w:type="spellEnd"/>
      <w:r>
        <w:rPr>
          <w:rFonts w:ascii="Bookman Old Style" w:eastAsia="Times New Roman" w:hAnsi="Bookman Old Style" w:cs="Times New Roman"/>
          <w:kern w:val="0"/>
          <w:sz w:val="20"/>
          <w:szCs w:val="20"/>
          <w:lang w:eastAsia="en-CA"/>
          <w14:ligatures w14:val="none"/>
        </w:rPr>
        <w:t>, Martin</w:t>
      </w:r>
      <w:r w:rsidRPr="007055DF">
        <w:rPr>
          <w:rFonts w:ascii="Bookman Old Style" w:eastAsia="Times New Roman" w:hAnsi="Bookman Old Style" w:cs="Times New Roman"/>
          <w:kern w:val="0"/>
          <w:sz w:val="20"/>
          <w:szCs w:val="20"/>
          <w:lang w:eastAsia="en-CA"/>
          <w14:ligatures w14:val="none"/>
        </w:rPr>
        <w:t xml:space="preserve">. 2024b. ‘CAIN: Events: The Sunningdale Agreement - Chronology of Main Events’, </w:t>
      </w:r>
      <w:r w:rsidRPr="007055DF">
        <w:rPr>
          <w:rFonts w:ascii="Bookman Old Style" w:eastAsia="Times New Roman" w:hAnsi="Bookman Old Style" w:cs="Times New Roman"/>
          <w:i/>
          <w:iCs/>
          <w:kern w:val="0"/>
          <w:sz w:val="20"/>
          <w:szCs w:val="20"/>
          <w:lang w:eastAsia="en-CA"/>
          <w14:ligatures w14:val="none"/>
        </w:rPr>
        <w:t>Cain.ulster.ac.uk</w:t>
      </w:r>
      <w:r w:rsidRPr="007055DF">
        <w:rPr>
          <w:rFonts w:ascii="Bookman Old Style" w:eastAsia="Times New Roman" w:hAnsi="Bookman Old Style" w:cs="Times New Roman"/>
          <w:kern w:val="0"/>
          <w:sz w:val="20"/>
          <w:szCs w:val="20"/>
          <w:lang w:eastAsia="en-CA"/>
          <w14:ligatures w14:val="none"/>
        </w:rPr>
        <w:t xml:space="preserve"> &lt;https://cain.ulster.ac.uk/events/sunningdale/chron.htm&gt;</w:t>
      </w:r>
    </w:p>
    <w:p w14:paraId="0B98B385" w14:textId="77777777" w:rsidR="00835FD2" w:rsidRPr="00835FD2" w:rsidRDefault="00835FD2" w:rsidP="00835FD2">
      <w:pPr>
        <w:spacing w:after="240" w:line="360" w:lineRule="auto"/>
        <w:ind w:hanging="720"/>
        <w:rPr>
          <w:rFonts w:ascii="Bookman Old Style" w:eastAsia="Times New Roman" w:hAnsi="Bookman Old Style" w:cs="Times New Roman"/>
          <w:kern w:val="0"/>
          <w:sz w:val="20"/>
          <w:szCs w:val="20"/>
          <w:lang w:eastAsia="en-CA"/>
          <w14:ligatures w14:val="none"/>
        </w:rPr>
      </w:pPr>
    </w:p>
    <w:p w14:paraId="00CE5DA0" w14:textId="77777777" w:rsidR="00835FD2" w:rsidRPr="00835FD2" w:rsidRDefault="00835FD2" w:rsidP="00835FD2">
      <w:pPr>
        <w:spacing w:line="480" w:lineRule="auto"/>
        <w:rPr>
          <w:rFonts w:ascii="Bookman Old Style" w:hAnsi="Bookman Old Style"/>
          <w:sz w:val="22"/>
          <w:szCs w:val="22"/>
          <w:u w:val="single"/>
        </w:rPr>
      </w:pPr>
    </w:p>
    <w:sectPr w:rsidR="00835FD2" w:rsidRPr="00835FD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25EA9F" w14:textId="77777777" w:rsidR="00436274" w:rsidRPr="001006B5" w:rsidRDefault="00436274" w:rsidP="002C5DBC">
      <w:pPr>
        <w:spacing w:after="0" w:line="240" w:lineRule="auto"/>
      </w:pPr>
      <w:r w:rsidRPr="001006B5">
        <w:separator/>
      </w:r>
    </w:p>
  </w:endnote>
  <w:endnote w:type="continuationSeparator" w:id="0">
    <w:p w14:paraId="34E3F10C" w14:textId="77777777" w:rsidR="00436274" w:rsidRPr="001006B5" w:rsidRDefault="00436274" w:rsidP="002C5DBC">
      <w:pPr>
        <w:spacing w:after="0" w:line="240" w:lineRule="auto"/>
      </w:pPr>
      <w:r w:rsidRPr="001006B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CB4066" w14:textId="77777777" w:rsidR="00436274" w:rsidRPr="001006B5" w:rsidRDefault="00436274" w:rsidP="002C5DBC">
      <w:pPr>
        <w:spacing w:after="0" w:line="240" w:lineRule="auto"/>
      </w:pPr>
      <w:r w:rsidRPr="001006B5">
        <w:separator/>
      </w:r>
    </w:p>
  </w:footnote>
  <w:footnote w:type="continuationSeparator" w:id="0">
    <w:p w14:paraId="60FE2BBC" w14:textId="77777777" w:rsidR="00436274" w:rsidRPr="001006B5" w:rsidRDefault="00436274" w:rsidP="002C5DBC">
      <w:pPr>
        <w:spacing w:after="0" w:line="240" w:lineRule="auto"/>
      </w:pPr>
      <w:r w:rsidRPr="001006B5">
        <w:continuationSeparator/>
      </w:r>
    </w:p>
  </w:footnote>
  <w:footnote w:id="1">
    <w:p w14:paraId="70683C23" w14:textId="0DDBDBD1" w:rsidR="00820981" w:rsidRPr="00820981" w:rsidRDefault="00820981">
      <w:pPr>
        <w:pStyle w:val="FootnoteText"/>
      </w:pPr>
      <w:r>
        <w:rPr>
          <w:rStyle w:val="FootnoteReference"/>
        </w:rPr>
        <w:footnoteRef/>
      </w:r>
      <w:r>
        <w:t xml:space="preserve"> </w:t>
      </w:r>
      <w:proofErr w:type="spellStart"/>
      <w:r w:rsidRPr="00820981">
        <w:t>Melaugh</w:t>
      </w:r>
      <w:proofErr w:type="spellEnd"/>
      <w:r w:rsidRPr="00820981">
        <w:t xml:space="preserve">, Martin. 2023. ‘CAIN: Events: Civil Rights - a Chronology of Main Events, 1964-1972’, </w:t>
      </w:r>
      <w:r w:rsidRPr="00820981">
        <w:rPr>
          <w:i/>
          <w:iCs/>
        </w:rPr>
        <w:t>Cain.ulster.ac.uk</w:t>
      </w:r>
      <w:r w:rsidRPr="00820981">
        <w:t xml:space="preserve"> (CAIN) &lt;https://cain.ulster.ac.uk/events/crights/chron.htm&gt;</w:t>
      </w:r>
    </w:p>
  </w:footnote>
  <w:footnote w:id="2">
    <w:p w14:paraId="605BCF60" w14:textId="1CA4EEB3" w:rsidR="007055DF" w:rsidRPr="007055DF" w:rsidRDefault="007055DF" w:rsidP="007055DF">
      <w:pPr>
        <w:pStyle w:val="FootnoteText"/>
      </w:pPr>
      <w:r>
        <w:rPr>
          <w:rStyle w:val="FootnoteReference"/>
        </w:rPr>
        <w:footnoteRef/>
      </w:r>
      <w:r>
        <w:t xml:space="preserve"> </w:t>
      </w:r>
      <w:proofErr w:type="spellStart"/>
      <w:r>
        <w:t>Melaugh</w:t>
      </w:r>
      <w:proofErr w:type="spellEnd"/>
      <w:r>
        <w:t>, Martin</w:t>
      </w:r>
      <w:r w:rsidRPr="007055DF">
        <w:t xml:space="preserve">. 2024b. ‘CAIN: Events: The Sunningdale Agreement - Chronology of Main Events’, </w:t>
      </w:r>
      <w:r w:rsidRPr="007055DF">
        <w:rPr>
          <w:i/>
          <w:iCs/>
        </w:rPr>
        <w:t>Cain.ulster.ac.uk</w:t>
      </w:r>
      <w:r w:rsidRPr="007055DF">
        <w:t xml:space="preserve"> &lt;https://cain.ulster.ac.uk/events/sunningdale/chron.htm&gt;</w:t>
      </w:r>
    </w:p>
    <w:p w14:paraId="7287F399" w14:textId="3D2F81C6" w:rsidR="007055DF" w:rsidRPr="007055DF" w:rsidRDefault="007055DF">
      <w:pPr>
        <w:pStyle w:val="FootnoteText"/>
      </w:pPr>
    </w:p>
  </w:footnote>
  <w:footnote w:id="3">
    <w:p w14:paraId="3661743D" w14:textId="434EB399" w:rsidR="007055DF" w:rsidRPr="007055DF" w:rsidRDefault="007055DF">
      <w:pPr>
        <w:pStyle w:val="FootnoteText"/>
      </w:pPr>
      <w:r>
        <w:rPr>
          <w:rStyle w:val="FootnoteReference"/>
        </w:rPr>
        <w:footnoteRef/>
      </w:r>
      <w:r>
        <w:t xml:space="preserve"> </w:t>
      </w:r>
      <w:proofErr w:type="spellStart"/>
      <w:r>
        <w:t>Melaugh</w:t>
      </w:r>
      <w:proofErr w:type="spellEnd"/>
      <w:r>
        <w:t>. 2024</w:t>
      </w:r>
    </w:p>
  </w:footnote>
  <w:footnote w:id="4">
    <w:p w14:paraId="2B9B4204" w14:textId="00561353" w:rsidR="000266EA" w:rsidRPr="00103FB4" w:rsidRDefault="000266EA">
      <w:pPr>
        <w:pStyle w:val="FootnoteText"/>
        <w:rPr>
          <w:rFonts w:ascii="Bookman Old Style" w:hAnsi="Bookman Old Style"/>
          <w:sz w:val="18"/>
          <w:szCs w:val="18"/>
        </w:rPr>
      </w:pPr>
      <w:r w:rsidRPr="00103FB4">
        <w:rPr>
          <w:rStyle w:val="FootnoteReference"/>
          <w:rFonts w:ascii="Bookman Old Style" w:hAnsi="Bookman Old Style"/>
          <w:sz w:val="18"/>
          <w:szCs w:val="18"/>
        </w:rPr>
        <w:footnoteRef/>
      </w:r>
      <w:r w:rsidRPr="00103FB4">
        <w:rPr>
          <w:rFonts w:ascii="Bookman Old Style" w:hAnsi="Bookman Old Style"/>
          <w:sz w:val="18"/>
          <w:szCs w:val="18"/>
        </w:rPr>
        <w:t xml:space="preserve"> </w:t>
      </w:r>
      <w:r w:rsidR="00103FB4" w:rsidRPr="00103FB4">
        <w:rPr>
          <w:rFonts w:ascii="Bookman Old Style" w:hAnsi="Bookman Old Style"/>
          <w:sz w:val="18"/>
          <w:szCs w:val="18"/>
        </w:rPr>
        <w:t xml:space="preserve">McKenna, Fionnuala , and Martin </w:t>
      </w:r>
      <w:proofErr w:type="spellStart"/>
      <w:r w:rsidR="00103FB4" w:rsidRPr="00103FB4">
        <w:rPr>
          <w:rFonts w:ascii="Bookman Old Style" w:hAnsi="Bookman Old Style"/>
          <w:sz w:val="18"/>
          <w:szCs w:val="18"/>
        </w:rPr>
        <w:t>Melaugh</w:t>
      </w:r>
      <w:proofErr w:type="spellEnd"/>
      <w:r w:rsidR="00103FB4" w:rsidRPr="00103FB4">
        <w:rPr>
          <w:rFonts w:ascii="Bookman Old Style" w:hAnsi="Bookman Old Style"/>
          <w:sz w:val="18"/>
          <w:szCs w:val="18"/>
        </w:rPr>
        <w:t xml:space="preserve">. [n.d.]. ‘CAIN: Issues: Violence - Chronology of Major Violent Incidents, 1969-1998’, </w:t>
      </w:r>
      <w:r w:rsidR="00103FB4" w:rsidRPr="00103FB4">
        <w:rPr>
          <w:rFonts w:ascii="Bookman Old Style" w:hAnsi="Bookman Old Style"/>
          <w:i/>
          <w:iCs/>
          <w:sz w:val="18"/>
          <w:szCs w:val="18"/>
        </w:rPr>
        <w:t>Cain.ulster.ac.uk</w:t>
      </w:r>
      <w:r w:rsidR="00103FB4" w:rsidRPr="00103FB4">
        <w:rPr>
          <w:rFonts w:ascii="Bookman Old Style" w:hAnsi="Bookman Old Style"/>
          <w:sz w:val="18"/>
          <w:szCs w:val="18"/>
        </w:rPr>
        <w:t xml:space="preserve"> (CAIN) &lt;https://cain.ulster.ac.uk/issues/violence/chronmaj.htm&gt; [accessed 13 October 2024]</w:t>
      </w:r>
    </w:p>
  </w:footnote>
  <w:footnote w:id="5">
    <w:p w14:paraId="01A5EB52" w14:textId="7AA85853" w:rsidR="000266EA" w:rsidRPr="001006B5" w:rsidRDefault="000266EA">
      <w:pPr>
        <w:pStyle w:val="FootnoteText"/>
      </w:pPr>
      <w:r w:rsidRPr="001006B5">
        <w:rPr>
          <w:rStyle w:val="FootnoteReference"/>
        </w:rPr>
        <w:footnoteRef/>
      </w:r>
      <w:r w:rsidRPr="001006B5">
        <w:t xml:space="preserve"> </w:t>
      </w:r>
      <w:r w:rsidR="00CE7741">
        <w:t>United Kingdom. Torrance, David. Northern Ireland: Direct Rule (Belfast: Northern Ireland Office, 2022)</w:t>
      </w:r>
    </w:p>
  </w:footnote>
  <w:footnote w:id="6">
    <w:p w14:paraId="6885E2A0" w14:textId="376CDB6A" w:rsidR="000266EA" w:rsidRPr="001006B5" w:rsidRDefault="000266EA">
      <w:pPr>
        <w:pStyle w:val="FootnoteText"/>
      </w:pPr>
      <w:r w:rsidRPr="001006B5">
        <w:rPr>
          <w:rStyle w:val="FootnoteReference"/>
        </w:rPr>
        <w:footnoteRef/>
      </w:r>
      <w:r w:rsidRPr="001006B5">
        <w:t xml:space="preserve"> </w:t>
      </w:r>
      <w:r w:rsidR="00CE7741">
        <w:t>Torrance. 2022</w:t>
      </w:r>
    </w:p>
  </w:footnote>
  <w:footnote w:id="7">
    <w:p w14:paraId="304105BB" w14:textId="0ECAD3E7" w:rsidR="000266EA" w:rsidRPr="001006B5" w:rsidRDefault="000266EA">
      <w:pPr>
        <w:pStyle w:val="FootnoteText"/>
      </w:pPr>
      <w:r w:rsidRPr="001006B5">
        <w:rPr>
          <w:rStyle w:val="FootnoteReference"/>
        </w:rPr>
        <w:footnoteRef/>
      </w:r>
      <w:r w:rsidRPr="001006B5">
        <w:t xml:space="preserve"> </w:t>
      </w:r>
      <w:proofErr w:type="spellStart"/>
      <w:r w:rsidR="00CE7741" w:rsidRPr="00CE7741">
        <w:t>Melaugh</w:t>
      </w:r>
      <w:proofErr w:type="spellEnd"/>
      <w:r w:rsidR="00CE7741" w:rsidRPr="00CE7741">
        <w:t xml:space="preserve">, Martin . 2024. ‘CAIN: Events: Constitutional Convention - a Chronology of Main Events’, </w:t>
      </w:r>
      <w:r w:rsidR="00CE7741" w:rsidRPr="00CE7741">
        <w:rPr>
          <w:i/>
          <w:iCs/>
        </w:rPr>
        <w:t>Ulster.ac.uk</w:t>
      </w:r>
      <w:r w:rsidR="00CE7741" w:rsidRPr="00CE7741">
        <w:t xml:space="preserve"> (CAIN) &lt;https://cain.ulster.ac.uk/events/convention/chron.htm&gt; [accessed 13 October 2024]</w:t>
      </w:r>
    </w:p>
  </w:footnote>
  <w:footnote w:id="8">
    <w:p w14:paraId="0657D0EC" w14:textId="2066FC85" w:rsidR="000266EA" w:rsidRPr="001006B5" w:rsidRDefault="000266EA">
      <w:pPr>
        <w:pStyle w:val="FootnoteText"/>
      </w:pPr>
      <w:r w:rsidRPr="001006B5">
        <w:rPr>
          <w:rStyle w:val="FootnoteReference"/>
        </w:rPr>
        <w:footnoteRef/>
      </w:r>
      <w:r w:rsidRPr="001006B5">
        <w:t xml:space="preserve"> </w:t>
      </w:r>
      <w:proofErr w:type="spellStart"/>
      <w:r w:rsidR="00CE7741">
        <w:t>Melaugh</w:t>
      </w:r>
      <w:proofErr w:type="spellEnd"/>
      <w:r w:rsidR="00CE7741">
        <w:t>. 2024</w:t>
      </w:r>
    </w:p>
  </w:footnote>
  <w:footnote w:id="9">
    <w:p w14:paraId="5154F6CC" w14:textId="6942C85E" w:rsidR="000266EA" w:rsidRPr="000266EA" w:rsidRDefault="000266EA">
      <w:pPr>
        <w:pStyle w:val="FootnoteText"/>
        <w:rPr>
          <w:lang w:val="en-US"/>
        </w:rPr>
      </w:pPr>
      <w:r w:rsidRPr="001006B5">
        <w:rPr>
          <w:rStyle w:val="FootnoteReference"/>
        </w:rPr>
        <w:footnoteRef/>
      </w:r>
      <w:r w:rsidRPr="001006B5">
        <w:t xml:space="preserve"> </w:t>
      </w:r>
      <w:r w:rsidR="00835FD2">
        <w:t xml:space="preserve">McKenna; </w:t>
      </w:r>
      <w:proofErr w:type="spellStart"/>
      <w:r w:rsidR="00835FD2">
        <w:t>Melaugh</w:t>
      </w:r>
      <w:proofErr w:type="spellEnd"/>
      <w:r w:rsidR="00835FD2">
        <w:t>. 2024</w:t>
      </w:r>
    </w:p>
  </w:footnote>
  <w:footnote w:id="10">
    <w:p w14:paraId="40ECD096" w14:textId="3671EDDD" w:rsidR="00455B4B" w:rsidRPr="00835FD2" w:rsidRDefault="00455B4B">
      <w:pPr>
        <w:pStyle w:val="FootnoteText"/>
      </w:pPr>
      <w:r>
        <w:rPr>
          <w:rStyle w:val="FootnoteReference"/>
        </w:rPr>
        <w:footnoteRef/>
      </w:r>
      <w:r w:rsidRPr="00835FD2">
        <w:t xml:space="preserve"> </w:t>
      </w:r>
      <w:r w:rsidR="00835FD2" w:rsidRPr="00835FD2">
        <w:t xml:space="preserve">Martin, </w:t>
      </w:r>
      <w:proofErr w:type="spellStart"/>
      <w:r w:rsidR="00835FD2" w:rsidRPr="00835FD2">
        <w:t>Melaugh</w:t>
      </w:r>
      <w:proofErr w:type="spellEnd"/>
      <w:r w:rsidR="00835FD2" w:rsidRPr="00835FD2">
        <w:t xml:space="preserve">. 2024. ‘CAIN: Chronology of the Conflict 1978’, </w:t>
      </w:r>
      <w:r w:rsidR="00835FD2" w:rsidRPr="00835FD2">
        <w:rPr>
          <w:i/>
          <w:iCs/>
        </w:rPr>
        <w:t>Ulster.ac.uk</w:t>
      </w:r>
      <w:r w:rsidR="00835FD2" w:rsidRPr="00835FD2">
        <w:t xml:space="preserve"> (CAIN) &lt;https://cain.ulster.ac.uk/othelem/chron/ch78.htm&gt; [accessed 13 October 2024]</w:t>
      </w:r>
    </w:p>
  </w:footnote>
  <w:footnote w:id="11">
    <w:p w14:paraId="63BCC366" w14:textId="2FC3D74F" w:rsidR="00455B4B" w:rsidRPr="00835FD2" w:rsidRDefault="00455B4B">
      <w:pPr>
        <w:pStyle w:val="FootnoteText"/>
      </w:pPr>
      <w:r>
        <w:rPr>
          <w:rStyle w:val="FootnoteReference"/>
        </w:rPr>
        <w:footnoteRef/>
      </w:r>
      <w:r w:rsidRPr="00835FD2">
        <w:t xml:space="preserve"> </w:t>
      </w:r>
      <w:proofErr w:type="spellStart"/>
      <w:r w:rsidR="00835FD2">
        <w:t>Melaugh</w:t>
      </w:r>
      <w:proofErr w:type="spellEnd"/>
      <w:r w:rsidR="00835FD2">
        <w:t>. 2024</w:t>
      </w:r>
    </w:p>
  </w:footnote>
  <w:footnote w:id="12">
    <w:p w14:paraId="77FB56A3" w14:textId="642898C1" w:rsidR="00CF005B" w:rsidRPr="00835FD2" w:rsidRDefault="00CF005B">
      <w:pPr>
        <w:pStyle w:val="FootnoteText"/>
      </w:pPr>
      <w:r>
        <w:rPr>
          <w:rStyle w:val="FootnoteReference"/>
        </w:rPr>
        <w:footnoteRef/>
      </w:r>
      <w:r w:rsidRPr="00835FD2">
        <w:t xml:space="preserve"> </w:t>
      </w:r>
      <w:proofErr w:type="spellStart"/>
      <w:r w:rsidR="00835FD2">
        <w:t>Melaugh</w:t>
      </w:r>
      <w:proofErr w:type="spellEnd"/>
      <w:r w:rsidR="00835FD2">
        <w:t>. 2024</w:t>
      </w:r>
    </w:p>
  </w:footnote>
  <w:footnote w:id="13">
    <w:p w14:paraId="34A8BB56" w14:textId="090DEE4F" w:rsidR="00CF005B" w:rsidRPr="00835FD2" w:rsidRDefault="00CF005B">
      <w:pPr>
        <w:pStyle w:val="FootnoteText"/>
      </w:pPr>
      <w:r>
        <w:rPr>
          <w:rStyle w:val="FootnoteReference"/>
        </w:rPr>
        <w:footnoteRef/>
      </w:r>
      <w:r w:rsidRPr="00835FD2">
        <w:t xml:space="preserve"> </w:t>
      </w:r>
      <w:proofErr w:type="spellStart"/>
      <w:r w:rsidR="00835FD2">
        <w:t>Melaugh</w:t>
      </w:r>
      <w:proofErr w:type="spellEnd"/>
      <w:r w:rsidR="00835FD2">
        <w:t>. 2024</w:t>
      </w:r>
    </w:p>
  </w:footnote>
  <w:footnote w:id="14">
    <w:p w14:paraId="304E59F2" w14:textId="7BA2E92C" w:rsidR="00CF005B" w:rsidRPr="00835FD2" w:rsidRDefault="00CF005B">
      <w:pPr>
        <w:pStyle w:val="FootnoteText"/>
      </w:pPr>
      <w:r>
        <w:rPr>
          <w:rStyle w:val="FootnoteReference"/>
        </w:rPr>
        <w:footnoteRef/>
      </w:r>
      <w:r w:rsidRPr="00835FD2">
        <w:t xml:space="preserve"> </w:t>
      </w:r>
      <w:r w:rsidR="00835FD2" w:rsidRPr="00835FD2">
        <w:t xml:space="preserve">Connolly, Kevin. 2010. ‘Thatcher’s Tenure Shaped by Ireland’, </w:t>
      </w:r>
      <w:r w:rsidR="00835FD2" w:rsidRPr="00835FD2">
        <w:rPr>
          <w:i/>
          <w:iCs/>
        </w:rPr>
        <w:t>BBC News</w:t>
      </w:r>
      <w:r w:rsidR="00835FD2" w:rsidRPr="00835FD2">
        <w:t>, section Northern Ireland &lt;https://www.bbc.co.uk/news/uk-northern-ireland-11598877&gt;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00E"/>
    <w:rsid w:val="000266EA"/>
    <w:rsid w:val="00036D1B"/>
    <w:rsid w:val="00043839"/>
    <w:rsid w:val="000905CA"/>
    <w:rsid w:val="0009174E"/>
    <w:rsid w:val="00093A39"/>
    <w:rsid w:val="000B1DF1"/>
    <w:rsid w:val="001006B5"/>
    <w:rsid w:val="00103FB4"/>
    <w:rsid w:val="00114270"/>
    <w:rsid w:val="00121CD3"/>
    <w:rsid w:val="001546FF"/>
    <w:rsid w:val="002573AF"/>
    <w:rsid w:val="002C5DBC"/>
    <w:rsid w:val="00300FD9"/>
    <w:rsid w:val="0033685E"/>
    <w:rsid w:val="003A7DE8"/>
    <w:rsid w:val="003B2F63"/>
    <w:rsid w:val="004073C7"/>
    <w:rsid w:val="00436274"/>
    <w:rsid w:val="00455B4B"/>
    <w:rsid w:val="00470190"/>
    <w:rsid w:val="00470AE7"/>
    <w:rsid w:val="004853F5"/>
    <w:rsid w:val="004A1888"/>
    <w:rsid w:val="0051123E"/>
    <w:rsid w:val="005275BF"/>
    <w:rsid w:val="005310FB"/>
    <w:rsid w:val="005435AD"/>
    <w:rsid w:val="00585B43"/>
    <w:rsid w:val="005A04C0"/>
    <w:rsid w:val="005D4D38"/>
    <w:rsid w:val="005F34BA"/>
    <w:rsid w:val="00626DC7"/>
    <w:rsid w:val="006B400E"/>
    <w:rsid w:val="006D6DC2"/>
    <w:rsid w:val="007051D0"/>
    <w:rsid w:val="007055DF"/>
    <w:rsid w:val="00731C57"/>
    <w:rsid w:val="00765897"/>
    <w:rsid w:val="007C6833"/>
    <w:rsid w:val="007F4433"/>
    <w:rsid w:val="00820981"/>
    <w:rsid w:val="00835FD2"/>
    <w:rsid w:val="00845127"/>
    <w:rsid w:val="008977AE"/>
    <w:rsid w:val="008A51CE"/>
    <w:rsid w:val="008E7B5A"/>
    <w:rsid w:val="008F489D"/>
    <w:rsid w:val="00900DDA"/>
    <w:rsid w:val="0092045C"/>
    <w:rsid w:val="009C7445"/>
    <w:rsid w:val="00A56983"/>
    <w:rsid w:val="00AD2CCD"/>
    <w:rsid w:val="00B22C76"/>
    <w:rsid w:val="00B45E97"/>
    <w:rsid w:val="00B932D9"/>
    <w:rsid w:val="00BC3941"/>
    <w:rsid w:val="00BC76CC"/>
    <w:rsid w:val="00BE568F"/>
    <w:rsid w:val="00BE75E3"/>
    <w:rsid w:val="00BF0404"/>
    <w:rsid w:val="00BF3800"/>
    <w:rsid w:val="00C64CC5"/>
    <w:rsid w:val="00CC3542"/>
    <w:rsid w:val="00CD1BEC"/>
    <w:rsid w:val="00CE7741"/>
    <w:rsid w:val="00CF005B"/>
    <w:rsid w:val="00CF5FDC"/>
    <w:rsid w:val="00D04C73"/>
    <w:rsid w:val="00D110B4"/>
    <w:rsid w:val="00D65C2C"/>
    <w:rsid w:val="00D73C10"/>
    <w:rsid w:val="00DA69BB"/>
    <w:rsid w:val="00E109B2"/>
    <w:rsid w:val="00E2479C"/>
    <w:rsid w:val="00E55116"/>
    <w:rsid w:val="00E76BF7"/>
    <w:rsid w:val="00E860DB"/>
    <w:rsid w:val="00EA7B68"/>
    <w:rsid w:val="00F12F5E"/>
    <w:rsid w:val="00F4658B"/>
    <w:rsid w:val="00F620FC"/>
    <w:rsid w:val="00FD71E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830699"/>
  <w15:chartTrackingRefBased/>
  <w15:docId w15:val="{1D6C6220-A515-463D-80B8-C58FF68EA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40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B40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40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40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40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40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40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40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40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40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40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40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40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40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40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40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40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400E"/>
    <w:rPr>
      <w:rFonts w:eastAsiaTheme="majorEastAsia" w:cstheme="majorBidi"/>
      <w:color w:val="272727" w:themeColor="text1" w:themeTint="D8"/>
    </w:rPr>
  </w:style>
  <w:style w:type="paragraph" w:styleId="Title">
    <w:name w:val="Title"/>
    <w:basedOn w:val="Normal"/>
    <w:next w:val="Normal"/>
    <w:link w:val="TitleChar"/>
    <w:uiPriority w:val="10"/>
    <w:qFormat/>
    <w:rsid w:val="006B40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40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40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40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400E"/>
    <w:pPr>
      <w:spacing w:before="160"/>
      <w:jc w:val="center"/>
    </w:pPr>
    <w:rPr>
      <w:i/>
      <w:iCs/>
      <w:color w:val="404040" w:themeColor="text1" w:themeTint="BF"/>
    </w:rPr>
  </w:style>
  <w:style w:type="character" w:customStyle="1" w:styleId="QuoteChar">
    <w:name w:val="Quote Char"/>
    <w:basedOn w:val="DefaultParagraphFont"/>
    <w:link w:val="Quote"/>
    <w:uiPriority w:val="29"/>
    <w:rsid w:val="006B400E"/>
    <w:rPr>
      <w:i/>
      <w:iCs/>
      <w:color w:val="404040" w:themeColor="text1" w:themeTint="BF"/>
    </w:rPr>
  </w:style>
  <w:style w:type="paragraph" w:styleId="ListParagraph">
    <w:name w:val="List Paragraph"/>
    <w:basedOn w:val="Normal"/>
    <w:uiPriority w:val="34"/>
    <w:qFormat/>
    <w:rsid w:val="006B400E"/>
    <w:pPr>
      <w:ind w:left="720"/>
      <w:contextualSpacing/>
    </w:pPr>
  </w:style>
  <w:style w:type="character" w:styleId="IntenseEmphasis">
    <w:name w:val="Intense Emphasis"/>
    <w:basedOn w:val="DefaultParagraphFont"/>
    <w:uiPriority w:val="21"/>
    <w:qFormat/>
    <w:rsid w:val="006B400E"/>
    <w:rPr>
      <w:i/>
      <w:iCs/>
      <w:color w:val="0F4761" w:themeColor="accent1" w:themeShade="BF"/>
    </w:rPr>
  </w:style>
  <w:style w:type="paragraph" w:styleId="IntenseQuote">
    <w:name w:val="Intense Quote"/>
    <w:basedOn w:val="Normal"/>
    <w:next w:val="Normal"/>
    <w:link w:val="IntenseQuoteChar"/>
    <w:uiPriority w:val="30"/>
    <w:qFormat/>
    <w:rsid w:val="006B40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400E"/>
    <w:rPr>
      <w:i/>
      <w:iCs/>
      <w:color w:val="0F4761" w:themeColor="accent1" w:themeShade="BF"/>
    </w:rPr>
  </w:style>
  <w:style w:type="character" w:styleId="IntenseReference">
    <w:name w:val="Intense Reference"/>
    <w:basedOn w:val="DefaultParagraphFont"/>
    <w:uiPriority w:val="32"/>
    <w:qFormat/>
    <w:rsid w:val="006B400E"/>
    <w:rPr>
      <w:b/>
      <w:bCs/>
      <w:smallCaps/>
      <w:color w:val="0F4761" w:themeColor="accent1" w:themeShade="BF"/>
      <w:spacing w:val="5"/>
    </w:rPr>
  </w:style>
  <w:style w:type="paragraph" w:styleId="FootnoteText">
    <w:name w:val="footnote text"/>
    <w:basedOn w:val="Normal"/>
    <w:link w:val="FootnoteTextChar"/>
    <w:uiPriority w:val="99"/>
    <w:semiHidden/>
    <w:unhideWhenUsed/>
    <w:rsid w:val="002C5DB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C5DBC"/>
    <w:rPr>
      <w:sz w:val="20"/>
      <w:szCs w:val="20"/>
    </w:rPr>
  </w:style>
  <w:style w:type="character" w:styleId="FootnoteReference">
    <w:name w:val="footnote reference"/>
    <w:basedOn w:val="DefaultParagraphFont"/>
    <w:uiPriority w:val="99"/>
    <w:semiHidden/>
    <w:unhideWhenUsed/>
    <w:rsid w:val="002C5DBC"/>
    <w:rPr>
      <w:vertAlign w:val="superscript"/>
    </w:rPr>
  </w:style>
  <w:style w:type="paragraph" w:styleId="NormalWeb">
    <w:name w:val="Normal (Web)"/>
    <w:basedOn w:val="Normal"/>
    <w:uiPriority w:val="99"/>
    <w:semiHidden/>
    <w:unhideWhenUsed/>
    <w:rsid w:val="00103FB4"/>
    <w:rPr>
      <w:rFonts w:ascii="Times New Roman" w:hAnsi="Times New Roman" w:cs="Times New Roman"/>
    </w:rPr>
  </w:style>
  <w:style w:type="character" w:styleId="Hyperlink">
    <w:name w:val="Hyperlink"/>
    <w:basedOn w:val="DefaultParagraphFont"/>
    <w:uiPriority w:val="99"/>
    <w:unhideWhenUsed/>
    <w:rsid w:val="00820981"/>
    <w:rPr>
      <w:color w:val="467886" w:themeColor="hyperlink"/>
      <w:u w:val="single"/>
    </w:rPr>
  </w:style>
  <w:style w:type="character" w:styleId="UnresolvedMention">
    <w:name w:val="Unresolved Mention"/>
    <w:basedOn w:val="DefaultParagraphFont"/>
    <w:uiPriority w:val="99"/>
    <w:semiHidden/>
    <w:unhideWhenUsed/>
    <w:rsid w:val="008209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33691">
      <w:bodyDiv w:val="1"/>
      <w:marLeft w:val="0"/>
      <w:marRight w:val="0"/>
      <w:marTop w:val="0"/>
      <w:marBottom w:val="0"/>
      <w:divBdr>
        <w:top w:val="none" w:sz="0" w:space="0" w:color="auto"/>
        <w:left w:val="none" w:sz="0" w:space="0" w:color="auto"/>
        <w:bottom w:val="none" w:sz="0" w:space="0" w:color="auto"/>
        <w:right w:val="none" w:sz="0" w:space="0" w:color="auto"/>
      </w:divBdr>
      <w:divsChild>
        <w:div w:id="874851204">
          <w:marLeft w:val="-720"/>
          <w:marRight w:val="0"/>
          <w:marTop w:val="0"/>
          <w:marBottom w:val="0"/>
          <w:divBdr>
            <w:top w:val="none" w:sz="0" w:space="0" w:color="auto"/>
            <w:left w:val="none" w:sz="0" w:space="0" w:color="auto"/>
            <w:bottom w:val="none" w:sz="0" w:space="0" w:color="auto"/>
            <w:right w:val="none" w:sz="0" w:space="0" w:color="auto"/>
          </w:divBdr>
        </w:div>
      </w:divsChild>
    </w:div>
    <w:div w:id="39323153">
      <w:bodyDiv w:val="1"/>
      <w:marLeft w:val="0"/>
      <w:marRight w:val="0"/>
      <w:marTop w:val="0"/>
      <w:marBottom w:val="0"/>
      <w:divBdr>
        <w:top w:val="none" w:sz="0" w:space="0" w:color="auto"/>
        <w:left w:val="none" w:sz="0" w:space="0" w:color="auto"/>
        <w:bottom w:val="none" w:sz="0" w:space="0" w:color="auto"/>
        <w:right w:val="none" w:sz="0" w:space="0" w:color="auto"/>
      </w:divBdr>
      <w:divsChild>
        <w:div w:id="532688686">
          <w:marLeft w:val="-720"/>
          <w:marRight w:val="0"/>
          <w:marTop w:val="0"/>
          <w:marBottom w:val="0"/>
          <w:divBdr>
            <w:top w:val="none" w:sz="0" w:space="0" w:color="auto"/>
            <w:left w:val="none" w:sz="0" w:space="0" w:color="auto"/>
            <w:bottom w:val="none" w:sz="0" w:space="0" w:color="auto"/>
            <w:right w:val="none" w:sz="0" w:space="0" w:color="auto"/>
          </w:divBdr>
        </w:div>
      </w:divsChild>
    </w:div>
    <w:div w:id="193425788">
      <w:bodyDiv w:val="1"/>
      <w:marLeft w:val="0"/>
      <w:marRight w:val="0"/>
      <w:marTop w:val="0"/>
      <w:marBottom w:val="0"/>
      <w:divBdr>
        <w:top w:val="none" w:sz="0" w:space="0" w:color="auto"/>
        <w:left w:val="none" w:sz="0" w:space="0" w:color="auto"/>
        <w:bottom w:val="none" w:sz="0" w:space="0" w:color="auto"/>
        <w:right w:val="none" w:sz="0" w:space="0" w:color="auto"/>
      </w:divBdr>
      <w:divsChild>
        <w:div w:id="1804271983">
          <w:marLeft w:val="-720"/>
          <w:marRight w:val="0"/>
          <w:marTop w:val="0"/>
          <w:marBottom w:val="0"/>
          <w:divBdr>
            <w:top w:val="none" w:sz="0" w:space="0" w:color="auto"/>
            <w:left w:val="none" w:sz="0" w:space="0" w:color="auto"/>
            <w:bottom w:val="none" w:sz="0" w:space="0" w:color="auto"/>
            <w:right w:val="none" w:sz="0" w:space="0" w:color="auto"/>
          </w:divBdr>
        </w:div>
      </w:divsChild>
    </w:div>
    <w:div w:id="310789430">
      <w:bodyDiv w:val="1"/>
      <w:marLeft w:val="0"/>
      <w:marRight w:val="0"/>
      <w:marTop w:val="0"/>
      <w:marBottom w:val="0"/>
      <w:divBdr>
        <w:top w:val="none" w:sz="0" w:space="0" w:color="auto"/>
        <w:left w:val="none" w:sz="0" w:space="0" w:color="auto"/>
        <w:bottom w:val="none" w:sz="0" w:space="0" w:color="auto"/>
        <w:right w:val="none" w:sz="0" w:space="0" w:color="auto"/>
      </w:divBdr>
      <w:divsChild>
        <w:div w:id="239608795">
          <w:marLeft w:val="-720"/>
          <w:marRight w:val="0"/>
          <w:marTop w:val="0"/>
          <w:marBottom w:val="0"/>
          <w:divBdr>
            <w:top w:val="none" w:sz="0" w:space="0" w:color="auto"/>
            <w:left w:val="none" w:sz="0" w:space="0" w:color="auto"/>
            <w:bottom w:val="none" w:sz="0" w:space="0" w:color="auto"/>
            <w:right w:val="none" w:sz="0" w:space="0" w:color="auto"/>
          </w:divBdr>
        </w:div>
      </w:divsChild>
    </w:div>
    <w:div w:id="452408311">
      <w:bodyDiv w:val="1"/>
      <w:marLeft w:val="0"/>
      <w:marRight w:val="0"/>
      <w:marTop w:val="0"/>
      <w:marBottom w:val="0"/>
      <w:divBdr>
        <w:top w:val="none" w:sz="0" w:space="0" w:color="auto"/>
        <w:left w:val="none" w:sz="0" w:space="0" w:color="auto"/>
        <w:bottom w:val="none" w:sz="0" w:space="0" w:color="auto"/>
        <w:right w:val="none" w:sz="0" w:space="0" w:color="auto"/>
      </w:divBdr>
      <w:divsChild>
        <w:div w:id="766273280">
          <w:marLeft w:val="-720"/>
          <w:marRight w:val="0"/>
          <w:marTop w:val="0"/>
          <w:marBottom w:val="0"/>
          <w:divBdr>
            <w:top w:val="none" w:sz="0" w:space="0" w:color="auto"/>
            <w:left w:val="none" w:sz="0" w:space="0" w:color="auto"/>
            <w:bottom w:val="none" w:sz="0" w:space="0" w:color="auto"/>
            <w:right w:val="none" w:sz="0" w:space="0" w:color="auto"/>
          </w:divBdr>
        </w:div>
      </w:divsChild>
    </w:div>
    <w:div w:id="766076585">
      <w:bodyDiv w:val="1"/>
      <w:marLeft w:val="0"/>
      <w:marRight w:val="0"/>
      <w:marTop w:val="0"/>
      <w:marBottom w:val="0"/>
      <w:divBdr>
        <w:top w:val="none" w:sz="0" w:space="0" w:color="auto"/>
        <w:left w:val="none" w:sz="0" w:space="0" w:color="auto"/>
        <w:bottom w:val="none" w:sz="0" w:space="0" w:color="auto"/>
        <w:right w:val="none" w:sz="0" w:space="0" w:color="auto"/>
      </w:divBdr>
    </w:div>
    <w:div w:id="1021395756">
      <w:bodyDiv w:val="1"/>
      <w:marLeft w:val="0"/>
      <w:marRight w:val="0"/>
      <w:marTop w:val="0"/>
      <w:marBottom w:val="0"/>
      <w:divBdr>
        <w:top w:val="none" w:sz="0" w:space="0" w:color="auto"/>
        <w:left w:val="none" w:sz="0" w:space="0" w:color="auto"/>
        <w:bottom w:val="none" w:sz="0" w:space="0" w:color="auto"/>
        <w:right w:val="none" w:sz="0" w:space="0" w:color="auto"/>
      </w:divBdr>
      <w:divsChild>
        <w:div w:id="1739861053">
          <w:marLeft w:val="-720"/>
          <w:marRight w:val="0"/>
          <w:marTop w:val="0"/>
          <w:marBottom w:val="0"/>
          <w:divBdr>
            <w:top w:val="none" w:sz="0" w:space="0" w:color="auto"/>
            <w:left w:val="none" w:sz="0" w:space="0" w:color="auto"/>
            <w:bottom w:val="none" w:sz="0" w:space="0" w:color="auto"/>
            <w:right w:val="none" w:sz="0" w:space="0" w:color="auto"/>
          </w:divBdr>
        </w:div>
      </w:divsChild>
    </w:div>
    <w:div w:id="1576894094">
      <w:bodyDiv w:val="1"/>
      <w:marLeft w:val="0"/>
      <w:marRight w:val="0"/>
      <w:marTop w:val="0"/>
      <w:marBottom w:val="0"/>
      <w:divBdr>
        <w:top w:val="none" w:sz="0" w:space="0" w:color="auto"/>
        <w:left w:val="none" w:sz="0" w:space="0" w:color="auto"/>
        <w:bottom w:val="none" w:sz="0" w:space="0" w:color="auto"/>
        <w:right w:val="none" w:sz="0" w:space="0" w:color="auto"/>
      </w:divBdr>
      <w:divsChild>
        <w:div w:id="1328434721">
          <w:marLeft w:val="-720"/>
          <w:marRight w:val="0"/>
          <w:marTop w:val="0"/>
          <w:marBottom w:val="0"/>
          <w:divBdr>
            <w:top w:val="none" w:sz="0" w:space="0" w:color="auto"/>
            <w:left w:val="none" w:sz="0" w:space="0" w:color="auto"/>
            <w:bottom w:val="none" w:sz="0" w:space="0" w:color="auto"/>
            <w:right w:val="none" w:sz="0" w:space="0" w:color="auto"/>
          </w:divBdr>
        </w:div>
      </w:divsChild>
    </w:div>
    <w:div w:id="1785928603">
      <w:bodyDiv w:val="1"/>
      <w:marLeft w:val="0"/>
      <w:marRight w:val="0"/>
      <w:marTop w:val="0"/>
      <w:marBottom w:val="0"/>
      <w:divBdr>
        <w:top w:val="none" w:sz="0" w:space="0" w:color="auto"/>
        <w:left w:val="none" w:sz="0" w:space="0" w:color="auto"/>
        <w:bottom w:val="none" w:sz="0" w:space="0" w:color="auto"/>
        <w:right w:val="none" w:sz="0" w:space="0" w:color="auto"/>
      </w:divBdr>
      <w:divsChild>
        <w:div w:id="81537780">
          <w:marLeft w:val="-720"/>
          <w:marRight w:val="0"/>
          <w:marTop w:val="0"/>
          <w:marBottom w:val="0"/>
          <w:divBdr>
            <w:top w:val="none" w:sz="0" w:space="0" w:color="auto"/>
            <w:left w:val="none" w:sz="0" w:space="0" w:color="auto"/>
            <w:bottom w:val="none" w:sz="0" w:space="0" w:color="auto"/>
            <w:right w:val="none" w:sz="0" w:space="0" w:color="auto"/>
          </w:divBdr>
        </w:div>
      </w:divsChild>
    </w:div>
    <w:div w:id="1977755256">
      <w:bodyDiv w:val="1"/>
      <w:marLeft w:val="0"/>
      <w:marRight w:val="0"/>
      <w:marTop w:val="0"/>
      <w:marBottom w:val="0"/>
      <w:divBdr>
        <w:top w:val="none" w:sz="0" w:space="0" w:color="auto"/>
        <w:left w:val="none" w:sz="0" w:space="0" w:color="auto"/>
        <w:bottom w:val="none" w:sz="0" w:space="0" w:color="auto"/>
        <w:right w:val="none" w:sz="0" w:space="0" w:color="auto"/>
      </w:divBdr>
      <w:divsChild>
        <w:div w:id="274672769">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ain.ulster.ac.uk/events/crights/chron.ht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310AEF-DDFA-45E8-89CC-3C451D6FF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1240</TotalTime>
  <Pages>9</Pages>
  <Words>2532</Words>
  <Characters>13322</Characters>
  <Application>Microsoft Office Word</Application>
  <DocSecurity>0</DocSecurity>
  <Lines>204</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 Kunicki</dc:creator>
  <cp:keywords/>
  <dc:description/>
  <cp:lastModifiedBy>Ania Kunicki</cp:lastModifiedBy>
  <cp:revision>34</cp:revision>
  <dcterms:created xsi:type="dcterms:W3CDTF">2024-09-26T09:30:00Z</dcterms:created>
  <dcterms:modified xsi:type="dcterms:W3CDTF">2024-10-13T18:37:00Z</dcterms:modified>
</cp:coreProperties>
</file>