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ind w:firstLine="2640" w:firstLineChars="1100"/>
        <w:jc w:val="left"/>
        <w:rPr>
          <w:rFonts w:hint="default" w:ascii="Times New Roman" w:hAnsi="Times New Roman" w:eastAsia="宋体" w:cs="Times New Roman"/>
          <w:sz w:val="24"/>
          <w:szCs w:val="24"/>
          <w:lang w:val="en-US" w:eastAsia="zh-CN"/>
        </w:rPr>
      </w:pPr>
      <w:r>
        <w:rPr>
          <w:rFonts w:ascii="Times New Roman" w:hAnsi="Times New Roman" w:eastAsia="Times New Roman" w:cs="Times New Roman"/>
          <w:sz w:val="24"/>
          <w:szCs w:val="24"/>
        </w:rPr>
        <w:t>Name</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Suibin  Yang（2227824）</w:t>
      </w:r>
    </w:p>
    <w:p>
      <w:pPr>
        <w:spacing w:line="480" w:lineRule="auto"/>
        <w:ind w:firstLine="2400" w:firstLineChars="1000"/>
        <w:jc w:val="left"/>
        <w:rPr>
          <w:rFonts w:hint="eastAsia" w:ascii="Times New Roman" w:hAnsi="Times New Roman" w:eastAsia="宋体" w:cs="Times New Roman"/>
          <w:sz w:val="24"/>
          <w:szCs w:val="24"/>
          <w:lang w:eastAsia="zh-CN"/>
        </w:rPr>
      </w:pPr>
      <w:r>
        <w:rPr>
          <w:rFonts w:ascii="Times New Roman" w:hAnsi="Times New Roman" w:cs="Times New Roman"/>
          <w:sz w:val="24"/>
          <w:szCs w:val="24"/>
        </w:rPr>
        <w:t>Module</w:t>
      </w:r>
      <w:r>
        <w:rPr>
          <w:rFonts w:hint="eastAsia" w:ascii="Times New Roman" w:hAnsi="Times New Roman" w:eastAsia="宋体" w:cs="Times New Roman"/>
          <w:sz w:val="24"/>
          <w:szCs w:val="24"/>
          <w:lang w:eastAsia="zh-CN"/>
        </w:rPr>
        <w:t>：Marketing Management (BMMB7012)</w:t>
      </w:r>
    </w:p>
    <w:p>
      <w:pPr>
        <w:spacing w:line="480" w:lineRule="auto"/>
        <w:jc w:val="both"/>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bookmarkStart w:id="18" w:name="_GoBack"/>
      <w:bookmarkEnd w:id="18"/>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TABLE OF CONTENTS</w:t>
      </w:r>
    </w:p>
    <w:p>
      <w:pPr>
        <w:spacing w:line="480" w:lineRule="auto"/>
        <w:rPr>
          <w:rFonts w:ascii="Times New Roman" w:hAnsi="Times New Roman" w:eastAsia="Times New Roman" w:cs="Times New Roman"/>
          <w:sz w:val="24"/>
          <w:szCs w:val="24"/>
        </w:rPr>
      </w:pPr>
    </w:p>
    <w:sdt>
      <w:sdtPr>
        <w:rPr>
          <w:rFonts w:ascii="Times New Roman" w:hAnsi="Times New Roman" w:cs="Times New Roman"/>
        </w:rPr>
        <w:id w:val="15665482"/>
        <w:docPartObj>
          <w:docPartGallery w:val="Table of Contents"/>
          <w:docPartUnique/>
        </w:docPartObj>
      </w:sdtPr>
      <w:sdtEndPr>
        <w:rPr>
          <w:rFonts w:ascii="Times New Roman" w:hAnsi="Times New Roman" w:cs="Times New Roman"/>
          <w:b w:val="0"/>
        </w:rPr>
      </w:sdtEndPr>
      <w:sdtContent>
        <w:p>
          <w:pPr>
            <w:pStyle w:val="11"/>
            <w:rPr>
              <w:rFonts w:ascii="Times New Roman" w:hAnsi="Times New Roman" w:cs="Times New Roman" w:eastAsiaTheme="minorEastAsia"/>
              <w:b w:val="0"/>
              <w:lang w:val="en-GB"/>
            </w:rPr>
          </w:pPr>
          <w:r>
            <w:rPr>
              <w:rFonts w:ascii="Times New Roman" w:hAnsi="Times New Roman" w:cs="Times New Roman"/>
            </w:rPr>
            <w:fldChar w:fldCharType="begin"/>
          </w:r>
          <w:r>
            <w:rPr>
              <w:rFonts w:ascii="Times New Roman" w:hAnsi="Times New Roman" w:cs="Times New Roman"/>
            </w:rPr>
            <w:instrText xml:space="preserve"> TOC \h \u \z \t "Heading 1,1,Heading 2,2,Heading 3,3,Heading 4,4,Heading 5,5,Heading 6,6,"</w:instrText>
          </w:r>
          <w:r>
            <w:rPr>
              <w:rFonts w:ascii="Times New Roman" w:hAnsi="Times New Roman" w:cs="Times New Roman"/>
            </w:rPr>
            <w:fldChar w:fldCharType="separate"/>
          </w:r>
          <w:r>
            <w:fldChar w:fldCharType="begin"/>
          </w:r>
          <w:r>
            <w:instrText xml:space="preserve"> HYPERLINK \l "_Toc140247701" </w:instrText>
          </w:r>
          <w:r>
            <w:fldChar w:fldCharType="separate"/>
          </w:r>
          <w:r>
            <w:rPr>
              <w:rStyle w:val="18"/>
              <w:rFonts w:ascii="Times New Roman" w:hAnsi="Times New Roman" w:cs="Times New Roman"/>
            </w:rPr>
            <w:t>Executive summary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_Toc140247701 \h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r>
            <w:rPr>
              <w:rFonts w:ascii="Times New Roman" w:hAnsi="Times New Roman" w:cs="Times New Roman"/>
            </w:rPr>
            <w:fldChar w:fldCharType="end"/>
          </w:r>
        </w:p>
        <w:p>
          <w:pPr>
            <w:pStyle w:val="14"/>
            <w:tabs>
              <w:tab w:val="right" w:leader="dot" w:pos="9350"/>
            </w:tabs>
            <w:rPr>
              <w:rFonts w:ascii="Times New Roman" w:hAnsi="Times New Roman" w:cs="Times New Roman" w:eastAsiaTheme="minorEastAsia"/>
              <w:lang w:val="en-GB"/>
            </w:rPr>
          </w:pPr>
          <w:r>
            <w:fldChar w:fldCharType="begin"/>
          </w:r>
          <w:r>
            <w:instrText xml:space="preserve"> HYPERLINK \l "_Toc140247702" </w:instrText>
          </w:r>
          <w:r>
            <w:fldChar w:fldCharType="separate"/>
          </w:r>
          <w:r>
            <w:rPr>
              <w:rStyle w:val="18"/>
              <w:rFonts w:ascii="Times New Roman" w:hAnsi="Times New Roman" w:cs="Times New Roman"/>
            </w:rPr>
            <w:t>Introduction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_Toc140247702 \h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cs="Times New Roman"/>
            </w:rPr>
            <w:fldChar w:fldCharType="end"/>
          </w:r>
        </w:p>
        <w:p>
          <w:pPr>
            <w:pStyle w:val="11"/>
            <w:rPr>
              <w:rFonts w:ascii="Times New Roman" w:hAnsi="Times New Roman" w:cs="Times New Roman" w:eastAsiaTheme="minorEastAsia"/>
              <w:b w:val="0"/>
              <w:lang w:val="en-GB"/>
            </w:rPr>
          </w:pPr>
          <w:r>
            <w:fldChar w:fldCharType="begin"/>
          </w:r>
          <w:r>
            <w:instrText xml:space="preserve"> HYPERLINK \l "_Toc140247703" </w:instrText>
          </w:r>
          <w:r>
            <w:fldChar w:fldCharType="separate"/>
          </w:r>
          <w:r>
            <w:rPr>
              <w:rStyle w:val="18"/>
              <w:rFonts w:ascii="Times New Roman" w:hAnsi="Times New Roman" w:cs="Times New Roman"/>
            </w:rPr>
            <w:t>Task 1 Report Main Findings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_Toc140247703 \h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r>
            <w:rPr>
              <w:rFonts w:ascii="Times New Roman" w:hAnsi="Times New Roman" w:cs="Times New Roman"/>
            </w:rPr>
            <w:fldChar w:fldCharType="end"/>
          </w:r>
        </w:p>
        <w:p>
          <w:pPr>
            <w:pStyle w:val="14"/>
            <w:tabs>
              <w:tab w:val="right" w:leader="dot" w:pos="9350"/>
            </w:tabs>
            <w:rPr>
              <w:rFonts w:ascii="Times New Roman" w:hAnsi="Times New Roman" w:cs="Times New Roman" w:eastAsiaTheme="minorEastAsia"/>
              <w:lang w:val="en-GB"/>
            </w:rPr>
          </w:pPr>
          <w:r>
            <w:fldChar w:fldCharType="begin"/>
          </w:r>
          <w:r>
            <w:instrText xml:space="preserve"> HYPERLINK \l "_Toc140247704" </w:instrText>
          </w:r>
          <w:r>
            <w:fldChar w:fldCharType="separate"/>
          </w:r>
          <w:r>
            <w:rPr>
              <w:rStyle w:val="18"/>
              <w:rFonts w:ascii="Times New Roman" w:hAnsi="Times New Roman" w:cs="Times New Roman"/>
            </w:rPr>
            <w:t>A. Threat of new entrants in the Chinese beverage market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_Toc140247704 \h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r>
            <w:rPr>
              <w:rFonts w:ascii="Times New Roman" w:hAnsi="Times New Roman" w:cs="Times New Roman"/>
            </w:rPr>
            <w:fldChar w:fldCharType="end"/>
          </w:r>
        </w:p>
        <w:p>
          <w:pPr>
            <w:pStyle w:val="14"/>
            <w:tabs>
              <w:tab w:val="right" w:leader="dot" w:pos="9350"/>
            </w:tabs>
            <w:rPr>
              <w:rFonts w:ascii="Times New Roman" w:hAnsi="Times New Roman" w:cs="Times New Roman" w:eastAsiaTheme="minorEastAsia"/>
              <w:lang w:val="en-GB"/>
            </w:rPr>
          </w:pPr>
          <w:r>
            <w:fldChar w:fldCharType="begin"/>
          </w:r>
          <w:r>
            <w:instrText xml:space="preserve"> HYPERLINK \l "_Toc140247705" </w:instrText>
          </w:r>
          <w:r>
            <w:fldChar w:fldCharType="separate"/>
          </w:r>
          <w:r>
            <w:rPr>
              <w:rStyle w:val="18"/>
              <w:rFonts w:ascii="Times New Roman" w:hAnsi="Times New Roman" w:cs="Times New Roman"/>
            </w:rPr>
            <w:t>B. Bargaining power of suppliers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_Toc140247705 \h </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r>
            <w:rPr>
              <w:rFonts w:ascii="Times New Roman" w:hAnsi="Times New Roman" w:cs="Times New Roman"/>
            </w:rPr>
            <w:fldChar w:fldCharType="end"/>
          </w:r>
        </w:p>
        <w:p>
          <w:pPr>
            <w:pStyle w:val="14"/>
            <w:tabs>
              <w:tab w:val="right" w:leader="dot" w:pos="9350"/>
            </w:tabs>
            <w:rPr>
              <w:rFonts w:ascii="Times New Roman" w:hAnsi="Times New Roman" w:cs="Times New Roman" w:eastAsiaTheme="minorEastAsia"/>
              <w:lang w:val="en-GB"/>
            </w:rPr>
          </w:pPr>
          <w:r>
            <w:fldChar w:fldCharType="begin"/>
          </w:r>
          <w:r>
            <w:instrText xml:space="preserve"> HYPERLINK \l "_Toc140247706" </w:instrText>
          </w:r>
          <w:r>
            <w:fldChar w:fldCharType="separate"/>
          </w:r>
          <w:r>
            <w:rPr>
              <w:rStyle w:val="18"/>
              <w:rFonts w:ascii="Times New Roman" w:hAnsi="Times New Roman" w:cs="Times New Roman"/>
            </w:rPr>
            <w:t>C. Bargaining power of buyers in China</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_Toc140247706 \h </w:instrText>
          </w:r>
          <w:r>
            <w:rPr>
              <w:rFonts w:ascii="Times New Roman" w:hAnsi="Times New Roman" w:cs="Times New Roman"/>
            </w:rPr>
            <w:fldChar w:fldCharType="separate"/>
          </w:r>
          <w:r>
            <w:rPr>
              <w:rFonts w:ascii="Times New Roman" w:hAnsi="Times New Roman" w:cs="Times New Roman"/>
            </w:rPr>
            <w:t>7</w:t>
          </w:r>
          <w:r>
            <w:rPr>
              <w:rFonts w:ascii="Times New Roman" w:hAnsi="Times New Roman" w:cs="Times New Roman"/>
            </w:rPr>
            <w:fldChar w:fldCharType="end"/>
          </w:r>
          <w:r>
            <w:rPr>
              <w:rFonts w:ascii="Times New Roman" w:hAnsi="Times New Roman" w:cs="Times New Roman"/>
            </w:rPr>
            <w:fldChar w:fldCharType="end"/>
          </w:r>
        </w:p>
        <w:p>
          <w:pPr>
            <w:pStyle w:val="14"/>
            <w:tabs>
              <w:tab w:val="right" w:leader="dot" w:pos="9350"/>
            </w:tabs>
            <w:rPr>
              <w:rFonts w:ascii="Times New Roman" w:hAnsi="Times New Roman" w:cs="Times New Roman" w:eastAsiaTheme="minorEastAsia"/>
              <w:lang w:val="en-GB"/>
            </w:rPr>
          </w:pPr>
          <w:r>
            <w:fldChar w:fldCharType="begin"/>
          </w:r>
          <w:r>
            <w:instrText xml:space="preserve"> HYPERLINK \l "_Toc140247707" </w:instrText>
          </w:r>
          <w:r>
            <w:fldChar w:fldCharType="separate"/>
          </w:r>
          <w:r>
            <w:rPr>
              <w:rStyle w:val="18"/>
              <w:rFonts w:ascii="Times New Roman" w:hAnsi="Times New Roman" w:cs="Times New Roman"/>
            </w:rPr>
            <w:t>D. Threat of substitutes in China</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_Toc140247707 \h </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r>
            <w:rPr>
              <w:rFonts w:ascii="Times New Roman" w:hAnsi="Times New Roman" w:cs="Times New Roman"/>
            </w:rPr>
            <w:fldChar w:fldCharType="end"/>
          </w:r>
        </w:p>
        <w:p>
          <w:pPr>
            <w:pStyle w:val="14"/>
            <w:tabs>
              <w:tab w:val="right" w:leader="dot" w:pos="9350"/>
            </w:tabs>
            <w:rPr>
              <w:rFonts w:ascii="Times New Roman" w:hAnsi="Times New Roman" w:cs="Times New Roman" w:eastAsiaTheme="minorEastAsia"/>
              <w:lang w:val="en-GB"/>
            </w:rPr>
          </w:pPr>
          <w:r>
            <w:fldChar w:fldCharType="begin"/>
          </w:r>
          <w:r>
            <w:instrText xml:space="preserve"> HYPERLINK \l "_Toc140247708" </w:instrText>
          </w:r>
          <w:r>
            <w:fldChar w:fldCharType="separate"/>
          </w:r>
          <w:r>
            <w:rPr>
              <w:rStyle w:val="18"/>
              <w:rFonts w:ascii="Times New Roman" w:hAnsi="Times New Roman" w:cs="Times New Roman"/>
            </w:rPr>
            <w:t>E. Intensity of competitive rivalry in China and internationally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_Toc140247708 \h </w:instrText>
          </w:r>
          <w:r>
            <w:rPr>
              <w:rFonts w:ascii="Times New Roman" w:hAnsi="Times New Roman" w:cs="Times New Roman"/>
            </w:rPr>
            <w:fldChar w:fldCharType="separate"/>
          </w:r>
          <w:r>
            <w:rPr>
              <w:rFonts w:ascii="Times New Roman" w:hAnsi="Times New Roman" w:cs="Times New Roman"/>
            </w:rPr>
            <w:t>9</w:t>
          </w:r>
          <w:r>
            <w:rPr>
              <w:rFonts w:ascii="Times New Roman" w:hAnsi="Times New Roman" w:cs="Times New Roman"/>
            </w:rPr>
            <w:fldChar w:fldCharType="end"/>
          </w:r>
          <w:r>
            <w:rPr>
              <w:rFonts w:ascii="Times New Roman" w:hAnsi="Times New Roman" w:cs="Times New Roman"/>
            </w:rPr>
            <w:fldChar w:fldCharType="end"/>
          </w:r>
        </w:p>
        <w:p>
          <w:pPr>
            <w:pStyle w:val="11"/>
            <w:rPr>
              <w:rFonts w:ascii="Times New Roman" w:hAnsi="Times New Roman" w:cs="Times New Roman" w:eastAsiaTheme="minorEastAsia"/>
              <w:b w:val="0"/>
              <w:lang w:val="en-GB"/>
            </w:rPr>
          </w:pPr>
          <w:r>
            <w:fldChar w:fldCharType="begin"/>
          </w:r>
          <w:r>
            <w:instrText xml:space="preserve"> HYPERLINK \l "_Toc140247709" </w:instrText>
          </w:r>
          <w:r>
            <w:fldChar w:fldCharType="separate"/>
          </w:r>
          <w:r>
            <w:rPr>
              <w:rStyle w:val="18"/>
              <w:rFonts w:ascii="Times New Roman" w:hAnsi="Times New Roman" w:cs="Times New Roman"/>
            </w:rPr>
            <w:t>Task 2 Conclusion Drawn from the Subject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_Toc140247709 \h </w:instrText>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r>
            <w:rPr>
              <w:rFonts w:ascii="Times New Roman" w:hAnsi="Times New Roman" w:cs="Times New Roman"/>
            </w:rPr>
            <w:fldChar w:fldCharType="end"/>
          </w:r>
        </w:p>
        <w:p>
          <w:pPr>
            <w:pStyle w:val="14"/>
            <w:tabs>
              <w:tab w:val="right" w:leader="dot" w:pos="9350"/>
            </w:tabs>
            <w:rPr>
              <w:rFonts w:ascii="Times New Roman" w:hAnsi="Times New Roman" w:cs="Times New Roman" w:eastAsiaTheme="minorEastAsia"/>
              <w:lang w:val="en-GB"/>
            </w:rPr>
          </w:pPr>
          <w:r>
            <w:fldChar w:fldCharType="begin"/>
          </w:r>
          <w:r>
            <w:instrText xml:space="preserve"> HYPERLINK \l "_Toc140247710" </w:instrText>
          </w:r>
          <w:r>
            <w:fldChar w:fldCharType="separate"/>
          </w:r>
          <w:r>
            <w:rPr>
              <w:rStyle w:val="18"/>
              <w:rFonts w:ascii="Times New Roman" w:hAnsi="Times New Roman" w:cs="Times New Roman"/>
            </w:rPr>
            <w:t>Summary of Main Findings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_Toc140247710 \h </w:instrText>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r>
            <w:rPr>
              <w:rFonts w:ascii="Times New Roman" w:hAnsi="Times New Roman" w:cs="Times New Roman"/>
            </w:rPr>
            <w:fldChar w:fldCharType="end"/>
          </w:r>
        </w:p>
        <w:p>
          <w:pPr>
            <w:pStyle w:val="14"/>
            <w:tabs>
              <w:tab w:val="right" w:leader="dot" w:pos="9350"/>
            </w:tabs>
            <w:rPr>
              <w:rFonts w:ascii="Times New Roman" w:hAnsi="Times New Roman" w:cs="Times New Roman" w:eastAsiaTheme="minorEastAsia"/>
              <w:lang w:val="en-GB"/>
            </w:rPr>
          </w:pPr>
          <w:r>
            <w:fldChar w:fldCharType="begin"/>
          </w:r>
          <w:r>
            <w:instrText xml:space="preserve"> HYPERLINK \l "_Toc140247711" </w:instrText>
          </w:r>
          <w:r>
            <w:fldChar w:fldCharType="separate"/>
          </w:r>
          <w:r>
            <w:rPr>
              <w:rStyle w:val="18"/>
              <w:rFonts w:ascii="Times New Roman" w:hAnsi="Times New Roman" w:cs="Times New Roman"/>
            </w:rPr>
            <w:t>Future Developments in the Field of Marketing</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_Toc140247711 \h </w:instrText>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r>
            <w:rPr>
              <w:rFonts w:ascii="Times New Roman" w:hAnsi="Times New Roman" w:cs="Times New Roman"/>
            </w:rPr>
            <w:fldChar w:fldCharType="end"/>
          </w:r>
        </w:p>
        <w:p>
          <w:pPr>
            <w:pStyle w:val="11"/>
            <w:rPr>
              <w:rFonts w:ascii="Times New Roman" w:hAnsi="Times New Roman" w:cs="Times New Roman" w:eastAsiaTheme="minorEastAsia"/>
              <w:b w:val="0"/>
              <w:lang w:val="en-GB"/>
            </w:rPr>
          </w:pPr>
          <w:r>
            <w:fldChar w:fldCharType="begin"/>
          </w:r>
          <w:r>
            <w:instrText xml:space="preserve"> HYPERLINK \l "_Toc140247712" </w:instrText>
          </w:r>
          <w:r>
            <w:fldChar w:fldCharType="separate"/>
          </w:r>
          <w:r>
            <w:rPr>
              <w:rStyle w:val="18"/>
              <w:rFonts w:ascii="Times New Roman" w:hAnsi="Times New Roman" w:cs="Times New Roman"/>
            </w:rPr>
            <w:t>Task 3 Recommendations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_Toc140247712 \h </w:instrText>
          </w:r>
          <w:r>
            <w:rPr>
              <w:rFonts w:ascii="Times New Roman" w:hAnsi="Times New Roman" w:cs="Times New Roman"/>
            </w:rPr>
            <w:fldChar w:fldCharType="separate"/>
          </w:r>
          <w:r>
            <w:rPr>
              <w:rFonts w:ascii="Times New Roman" w:hAnsi="Times New Roman" w:cs="Times New Roman"/>
            </w:rPr>
            <w:t>12</w:t>
          </w:r>
          <w:r>
            <w:rPr>
              <w:rFonts w:ascii="Times New Roman" w:hAnsi="Times New Roman" w:cs="Times New Roman"/>
            </w:rPr>
            <w:fldChar w:fldCharType="end"/>
          </w:r>
          <w:r>
            <w:rPr>
              <w:rFonts w:ascii="Times New Roman" w:hAnsi="Times New Roman" w:cs="Times New Roman"/>
            </w:rPr>
            <w:fldChar w:fldCharType="end"/>
          </w:r>
        </w:p>
        <w:p>
          <w:pPr>
            <w:pStyle w:val="14"/>
            <w:tabs>
              <w:tab w:val="right" w:leader="dot" w:pos="9350"/>
            </w:tabs>
            <w:rPr>
              <w:rFonts w:ascii="Times New Roman" w:hAnsi="Times New Roman" w:cs="Times New Roman" w:eastAsiaTheme="minorEastAsia"/>
              <w:lang w:val="en-GB"/>
            </w:rPr>
          </w:pPr>
          <w:r>
            <w:fldChar w:fldCharType="begin"/>
          </w:r>
          <w:r>
            <w:instrText xml:space="preserve"> HYPERLINK \l "_Toc140247713" </w:instrText>
          </w:r>
          <w:r>
            <w:fldChar w:fldCharType="separate"/>
          </w:r>
          <w:r>
            <w:rPr>
              <w:rStyle w:val="18"/>
              <w:rFonts w:ascii="Times New Roman" w:hAnsi="Times New Roman" w:cs="Times New Roman"/>
            </w:rPr>
            <w:t>A. Reinforcing brand image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_Toc140247713 \h </w:instrText>
          </w:r>
          <w:r>
            <w:rPr>
              <w:rFonts w:ascii="Times New Roman" w:hAnsi="Times New Roman" w:cs="Times New Roman"/>
            </w:rPr>
            <w:fldChar w:fldCharType="separate"/>
          </w:r>
          <w:r>
            <w:rPr>
              <w:rFonts w:ascii="Times New Roman" w:hAnsi="Times New Roman" w:cs="Times New Roman"/>
            </w:rPr>
            <w:t>12</w:t>
          </w:r>
          <w:r>
            <w:rPr>
              <w:rFonts w:ascii="Times New Roman" w:hAnsi="Times New Roman" w:cs="Times New Roman"/>
            </w:rPr>
            <w:fldChar w:fldCharType="end"/>
          </w:r>
          <w:r>
            <w:rPr>
              <w:rFonts w:ascii="Times New Roman" w:hAnsi="Times New Roman" w:cs="Times New Roman"/>
            </w:rPr>
            <w:fldChar w:fldCharType="end"/>
          </w:r>
        </w:p>
        <w:p>
          <w:pPr>
            <w:pStyle w:val="14"/>
            <w:tabs>
              <w:tab w:val="right" w:leader="dot" w:pos="9350"/>
            </w:tabs>
            <w:rPr>
              <w:rFonts w:ascii="Times New Roman" w:hAnsi="Times New Roman" w:cs="Times New Roman" w:eastAsiaTheme="minorEastAsia"/>
              <w:lang w:val="en-GB"/>
            </w:rPr>
          </w:pPr>
          <w:r>
            <w:fldChar w:fldCharType="begin"/>
          </w:r>
          <w:r>
            <w:instrText xml:space="preserve"> HYPERLINK \l "_Toc140247714" </w:instrText>
          </w:r>
          <w:r>
            <w:fldChar w:fldCharType="separate"/>
          </w:r>
          <w:r>
            <w:rPr>
              <w:rStyle w:val="18"/>
              <w:rFonts w:ascii="Times New Roman" w:hAnsi="Times New Roman" w:cs="Times New Roman"/>
            </w:rPr>
            <w:t>B. Expanding distribution network</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_Toc140247714 \h </w:instrText>
          </w:r>
          <w:r>
            <w:rPr>
              <w:rFonts w:ascii="Times New Roman" w:hAnsi="Times New Roman" w:cs="Times New Roman"/>
            </w:rPr>
            <w:fldChar w:fldCharType="separate"/>
          </w:r>
          <w:r>
            <w:rPr>
              <w:rFonts w:ascii="Times New Roman" w:hAnsi="Times New Roman" w:cs="Times New Roman"/>
            </w:rPr>
            <w:t>13</w:t>
          </w:r>
          <w:r>
            <w:rPr>
              <w:rFonts w:ascii="Times New Roman" w:hAnsi="Times New Roman" w:cs="Times New Roman"/>
            </w:rPr>
            <w:fldChar w:fldCharType="end"/>
          </w:r>
          <w:r>
            <w:rPr>
              <w:rFonts w:ascii="Times New Roman" w:hAnsi="Times New Roman" w:cs="Times New Roman"/>
            </w:rPr>
            <w:fldChar w:fldCharType="end"/>
          </w:r>
        </w:p>
        <w:p>
          <w:pPr>
            <w:pStyle w:val="14"/>
            <w:tabs>
              <w:tab w:val="right" w:leader="dot" w:pos="9350"/>
            </w:tabs>
            <w:rPr>
              <w:rFonts w:ascii="Times New Roman" w:hAnsi="Times New Roman" w:cs="Times New Roman" w:eastAsiaTheme="minorEastAsia"/>
              <w:lang w:val="en-GB"/>
            </w:rPr>
          </w:pPr>
          <w:r>
            <w:fldChar w:fldCharType="begin"/>
          </w:r>
          <w:r>
            <w:instrText xml:space="preserve"> HYPERLINK \l "_Toc140247715" </w:instrText>
          </w:r>
          <w:r>
            <w:fldChar w:fldCharType="separate"/>
          </w:r>
          <w:r>
            <w:rPr>
              <w:rStyle w:val="18"/>
              <w:rFonts w:ascii="Times New Roman" w:hAnsi="Times New Roman" w:cs="Times New Roman"/>
            </w:rPr>
            <w:t>C. Innovating product line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_Toc140247715 \h </w:instrText>
          </w:r>
          <w:r>
            <w:rPr>
              <w:rFonts w:ascii="Times New Roman" w:hAnsi="Times New Roman" w:cs="Times New Roman"/>
            </w:rPr>
            <w:fldChar w:fldCharType="separate"/>
          </w:r>
          <w:r>
            <w:rPr>
              <w:rFonts w:ascii="Times New Roman" w:hAnsi="Times New Roman" w:cs="Times New Roman"/>
            </w:rPr>
            <w:t>14</w:t>
          </w:r>
          <w:r>
            <w:rPr>
              <w:rFonts w:ascii="Times New Roman" w:hAnsi="Times New Roman" w:cs="Times New Roman"/>
            </w:rPr>
            <w:fldChar w:fldCharType="end"/>
          </w:r>
          <w:r>
            <w:rPr>
              <w:rFonts w:ascii="Times New Roman" w:hAnsi="Times New Roman" w:cs="Times New Roman"/>
            </w:rPr>
            <w:fldChar w:fldCharType="end"/>
          </w:r>
        </w:p>
        <w:p>
          <w:pPr>
            <w:pStyle w:val="11"/>
            <w:rPr>
              <w:rFonts w:ascii="Times New Roman" w:hAnsi="Times New Roman" w:cs="Times New Roman" w:eastAsiaTheme="minorEastAsia"/>
              <w:b w:val="0"/>
              <w:lang w:val="en-GB"/>
            </w:rPr>
          </w:pPr>
          <w:r>
            <w:fldChar w:fldCharType="begin"/>
          </w:r>
          <w:r>
            <w:instrText xml:space="preserve"> HYPERLINK \l "_Toc140247716" </w:instrText>
          </w:r>
          <w:r>
            <w:fldChar w:fldCharType="separate"/>
          </w:r>
          <w:r>
            <w:rPr>
              <w:rStyle w:val="18"/>
              <w:rFonts w:ascii="Times New Roman" w:hAnsi="Times New Roman" w:cs="Times New Roman"/>
            </w:rPr>
            <w:t>References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_Toc140247716 \h </w:instrText>
          </w:r>
          <w:r>
            <w:rPr>
              <w:rFonts w:ascii="Times New Roman" w:hAnsi="Times New Roman" w:cs="Times New Roman"/>
            </w:rPr>
            <w:fldChar w:fldCharType="separate"/>
          </w:r>
          <w:r>
            <w:rPr>
              <w:rFonts w:ascii="Times New Roman" w:hAnsi="Times New Roman" w:cs="Times New Roman"/>
            </w:rPr>
            <w:t>16</w:t>
          </w:r>
          <w:r>
            <w:rPr>
              <w:rFonts w:ascii="Times New Roman" w:hAnsi="Times New Roman" w:cs="Times New Roman"/>
            </w:rPr>
            <w:fldChar w:fldCharType="end"/>
          </w:r>
          <w:r>
            <w:rPr>
              <w:rFonts w:ascii="Times New Roman" w:hAnsi="Times New Roman" w:cs="Times New Roman"/>
            </w:rPr>
            <w:fldChar w:fldCharType="end"/>
          </w:r>
        </w:p>
        <w:p>
          <w:pPr>
            <w:widowControl w:val="0"/>
            <w:tabs>
              <w:tab w:val="right" w:leader="dot" w:pos="12000"/>
            </w:tabs>
            <w:spacing w:before="60" w:line="480" w:lineRule="auto"/>
            <w:ind w:right="720"/>
            <w:rPr>
              <w:rFonts w:ascii="Times New Roman" w:hAnsi="Times New Roman" w:eastAsia="Times New Roman" w:cs="Times New Roman"/>
              <w:b/>
              <w:color w:val="000000"/>
            </w:rPr>
          </w:pPr>
          <w:r>
            <w:rPr>
              <w:rFonts w:ascii="Times New Roman" w:hAnsi="Times New Roman" w:cs="Times New Roman"/>
            </w:rPr>
            <w:fldChar w:fldCharType="end"/>
          </w:r>
        </w:p>
      </w:sdtContent>
    </w:sdt>
    <w:p>
      <w:pPr>
        <w:spacing w:line="480" w:lineRule="auto"/>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rPr>
          <w:rFonts w:ascii="Times New Roman" w:hAnsi="Times New Roman" w:eastAsia="Times New Roman" w:cs="Times New Roman"/>
          <w:sz w:val="24"/>
          <w:szCs w:val="24"/>
        </w:rPr>
      </w:pPr>
    </w:p>
    <w:p>
      <w:pPr>
        <w:pStyle w:val="2"/>
      </w:pPr>
      <w:bookmarkStart w:id="0" w:name="_27t3zmucxngp" w:colFirst="0" w:colLast="0"/>
      <w:bookmarkEnd w:id="0"/>
      <w:bookmarkStart w:id="1" w:name="_Toc140247701"/>
      <w:r>
        <w:t>Executive summary</w:t>
      </w:r>
      <w:bookmarkEnd w:id="1"/>
      <w:r>
        <w:t xml:space="preserve"> </w:t>
      </w:r>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The document offers a thorough market assessment regarding PepsiCo in the Chinese mainland drink industry. It applies Porter's 5 Forces methodology. The study indicates that the risk from potential competitors is considerable in the Chinese market. PepsiCo sustains its standing by brand image, delivery system, and innovative products. The negotiating ability of vendors is medium, owing to assorted purchasing techniques. Consumers' influence is substantial owing to competition among companies such as Pepsi. Alternative possibilities are also significant, prompting PepsiCo's response to healthy-lifestyle trends. Rivalry among competitors is heated, needing constant innovation. Upcoming advancements within the marketing industry, including the need for more nutritious choices, environmental sustainability factors, and digital technology, demand PepsiCo to emphasize innovating its products. Green initiatives and Online advertising are also vital for the company's prosperity in the future. Recommendations include building brand perception, growing sales channels, and developing innovative products. Continual advertising assessment contributes to PepsiCo's triumph in the rapidly evolving Chinese market.</w:t>
      </w:r>
    </w:p>
    <w:p>
      <w:pPr>
        <w:spacing w:line="480" w:lineRule="auto"/>
        <w:rPr>
          <w:rFonts w:ascii="Times New Roman" w:hAnsi="Times New Roman" w:eastAsia="Times New Roman" w:cs="Times New Roman"/>
          <w:sz w:val="24"/>
          <w:szCs w:val="24"/>
        </w:rPr>
      </w:pPr>
    </w:p>
    <w:p>
      <w:pPr>
        <w:spacing w:line="480" w:lineRule="auto"/>
        <w:rPr>
          <w:rFonts w:ascii="Times New Roman" w:hAnsi="Times New Roman" w:eastAsia="Times New Roman" w:cs="Times New Roman"/>
          <w:sz w:val="24"/>
          <w:szCs w:val="24"/>
        </w:rPr>
      </w:pPr>
    </w:p>
    <w:p>
      <w:pPr>
        <w:spacing w:line="480" w:lineRule="auto"/>
        <w:rPr>
          <w:rFonts w:ascii="Times New Roman" w:hAnsi="Times New Roman" w:eastAsia="Times New Roman" w:cs="Times New Roman"/>
          <w:sz w:val="24"/>
          <w:szCs w:val="24"/>
        </w:rPr>
      </w:pPr>
    </w:p>
    <w:p>
      <w:pPr>
        <w:spacing w:line="480" w:lineRule="auto"/>
        <w:rPr>
          <w:rFonts w:ascii="Times New Roman" w:hAnsi="Times New Roman" w:eastAsia="Times New Roman" w:cs="Times New Roman"/>
          <w:sz w:val="24"/>
          <w:szCs w:val="24"/>
        </w:rPr>
      </w:pPr>
    </w:p>
    <w:p>
      <w:pPr>
        <w:spacing w:line="480" w:lineRule="auto"/>
        <w:rPr>
          <w:rFonts w:ascii="Times New Roman" w:hAnsi="Times New Roman" w:eastAsia="Times New Roman" w:cs="Times New Roman"/>
          <w:sz w:val="24"/>
          <w:szCs w:val="24"/>
        </w:rPr>
      </w:pPr>
    </w:p>
    <w:p>
      <w:pPr>
        <w:spacing w:line="480" w:lineRule="auto"/>
        <w:rPr>
          <w:rFonts w:ascii="Times New Roman" w:hAnsi="Times New Roman" w:eastAsia="Times New Roman" w:cs="Times New Roman"/>
          <w:sz w:val="24"/>
          <w:szCs w:val="24"/>
        </w:rPr>
      </w:pPr>
    </w:p>
    <w:p>
      <w:pPr>
        <w:spacing w:line="480" w:lineRule="auto"/>
        <w:rPr>
          <w:rFonts w:ascii="Times New Roman" w:hAnsi="Times New Roman" w:eastAsia="Times New Roman" w:cs="Times New Roman"/>
          <w:sz w:val="24"/>
          <w:szCs w:val="24"/>
        </w:rPr>
      </w:pPr>
    </w:p>
    <w:p>
      <w:pPr>
        <w:spacing w:line="480" w:lineRule="auto"/>
        <w:rPr>
          <w:rFonts w:ascii="Times New Roman" w:hAnsi="Times New Roman" w:eastAsia="Times New Roman" w:cs="Times New Roman"/>
          <w:sz w:val="24"/>
          <w:szCs w:val="24"/>
        </w:rPr>
      </w:pPr>
    </w:p>
    <w:p>
      <w:pPr>
        <w:spacing w:line="480" w:lineRule="auto"/>
        <w:rPr>
          <w:rFonts w:ascii="Times New Roman" w:hAnsi="Times New Roman" w:eastAsia="Times New Roman" w:cs="Times New Roman"/>
          <w:sz w:val="24"/>
          <w:szCs w:val="24"/>
        </w:rPr>
      </w:pPr>
    </w:p>
    <w:p>
      <w:pPr>
        <w:spacing w:line="480" w:lineRule="auto"/>
        <w:rPr>
          <w:rFonts w:ascii="Times New Roman" w:hAnsi="Times New Roman" w:eastAsia="Times New Roman" w:cs="Times New Roman"/>
          <w:sz w:val="24"/>
          <w:szCs w:val="24"/>
        </w:rPr>
      </w:pPr>
    </w:p>
    <w:p>
      <w:pPr>
        <w:pStyle w:val="3"/>
        <w:jc w:val="center"/>
      </w:pPr>
      <w:bookmarkStart w:id="2" w:name="_gnggr1gx6ora" w:colFirst="0" w:colLast="0"/>
      <w:bookmarkEnd w:id="2"/>
      <w:bookmarkStart w:id="3" w:name="_Toc140247702"/>
      <w:r>
        <w:t>Future Development in the Field of Marketing</w:t>
      </w:r>
    </w:p>
    <w:p>
      <w:pPr>
        <w:pStyle w:val="3"/>
      </w:pPr>
      <w:r>
        <w:t>Introduction</w:t>
      </w:r>
      <w:bookmarkEnd w:id="3"/>
    </w:p>
    <w:p>
      <w:pPr>
        <w:spacing w:before="240" w:after="240"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PepsiCo products are consumed more than 1 billion times per day in more than 200 countries and territories worldwide. In 2022, PepsiCo's net revenue will be $86 billion, joined by a complementary beverage and convenience food portfolio that includes Lays, Doritos, Cheetos, Gatorade, Pepsi Cola, Mountain Dew, Quaker and Soda Stream. PepsiCo's product portfolio includes a diverse range of enjoyable foods and beverages, including many iconic brands with estimated annual retail sales of more than $1 billion each. About PepsiCo's Greater China Region, PepsiCo was one of the first companies based in the United States to establish a presence in China. Since 1982, consumers in China have been able to purchase our wares. PepsiCo has invested more than $48 billion RMB in China over the past decade, which has resulted in the creation of more than 100,000 direct and indirect jobs. PepsiCo has established a prosperous food and beverage business, contributing to China's economic development and growth.  The objective of this report is to assess and scrutinize the marketing tactics employed by PepsiCo in China. The assessment will employ Porter's Five Forces framework as a methodology. The report will illuminate the primary discoveries of the assessment. The aforementioned discoveries comprise the menace of novel contenders, the capability of providers and purchasers to negotiate, the possibility of alternatives taking over, as well as the level of competitiveness in the market. The report will utilize these findings to make conclusions and examine how they may impact PepsiCo's marketing campaigns in China. The report will investigate forthcoming advancements in the marketing field. The report will furnish suggestions to PepsiCo for effectively manoeuvring through the changing environment. This report thoroughly evaluates PepsiCo's standing by scrutinizing its marketing strategies in China and examining market factors. Its insights into future developments can provide valuable recommendations for sustained success in the Chinese beverage market.</w:t>
      </w:r>
    </w:p>
    <w:p>
      <w:pPr>
        <w:pStyle w:val="2"/>
      </w:pPr>
      <w:bookmarkStart w:id="4" w:name="_Toc140247703"/>
      <w:r>
        <w:t>Task 1 Report Main Findings</w:t>
      </w:r>
      <w:bookmarkEnd w:id="4"/>
    </w:p>
    <w:p>
      <w:pPr>
        <w:pStyle w:val="3"/>
      </w:pPr>
      <w:bookmarkStart w:id="5" w:name="_Toc140247704"/>
      <w:r>
        <w:t>A. Threat of new entrants in the Chinese beverage market</w:t>
      </w:r>
      <w:bookmarkEnd w:id="5"/>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The trend of new entrants in the Chinese-speaking market is relatively high due to low and boring and unhealthy company trends. For example, domestic companies like Longfool Spring and Uniplus Team successfully entered the market after the Healthy Beverage Operation, CHAO 2018. The main reasons behind the low barriers to entry and the growing consumer trend towards health consciousness are the low barriers to entry. Recently, the opportunity created by the rising demand for healthier beverage options has led domestic companies to take advantage of it. An example of this is how Nongfu Spring and Uni-President have effectively penetrated the market by providing drinks that meet the health inclinations of Chinese customers (Argentieri, 2019). PepsiCo has been able to uphold its dominant position despite the emergence of competitors by implementing diverse tactics. The company's established brand reputation, developed through years of successful global operations, is leveraged as a primary strategy. Having such a reputation aids in building customer confidence and allegiance in China, which grants PepsiCo an advantage over potential competitors. PepsiCo's broad distribution network in China is a second advantage. The enterprise has gained nationwide access to a vast spectrum of buyers by forming alliances with various vendors. Potential new entrants face a challenge due to the extensive distribution network. Matching PepsiCo's reach and market presence could prove challenging for them. In addition, PepsiCo's dedication to developing new products is crucial to uphold its market standing against emerging competitors. The company frequently presents fresh and inventive drink options customized to the tastes and desires of Chinese customers. PepsiCo remains competitive by adjusting its range of products to meet the changing preferences of consumers (Jallow, 2021). It also retains customer loyalty. Although regional differences exist, comparable trends can be identified when examining the behavior of new players in the global market. The threat of new entrants is relatively high in different nations due to entry barriers and growing health-conscious trends. The approach taken by PepsiCo to counter new competitors may differ depending on the unique market conditions and level of competition.</w:t>
      </w:r>
    </w:p>
    <w:p>
      <w:pPr>
        <w:pStyle w:val="3"/>
      </w:pPr>
      <w:bookmarkStart w:id="6" w:name="_Toc140247705"/>
      <w:r>
        <w:t>B. Bargaining power of suppliers</w:t>
      </w:r>
      <w:bookmarkEnd w:id="6"/>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PepsiCo holds moderate bargaining power towards suppliers within the Chinese beverage market. The main reason for this is the existence of several suppliers providing different raw materials. Local and international suppliers provide PepsiCo with ingredients like sugar, corn, and other components (PepsiCo, 2020). The presence of various suppliers lessens the reliance on a particular one, ultimately diminishing their ability to negotiate. The bargaining power of supplies is modular for Pepsi Cola in China. The company's sausage-variant raw material for notable supplies reaches the surface in France. For instance, Pepsi Cola sausage sugar and foam are other ingredients for both local and international supplies, Pepsi Cola 2020. In contrast, in some international markets, certain unique ingredients may increase the supply's bargaining power, such as dairy rice and corn sugar in certain Pepsi Cola 2020.  As per PepsiCo's report in 2020, the utilization of distinct components may result in differences in supplier control among various regions. PepsiCo effectively manages supplier influence by implementing strategic sourcing strategies and supplier management practices. To guarantee a consistent and dependable supply chain, the business employs a varied sourcing technique, collaborating with numerous providers. PepsiCo lessens its susceptibility to potential disturbances or price variations from any sole supplier by involving several suppliers. Additionally, PepsiCo implements stringent supplier management procedures to uphold quality criteria, alleviate potential hazards, and promote enduring alliances. The organization evaluates its suppliers' performance and monitors their adherence to ethical and sustainable criteria. The organization works in close partnership with its suppliers to facilitate ongoing enhancements. PepsiCo exercises these strategies to ensure the management of its supply chain and reduce the possibility of adverse effects from supplier bargaining power.</w:t>
      </w:r>
    </w:p>
    <w:p>
      <w:pPr>
        <w:pStyle w:val="3"/>
      </w:pPr>
      <w:bookmarkStart w:id="7" w:name="_Toc140247706"/>
      <w:r>
        <w:t>C. Bargaining power of buyers in China</w:t>
      </w:r>
      <w:bookmarkEnd w:id="7"/>
    </w:p>
    <w:p>
      <w:pPr>
        <w:spacing w:before="240" w:after="240"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The bargaining power of buys in China is high due to the prevalent capitalist brand like Coca-Cola. Consumers have eminent alternatives to choose from. The existing Pepsi Cola continues to improve the products and services lead in 2016. Choosing between brands is facilitated by considering cost, flavour, and perceived worth. Due to its significant purchasing influence, PepsiCo must consistently enhance its products and services to fulfil and surpass customer expectations. PepsiCo acknowledges the significance of meeting the needs of Chinese customers, as Li and Yang (2016) argue that ongoing enhancement is crucial to maintain competitiveness in the market. The company puts a significant effort into conducting research and development to improve its products. PepsiCo's strategy to remain competitive in the market and maintain customer loyalty involves continuously improving its beverages' taste, nutritional value, and packaging. The company's market share is sustained due to its ability to address its consumers' preferences promptly. It additionally assists in reducing the possible adverse impacts of the strong bargaining power of buyers. The level of competition and consumer awareness can cause fluctuations in the bargaining power of buyers within the global market. This is observed in regions with limited competitive alternatives or greater brand allegiance. The buyer's ability to negotiate is limited. Markets with intense competition and a vast selection of beverages can also lead to high buyer power. Countries such as China demonstrate this fact. PepsiCo acknowledges the importance of tailoring its marketing approaches to varying markets according to the extent of buyer influence. Tailoring offerings and promotions to meet consumers' unique preferences and demands are facilitated by comprehending the particular dynamics of each market. This makes effective meeting of target customers' needs and gaining a competitive edge in the market possible.</w:t>
      </w:r>
    </w:p>
    <w:p>
      <w:pPr>
        <w:pStyle w:val="3"/>
      </w:pPr>
      <w:bookmarkStart w:id="8" w:name="_Toc140247707"/>
      <w:r>
        <w:t>D. Threat of substitutes in China</w:t>
      </w:r>
      <w:bookmarkEnd w:id="8"/>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The market for Chinese beverages is confronted with a significant risk of substitution, which encompasses nourishing drinks, customary refreshments, and tap water. Many people choose healthier options instead of carbonated soft drinks due to their increasing focus on health consciousness. The rise in popularity of health-consciousness has led to a surge in the request for drinks like herbal teas, fruit juices, and functional beverages that are perceived as healthier alternatives. Li and Yang (2016) suggest that these beverages are considered a more wholesome option. Traditional Chinese beverages are widely available and hold cultural importance, which makes them potential replacements for PepsiCo's products. The significant risk of alternatives coincides with the worldwide pattern of growing availability of replacement goods owing to concerns regarding health. The increasing global consciousness about the significance of opting for healthier options is causing a rise in the request for drinks with natural components, functional advantages, and less sugar. The lower sugar content can be shown through numbers, for example, by adding them to the packaging or in a prominent place in the advertising campaign. The second challenge, the threat of new entrants to the Chinese beverage market, is relatively high due to low barriers to entry and emerging health consciousness trends.  As per Euromonitor International's report from 2018, the aforementioned trend is stimulating the demand for these types of products. Due to this trend, the beverage sector has experienced a surge in alternative options to meet evolving consumer tastes. PepsiCo should adjust its range of products to address consumers' changing preferences towards healthier options to reduce the risk posed by potential substitutes. In response to the increasing need for healthier options, the organization has launched novel drinks that contain less sugar, utilize natural components, and offer functional advantages..</w:t>
      </w:r>
    </w:p>
    <w:p>
      <w:pPr>
        <w:pStyle w:val="3"/>
      </w:pPr>
      <w:bookmarkStart w:id="9" w:name="_Toc140247708"/>
      <w:r>
        <w:t>E. Intensity of competitive rivalry in China and internationally</w:t>
      </w:r>
      <w:bookmarkEnd w:id="9"/>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PepsiCo encounter fierce competition from corporations like Coca-Cola in the global and Chinese markets. Local beverage manufacturers are also its competitors. Coca-Cola is a primary rival for PepsiCo, particularly in China. Their continuous competition revolves around acquiring a bigger portion of the market and attracting more customers. Local manufacturers add to the competition by providing distinctive products and marketing strategies (Statista, 2021). The transfer of subsidies, is also high in China. Health Dreams traditional package with even-time water boosts the potential subsidies to Pepsi Cola's products. This is a common trend across most international markets. While the rise in the health-economy system has been increased in the subsidized products, Unimod in the international 2018. Lastly, the intensity of public rivalry on the box in both China and international markets.  PepsiCo needs to innovate its marketing approaches to remain competitive continuously. The company must distinguish itself by presenting distinctive value propositions, efficient branding, and focused marketing strategies. PepsiCo can obtain a competitive advantage by comprehending the inclinations of consumers and adjusting its communication to connect with the intended recipients. The level of competitive rivalry in the global market varies depending on the particular region and prevailing market circumstances. PepsiCo faces competition from various international beverage corporations with distinctive competencies and approaches. PepsiCo needs to consistently modify its marketing approaches to satisfy the requirements of varied markets and remain competitive. It is also crucial to utilise its brand image and establish unique qualities compared to rival companies.</w:t>
      </w:r>
    </w:p>
    <w:p>
      <w:pPr>
        <w:pStyle w:val="2"/>
      </w:pPr>
      <w:bookmarkStart w:id="10" w:name="_Toc140247709"/>
      <w:r>
        <w:t>Task 2 Conclusion Drawn from the Subject</w:t>
      </w:r>
      <w:bookmarkEnd w:id="10"/>
    </w:p>
    <w:p>
      <w:pPr>
        <w:pStyle w:val="3"/>
      </w:pPr>
      <w:bookmarkStart w:id="11" w:name="_Toc140247710"/>
      <w:r>
        <w:t>Summary of Main Findings</w:t>
      </w:r>
      <w:bookmarkEnd w:id="11"/>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After applying Porter's Five Forces to examine PepsiCo's marketing assessment in China, various essential discoveries have emerged. The Chinese beverage market faces a relatively high threat of new entrants because entry barriers are low. Moreover, the increasing inclination towards maintaining good health adds to this probable rivalry. Despite the challenging market conditions, PepsiCo has sustained its standing by leveraging its reputable brand image, vast distribution channels, and continuous product development. PepsiCo's varied sourcing strategies have resulted in the moderate bargaining power of suppliers in China. The company's capacity to acquire raw materials from various providers diminishes the impact of any particular supplier. The high bargaining power of buyers in China is attributed to the existence of competitive brands such as Coca-Cola, which is the third factor to consider. PepsiCo's approach involves constantly enhancing its offerings to tackle this issue. The high possibility of substitutes poses a significant threat in China as the fourth point. Healthy drinks, traditional beverages, or tap water could substitute PepsiCo's products. The level of competitive rivalry is strong in both the domestic Chinese market and the global market. PepsiCo is required to innovate their marketing strategies continuously.</w:t>
      </w:r>
    </w:p>
    <w:p>
      <w:pPr>
        <w:pStyle w:val="3"/>
      </w:pPr>
      <w:bookmarkStart w:id="12" w:name="_Toc140247711"/>
      <w:r>
        <w:t>Future Developments in the Field of Marketing</w:t>
      </w:r>
      <w:bookmarkEnd w:id="12"/>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The beverage sector keeps transforming due to changes in consumer tastes, technological progress, and social shifts. Staying ahead of the competition necessitates that PepsiCo and other beverage companies forecast and adjust to developing trends. They must uphold their market relevance. Anticipated industry developments include several significant trends expected to influence the future. The demand for healthier beverage options has been on the rise. Consumer preferences have significantly changed towards healthier options in recent times. The trend among consumers is towards beverages that offer nutritional advantages, contain natural ingredients, and have less sugar. Increasing recognition of the influence of diet on well-being and physical condition fuels the trend. PepsiCo should persist in allocating resources towards research and development to create novel and varied options for healthier beverages to take advantage of this tendency. It is recommended that the company places emphasis on marketing and promoting these products to expand its reach. The available alternatives may comprise choices derived from plants and certified organic sources. The significance of sustainability and environmental factors is increasing. Consumers prioritize brands dedicated to environmental responsibility as sustainability has become crucial (Sun et al., 2020). The actions above encompass environmentally conscious procurement, utilization of sustainable packaging and the mitigation of carbon emissions across the entirety of the supply network. Effectively communicating sustainability initiatives to consumers should be a priority for PepsiCo. Incorporating sustainable measures not only coincides with the principles of customers but also amplifies the brand's image and cultivates enduring allegiance. The distribution channel has experienced growth in digitalization and e-commerce. The digital era has revolutionized consumers' product discovery, purchasing, and consumption habits. The convenience and accessibility provided to consumers have made e-commerce platforms, mobile apps, and online marketplaces significantly popular. PepsiCo must capitalize on the digitalization wave shaping the beverage industry and enhance its online visibility to stay competitive. The tasks involved in this encompass creating easily navigable websites, mobile apps, and tailored online marketing strategies. PepsiCo can enhance its comprehension of consumer behavior and customize marketing endeavors by teaming up with e-commerce platforms and utilizing data analytics.</w:t>
      </w:r>
    </w:p>
    <w:p>
      <w:pPr>
        <w:pStyle w:val="2"/>
      </w:pPr>
      <w:bookmarkStart w:id="13" w:name="_Toc140247712"/>
      <w:r>
        <w:t>Task 3 Recommendations</w:t>
      </w:r>
      <w:bookmarkEnd w:id="13"/>
    </w:p>
    <w:p>
      <w:pPr>
        <w:pStyle w:val="3"/>
      </w:pPr>
      <w:bookmarkStart w:id="14" w:name="_Toc140247713"/>
      <w:r>
        <w:t>A. Reinforcing brand image</w:t>
      </w:r>
      <w:bookmarkEnd w:id="14"/>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The consistent delivery of messaging and storytelling can improve the value of a brand. PepsiCo can strengthen its brand identity in China by delivering a coherent message and engaging storytelling. The process entails developing a persuasive brand story that connects with customers and conforms to their beliefs and desires. Brand building through existing awareness to increase consumer loyalty and build competitive advantage. For example, IP co-branding or celebrity endorsement. Also to monitor new entrants and be ready to respond to situation is important. Keep abreast of the market and look for alternative suppliers to increase your negotiating leverage and avoid higher switching costs. Also consider forward integration and get involved in business related segments.  Marketing campaigns that feature storytelling can effectively highlight PepsiCo's heritage, quality commitment, and innovation dedication. PepsiCo can enhance brand equity by maintaining a consistent and sincere brand message. Building stronger relationships with Chinese consumers is also a potential outcome. Social media can shape consumer perceptions and sway their purchasing decisions; therefore, utilizing it alongside influencer partnerships could enhance consumer engagement. To connect with Chinese consumers effectively, PepsiCo should utilize social media platforms such as WeChat, Weibo, and Douyin. PepsiCo can enhance its brand recognition by producing compelling and viral content. The target audience can also develop a feeling of togetherness through this. Collaborating with influential personalities and KOLs in the beverage and lifestyle industry can aid PepsiCo to expand its customer base (Zhu et al., 2023). Collaborating can boost the credibility of the brand. Influencers who generate brand hype and communicate favorable experiences can endorse PepsiCo's products. Consumer engagement and brand loyalty are ultimately enhanced as a result. PepsiCo can enhance its position in the fiercely contested Chinese beverage market by bolstering its brand image, broadening its distribution network, and introducing innovative products. To effectively compete with local brands, the company must consider its strategies and local preferences and adapt accordingly. Implementing these recommendations can help PepsiCo adjust to shifting consumer preferences, boost customer involvement, and foster long-term development in the Chinese market.</w:t>
      </w:r>
    </w:p>
    <w:p>
      <w:pPr>
        <w:pStyle w:val="3"/>
      </w:pPr>
      <w:bookmarkStart w:id="15" w:name="_Toc140247714"/>
      <w:r>
        <w:t>B. Expanding distribution network</w:t>
      </w:r>
      <w:bookmarkEnd w:id="15"/>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PepsiCo must partner with nearby distributors and retailers to expand its consumer base. It is recommended that PepsiCo should work together with local distributors and retailers in China to enhance its distribution channels. PepsiCo has the potential to expand its consumer base by utilizing its vast network and market expertise. Their strategy involves collaborating with established local entities to leverage their current customer pool and enter previously untapped markets. Distributors and retailers profoundly comprehend local preferences, consumer behavior, and distribution channels. PepsiCo can use this comprehension to enhance its market reach and focus on particular consumer groups. Collaborative endeavors may comprise shared promotional campaigns, customized product selections, and mutually advantageous pacts that amplify brand recognition and accessibility within the industry. To prevent confusion or disputes, it is crucial to guarantee that every party comprehends their duties and obligations. PepsiCo can experience growth by targeting emerging markets within China as its market continues to evolve (Jallow, 2021). Potential markets may exist in lesser-known municipalities, remote regions or specialized customer segments that are presently not being catered to adequately. PepsiCo can achieve a competitive edge and secure a prominent market position by pinpointing and pursuing these nascent markets before their rivals' entry. An exhaustive comprehension of regional consumer inclinations, distribution infrastructure, and market dynamics is imperative. PepsiCo can customize its marketing tactics and merchandise options to meet the distinct requirements of these developing economies. The local consumers are assured of the relevance and appeal. PepsiCo must prioritize expanding its distribution network in China to increase market reach and attract untapped consumer segments. Partnering with regional distributors and retailers can assist PepsiCo in utilizing pre-existing infrastructure and distribution channels. Efficient and widespread product availability will be facilitated. PepsiCo can leverage unexplored potential by venturing into emerging markets within China. This additionally facilitates the establishment of a strong foothold in growth areas. PepsiCo can enhance its distribution network by applying these tactics. Achieving sustainable growth in the Chinese beverage market and increasing market share are possible outcomes.</w:t>
      </w:r>
    </w:p>
    <w:p>
      <w:pPr>
        <w:pStyle w:val="3"/>
      </w:pPr>
      <w:bookmarkStart w:id="16" w:name="_Toc140247715"/>
      <w:r>
        <w:t>C. Innovating product line</w:t>
      </w:r>
      <w:bookmarkEnd w:id="16"/>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Market research is conducted to determine the preferences and trends of consumers. It is recommended that PepsiCo conduct extensive market research to obtain a profound understanding of the preferences, requirements, and changing trends among Chinese customers. PepsiCo can identify emerging opportunities and anticipate market demands by comprehending consumer behaviour, attitudes, and consumption patterns. According to Sharif et al. (2023), PepsiCo can obtain significant insights on taste inclinations, packaging preferences, health and wellness patterns, and cultural impacts by conducting surveys, focus groups, and data analysis. Utilizing this data can aid PepsiCo in making knowledgeable choices regarding product innovation and promotional tactics. The study will establish the base for devising tactics to innovate and develop products. The aim is to create and advertise fresh products that match the market's needs. PepsiCo ought to concentrate on creating and advertising fresh product alternatives that match the particular requirements of the Chinese market based on market research findings. The initiative comprises developing more nutritious drink alternatives, investigating drinks with added health benefits, and launching flavors that appeal to local preferences. PepsiCo can utilize its worldwide knowledge and assets to modify current offerings or generate fresh ones that meet consumers' distinct tastes in China. Product acceptance and success rely on balancing innovation and cultural sensitivity (Suchek et al., 2021). PepsiCo should consider packaging design, product positioning, and marketing campaigns that appeal to the target audience to innovate its product line effectively. Utilizing diverse marketing channels such as digital platforms, traditional media, and point-of-sale promotions to advertise the new product offerings will aid in boosting recognition, initiating usage, and ultimately enhancing revenue. It is crucial to assess the efficiency of each channel meticulously and adapt the approach accordingly to optimize outcomes. PepsiCo can maintain a competitive edge by consistently introducing innovative products. The product has the potential to reach untapped customer demographics and cater to changing consumer tastes in China. This will make it possible to maintain its market leader position and meet evolving needs of Chinese consumers.</w:t>
      </w:r>
    </w:p>
    <w:p>
      <w:pPr>
        <w:spacing w:line="480" w:lineRule="auto"/>
        <w:rPr>
          <w:rFonts w:ascii="Times New Roman" w:hAnsi="Times New Roman" w:eastAsia="Times New Roman" w:cs="Times New Roman"/>
          <w:sz w:val="24"/>
          <w:szCs w:val="24"/>
        </w:rPr>
      </w:pPr>
    </w:p>
    <w:p>
      <w:pPr>
        <w:pStyle w:val="2"/>
      </w:pPr>
      <w:bookmarkStart w:id="17" w:name="_Toc140247716"/>
      <w:r>
        <w:t>References</w:t>
      </w:r>
      <w:bookmarkEnd w:id="17"/>
    </w:p>
    <w:p>
      <w:pPr>
        <w:spacing w:before="240"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rPr>
        <w:t xml:space="preserve">Argentieri, G.P., (2019). Upgrading in Chinese Bottled Water Market. The case of Italian San Pellegrino. </w:t>
      </w:r>
      <w:r>
        <w:fldChar w:fldCharType="begin"/>
      </w:r>
      <w:r>
        <w:instrText xml:space="preserve"> HYPERLINK "http://dspace.unive.it/handle/10579/14856" \h </w:instrText>
      </w:r>
      <w:r>
        <w:fldChar w:fldCharType="separate"/>
      </w:r>
      <w:r>
        <w:rPr>
          <w:rFonts w:ascii="Times New Roman" w:hAnsi="Times New Roman" w:eastAsia="Times New Roman" w:cs="Times New Roman"/>
          <w:color w:val="1155CC"/>
          <w:sz w:val="24"/>
          <w:szCs w:val="24"/>
          <w:u w:val="single"/>
        </w:rPr>
        <w:t>http://dspace.unive.it/handle/10579/14856</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color w:val="222222"/>
          <w:sz w:val="24"/>
          <w:szCs w:val="24"/>
        </w:rPr>
        <w:t xml:space="preserve">  </w:t>
      </w:r>
    </w:p>
    <w:p>
      <w:pPr>
        <w:spacing w:before="240"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Euromonitor International. (2018). Soft Drinks in China. Retrieved from </w:t>
      </w:r>
      <w:r>
        <w:fldChar w:fldCharType="begin"/>
      </w:r>
      <w:r>
        <w:instrText xml:space="preserve"> HYPERLINK "https://www.euromonitor.com/soft-drinks-in-china/report" \h </w:instrText>
      </w:r>
      <w:r>
        <w:fldChar w:fldCharType="separate"/>
      </w:r>
      <w:r>
        <w:rPr>
          <w:rFonts w:ascii="Times New Roman" w:hAnsi="Times New Roman" w:eastAsia="Times New Roman" w:cs="Times New Roman"/>
          <w:color w:val="1155CC"/>
          <w:sz w:val="24"/>
          <w:szCs w:val="24"/>
          <w:u w:val="single"/>
        </w:rPr>
        <w:t>https://www.euromonitor.com/soft-drinks-in-china/report</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pPr>
        <w:spacing w:before="240"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rPr>
        <w:t xml:space="preserve">Jallow, D. A. (2021). A Strategic Case Study on PepsiCo. </w:t>
      </w:r>
      <w:r>
        <w:rPr>
          <w:rFonts w:ascii="Times New Roman" w:hAnsi="Times New Roman" w:eastAsia="Times New Roman" w:cs="Times New Roman"/>
          <w:i/>
          <w:color w:val="222222"/>
          <w:sz w:val="24"/>
          <w:szCs w:val="24"/>
        </w:rPr>
        <w:t>Available at SSRN 3828353</w:t>
      </w:r>
      <w:r>
        <w:rPr>
          <w:rFonts w:ascii="Times New Roman" w:hAnsi="Times New Roman" w:eastAsia="Times New Roman" w:cs="Times New Roman"/>
          <w:color w:val="222222"/>
          <w:sz w:val="24"/>
          <w:szCs w:val="24"/>
        </w:rPr>
        <w:t xml:space="preserve">. </w:t>
      </w:r>
      <w:r>
        <w:fldChar w:fldCharType="begin"/>
      </w:r>
      <w:r>
        <w:instrText xml:space="preserve"> HYPERLINK "https://papers.ssrn.com/sol3/papers.cfm?abstract_id=3828353" \h </w:instrText>
      </w:r>
      <w:r>
        <w:fldChar w:fldCharType="separate"/>
      </w:r>
      <w:r>
        <w:rPr>
          <w:rFonts w:ascii="Times New Roman" w:hAnsi="Times New Roman" w:eastAsia="Times New Roman" w:cs="Times New Roman"/>
          <w:color w:val="1155CC"/>
          <w:sz w:val="24"/>
          <w:szCs w:val="24"/>
          <w:u w:val="single"/>
        </w:rPr>
        <w:t>https://papers.ssrn.com/sol3/papers.cfm?abstract_id=3828353</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color w:val="222222"/>
          <w:sz w:val="24"/>
          <w:szCs w:val="24"/>
        </w:rPr>
        <w:t xml:space="preserve"> </w:t>
      </w:r>
    </w:p>
    <w:p>
      <w:pPr>
        <w:spacing w:before="240"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Li, L., &amp; Yang, J. (2016). The Soft Drink Industry in China: A Challenging Business Landscape. Thunderbird International Business Review, 58(1), 47-59.</w:t>
      </w:r>
    </w:p>
    <w:p>
      <w:pPr>
        <w:spacing w:before="240"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PepsiCo. (2020). 2019 Annual Report. Retrieved from </w:t>
      </w:r>
      <w:r>
        <w:fldChar w:fldCharType="begin"/>
      </w:r>
      <w:r>
        <w:instrText xml:space="preserve"> HYPERLINK "https://www.pepsico.com/docs/album/annual-reports/pepsico-inc-2019-annual-report.pdf?sfvrsn=a0a22d1f_2" \h </w:instrText>
      </w:r>
      <w:r>
        <w:fldChar w:fldCharType="separate"/>
      </w:r>
      <w:r>
        <w:rPr>
          <w:rFonts w:ascii="Times New Roman" w:hAnsi="Times New Roman" w:eastAsia="Times New Roman" w:cs="Times New Roman"/>
          <w:color w:val="1155CC"/>
          <w:sz w:val="24"/>
          <w:szCs w:val="24"/>
          <w:u w:val="single"/>
        </w:rPr>
        <w:t>https://www.pepsico.com/docs/album/annual-reports/pepsico-inc-2019-annual-report.pdf?sfvrsn=a0a22d1f_2</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pPr>
        <w:spacing w:before="240" w:after="240" w:line="480" w:lineRule="auto"/>
        <w:ind w:left="720" w:hanging="720"/>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Sharif, S., Rehman, S.U., Ahmad, Z., Albadry, O.M. and Zeeshan, M., (2023). Consumer quality management for beverage food products: analyzing consumer’perceptions toward repurchase intention. </w:t>
      </w:r>
      <w:r>
        <w:rPr>
          <w:rFonts w:ascii="Times New Roman" w:hAnsi="Times New Roman" w:eastAsia="Times New Roman" w:cs="Times New Roman"/>
          <w:i/>
          <w:color w:val="222222"/>
          <w:sz w:val="24"/>
          <w:szCs w:val="24"/>
        </w:rPr>
        <w:t>The TQM Journal</w:t>
      </w:r>
      <w:r>
        <w:rPr>
          <w:rFonts w:ascii="Times New Roman" w:hAnsi="Times New Roman" w:eastAsia="Times New Roman" w:cs="Times New Roman"/>
          <w:color w:val="222222"/>
          <w:sz w:val="24"/>
          <w:szCs w:val="24"/>
        </w:rPr>
        <w:t xml:space="preserve">. </w:t>
      </w:r>
      <w:r>
        <w:fldChar w:fldCharType="begin"/>
      </w:r>
      <w:r>
        <w:instrText xml:space="preserve"> HYPERLINK "https://www.researchgate.net/publication/369779442_Consumer_quality_management_for_beverage_food_products_analyzing_consumer'_perceptions_toward_repurchase_intention" \h </w:instrText>
      </w:r>
      <w:r>
        <w:fldChar w:fldCharType="separate"/>
      </w:r>
      <w:r>
        <w:rPr>
          <w:rFonts w:ascii="Times New Roman" w:hAnsi="Times New Roman" w:eastAsia="Times New Roman" w:cs="Times New Roman"/>
          <w:color w:val="1155CC"/>
          <w:sz w:val="24"/>
          <w:szCs w:val="24"/>
          <w:u w:val="single"/>
        </w:rPr>
        <w:t>https://www.researchgate.net/publication/369779442_Consumer_quality_management_for_beverage_food_products_analyzing_consumer'_perceptions_toward_repurchase_intention</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color w:val="222222"/>
          <w:sz w:val="24"/>
          <w:szCs w:val="24"/>
        </w:rPr>
        <w:t xml:space="preserve"> </w:t>
      </w:r>
    </w:p>
    <w:p>
      <w:pPr>
        <w:spacing w:before="240" w:after="240" w:line="480" w:lineRule="auto"/>
        <w:ind w:left="720" w:hanging="720"/>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Suchek, N., Fernandes, C.I., Kraus, S., Filser, M. and Sjögrén, H., (2021). Innovation and the circular economy: A systematic literature review. </w:t>
      </w:r>
      <w:r>
        <w:rPr>
          <w:rFonts w:ascii="Times New Roman" w:hAnsi="Times New Roman" w:eastAsia="Times New Roman" w:cs="Times New Roman"/>
          <w:i/>
          <w:color w:val="222222"/>
          <w:sz w:val="24"/>
          <w:szCs w:val="24"/>
        </w:rPr>
        <w:t>Business Strategy and the Environment</w:t>
      </w:r>
      <w:r>
        <w:rPr>
          <w:rFonts w:ascii="Times New Roman" w:hAnsi="Times New Roman" w:eastAsia="Times New Roman" w:cs="Times New Roman"/>
          <w:color w:val="222222"/>
          <w:sz w:val="24"/>
          <w:szCs w:val="24"/>
        </w:rPr>
        <w:t xml:space="preserve">, </w:t>
      </w:r>
      <w:r>
        <w:rPr>
          <w:rFonts w:ascii="Times New Roman" w:hAnsi="Times New Roman" w:eastAsia="Times New Roman" w:cs="Times New Roman"/>
          <w:i/>
          <w:color w:val="222222"/>
          <w:sz w:val="24"/>
          <w:szCs w:val="24"/>
        </w:rPr>
        <w:t>30</w:t>
      </w:r>
      <w:r>
        <w:rPr>
          <w:rFonts w:ascii="Times New Roman" w:hAnsi="Times New Roman" w:eastAsia="Times New Roman" w:cs="Times New Roman"/>
          <w:color w:val="222222"/>
          <w:sz w:val="24"/>
          <w:szCs w:val="24"/>
        </w:rPr>
        <w:t xml:space="preserve">(8), pp.3686-3702. </w:t>
      </w:r>
      <w:r>
        <w:fldChar w:fldCharType="begin"/>
      </w:r>
      <w:r>
        <w:instrText xml:space="preserve"> HYPERLINK "https://onlinelibrary.wiley.com/doi/abs/10.1002/bse.2834" \h </w:instrText>
      </w:r>
      <w:r>
        <w:fldChar w:fldCharType="separate"/>
      </w:r>
      <w:r>
        <w:rPr>
          <w:rFonts w:ascii="Times New Roman" w:hAnsi="Times New Roman" w:eastAsia="Times New Roman" w:cs="Times New Roman"/>
          <w:color w:val="1155CC"/>
          <w:sz w:val="24"/>
          <w:szCs w:val="24"/>
          <w:u w:val="single"/>
        </w:rPr>
        <w:t>https://onlinelibrary.wiley.com/doi/abs/10.1002/bse.2834</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color w:val="222222"/>
          <w:sz w:val="24"/>
          <w:szCs w:val="24"/>
        </w:rPr>
        <w:t xml:space="preserve"> </w:t>
      </w:r>
    </w:p>
    <w:p>
      <w:pPr>
        <w:spacing w:before="240" w:after="240" w:line="480" w:lineRule="auto"/>
        <w:ind w:left="720" w:hanging="720"/>
        <w:rPr>
          <w:rFonts w:ascii="Times New Roman" w:hAnsi="Times New Roman" w:eastAsia="Times New Roman" w:cs="Times New Roman"/>
          <w:color w:val="222222"/>
          <w:sz w:val="24"/>
          <w:szCs w:val="24"/>
        </w:rPr>
      </w:pPr>
      <w:r>
        <w:rPr>
          <w:rFonts w:ascii="Times New Roman" w:hAnsi="Times New Roman" w:eastAsia="Times New Roman" w:cs="Times New Roman"/>
          <w:color w:val="222222"/>
          <w:sz w:val="24"/>
          <w:szCs w:val="24"/>
        </w:rPr>
        <w:t xml:space="preserve">Sun, H., Rabbani, M.R., Ahmad, N., Sial, M.S., Cheng, G., Zia-Ud-Din, M. and Fu, Q., (2020). CSR, co-creation and green consumer loyalty: Are green banking initiatives important? A moderated mediation approach from an emerging economy. </w:t>
      </w:r>
      <w:r>
        <w:rPr>
          <w:rFonts w:ascii="Times New Roman" w:hAnsi="Times New Roman" w:eastAsia="Times New Roman" w:cs="Times New Roman"/>
          <w:i/>
          <w:color w:val="222222"/>
          <w:sz w:val="24"/>
          <w:szCs w:val="24"/>
        </w:rPr>
        <w:t>Sustainability</w:t>
      </w:r>
      <w:r>
        <w:rPr>
          <w:rFonts w:ascii="Times New Roman" w:hAnsi="Times New Roman" w:eastAsia="Times New Roman" w:cs="Times New Roman"/>
          <w:color w:val="222222"/>
          <w:sz w:val="24"/>
          <w:szCs w:val="24"/>
        </w:rPr>
        <w:t xml:space="preserve">, </w:t>
      </w:r>
      <w:r>
        <w:rPr>
          <w:rFonts w:ascii="Times New Roman" w:hAnsi="Times New Roman" w:eastAsia="Times New Roman" w:cs="Times New Roman"/>
          <w:i/>
          <w:color w:val="222222"/>
          <w:sz w:val="24"/>
          <w:szCs w:val="24"/>
        </w:rPr>
        <w:t>12</w:t>
      </w:r>
      <w:r>
        <w:rPr>
          <w:rFonts w:ascii="Times New Roman" w:hAnsi="Times New Roman" w:eastAsia="Times New Roman" w:cs="Times New Roman"/>
          <w:color w:val="222222"/>
          <w:sz w:val="24"/>
          <w:szCs w:val="24"/>
        </w:rPr>
        <w:t xml:space="preserve">(24), p.10688. </w:t>
      </w:r>
      <w:r>
        <w:fldChar w:fldCharType="begin"/>
      </w:r>
      <w:r>
        <w:instrText xml:space="preserve"> HYPERLINK "https://www.mdpi.com/2071-1050/12/24/10688" \h </w:instrText>
      </w:r>
      <w:r>
        <w:fldChar w:fldCharType="separate"/>
      </w:r>
      <w:r>
        <w:rPr>
          <w:rFonts w:ascii="Times New Roman" w:hAnsi="Times New Roman" w:eastAsia="Times New Roman" w:cs="Times New Roman"/>
          <w:color w:val="1155CC"/>
          <w:sz w:val="24"/>
          <w:szCs w:val="24"/>
          <w:u w:val="single"/>
        </w:rPr>
        <w:t>https://www.mdpi.com/2071-1050/12/24/10688</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color w:val="222222"/>
          <w:sz w:val="24"/>
          <w:szCs w:val="24"/>
        </w:rPr>
        <w:t xml:space="preserve"> </w:t>
      </w:r>
    </w:p>
    <w:p>
      <w:pPr>
        <w:spacing w:before="240"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Statista. (2021). Market share of leading carbonated soft drink companies in China as of 2021. Retrieved from </w:t>
      </w:r>
      <w:r>
        <w:fldChar w:fldCharType="begin"/>
      </w:r>
      <w:r>
        <w:instrText xml:space="preserve"> HYPERLINK "https://www.statista.com/statistics/243122" \h </w:instrText>
      </w:r>
      <w:r>
        <w:fldChar w:fldCharType="separate"/>
      </w:r>
      <w:r>
        <w:rPr>
          <w:rFonts w:ascii="Times New Roman" w:hAnsi="Times New Roman" w:eastAsia="Times New Roman" w:cs="Times New Roman"/>
          <w:color w:val="1155CC"/>
          <w:sz w:val="24"/>
          <w:szCs w:val="24"/>
          <w:u w:val="single"/>
        </w:rPr>
        <w:t>https://www.statista.com/statistics/243122</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pPr>
        <w:spacing w:before="240" w:after="240" w:line="480" w:lineRule="auto"/>
        <w:ind w:left="720" w:hanging="720"/>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rPr>
        <w:t xml:space="preserve">Zhu, C., Lopez, R.A., Zhen, C. and Zhao, Q., (2023). Consumer responses to nutrition labels in China. </w:t>
      </w:r>
      <w:r>
        <w:rPr>
          <w:rFonts w:ascii="Times New Roman" w:hAnsi="Times New Roman" w:eastAsia="Times New Roman" w:cs="Times New Roman"/>
          <w:i/>
          <w:color w:val="222222"/>
          <w:sz w:val="24"/>
          <w:szCs w:val="24"/>
        </w:rPr>
        <w:t>Journal of the Agricultural and Applied Economics Association</w:t>
      </w:r>
      <w:r>
        <w:rPr>
          <w:rFonts w:ascii="Times New Roman" w:hAnsi="Times New Roman" w:eastAsia="Times New Roman" w:cs="Times New Roman"/>
          <w:color w:val="222222"/>
          <w:sz w:val="24"/>
          <w:szCs w:val="24"/>
        </w:rPr>
        <w:t xml:space="preserve">. </w:t>
      </w:r>
      <w:r>
        <w:fldChar w:fldCharType="begin"/>
      </w:r>
      <w:r>
        <w:instrText xml:space="preserve"> HYPERLINK "https://onlinelibrary.wiley.com/doi/abs/10.1002/jaa2.57" \h </w:instrText>
      </w:r>
      <w:r>
        <w:fldChar w:fldCharType="separate"/>
      </w:r>
      <w:r>
        <w:rPr>
          <w:rFonts w:ascii="Times New Roman" w:hAnsi="Times New Roman" w:eastAsia="Times New Roman" w:cs="Times New Roman"/>
          <w:color w:val="1155CC"/>
          <w:sz w:val="24"/>
          <w:szCs w:val="24"/>
          <w:u w:val="single"/>
        </w:rPr>
        <w:t>https://onlinelibrary.wiley.com/doi/abs/10.1002/jaa2.57</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color w:val="222222"/>
          <w:sz w:val="24"/>
          <w:szCs w:val="24"/>
        </w:rPr>
        <w:t xml:space="preserve"> </w:t>
      </w:r>
    </w:p>
    <w:sectPr>
      <w:headerReference r:id="rId5" w:type="default"/>
      <w:pgSz w:w="12240" w:h="15840"/>
      <w:pgMar w:top="1440" w:right="1440" w:bottom="1440" w:left="1440" w:header="720" w:footer="720" w:gutter="0"/>
      <w:pgNumType w:start="1"/>
      <w:cols w:space="720" w:num="1"/>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line="240" w:lineRule="auto"/>
      <w:jc w:val="right"/>
      <w:rPr>
        <w:color w:val="000000"/>
      </w:rPr>
    </w:pPr>
    <w:r>
      <w:rPr>
        <w:color w:val="000000"/>
      </w:rPr>
      <w:fldChar w:fldCharType="begin"/>
    </w:r>
    <w:r>
      <w:rPr>
        <w:color w:val="000000"/>
      </w:rPr>
      <w:instrText xml:space="preserve">PAGE</w:instrText>
    </w:r>
    <w:r>
      <w:rPr>
        <w:color w:val="000000"/>
      </w:rPr>
      <w:fldChar w:fldCharType="separate"/>
    </w:r>
    <w:r>
      <w:rPr>
        <w:color w:val="000000"/>
      </w:rPr>
      <w:t>4</w:t>
    </w:r>
    <w:r>
      <w:rPr>
        <w:color w:val="000000"/>
      </w:rPr>
      <w:fldChar w:fldCharType="end"/>
    </w:r>
  </w:p>
  <w:p>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g4ZTU2NjZkMjM1MzZkOWRmYWNlODRkY2YyYTAwZWMifQ=="/>
  </w:docVars>
  <w:rsids>
    <w:rsidRoot w:val="00317BA3"/>
    <w:rsid w:val="000E4A0B"/>
    <w:rsid w:val="00102FD5"/>
    <w:rsid w:val="00157FB5"/>
    <w:rsid w:val="00240C6C"/>
    <w:rsid w:val="00317BA3"/>
    <w:rsid w:val="0037129D"/>
    <w:rsid w:val="00474B11"/>
    <w:rsid w:val="008A4AE1"/>
    <w:rsid w:val="00C854B4"/>
    <w:rsid w:val="00DB694D"/>
    <w:rsid w:val="00DC3806"/>
    <w:rsid w:val="358404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rFonts w:ascii="Arial" w:hAnsi="Arial" w:eastAsia="Arial" w:cs="Arial"/>
      <w:sz w:val="22"/>
      <w:szCs w:val="22"/>
      <w:lang w:val="en" w:eastAsia="en-GB" w:bidi="ar-SA"/>
    </w:rPr>
  </w:style>
  <w:style w:type="paragraph" w:styleId="2">
    <w:name w:val="heading 1"/>
    <w:basedOn w:val="1"/>
    <w:next w:val="1"/>
    <w:uiPriority w:val="0"/>
    <w:pPr>
      <w:keepNext/>
      <w:keepLines/>
      <w:spacing w:line="480" w:lineRule="auto"/>
      <w:jc w:val="center"/>
      <w:outlineLvl w:val="0"/>
    </w:pPr>
    <w:rPr>
      <w:rFonts w:ascii="Times New Roman" w:hAnsi="Times New Roman" w:eastAsia="Times New Roman" w:cs="Times New Roman"/>
      <w:b/>
      <w:sz w:val="24"/>
      <w:szCs w:val="24"/>
    </w:rPr>
  </w:style>
  <w:style w:type="paragraph" w:styleId="3">
    <w:name w:val="heading 2"/>
    <w:basedOn w:val="1"/>
    <w:next w:val="1"/>
    <w:uiPriority w:val="0"/>
    <w:pPr>
      <w:keepNext/>
      <w:keepLines/>
      <w:spacing w:line="480" w:lineRule="auto"/>
      <w:outlineLvl w:val="1"/>
    </w:pPr>
    <w:rPr>
      <w:rFonts w:ascii="Times New Roman" w:hAnsi="Times New Roman" w:eastAsia="Times New Roman" w:cs="Times New Roman"/>
      <w:b/>
      <w:sz w:val="24"/>
      <w:szCs w:val="24"/>
    </w:rPr>
  </w:style>
  <w:style w:type="paragraph" w:styleId="4">
    <w:name w:val="heading 3"/>
    <w:basedOn w:val="1"/>
    <w:next w:val="1"/>
    <w:uiPriority w:val="0"/>
    <w:pPr>
      <w:keepNext/>
      <w:keepLines/>
      <w:spacing w:line="480" w:lineRule="auto"/>
      <w:outlineLvl w:val="2"/>
    </w:pPr>
    <w:rPr>
      <w:rFonts w:ascii="Times New Roman" w:hAnsi="Times New Roman" w:eastAsia="Times New Roman" w:cs="Times New Roman"/>
      <w:b/>
      <w:sz w:val="24"/>
      <w:szCs w:val="24"/>
    </w:rPr>
  </w:style>
  <w:style w:type="paragraph" w:styleId="5">
    <w:name w:val="heading 4"/>
    <w:basedOn w:val="1"/>
    <w:next w:val="1"/>
    <w:uiPriority w:val="0"/>
    <w:pPr>
      <w:keepNext/>
      <w:keepLines/>
      <w:spacing w:before="280" w:after="80"/>
      <w:outlineLvl w:val="3"/>
    </w:pPr>
    <w:rPr>
      <w:color w:val="666666"/>
      <w:sz w:val="24"/>
      <w:szCs w:val="24"/>
    </w:rPr>
  </w:style>
  <w:style w:type="paragraph" w:styleId="6">
    <w:name w:val="heading 5"/>
    <w:basedOn w:val="1"/>
    <w:next w:val="1"/>
    <w:uiPriority w:val="0"/>
    <w:pPr>
      <w:keepNext/>
      <w:keepLines/>
      <w:spacing w:before="240" w:after="80"/>
      <w:outlineLvl w:val="4"/>
    </w:pPr>
    <w:rPr>
      <w:color w:val="666666"/>
    </w:rPr>
  </w:style>
  <w:style w:type="paragraph" w:styleId="7">
    <w:name w:val="heading 6"/>
    <w:basedOn w:val="1"/>
    <w:next w:val="1"/>
    <w:uiPriority w:val="0"/>
    <w:pPr>
      <w:keepNext/>
      <w:keepLines/>
      <w:spacing w:before="240" w:after="80"/>
      <w:outlineLvl w:val="5"/>
    </w:pPr>
    <w:rPr>
      <w:i/>
      <w:color w:val="666666"/>
    </w:rPr>
  </w:style>
  <w:style w:type="character" w:default="1" w:styleId="17">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8">
    <w:name w:val="toc 3"/>
    <w:basedOn w:val="1"/>
    <w:next w:val="1"/>
    <w:unhideWhenUsed/>
    <w:uiPriority w:val="39"/>
    <w:pPr>
      <w:spacing w:after="100" w:line="259" w:lineRule="auto"/>
      <w:ind w:left="440"/>
    </w:pPr>
    <w:rPr>
      <w:rFonts w:cs="Times New Roman" w:asciiTheme="minorHAnsi" w:hAnsiTheme="minorHAnsi" w:eastAsiaTheme="minorEastAsia"/>
      <w:lang w:val="en-US" w:eastAsia="en-US"/>
    </w:rPr>
  </w:style>
  <w:style w:type="paragraph" w:styleId="9">
    <w:name w:val="footer"/>
    <w:basedOn w:val="1"/>
    <w:link w:val="20"/>
    <w:unhideWhenUsed/>
    <w:uiPriority w:val="99"/>
    <w:pPr>
      <w:tabs>
        <w:tab w:val="center" w:pos="4513"/>
        <w:tab w:val="right" w:pos="9026"/>
      </w:tabs>
      <w:spacing w:line="240" w:lineRule="auto"/>
    </w:pPr>
  </w:style>
  <w:style w:type="paragraph" w:styleId="10">
    <w:name w:val="header"/>
    <w:basedOn w:val="1"/>
    <w:link w:val="19"/>
    <w:unhideWhenUsed/>
    <w:uiPriority w:val="99"/>
    <w:pPr>
      <w:tabs>
        <w:tab w:val="center" w:pos="4513"/>
        <w:tab w:val="right" w:pos="9026"/>
      </w:tabs>
      <w:spacing w:line="240" w:lineRule="auto"/>
    </w:pPr>
  </w:style>
  <w:style w:type="paragraph" w:styleId="11">
    <w:name w:val="toc 1"/>
    <w:basedOn w:val="1"/>
    <w:next w:val="1"/>
    <w:unhideWhenUsed/>
    <w:uiPriority w:val="39"/>
    <w:pPr>
      <w:tabs>
        <w:tab w:val="right" w:leader="dot" w:pos="9350"/>
      </w:tabs>
      <w:spacing w:after="100"/>
    </w:pPr>
    <w:rPr>
      <w:b/>
    </w:rPr>
  </w:style>
  <w:style w:type="paragraph" w:styleId="12">
    <w:name w:val="toc 4"/>
    <w:basedOn w:val="1"/>
    <w:next w:val="1"/>
    <w:semiHidden/>
    <w:unhideWhenUsed/>
    <w:uiPriority w:val="39"/>
    <w:pPr>
      <w:spacing w:after="100"/>
      <w:ind w:left="660"/>
    </w:pPr>
  </w:style>
  <w:style w:type="paragraph" w:styleId="13">
    <w:name w:val="Subtitle"/>
    <w:basedOn w:val="1"/>
    <w:next w:val="1"/>
    <w:uiPriority w:val="0"/>
    <w:pPr>
      <w:keepNext/>
      <w:keepLines/>
      <w:spacing w:after="320"/>
    </w:pPr>
    <w:rPr>
      <w:color w:val="666666"/>
      <w:sz w:val="30"/>
      <w:szCs w:val="30"/>
    </w:rPr>
  </w:style>
  <w:style w:type="paragraph" w:styleId="14">
    <w:name w:val="toc 2"/>
    <w:basedOn w:val="1"/>
    <w:next w:val="1"/>
    <w:unhideWhenUsed/>
    <w:uiPriority w:val="39"/>
    <w:pPr>
      <w:spacing w:after="100"/>
      <w:ind w:left="220"/>
    </w:pPr>
  </w:style>
  <w:style w:type="paragraph" w:styleId="15">
    <w:name w:val="Title"/>
    <w:basedOn w:val="1"/>
    <w:next w:val="1"/>
    <w:uiPriority w:val="0"/>
    <w:pPr>
      <w:keepNext/>
      <w:keepLines/>
      <w:spacing w:line="480" w:lineRule="auto"/>
      <w:jc w:val="center"/>
    </w:pPr>
    <w:rPr>
      <w:rFonts w:ascii="Times New Roman" w:hAnsi="Times New Roman" w:eastAsia="Times New Roman" w:cs="Times New Roman"/>
      <w:b/>
      <w:sz w:val="24"/>
      <w:szCs w:val="24"/>
    </w:rPr>
  </w:style>
  <w:style w:type="character" w:styleId="18">
    <w:name w:val="Hyperlink"/>
    <w:basedOn w:val="17"/>
    <w:unhideWhenUsed/>
    <w:uiPriority w:val="99"/>
    <w:rPr>
      <w:color w:val="0000FF" w:themeColor="hyperlink"/>
      <w:u w:val="single"/>
      <w14:textFill>
        <w14:solidFill>
          <w14:schemeClr w14:val="hlink"/>
        </w14:solidFill>
      </w14:textFill>
    </w:rPr>
  </w:style>
  <w:style w:type="character" w:customStyle="1" w:styleId="19">
    <w:name w:val="Header Char"/>
    <w:basedOn w:val="17"/>
    <w:link w:val="10"/>
    <w:uiPriority w:val="99"/>
  </w:style>
  <w:style w:type="character" w:customStyle="1" w:styleId="20">
    <w:name w:val="Footer Char"/>
    <w:basedOn w:val="17"/>
    <w:link w:val="9"/>
    <w:uiPriority w:val="99"/>
  </w:style>
  <w:style w:type="paragraph" w:customStyle="1" w:styleId="21">
    <w:name w:val="TOC Heading"/>
    <w:basedOn w:val="2"/>
    <w:next w:val="1"/>
    <w:unhideWhenUsed/>
    <w:qFormat/>
    <w:uiPriority w:val="39"/>
    <w:pPr>
      <w:spacing w:before="240" w:line="259" w:lineRule="auto"/>
      <w:jc w:val="left"/>
      <w:outlineLvl w:val="9"/>
    </w:pPr>
    <w:rPr>
      <w:rFonts w:asciiTheme="majorHAnsi" w:hAnsiTheme="majorHAnsi" w:eastAsiaTheme="majorEastAsia" w:cstheme="majorBidi"/>
      <w:b w:val="0"/>
      <w:color w:val="376092" w:themeColor="accent1" w:themeShade="BF"/>
      <w:sz w:val="32"/>
      <w:szCs w:val="32"/>
      <w:lang w:val="en-US"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092467-7122-4878-9AAF-7ED72D4112E5}">
  <ds:schemaRefs/>
</ds:datastoreItem>
</file>

<file path=docProps/app.xml><?xml version="1.0" encoding="utf-8"?>
<Properties xmlns="http://schemas.openxmlformats.org/officeDocument/2006/extended-properties" xmlns:vt="http://schemas.openxmlformats.org/officeDocument/2006/docPropsVTypes">
  <Template>Normal</Template>
  <Pages>17</Pages>
  <Words>3840</Words>
  <Characters>23997</Characters>
  <Lines>211</Lines>
  <Paragraphs>59</Paragraphs>
  <TotalTime>2</TotalTime>
  <ScaleCrop>false</ScaleCrop>
  <LinksUpToDate>false</LinksUpToDate>
  <CharactersWithSpaces>27823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2023-07-14T08:25:00Z</dcterms:created>
  <dc:creator>jacky</dc:creator>
  <cp:lastModifiedBy>小杨</cp:lastModifiedBy>
  <dcterms:modified xsi:type="dcterms:W3CDTF">2023-07-16T00:40:29Z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637A81582FFC45FE8E98746BB570CE92_12</vt:lpwstr>
  </property>
</Properties>
</file>