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B6C87" w14:textId="2D94D949" w:rsidR="003B08FC" w:rsidRDefault="00AB22E1" w:rsidP="00AB22E1">
      <w:pPr>
        <w:spacing w:after="0"/>
      </w:pPr>
      <w:r>
        <w:t xml:space="preserve">Name: Paul Crame </w:t>
      </w:r>
    </w:p>
    <w:p w14:paraId="426088BB" w14:textId="7CCC2D13" w:rsidR="00AB22E1" w:rsidRDefault="00AB22E1" w:rsidP="00AB22E1">
      <w:pPr>
        <w:spacing w:after="0"/>
      </w:pPr>
      <w:r>
        <w:t>Course Module: MA Archaeological Practice</w:t>
      </w:r>
      <w:r w:rsidR="004F7A2B">
        <w:t xml:space="preserve">: </w:t>
      </w:r>
      <w:r w:rsidR="004F7A2B">
        <w:rPr>
          <w:rFonts w:ascii="Calibri" w:hAnsi="Calibri" w:cs="Calibri"/>
          <w:lang w:val="en"/>
        </w:rPr>
        <w:t xml:space="preserve">Archaeological Research Methods (HPAR7004) </w:t>
      </w:r>
      <w:r>
        <w:t xml:space="preserve"> </w:t>
      </w:r>
    </w:p>
    <w:p w14:paraId="7070A94D" w14:textId="0499C641" w:rsidR="00AB22E1" w:rsidRDefault="00AB22E1" w:rsidP="00AB22E1">
      <w:pPr>
        <w:spacing w:after="0"/>
      </w:pPr>
      <w:r>
        <w:t xml:space="preserve">Tutors: Nigel </w:t>
      </w:r>
      <w:proofErr w:type="spellStart"/>
      <w:r>
        <w:t>Nay</w:t>
      </w:r>
      <w:r w:rsidR="00F6029B">
        <w:t>l</w:t>
      </w:r>
      <w:r>
        <w:t>ing</w:t>
      </w:r>
      <w:proofErr w:type="spellEnd"/>
      <w:r>
        <w:t xml:space="preserve"> </w:t>
      </w:r>
      <w:r w:rsidR="004F7A2B">
        <w:t>and</w:t>
      </w:r>
      <w:r>
        <w:t xml:space="preserve"> Martin </w:t>
      </w:r>
      <w:proofErr w:type="spellStart"/>
      <w:r>
        <w:t>Locock</w:t>
      </w:r>
      <w:proofErr w:type="spellEnd"/>
      <w:r w:rsidR="004F7A2B">
        <w:t xml:space="preserve">. </w:t>
      </w:r>
      <w:r>
        <w:t xml:space="preserve"> </w:t>
      </w:r>
    </w:p>
    <w:p w14:paraId="0ABE758E" w14:textId="029C6A17" w:rsidR="00AB22E1" w:rsidRDefault="00AB22E1" w:rsidP="00AB22E1">
      <w:pPr>
        <w:spacing w:after="0"/>
      </w:pPr>
      <w:r>
        <w:t>Date: 02/11/2021</w:t>
      </w:r>
    </w:p>
    <w:p w14:paraId="7DE4A18E" w14:textId="77777777" w:rsidR="00AB22E1" w:rsidRDefault="00AB22E1" w:rsidP="00AB22E1">
      <w:pPr>
        <w:spacing w:after="0"/>
      </w:pPr>
    </w:p>
    <w:p w14:paraId="4DE77DF5" w14:textId="44D7F712" w:rsidR="00AB22E1" w:rsidRDefault="00AB22E1" w:rsidP="00AB22E1">
      <w:pPr>
        <w:spacing w:before="100" w:beforeAutospacing="1" w:after="100" w:afterAutospacing="1" w:line="240" w:lineRule="auto"/>
        <w:jc w:val="center"/>
        <w:outlineLvl w:val="3"/>
        <w:rPr>
          <w:rFonts w:ascii="Segoe UI" w:eastAsia="Times New Roman" w:hAnsi="Segoe UI" w:cs="Segoe UI"/>
          <w:b/>
          <w:bCs/>
          <w:sz w:val="24"/>
          <w:szCs w:val="24"/>
          <w:lang w:eastAsia="en-GB"/>
        </w:rPr>
      </w:pPr>
      <w:r w:rsidRPr="00B60E13">
        <w:rPr>
          <w:rFonts w:ascii="Segoe UI" w:eastAsia="Times New Roman" w:hAnsi="Segoe UI" w:cs="Segoe UI"/>
          <w:b/>
          <w:bCs/>
          <w:sz w:val="24"/>
          <w:szCs w:val="24"/>
          <w:lang w:eastAsia="en-GB"/>
        </w:rPr>
        <w:t>With reference to a specific archaeological project, critically assess the methods of archaeological investigation employed, and the nature of the archaeological materials/ data recovered.</w:t>
      </w:r>
    </w:p>
    <w:p w14:paraId="657ED7EE" w14:textId="77777777" w:rsidR="00810AD4" w:rsidRDefault="00810AD4" w:rsidP="00AB22E1">
      <w:pPr>
        <w:autoSpaceDE w:val="0"/>
        <w:autoSpaceDN w:val="0"/>
        <w:adjustRightInd w:val="0"/>
        <w:spacing w:after="0" w:line="240" w:lineRule="auto"/>
        <w:rPr>
          <w:rFonts w:ascii="Arial" w:hAnsi="Arial" w:cs="Arial"/>
        </w:rPr>
      </w:pPr>
    </w:p>
    <w:p w14:paraId="2B878569" w14:textId="7E64649C" w:rsidR="00A168D8" w:rsidRDefault="6863F10B" w:rsidP="00AB22E1">
      <w:pPr>
        <w:spacing w:before="100" w:beforeAutospacing="1" w:after="100" w:afterAutospacing="1" w:line="240" w:lineRule="auto"/>
        <w:outlineLvl w:val="3"/>
        <w:rPr>
          <w:rFonts w:ascii="Segoe UI" w:eastAsia="Times New Roman" w:hAnsi="Segoe UI" w:cs="Segoe UI"/>
          <w:sz w:val="24"/>
          <w:szCs w:val="24"/>
          <w:lang w:eastAsia="en-GB"/>
        </w:rPr>
      </w:pPr>
      <w:r w:rsidRPr="6863F10B">
        <w:rPr>
          <w:rFonts w:ascii="Segoe UI" w:eastAsia="Times New Roman" w:hAnsi="Segoe UI" w:cs="Segoe UI"/>
          <w:sz w:val="24"/>
          <w:szCs w:val="24"/>
          <w:lang w:eastAsia="en-GB"/>
        </w:rPr>
        <w:t xml:space="preserve">The Tankerton Bay Wreck (TBW) was first identified in the Mid 1990s and noted on the </w:t>
      </w:r>
      <w:r w:rsidR="001448C2">
        <w:rPr>
          <w:rFonts w:ascii="Segoe UI" w:eastAsia="Times New Roman" w:hAnsi="Segoe UI" w:cs="Segoe UI"/>
          <w:sz w:val="24"/>
          <w:szCs w:val="24"/>
          <w:lang w:eastAsia="en-GB"/>
        </w:rPr>
        <w:t xml:space="preserve">Kent </w:t>
      </w:r>
      <w:r w:rsidRPr="6863F10B">
        <w:rPr>
          <w:rFonts w:ascii="Segoe UI" w:eastAsia="Times New Roman" w:hAnsi="Segoe UI" w:cs="Segoe UI"/>
          <w:sz w:val="24"/>
          <w:szCs w:val="24"/>
          <w:lang w:eastAsia="en-GB"/>
        </w:rPr>
        <w:t>Heritage Environmental Record (HER) as an oval shape on the foreshore at low tides (</w:t>
      </w:r>
      <w:r w:rsidR="00AB7793">
        <w:rPr>
          <w:rFonts w:ascii="Segoe UI" w:eastAsia="Times New Roman" w:hAnsi="Segoe UI" w:cs="Segoe UI"/>
          <w:sz w:val="24"/>
          <w:szCs w:val="24"/>
          <w:lang w:eastAsia="en-GB"/>
        </w:rPr>
        <w:t>K</w:t>
      </w:r>
      <w:r w:rsidR="001448C2">
        <w:rPr>
          <w:rFonts w:ascii="Segoe UI" w:eastAsia="Times New Roman" w:hAnsi="Segoe UI" w:cs="Segoe UI"/>
          <w:sz w:val="24"/>
          <w:szCs w:val="24"/>
          <w:lang w:eastAsia="en-GB"/>
        </w:rPr>
        <w:t xml:space="preserve">ent County Council, </w:t>
      </w:r>
      <w:r w:rsidR="00AB7793">
        <w:rPr>
          <w:rFonts w:ascii="Segoe UI" w:eastAsia="Times New Roman" w:hAnsi="Segoe UI" w:cs="Segoe UI"/>
          <w:sz w:val="24"/>
          <w:szCs w:val="24"/>
          <w:lang w:eastAsia="en-GB"/>
        </w:rPr>
        <w:t>2021</w:t>
      </w:r>
      <w:r w:rsidRPr="6863F10B">
        <w:rPr>
          <w:rFonts w:ascii="Segoe UI" w:eastAsia="Times New Roman" w:hAnsi="Segoe UI" w:cs="Segoe UI"/>
          <w:sz w:val="24"/>
          <w:szCs w:val="24"/>
          <w:lang w:eastAsia="en-GB"/>
        </w:rPr>
        <w:t>). In 2017 a local archaeology group observed the same oval shape whilst conducting fieldwalking on the shoreline. Wessex Archaeology Ltd. In partnership with English Heritage subsequently took initial dendroecological and environmental samples in late 2017; the retrieved samples dated the timber of TBW from the early to mid-16th Century. Th</w:t>
      </w:r>
      <w:r w:rsidR="00CA3EA0">
        <w:rPr>
          <w:rFonts w:ascii="Segoe UI" w:eastAsia="Times New Roman" w:hAnsi="Segoe UI" w:cs="Segoe UI"/>
          <w:sz w:val="24"/>
          <w:szCs w:val="24"/>
          <w:lang w:eastAsia="en-GB"/>
        </w:rPr>
        <w:t>e</w:t>
      </w:r>
      <w:r w:rsidRPr="6863F10B">
        <w:rPr>
          <w:rFonts w:ascii="Segoe UI" w:eastAsia="Times New Roman" w:hAnsi="Segoe UI" w:cs="Segoe UI"/>
          <w:sz w:val="24"/>
          <w:szCs w:val="24"/>
          <w:lang w:eastAsia="en-GB"/>
        </w:rPr>
        <w:t xml:space="preserve"> report</w:t>
      </w:r>
      <w:r w:rsidR="00250FD6">
        <w:rPr>
          <w:rFonts w:ascii="Segoe UI" w:eastAsia="Times New Roman" w:hAnsi="Segoe UI" w:cs="Segoe UI"/>
          <w:sz w:val="24"/>
          <w:szCs w:val="24"/>
          <w:lang w:eastAsia="en-GB"/>
        </w:rPr>
        <w:t xml:space="preserve"> (</w:t>
      </w:r>
      <w:r w:rsidR="00CA3EA0">
        <w:rPr>
          <w:rFonts w:ascii="Segoe UI" w:eastAsia="Times New Roman" w:hAnsi="Segoe UI" w:cs="Segoe UI"/>
          <w:sz w:val="24"/>
          <w:szCs w:val="24"/>
          <w:lang w:eastAsia="en-GB"/>
        </w:rPr>
        <w:t>Croce</w:t>
      </w:r>
      <w:r w:rsidR="00BA5E2E">
        <w:rPr>
          <w:rFonts w:ascii="Segoe UI" w:eastAsia="Times New Roman" w:hAnsi="Segoe UI" w:cs="Segoe UI"/>
          <w:sz w:val="24"/>
          <w:szCs w:val="24"/>
          <w:lang w:eastAsia="en-GB"/>
        </w:rPr>
        <w:t>,</w:t>
      </w:r>
      <w:r w:rsidR="00CA3EA0">
        <w:rPr>
          <w:rFonts w:ascii="Segoe UI" w:eastAsia="Times New Roman" w:hAnsi="Segoe UI" w:cs="Segoe UI"/>
          <w:sz w:val="24"/>
          <w:szCs w:val="24"/>
          <w:lang w:eastAsia="en-GB"/>
        </w:rPr>
        <w:t xml:space="preserve"> et al 2019</w:t>
      </w:r>
      <w:r w:rsidR="00250FD6">
        <w:rPr>
          <w:rFonts w:ascii="Segoe UI" w:eastAsia="Times New Roman" w:hAnsi="Segoe UI" w:cs="Segoe UI"/>
          <w:sz w:val="24"/>
          <w:szCs w:val="24"/>
          <w:lang w:eastAsia="en-GB"/>
        </w:rPr>
        <w:t>)</w:t>
      </w:r>
      <w:r w:rsidRPr="6863F10B">
        <w:rPr>
          <w:rFonts w:ascii="Segoe UI" w:eastAsia="Times New Roman" w:hAnsi="Segoe UI" w:cs="Segoe UI"/>
          <w:sz w:val="24"/>
          <w:szCs w:val="24"/>
          <w:lang w:eastAsia="en-GB"/>
        </w:rPr>
        <w:t xml:space="preserve"> therefore relates to the initial evaluation fieldwork conducted in 2017 and the excavation on TBW between the 10th of July to the 20th of July 2018; undertaken because TBW was considered an important national discovery which could produce a significant amount of new data on shipbuilding and trade in the early post-medieval period. </w:t>
      </w:r>
    </w:p>
    <w:p w14:paraId="31C65371" w14:textId="66119C10" w:rsidR="00F62E31" w:rsidRPr="00F62E31" w:rsidRDefault="00F62E31" w:rsidP="00F62E31">
      <w:pPr>
        <w:spacing w:beforeAutospacing="1" w:afterAutospacing="1" w:line="240" w:lineRule="auto"/>
        <w:outlineLvl w:val="3"/>
        <w:rPr>
          <w:rFonts w:ascii="Segoe UI" w:eastAsia="Times New Roman" w:hAnsi="Segoe UI" w:cs="Segoe UI"/>
          <w:sz w:val="24"/>
          <w:szCs w:val="24"/>
          <w:lang w:eastAsia="en-GB"/>
        </w:rPr>
      </w:pPr>
      <w:r w:rsidRPr="00F62E31">
        <w:rPr>
          <w:rFonts w:ascii="Segoe UI" w:eastAsia="Times New Roman" w:hAnsi="Segoe UI" w:cs="Segoe UI"/>
          <w:sz w:val="24"/>
          <w:szCs w:val="24"/>
          <w:lang w:eastAsia="en-GB"/>
        </w:rPr>
        <w:t xml:space="preserve">The geology of this part of the East of Kent coast is abundant in the London Clay Formation, as evidenced by </w:t>
      </w:r>
      <w:r w:rsidR="00C64BA5">
        <w:rPr>
          <w:rFonts w:ascii="Segoe UI" w:eastAsia="Times New Roman" w:hAnsi="Segoe UI" w:cs="Segoe UI"/>
          <w:sz w:val="24"/>
          <w:szCs w:val="24"/>
          <w:lang w:eastAsia="en-GB"/>
        </w:rPr>
        <w:t>C</w:t>
      </w:r>
      <w:r w:rsidRPr="00F62E31">
        <w:rPr>
          <w:rFonts w:ascii="Segoe UI" w:eastAsia="Times New Roman" w:hAnsi="Segoe UI" w:cs="Segoe UI"/>
          <w:sz w:val="24"/>
          <w:szCs w:val="24"/>
          <w:lang w:eastAsia="en-GB"/>
        </w:rPr>
        <w:t>opperas</w:t>
      </w:r>
      <w:r w:rsidR="00C64BA5">
        <w:rPr>
          <w:rFonts w:ascii="Segoe UI" w:eastAsia="Times New Roman" w:hAnsi="Segoe UI" w:cs="Segoe UI"/>
          <w:sz w:val="24"/>
          <w:szCs w:val="24"/>
          <w:lang w:eastAsia="en-GB"/>
        </w:rPr>
        <w:t xml:space="preserve"> W</w:t>
      </w:r>
      <w:r w:rsidRPr="00F62E31">
        <w:rPr>
          <w:rFonts w:ascii="Segoe UI" w:eastAsia="Times New Roman" w:hAnsi="Segoe UI" w:cs="Segoe UI"/>
          <w:sz w:val="24"/>
          <w:szCs w:val="24"/>
          <w:lang w:eastAsia="en-GB"/>
        </w:rPr>
        <w:t>orks</w:t>
      </w:r>
      <w:r w:rsidR="00C64BA5">
        <w:rPr>
          <w:rFonts w:ascii="Segoe UI" w:eastAsia="Times New Roman" w:hAnsi="Segoe UI" w:cs="Segoe UI"/>
          <w:sz w:val="24"/>
          <w:szCs w:val="24"/>
          <w:lang w:eastAsia="en-GB"/>
        </w:rPr>
        <w:t xml:space="preserve"> </w:t>
      </w:r>
      <w:r w:rsidR="00C64BA5" w:rsidRPr="00F62E31">
        <w:rPr>
          <w:rFonts w:ascii="Segoe UI" w:eastAsia="Times New Roman" w:hAnsi="Segoe UI" w:cs="Segoe UI"/>
          <w:sz w:val="24"/>
          <w:szCs w:val="24"/>
          <w:lang w:eastAsia="en-GB"/>
        </w:rPr>
        <w:t>(Iron Pyrite)</w:t>
      </w:r>
      <w:r w:rsidR="00C64BA5">
        <w:rPr>
          <w:rFonts w:ascii="Segoe UI" w:eastAsia="Times New Roman" w:hAnsi="Segoe UI" w:cs="Segoe UI"/>
          <w:sz w:val="24"/>
          <w:szCs w:val="24"/>
          <w:lang w:eastAsia="en-GB"/>
        </w:rPr>
        <w:t xml:space="preserve"> </w:t>
      </w:r>
      <w:r w:rsidRPr="00F62E31">
        <w:rPr>
          <w:rFonts w:ascii="Segoe UI" w:eastAsia="Times New Roman" w:hAnsi="Segoe UI" w:cs="Segoe UI"/>
          <w:sz w:val="24"/>
          <w:szCs w:val="24"/>
          <w:lang w:eastAsia="en-GB"/>
        </w:rPr>
        <w:t>dating back to the 16th Century located approximately 1000 meters Northwest from TBW (</w:t>
      </w:r>
      <w:r w:rsidR="00180542">
        <w:rPr>
          <w:rFonts w:ascii="Segoe UI" w:eastAsia="Times New Roman" w:hAnsi="Segoe UI" w:cs="Segoe UI"/>
          <w:sz w:val="24"/>
          <w:szCs w:val="24"/>
          <w:lang w:eastAsia="en-GB"/>
        </w:rPr>
        <w:t>Allen</w:t>
      </w:r>
      <w:r w:rsidR="00BA5E2E">
        <w:rPr>
          <w:rFonts w:ascii="Segoe UI" w:eastAsia="Times New Roman" w:hAnsi="Segoe UI" w:cs="Segoe UI"/>
          <w:sz w:val="24"/>
          <w:szCs w:val="24"/>
          <w:lang w:eastAsia="en-GB"/>
        </w:rPr>
        <w:t>,</w:t>
      </w:r>
      <w:r w:rsidR="00180542">
        <w:rPr>
          <w:rFonts w:ascii="Segoe UI" w:eastAsia="Times New Roman" w:hAnsi="Segoe UI" w:cs="Segoe UI"/>
          <w:sz w:val="24"/>
          <w:szCs w:val="24"/>
          <w:lang w:eastAsia="en-GB"/>
        </w:rPr>
        <w:t xml:space="preserve"> et al 2001</w:t>
      </w:r>
      <w:r w:rsidRPr="00F62E31">
        <w:rPr>
          <w:rFonts w:ascii="Segoe UI" w:eastAsia="Times New Roman" w:hAnsi="Segoe UI" w:cs="Segoe UI"/>
          <w:sz w:val="24"/>
          <w:szCs w:val="24"/>
          <w:lang w:eastAsia="en-GB"/>
        </w:rPr>
        <w:t xml:space="preserve">). The London Clay presented a unique opportunity, as the fine clay particles would have formed anaerobic conditions, potentially preserving any organic matter found in situ of TBW </w:t>
      </w:r>
      <w:r w:rsidRPr="007729FF">
        <w:rPr>
          <w:rFonts w:ascii="Segoe UI" w:eastAsia="Times New Roman" w:hAnsi="Segoe UI" w:cs="Segoe UI"/>
          <w:sz w:val="24"/>
          <w:szCs w:val="24"/>
          <w:lang w:eastAsia="en-GB"/>
        </w:rPr>
        <w:t>(</w:t>
      </w:r>
      <w:r w:rsidR="007729FF" w:rsidRPr="007729FF">
        <w:rPr>
          <w:rFonts w:ascii="Segoe UI" w:hAnsi="Segoe UI" w:cs="Segoe UI"/>
          <w:sz w:val="24"/>
          <w:szCs w:val="24"/>
          <w:shd w:val="clear" w:color="auto" w:fill="FCFCFC"/>
        </w:rPr>
        <w:t>Bagheri</w:t>
      </w:r>
      <w:r w:rsidR="007729FF" w:rsidRPr="007729FF">
        <w:rPr>
          <w:rFonts w:ascii="Segoe UI" w:hAnsi="Segoe UI" w:cs="Segoe UI"/>
          <w:sz w:val="24"/>
          <w:szCs w:val="24"/>
          <w:shd w:val="clear" w:color="auto" w:fill="FCFCFC"/>
        </w:rPr>
        <w:t xml:space="preserve"> &amp;</w:t>
      </w:r>
      <w:r w:rsidR="007729FF" w:rsidRPr="007729FF">
        <w:rPr>
          <w:rFonts w:ascii="Segoe UI" w:hAnsi="Segoe UI" w:cs="Segoe UI"/>
          <w:sz w:val="24"/>
          <w:szCs w:val="24"/>
          <w:shd w:val="clear" w:color="auto" w:fill="FCFCFC"/>
        </w:rPr>
        <w:t xml:space="preserve"> </w:t>
      </w:r>
      <w:proofErr w:type="spellStart"/>
      <w:r w:rsidR="007729FF" w:rsidRPr="007729FF">
        <w:rPr>
          <w:rFonts w:ascii="Segoe UI" w:hAnsi="Segoe UI" w:cs="Segoe UI"/>
          <w:sz w:val="24"/>
          <w:szCs w:val="24"/>
          <w:shd w:val="clear" w:color="auto" w:fill="FCFCFC"/>
        </w:rPr>
        <w:t>Rezania</w:t>
      </w:r>
      <w:proofErr w:type="spellEnd"/>
      <w:r w:rsidR="00BA5E2E">
        <w:rPr>
          <w:rFonts w:ascii="Segoe UI" w:hAnsi="Segoe UI" w:cs="Segoe UI"/>
          <w:sz w:val="24"/>
          <w:szCs w:val="24"/>
          <w:shd w:val="clear" w:color="auto" w:fill="FCFCFC"/>
        </w:rPr>
        <w:t xml:space="preserve"> </w:t>
      </w:r>
      <w:r w:rsidR="007729FF" w:rsidRPr="007729FF">
        <w:rPr>
          <w:rFonts w:ascii="Segoe UI" w:hAnsi="Segoe UI" w:cs="Segoe UI"/>
          <w:sz w:val="24"/>
          <w:szCs w:val="24"/>
          <w:shd w:val="clear" w:color="auto" w:fill="FCFCFC"/>
        </w:rPr>
        <w:t>2021</w:t>
      </w:r>
      <w:r w:rsidRPr="007729FF">
        <w:rPr>
          <w:rFonts w:ascii="Segoe UI" w:eastAsia="Times New Roman" w:hAnsi="Segoe UI" w:cs="Segoe UI"/>
          <w:sz w:val="24"/>
          <w:szCs w:val="24"/>
          <w:lang w:eastAsia="en-GB"/>
        </w:rPr>
        <w:t>).</w:t>
      </w:r>
      <w:r w:rsidR="00DD39DC">
        <w:rPr>
          <w:rFonts w:ascii="Segoe UI" w:eastAsia="Times New Roman" w:hAnsi="Segoe UI" w:cs="Segoe UI"/>
          <w:sz w:val="24"/>
          <w:szCs w:val="24"/>
          <w:lang w:eastAsia="en-GB"/>
        </w:rPr>
        <w:t xml:space="preserve"> This was certainly a main objective with regards to the use of environmental sampling in the project.  </w:t>
      </w:r>
      <w:r w:rsidRPr="00F62E31">
        <w:rPr>
          <w:rFonts w:ascii="Segoe UI" w:eastAsia="Times New Roman" w:hAnsi="Segoe UI" w:cs="Segoe UI"/>
          <w:sz w:val="24"/>
          <w:szCs w:val="24"/>
          <w:lang w:eastAsia="en-GB"/>
        </w:rPr>
        <w:t xml:space="preserve"> </w:t>
      </w:r>
    </w:p>
    <w:p w14:paraId="20703D70" w14:textId="77777777" w:rsidR="004357B5" w:rsidRDefault="00F62E31" w:rsidP="004357B5">
      <w:pPr>
        <w:spacing w:beforeAutospacing="1" w:afterAutospacing="1" w:line="240" w:lineRule="auto"/>
        <w:outlineLvl w:val="3"/>
        <w:rPr>
          <w:rFonts w:ascii="Segoe UI" w:eastAsia="Times New Roman" w:hAnsi="Segoe UI" w:cs="Segoe UI"/>
          <w:sz w:val="24"/>
          <w:szCs w:val="24"/>
          <w:lang w:eastAsia="en-GB"/>
        </w:rPr>
      </w:pPr>
      <w:r w:rsidRPr="00F62E31">
        <w:rPr>
          <w:rFonts w:ascii="Segoe UI" w:eastAsia="Times New Roman" w:hAnsi="Segoe UI" w:cs="Segoe UI"/>
          <w:sz w:val="24"/>
          <w:szCs w:val="24"/>
          <w:lang w:eastAsia="en-GB"/>
        </w:rPr>
        <w:t xml:space="preserve">The initial evaluations of timber samples taken from two excavation trenches inside the hull of TBW in late 2017 helped establish the approximate date of TBW. Also, the identification of the type of timber used for both construction and repair.  However, due to the limitations of the evaluation trenches, some incorrect conjectures were made with regards to the amount of collapsed timber to be found within the hull of TBW; which impacted the methodological approach used for the July 2018 excavations, which revealed additional roof planking, disarticulated timber and a collapsed galley structure inside the hull of the TBW. The 2017 test trenches also had the counteractive effect of compromising the marine silt and clay inside the hull, waterlogging the timber and making the later 2018 excavations difficult. Smaller randomised test trenches with perhaps a greater spread might have minimalised impact on TBW and would have possibly given a better interpretation of the </w:t>
      </w:r>
      <w:r w:rsidRPr="00F62E31">
        <w:rPr>
          <w:rFonts w:ascii="Segoe UI" w:eastAsia="Times New Roman" w:hAnsi="Segoe UI" w:cs="Segoe UI"/>
          <w:sz w:val="24"/>
          <w:szCs w:val="24"/>
          <w:lang w:eastAsia="en-GB"/>
        </w:rPr>
        <w:lastRenderedPageBreak/>
        <w:t xml:space="preserve">structure for future work. In addition, waiting until spring 2018 for the evaluation work and then starting the excavations in early summer might have lessened the impact of waterlogging. Although TBW was an unknown wreck in 2017, and there was a sense of urgency to recover as much data as possible before the winter.   </w:t>
      </w:r>
    </w:p>
    <w:p w14:paraId="3BA2B6A8" w14:textId="4F5D3BAC" w:rsidR="00041B70" w:rsidRDefault="004357B5" w:rsidP="004357B5">
      <w:pPr>
        <w:spacing w:beforeAutospacing="1" w:afterAutospacing="1" w:line="240" w:lineRule="auto"/>
        <w:outlineLvl w:val="3"/>
        <w:rPr>
          <w:rFonts w:ascii="Segoe UI" w:eastAsia="Times New Roman" w:hAnsi="Segoe UI" w:cs="Segoe UI"/>
          <w:sz w:val="24"/>
          <w:szCs w:val="24"/>
          <w:lang w:eastAsia="en-GB"/>
        </w:rPr>
      </w:pPr>
      <w:r w:rsidRPr="004357B5">
        <w:rPr>
          <w:rFonts w:ascii="Segoe UI" w:eastAsia="Times New Roman" w:hAnsi="Segoe UI" w:cs="Segoe UI"/>
          <w:sz w:val="24"/>
          <w:szCs w:val="24"/>
          <w:lang w:eastAsia="en-GB"/>
        </w:rPr>
        <w:t>As discussed in Section 4 of the report</w:t>
      </w:r>
      <w:r w:rsidR="007729FF">
        <w:rPr>
          <w:rFonts w:ascii="Segoe UI" w:eastAsia="Times New Roman" w:hAnsi="Segoe UI" w:cs="Segoe UI"/>
          <w:sz w:val="24"/>
          <w:szCs w:val="24"/>
          <w:lang w:eastAsia="en-GB"/>
        </w:rPr>
        <w:t>,</w:t>
      </w:r>
      <w:r w:rsidR="007729FF">
        <w:rPr>
          <w:rFonts w:ascii="Segoe UI" w:eastAsia="Times New Roman" w:hAnsi="Segoe UI" w:cs="Segoe UI"/>
          <w:sz w:val="24"/>
          <w:szCs w:val="24"/>
          <w:lang w:eastAsia="en-GB"/>
        </w:rPr>
        <w:t xml:space="preserve"> Croce et al, </w:t>
      </w:r>
      <w:r w:rsidR="007729FF">
        <w:rPr>
          <w:rFonts w:ascii="Segoe UI" w:eastAsia="Times New Roman" w:hAnsi="Segoe UI" w:cs="Segoe UI"/>
          <w:sz w:val="24"/>
          <w:szCs w:val="24"/>
          <w:lang w:eastAsia="en-GB"/>
        </w:rPr>
        <w:t>(</w:t>
      </w:r>
      <w:r w:rsidR="007729FF">
        <w:rPr>
          <w:rFonts w:ascii="Segoe UI" w:eastAsia="Times New Roman" w:hAnsi="Segoe UI" w:cs="Segoe UI"/>
          <w:sz w:val="24"/>
          <w:szCs w:val="24"/>
          <w:lang w:eastAsia="en-GB"/>
        </w:rPr>
        <w:t>2019)</w:t>
      </w:r>
      <w:r w:rsidRPr="004357B5">
        <w:rPr>
          <w:rFonts w:ascii="Segoe UI" w:eastAsia="Times New Roman" w:hAnsi="Segoe UI" w:cs="Segoe UI"/>
          <w:sz w:val="24"/>
          <w:szCs w:val="24"/>
          <w:lang w:eastAsia="en-GB"/>
        </w:rPr>
        <w:t xml:space="preserve">, the 2018 fieldwork methodology aligned with the standards outlined in </w:t>
      </w:r>
      <w:proofErr w:type="spellStart"/>
      <w:r w:rsidRPr="004357B5">
        <w:rPr>
          <w:rFonts w:ascii="Segoe UI" w:eastAsia="Times New Roman" w:hAnsi="Segoe UI" w:cs="Segoe UI"/>
          <w:sz w:val="24"/>
          <w:szCs w:val="24"/>
          <w:lang w:eastAsia="en-GB"/>
        </w:rPr>
        <w:t>CIfA</w:t>
      </w:r>
      <w:proofErr w:type="spellEnd"/>
      <w:r w:rsidRPr="004357B5">
        <w:rPr>
          <w:rFonts w:ascii="Segoe UI" w:eastAsia="Times New Roman" w:hAnsi="Segoe UI" w:cs="Segoe UI"/>
          <w:sz w:val="24"/>
          <w:szCs w:val="24"/>
          <w:lang w:eastAsia="en-GB"/>
        </w:rPr>
        <w:t xml:space="preserve"> guidance (</w:t>
      </w:r>
      <w:proofErr w:type="spellStart"/>
      <w:r w:rsidRPr="004357B5">
        <w:rPr>
          <w:rFonts w:ascii="Segoe UI" w:eastAsia="Times New Roman" w:hAnsi="Segoe UI" w:cs="Segoe UI"/>
          <w:sz w:val="24"/>
          <w:szCs w:val="24"/>
          <w:lang w:eastAsia="en-GB"/>
        </w:rPr>
        <w:t>CIfA</w:t>
      </w:r>
      <w:proofErr w:type="spellEnd"/>
      <w:r w:rsidRPr="004357B5">
        <w:rPr>
          <w:rFonts w:ascii="Segoe UI" w:eastAsia="Times New Roman" w:hAnsi="Segoe UI" w:cs="Segoe UI"/>
          <w:sz w:val="24"/>
          <w:szCs w:val="24"/>
          <w:lang w:eastAsia="en-GB"/>
        </w:rPr>
        <w:t xml:space="preserve"> 2014a). It consisted of recording TBW on a Global Positioning System (GPS). The surface marine silt and clay was then progressively removed under the supervision of senior team members until the outline, and interior timber structure of TBW was exposed to the foreshore surface. The main logistical problem encountered by the team was due to the time limitations of the changing tides. Although the water was not present on the surface, the ebb tide was still draining seaward under the marine deposits making the onsite recovery cleaning and identification of archaeological deposits difficult. </w:t>
      </w:r>
      <w:r w:rsidR="00CB4C74">
        <w:rPr>
          <w:rFonts w:ascii="Segoe UI" w:eastAsia="Times New Roman" w:hAnsi="Segoe UI" w:cs="Segoe UI"/>
          <w:sz w:val="24"/>
          <w:szCs w:val="24"/>
          <w:lang w:eastAsia="en-GB"/>
        </w:rPr>
        <w:t>Metal Detectors were also used onsite, although some consideration must be given to the mineralised condition of the foreshore, especially the presents of</w:t>
      </w:r>
      <w:r w:rsidR="004E6DD9">
        <w:rPr>
          <w:rFonts w:ascii="Segoe UI" w:eastAsia="Times New Roman" w:hAnsi="Segoe UI" w:cs="Segoe UI"/>
          <w:sz w:val="24"/>
          <w:szCs w:val="24"/>
          <w:lang w:eastAsia="en-GB"/>
        </w:rPr>
        <w:t xml:space="preserve"> naturally occurring</w:t>
      </w:r>
      <w:r w:rsidR="00CB4C74">
        <w:rPr>
          <w:rFonts w:ascii="Segoe UI" w:eastAsia="Times New Roman" w:hAnsi="Segoe UI" w:cs="Segoe UI"/>
          <w:sz w:val="24"/>
          <w:szCs w:val="24"/>
          <w:lang w:eastAsia="en-GB"/>
        </w:rPr>
        <w:t xml:space="preserve"> iron pyrite in the London Clay. </w:t>
      </w:r>
    </w:p>
    <w:p w14:paraId="71C3A63C" w14:textId="77777777" w:rsidR="00CA47AE" w:rsidRDefault="00EA616B" w:rsidP="00EA616B">
      <w:pPr>
        <w:spacing w:before="100" w:beforeAutospacing="1" w:after="100" w:afterAutospacing="1" w:line="240" w:lineRule="auto"/>
        <w:outlineLvl w:val="3"/>
        <w:rPr>
          <w:rFonts w:ascii="Segoe UI" w:eastAsia="Times New Roman" w:hAnsi="Segoe UI" w:cs="Segoe UI"/>
          <w:sz w:val="24"/>
          <w:szCs w:val="24"/>
          <w:lang w:eastAsia="en-GB"/>
        </w:rPr>
      </w:pPr>
      <w:r w:rsidRPr="00EA616B">
        <w:rPr>
          <w:rFonts w:ascii="Segoe UI" w:eastAsia="Times New Roman" w:hAnsi="Segoe UI" w:cs="Segoe UI"/>
          <w:sz w:val="24"/>
          <w:szCs w:val="24"/>
          <w:lang w:eastAsia="en-GB"/>
        </w:rPr>
        <w:t xml:space="preserve">Data Recording methodologies were as follows: Archaeological features and deposits recorded on Wessex archaeology proforma recording system, digitised records made and aligned to Ordnance Survey (OS) maps, hight Ordnance Datum (OD) produced and applied to site and section drawings and Global Navigational Satellite System (GNSS) was used to provide accurate geographical point data in conjunction with the OD data to give the physical dimensions of the site. Multiple high-quality photographic images were also taken of TBW features with embedded metadata for longer-term archival use.  </w:t>
      </w:r>
    </w:p>
    <w:p w14:paraId="6D95086B" w14:textId="40C438E5" w:rsidR="00EA616B" w:rsidRPr="00CA47AE" w:rsidRDefault="00CA47AE" w:rsidP="00EA616B">
      <w:pPr>
        <w:spacing w:before="100" w:beforeAutospacing="1" w:after="100" w:afterAutospacing="1" w:line="240" w:lineRule="auto"/>
        <w:outlineLvl w:val="3"/>
        <w:rPr>
          <w:rFonts w:ascii="Segoe UI" w:eastAsia="Times New Roman" w:hAnsi="Segoe UI" w:cs="Segoe UI"/>
          <w:sz w:val="24"/>
          <w:szCs w:val="24"/>
          <w:lang w:eastAsia="en-GB"/>
        </w:rPr>
      </w:pPr>
      <w:r w:rsidRPr="00CA47AE">
        <w:rPr>
          <w:rFonts w:ascii="Segoe UI" w:eastAsia="Times New Roman" w:hAnsi="Segoe UI" w:cs="Segoe UI"/>
          <w:sz w:val="24"/>
          <w:szCs w:val="24"/>
          <w:lang w:eastAsia="en-GB"/>
        </w:rPr>
        <w:t xml:space="preserve">Due to the anaerobic conditions of the site, there was a high expectation that environmental sampling could produce important data; all sample locations were recorded via GPS, and there was a </w:t>
      </w:r>
      <w:r w:rsidR="00DA4780" w:rsidRPr="00CA47AE">
        <w:rPr>
          <w:rFonts w:ascii="Segoe UI" w:eastAsia="Times New Roman" w:hAnsi="Segoe UI" w:cs="Segoe UI"/>
          <w:sz w:val="24"/>
          <w:szCs w:val="24"/>
          <w:lang w:eastAsia="en-GB"/>
        </w:rPr>
        <w:t>planned</w:t>
      </w:r>
      <w:r w:rsidRPr="00CA47AE">
        <w:rPr>
          <w:rFonts w:ascii="Segoe UI" w:eastAsia="Times New Roman" w:hAnsi="Segoe UI" w:cs="Segoe UI"/>
          <w:sz w:val="24"/>
          <w:szCs w:val="24"/>
          <w:lang w:eastAsia="en-GB"/>
        </w:rPr>
        <w:t xml:space="preserve"> objective to use these techniques, as it was understood that these scientific methodologies are</w:t>
      </w:r>
      <w:r w:rsidR="00DA4780">
        <w:rPr>
          <w:rFonts w:ascii="Segoe UI" w:eastAsia="Times New Roman" w:hAnsi="Segoe UI" w:cs="Segoe UI"/>
          <w:sz w:val="24"/>
          <w:szCs w:val="24"/>
          <w:lang w:eastAsia="en-GB"/>
        </w:rPr>
        <w:t xml:space="preserve"> sometimes</w:t>
      </w:r>
      <w:r w:rsidRPr="00CA47AE">
        <w:rPr>
          <w:rFonts w:ascii="Segoe UI" w:eastAsia="Times New Roman" w:hAnsi="Segoe UI" w:cs="Segoe UI"/>
          <w:sz w:val="24"/>
          <w:szCs w:val="24"/>
          <w:lang w:eastAsia="en-GB"/>
        </w:rPr>
        <w:t xml:space="preserve"> not utilised to the full potential for intertidal excavations. Eight bulk sediment samples were retrieved to measure the microfossils content via a bucket floatation method, three samples of timber caulking were taken and analysed under a high-power microscope</w:t>
      </w:r>
      <w:r w:rsidR="00977195">
        <w:rPr>
          <w:rFonts w:ascii="Segoe UI" w:eastAsia="Times New Roman" w:hAnsi="Segoe UI" w:cs="Segoe UI"/>
          <w:sz w:val="24"/>
          <w:szCs w:val="24"/>
          <w:lang w:eastAsia="en-GB"/>
        </w:rPr>
        <w:t xml:space="preserve"> for moss species type</w:t>
      </w:r>
      <w:r>
        <w:rPr>
          <w:rFonts w:ascii="Segoe UI" w:eastAsia="Times New Roman" w:hAnsi="Segoe UI" w:cs="Segoe UI"/>
          <w:sz w:val="24"/>
          <w:szCs w:val="24"/>
          <w:lang w:eastAsia="en-GB"/>
        </w:rPr>
        <w:t>,</w:t>
      </w:r>
      <w:r w:rsidR="00977195">
        <w:rPr>
          <w:rFonts w:ascii="Segoe UI" w:eastAsia="Times New Roman" w:hAnsi="Segoe UI" w:cs="Segoe UI"/>
          <w:sz w:val="24"/>
          <w:szCs w:val="24"/>
          <w:lang w:eastAsia="en-GB"/>
        </w:rPr>
        <w:t xml:space="preserve"> three wet subsamples for </w:t>
      </w:r>
      <w:r w:rsidR="00977195" w:rsidRPr="00977195">
        <w:rPr>
          <w:rFonts w:ascii="Segoe UI" w:hAnsi="Segoe UI" w:cs="Segoe UI"/>
          <w:sz w:val="24"/>
          <w:szCs w:val="24"/>
        </w:rPr>
        <w:t>foraminiferal analysis</w:t>
      </w:r>
      <w:r w:rsidR="00977195">
        <w:rPr>
          <w:rFonts w:ascii="Segoe UI" w:hAnsi="Segoe UI" w:cs="Segoe UI"/>
          <w:sz w:val="24"/>
          <w:szCs w:val="24"/>
        </w:rPr>
        <w:t xml:space="preserve">, </w:t>
      </w:r>
      <w:r w:rsidR="00E160A6">
        <w:rPr>
          <w:rFonts w:ascii="Segoe UI" w:hAnsi="Segoe UI" w:cs="Segoe UI"/>
          <w:sz w:val="24"/>
          <w:szCs w:val="24"/>
        </w:rPr>
        <w:t>nine sub-samples for pollen spores</w:t>
      </w:r>
      <w:r w:rsidR="00E160A6" w:rsidRPr="00E160A6">
        <w:rPr>
          <w:rFonts w:ascii="Segoe UI" w:hAnsi="Segoe UI" w:cs="Segoe UI"/>
          <w:sz w:val="24"/>
          <w:szCs w:val="24"/>
        </w:rPr>
        <w:t>,</w:t>
      </w:r>
      <w:r w:rsidR="00E160A6" w:rsidRPr="00AD1E64">
        <w:rPr>
          <w:rFonts w:ascii="Segoe UI" w:hAnsi="Segoe UI" w:cs="Segoe UI"/>
          <w:sz w:val="24"/>
          <w:szCs w:val="24"/>
        </w:rPr>
        <w:t xml:space="preserve"> Dinoflagellates</w:t>
      </w:r>
      <w:r w:rsidRPr="00E160A6">
        <w:rPr>
          <w:rFonts w:ascii="Segoe UI" w:eastAsia="Times New Roman" w:hAnsi="Segoe UI" w:cs="Segoe UI"/>
          <w:sz w:val="24"/>
          <w:szCs w:val="24"/>
          <w:lang w:eastAsia="en-GB"/>
        </w:rPr>
        <w:t xml:space="preserve"> </w:t>
      </w:r>
      <w:r w:rsidR="00AD1E64">
        <w:rPr>
          <w:rFonts w:ascii="Segoe UI" w:eastAsia="Times New Roman" w:hAnsi="Segoe UI" w:cs="Segoe UI"/>
          <w:sz w:val="24"/>
          <w:szCs w:val="24"/>
          <w:lang w:eastAsia="en-GB"/>
        </w:rPr>
        <w:t>sub-</w:t>
      </w:r>
      <w:r w:rsidR="00E160A6">
        <w:rPr>
          <w:rFonts w:ascii="Segoe UI" w:eastAsia="Times New Roman" w:hAnsi="Segoe UI" w:cs="Segoe UI"/>
          <w:sz w:val="24"/>
          <w:szCs w:val="24"/>
          <w:lang w:eastAsia="en-GB"/>
        </w:rPr>
        <w:t>samples to determine</w:t>
      </w:r>
      <w:r w:rsidR="00AD1E64">
        <w:rPr>
          <w:rFonts w:ascii="Segoe UI" w:eastAsia="Times New Roman" w:hAnsi="Segoe UI" w:cs="Segoe UI"/>
          <w:sz w:val="24"/>
          <w:szCs w:val="24"/>
          <w:lang w:eastAsia="en-GB"/>
        </w:rPr>
        <w:t xml:space="preserve"> the provenance of the wreck in relation to the stratigraphy, Geochemistry samples via Solid State Nuclear Magnetic Resonance (</w:t>
      </w:r>
      <w:proofErr w:type="spellStart"/>
      <w:r w:rsidR="00AD1E64">
        <w:rPr>
          <w:rFonts w:ascii="Segoe UI" w:eastAsia="Times New Roman" w:hAnsi="Segoe UI" w:cs="Segoe UI"/>
          <w:sz w:val="24"/>
          <w:szCs w:val="24"/>
          <w:lang w:eastAsia="en-GB"/>
        </w:rPr>
        <w:t>ssNMR</w:t>
      </w:r>
      <w:proofErr w:type="spellEnd"/>
      <w:r w:rsidR="00AD1E64">
        <w:rPr>
          <w:rFonts w:ascii="Segoe UI" w:eastAsia="Times New Roman" w:hAnsi="Segoe UI" w:cs="Segoe UI"/>
          <w:sz w:val="24"/>
          <w:szCs w:val="24"/>
          <w:lang w:eastAsia="en-GB"/>
        </w:rPr>
        <w:t>)</w:t>
      </w:r>
      <w:r w:rsidR="00F50831">
        <w:rPr>
          <w:rFonts w:ascii="Segoe UI" w:eastAsia="Times New Roman" w:hAnsi="Segoe UI" w:cs="Segoe UI"/>
          <w:sz w:val="24"/>
          <w:szCs w:val="24"/>
          <w:lang w:eastAsia="en-GB"/>
        </w:rPr>
        <w:t>,</w:t>
      </w:r>
      <w:r w:rsidR="00AD1E64">
        <w:rPr>
          <w:rFonts w:ascii="Segoe UI" w:eastAsia="Times New Roman" w:hAnsi="Segoe UI" w:cs="Segoe UI"/>
          <w:sz w:val="24"/>
          <w:szCs w:val="24"/>
          <w:lang w:eastAsia="en-GB"/>
        </w:rPr>
        <w:t xml:space="preserve"> </w:t>
      </w:r>
      <w:r w:rsidR="00AD1E64" w:rsidRPr="00AD1E64">
        <w:rPr>
          <w:rFonts w:ascii="Segoe UI" w:hAnsi="Segoe UI" w:cs="Segoe UI"/>
          <w:sz w:val="24"/>
          <w:szCs w:val="24"/>
        </w:rPr>
        <w:t>pyrolysis Gas Chromatography – Mass Spectrometry (</w:t>
      </w:r>
      <w:proofErr w:type="spellStart"/>
      <w:r w:rsidR="00AD1E64" w:rsidRPr="00AD1E64">
        <w:rPr>
          <w:rFonts w:ascii="Segoe UI" w:hAnsi="Segoe UI" w:cs="Segoe UI"/>
          <w:sz w:val="24"/>
          <w:szCs w:val="24"/>
        </w:rPr>
        <w:t>py</w:t>
      </w:r>
      <w:proofErr w:type="spellEnd"/>
      <w:r w:rsidR="00AD1E64" w:rsidRPr="00AD1E64">
        <w:rPr>
          <w:rFonts w:ascii="Segoe UI" w:hAnsi="Segoe UI" w:cs="Segoe UI"/>
          <w:sz w:val="24"/>
          <w:szCs w:val="24"/>
        </w:rPr>
        <w:t>-GC-MS)</w:t>
      </w:r>
      <w:r w:rsidR="00AD1E64">
        <w:rPr>
          <w:rFonts w:ascii="Segoe UI" w:hAnsi="Segoe UI" w:cs="Segoe UI"/>
          <w:sz w:val="24"/>
          <w:szCs w:val="24"/>
        </w:rPr>
        <w:t xml:space="preserve"> and finally </w:t>
      </w:r>
      <w:r w:rsidR="006346DF">
        <w:rPr>
          <w:rFonts w:ascii="Segoe UI" w:hAnsi="Segoe UI" w:cs="Segoe UI"/>
          <w:sz w:val="24"/>
          <w:szCs w:val="24"/>
        </w:rPr>
        <w:t>r</w:t>
      </w:r>
      <w:r w:rsidR="00AD1E64">
        <w:rPr>
          <w:rFonts w:ascii="Segoe UI" w:hAnsi="Segoe UI" w:cs="Segoe UI"/>
          <w:sz w:val="24"/>
          <w:szCs w:val="24"/>
        </w:rPr>
        <w:t xml:space="preserve">adiocarbon </w:t>
      </w:r>
      <w:r w:rsidR="006346DF">
        <w:rPr>
          <w:rFonts w:ascii="Segoe UI" w:hAnsi="Segoe UI" w:cs="Segoe UI"/>
          <w:sz w:val="24"/>
          <w:szCs w:val="24"/>
        </w:rPr>
        <w:t>d</w:t>
      </w:r>
      <w:r w:rsidR="00AD1E64">
        <w:rPr>
          <w:rFonts w:ascii="Segoe UI" w:hAnsi="Segoe UI" w:cs="Segoe UI"/>
          <w:sz w:val="24"/>
          <w:szCs w:val="24"/>
        </w:rPr>
        <w:t>ating</w:t>
      </w:r>
      <w:r w:rsidR="00F50831">
        <w:rPr>
          <w:rFonts w:ascii="Segoe UI" w:hAnsi="Segoe UI" w:cs="Segoe UI"/>
          <w:sz w:val="24"/>
          <w:szCs w:val="24"/>
        </w:rPr>
        <w:t xml:space="preserve">.  </w:t>
      </w:r>
      <w:r w:rsidR="00AD1E64">
        <w:rPr>
          <w:rFonts w:ascii="Segoe UI" w:hAnsi="Segoe UI" w:cs="Segoe UI"/>
          <w:sz w:val="24"/>
          <w:szCs w:val="24"/>
        </w:rPr>
        <w:t xml:space="preserve"> </w:t>
      </w:r>
    </w:p>
    <w:p w14:paraId="2666ADC4" w14:textId="465FEB26" w:rsidR="00AA5145" w:rsidRDefault="00DA4780" w:rsidP="00AB22E1">
      <w:pPr>
        <w:spacing w:before="100" w:beforeAutospacing="1" w:after="100" w:afterAutospacing="1" w:line="240" w:lineRule="auto"/>
        <w:outlineLvl w:val="3"/>
        <w:rPr>
          <w:rFonts w:ascii="Segoe UI" w:eastAsia="Times New Roman" w:hAnsi="Segoe UI" w:cs="Segoe UI"/>
          <w:sz w:val="24"/>
          <w:szCs w:val="24"/>
          <w:lang w:eastAsia="en-GB"/>
        </w:rPr>
      </w:pPr>
      <w:r>
        <w:rPr>
          <w:rFonts w:ascii="Segoe UI" w:eastAsia="Times New Roman" w:hAnsi="Segoe UI" w:cs="Segoe UI"/>
          <w:sz w:val="24"/>
          <w:szCs w:val="24"/>
          <w:lang w:eastAsia="en-GB"/>
        </w:rPr>
        <w:t>T</w:t>
      </w:r>
      <w:r w:rsidR="00DA32B4" w:rsidRPr="00DA32B4">
        <w:rPr>
          <w:rFonts w:ascii="Segoe UI" w:eastAsia="Times New Roman" w:hAnsi="Segoe UI" w:cs="Segoe UI"/>
          <w:sz w:val="24"/>
          <w:szCs w:val="24"/>
          <w:lang w:eastAsia="en-GB"/>
        </w:rPr>
        <w:t xml:space="preserve">he research objectives were formulated under the Greater Thames Research Framework (English Heritage 2010), which includes difficult open-ended questions such as developing knowledge around maritime activity in the wider region with consideration to trade and settlement and economic activity. The Framework also </w:t>
      </w:r>
      <w:r w:rsidR="00DA32B4" w:rsidRPr="00DA32B4">
        <w:rPr>
          <w:rFonts w:ascii="Segoe UI" w:eastAsia="Times New Roman" w:hAnsi="Segoe UI" w:cs="Segoe UI"/>
          <w:sz w:val="24"/>
          <w:szCs w:val="24"/>
          <w:lang w:eastAsia="en-GB"/>
        </w:rPr>
        <w:lastRenderedPageBreak/>
        <w:t>included a selection of specific research objectives that were</w:t>
      </w:r>
      <w:r w:rsidR="00005A9F">
        <w:rPr>
          <w:rFonts w:ascii="Segoe UI" w:eastAsia="Times New Roman" w:hAnsi="Segoe UI" w:cs="Segoe UI"/>
          <w:sz w:val="24"/>
          <w:szCs w:val="24"/>
          <w:lang w:eastAsia="en-GB"/>
        </w:rPr>
        <w:t xml:space="preserve"> perhaps more</w:t>
      </w:r>
      <w:r w:rsidR="00DA32B4" w:rsidRPr="00DA32B4">
        <w:rPr>
          <w:rFonts w:ascii="Segoe UI" w:eastAsia="Times New Roman" w:hAnsi="Segoe UI" w:cs="Segoe UI"/>
          <w:sz w:val="24"/>
          <w:szCs w:val="24"/>
          <w:lang w:eastAsia="en-GB"/>
        </w:rPr>
        <w:t xml:space="preserve"> realistically accessible with the archaeological methodologies deployed with TBW in both 2017 and 2018, such as selecting specific remains for detailed study, identifying the nature of the cargo and locating the direction, destination of trade.   </w:t>
      </w:r>
    </w:p>
    <w:p w14:paraId="65F7CA71" w14:textId="6080C224" w:rsidR="005016C5" w:rsidRDefault="00E91312" w:rsidP="005016C5">
      <w:pPr>
        <w:spacing w:before="100" w:beforeAutospacing="1" w:after="100" w:afterAutospacing="1" w:line="240" w:lineRule="auto"/>
        <w:outlineLvl w:val="3"/>
        <w:rPr>
          <w:rFonts w:ascii="Segoe UI" w:hAnsi="Segoe UI" w:cs="Segoe UI"/>
          <w:sz w:val="24"/>
          <w:szCs w:val="24"/>
        </w:rPr>
      </w:pPr>
      <w:r w:rsidRPr="00E91312">
        <w:rPr>
          <w:rFonts w:ascii="Segoe UI" w:hAnsi="Segoe UI" w:cs="Segoe UI"/>
          <w:sz w:val="24"/>
          <w:szCs w:val="24"/>
        </w:rPr>
        <w:t xml:space="preserve">A total of 46 timber samples were retrieved from TBW between 2017-18; the samples were examined and produced </w:t>
      </w:r>
      <w:r w:rsidR="001C2A50" w:rsidRPr="00E91312">
        <w:rPr>
          <w:rFonts w:ascii="Segoe UI" w:hAnsi="Segoe UI" w:cs="Segoe UI"/>
          <w:sz w:val="24"/>
          <w:szCs w:val="24"/>
        </w:rPr>
        <w:t>important</w:t>
      </w:r>
      <w:r w:rsidRPr="00E91312">
        <w:rPr>
          <w:rFonts w:ascii="Segoe UI" w:hAnsi="Segoe UI" w:cs="Segoe UI"/>
          <w:sz w:val="24"/>
          <w:szCs w:val="24"/>
        </w:rPr>
        <w:t xml:space="preserve"> data regarding the age of the timber, species type, and possible origin</w:t>
      </w:r>
      <w:r w:rsidR="0066485D">
        <w:rPr>
          <w:rFonts w:ascii="Segoe UI" w:hAnsi="Segoe UI" w:cs="Segoe UI"/>
          <w:sz w:val="24"/>
          <w:szCs w:val="24"/>
        </w:rPr>
        <w:t xml:space="preserve">. </w:t>
      </w:r>
      <w:r w:rsidRPr="00E91312">
        <w:rPr>
          <w:rFonts w:ascii="Segoe UI" w:hAnsi="Segoe UI" w:cs="Segoe UI"/>
          <w:sz w:val="24"/>
          <w:szCs w:val="24"/>
        </w:rPr>
        <w:t>It is important to note that the project design should have a sampling strategy for the dendroecological sampling from the beginning to address these research questions in a systematic</w:t>
      </w:r>
      <w:r w:rsidR="002B6401">
        <w:rPr>
          <w:rFonts w:ascii="Segoe UI" w:hAnsi="Segoe UI" w:cs="Segoe UI"/>
          <w:sz w:val="24"/>
          <w:szCs w:val="24"/>
        </w:rPr>
        <w:t xml:space="preserve"> and</w:t>
      </w:r>
      <w:r w:rsidRPr="00E91312">
        <w:rPr>
          <w:rFonts w:ascii="Segoe UI" w:hAnsi="Segoe UI" w:cs="Segoe UI"/>
          <w:sz w:val="24"/>
          <w:szCs w:val="24"/>
        </w:rPr>
        <w:t xml:space="preserve"> step by step way</w:t>
      </w:r>
      <w:r w:rsidR="0066485D">
        <w:rPr>
          <w:rFonts w:ascii="Segoe UI" w:hAnsi="Segoe UI" w:cs="Segoe UI"/>
          <w:sz w:val="24"/>
          <w:szCs w:val="24"/>
        </w:rPr>
        <w:t xml:space="preserve"> </w:t>
      </w:r>
      <w:r w:rsidRPr="0066485D">
        <w:rPr>
          <w:rFonts w:ascii="Segoe UI" w:hAnsi="Segoe UI" w:cs="Segoe UI"/>
          <w:sz w:val="24"/>
          <w:szCs w:val="24"/>
        </w:rPr>
        <w:t>(</w:t>
      </w:r>
      <w:r w:rsidR="0066485D" w:rsidRPr="0066485D">
        <w:rPr>
          <w:rStyle w:val="authors"/>
          <w:rFonts w:ascii="Segoe UI" w:hAnsi="Segoe UI" w:cs="Segoe UI"/>
          <w:sz w:val="24"/>
          <w:szCs w:val="24"/>
          <w:shd w:val="clear" w:color="auto" w:fill="FFFFFF"/>
        </w:rPr>
        <w:t>Domínguez‐</w:t>
      </w:r>
      <w:proofErr w:type="spellStart"/>
      <w:r w:rsidR="0066485D" w:rsidRPr="0066485D">
        <w:rPr>
          <w:rStyle w:val="authors"/>
          <w:rFonts w:ascii="Segoe UI" w:hAnsi="Segoe UI" w:cs="Segoe UI"/>
          <w:sz w:val="24"/>
          <w:szCs w:val="24"/>
          <w:shd w:val="clear" w:color="auto" w:fill="FFFFFF"/>
        </w:rPr>
        <w:t>delmás</w:t>
      </w:r>
      <w:proofErr w:type="spellEnd"/>
      <w:r w:rsidR="0066485D">
        <w:rPr>
          <w:rStyle w:val="authors"/>
          <w:rFonts w:ascii="Segoe UI" w:hAnsi="Segoe UI" w:cs="Segoe UI"/>
          <w:sz w:val="24"/>
          <w:szCs w:val="24"/>
          <w:shd w:val="clear" w:color="auto" w:fill="FFFFFF"/>
        </w:rPr>
        <w:t xml:space="preserve"> </w:t>
      </w:r>
      <w:r w:rsidR="0066485D" w:rsidRPr="0066485D">
        <w:rPr>
          <w:rStyle w:val="authors"/>
          <w:rFonts w:ascii="Segoe UI" w:hAnsi="Segoe UI" w:cs="Segoe UI"/>
          <w:sz w:val="24"/>
          <w:szCs w:val="24"/>
          <w:shd w:val="clear" w:color="auto" w:fill="FFFFFF"/>
        </w:rPr>
        <w:t>2019</w:t>
      </w:r>
      <w:r w:rsidRPr="0066485D">
        <w:rPr>
          <w:rFonts w:ascii="Segoe UI" w:hAnsi="Segoe UI" w:cs="Segoe UI"/>
          <w:sz w:val="24"/>
          <w:szCs w:val="24"/>
        </w:rPr>
        <w:t xml:space="preserve">); </w:t>
      </w:r>
      <w:r w:rsidRPr="00E91312">
        <w:rPr>
          <w:rFonts w:ascii="Segoe UI" w:hAnsi="Segoe UI" w:cs="Segoe UI"/>
          <w:sz w:val="24"/>
          <w:szCs w:val="24"/>
        </w:rPr>
        <w:t xml:space="preserve">although the most perplexing research question with TBW </w:t>
      </w:r>
      <w:r w:rsidR="0066485D">
        <w:rPr>
          <w:rFonts w:ascii="Segoe UI" w:hAnsi="Segoe UI" w:cs="Segoe UI"/>
          <w:sz w:val="24"/>
          <w:szCs w:val="24"/>
        </w:rPr>
        <w:t>was</w:t>
      </w:r>
      <w:r w:rsidRPr="00E91312">
        <w:rPr>
          <w:rFonts w:ascii="Segoe UI" w:hAnsi="Segoe UI" w:cs="Segoe UI"/>
          <w:sz w:val="24"/>
          <w:szCs w:val="24"/>
        </w:rPr>
        <w:t xml:space="preserve"> its origin. The timber used was sourced from Germany, England and Scandinavia, yet the boat structure shares characteristics with carvel trading ships made and used in the Netherlands/low countries in the early post-medieval period. The consensus-based on the dendroecology data points towards the vessel origins in the low countries, with timber exported from southern Germany and subsequent repairs made in England with native oak and imported stockpiled Scandinavian timber. Again, the proximity of TBW to the Copperas Works, which </w:t>
      </w:r>
      <w:r w:rsidR="00612BF9">
        <w:rPr>
          <w:rFonts w:ascii="Segoe UI" w:hAnsi="Segoe UI" w:cs="Segoe UI"/>
          <w:sz w:val="24"/>
          <w:szCs w:val="24"/>
        </w:rPr>
        <w:t xml:space="preserve">was </w:t>
      </w:r>
      <w:r w:rsidR="00D22D02" w:rsidRPr="00E91312">
        <w:rPr>
          <w:rFonts w:ascii="Segoe UI" w:hAnsi="Segoe UI" w:cs="Segoe UI"/>
          <w:sz w:val="24"/>
          <w:szCs w:val="24"/>
        </w:rPr>
        <w:t>set up</w:t>
      </w:r>
      <w:r w:rsidR="00612BF9">
        <w:rPr>
          <w:rFonts w:ascii="Segoe UI" w:hAnsi="Segoe UI" w:cs="Segoe UI"/>
          <w:sz w:val="24"/>
          <w:szCs w:val="24"/>
        </w:rPr>
        <w:t xml:space="preserve"> by </w:t>
      </w:r>
      <w:r w:rsidRPr="00E91312">
        <w:rPr>
          <w:rFonts w:ascii="Segoe UI" w:hAnsi="Segoe UI" w:cs="Segoe UI"/>
          <w:sz w:val="24"/>
          <w:szCs w:val="24"/>
        </w:rPr>
        <w:t>chemists from the low countries in the same period</w:t>
      </w:r>
      <w:r w:rsidR="00B20CB9">
        <w:rPr>
          <w:rFonts w:ascii="Segoe UI" w:hAnsi="Segoe UI" w:cs="Segoe UI"/>
          <w:sz w:val="24"/>
          <w:szCs w:val="24"/>
        </w:rPr>
        <w:t xml:space="preserve"> </w:t>
      </w:r>
      <w:r w:rsidR="00F06EEB">
        <w:rPr>
          <w:rFonts w:ascii="Segoe UI" w:hAnsi="Segoe UI" w:cs="Segoe UI"/>
          <w:sz w:val="24"/>
          <w:szCs w:val="24"/>
        </w:rPr>
        <w:t>(</w:t>
      </w:r>
      <w:proofErr w:type="spellStart"/>
      <w:r w:rsidR="00B20CB9">
        <w:rPr>
          <w:rFonts w:ascii="Segoe UI" w:hAnsi="Segoe UI" w:cs="Segoe UI"/>
          <w:sz w:val="24"/>
          <w:szCs w:val="24"/>
        </w:rPr>
        <w:t>Goodsall</w:t>
      </w:r>
      <w:proofErr w:type="spellEnd"/>
      <w:r w:rsidR="00B20CB9">
        <w:rPr>
          <w:rFonts w:ascii="Segoe UI" w:hAnsi="Segoe UI" w:cs="Segoe UI"/>
          <w:sz w:val="24"/>
          <w:szCs w:val="24"/>
        </w:rPr>
        <w:t>, 1957</w:t>
      </w:r>
      <w:r w:rsidR="00F06EEB">
        <w:rPr>
          <w:rFonts w:ascii="Segoe UI" w:hAnsi="Segoe UI" w:cs="Segoe UI"/>
          <w:sz w:val="24"/>
          <w:szCs w:val="24"/>
        </w:rPr>
        <w:t>)</w:t>
      </w:r>
      <w:r w:rsidRPr="00E91312">
        <w:rPr>
          <w:rFonts w:ascii="Segoe UI" w:hAnsi="Segoe UI" w:cs="Segoe UI"/>
          <w:sz w:val="24"/>
          <w:szCs w:val="24"/>
        </w:rPr>
        <w:t>, is a tempting association to make, although no data in the recovered archaeological record can make this</w:t>
      </w:r>
      <w:r w:rsidR="00007E20">
        <w:rPr>
          <w:rFonts w:ascii="Segoe UI" w:hAnsi="Segoe UI" w:cs="Segoe UI"/>
          <w:sz w:val="24"/>
          <w:szCs w:val="24"/>
        </w:rPr>
        <w:t xml:space="preserve"> a</w:t>
      </w:r>
      <w:r w:rsidRPr="00E91312">
        <w:rPr>
          <w:rFonts w:ascii="Segoe UI" w:hAnsi="Segoe UI" w:cs="Segoe UI"/>
          <w:sz w:val="24"/>
          <w:szCs w:val="24"/>
        </w:rPr>
        <w:t xml:space="preserve"> </w:t>
      </w:r>
      <w:r w:rsidR="00692495">
        <w:rPr>
          <w:rFonts w:ascii="Segoe UI" w:hAnsi="Segoe UI" w:cs="Segoe UI"/>
          <w:sz w:val="24"/>
          <w:szCs w:val="24"/>
        </w:rPr>
        <w:t xml:space="preserve">clear </w:t>
      </w:r>
      <w:r w:rsidRPr="00E91312">
        <w:rPr>
          <w:rFonts w:ascii="Segoe UI" w:hAnsi="Segoe UI" w:cs="Segoe UI"/>
          <w:sz w:val="24"/>
          <w:szCs w:val="24"/>
        </w:rPr>
        <w:t>link.</w:t>
      </w:r>
      <w:r w:rsidR="00D5381D">
        <w:rPr>
          <w:rFonts w:ascii="Segoe UI" w:hAnsi="Segoe UI" w:cs="Segoe UI"/>
          <w:sz w:val="24"/>
          <w:szCs w:val="24"/>
        </w:rPr>
        <w:t xml:space="preserve"> </w:t>
      </w:r>
    </w:p>
    <w:p w14:paraId="69D74D4D" w14:textId="2153A369" w:rsidR="00A3486E" w:rsidRPr="00A3486E" w:rsidRDefault="00A3486E" w:rsidP="00A3486E">
      <w:pPr>
        <w:spacing w:before="100" w:beforeAutospacing="1" w:after="100" w:afterAutospacing="1" w:line="240" w:lineRule="auto"/>
        <w:outlineLvl w:val="3"/>
        <w:rPr>
          <w:rFonts w:ascii="Segoe UI" w:hAnsi="Segoe UI" w:cs="Segoe UI"/>
          <w:sz w:val="24"/>
          <w:szCs w:val="24"/>
        </w:rPr>
      </w:pPr>
      <w:r w:rsidRPr="00A3486E">
        <w:rPr>
          <w:rFonts w:ascii="Segoe UI" w:hAnsi="Segoe UI" w:cs="Segoe UI"/>
          <w:sz w:val="24"/>
          <w:szCs w:val="24"/>
        </w:rPr>
        <w:t xml:space="preserve">Three of the caulking samples identified 11 species of moss; one was from an origin further to the North of England; animal hair was found in one of the samples, which would have been more extensively used in England as an additive to caulking. Comparatively, moss was often used on the continent to add to </w:t>
      </w:r>
      <w:r w:rsidR="00C85AA2" w:rsidRPr="00A3486E">
        <w:rPr>
          <w:rFonts w:ascii="Segoe UI" w:hAnsi="Segoe UI" w:cs="Segoe UI"/>
          <w:sz w:val="24"/>
          <w:szCs w:val="24"/>
        </w:rPr>
        <w:t>ca</w:t>
      </w:r>
      <w:r w:rsidR="00C85AA2">
        <w:rPr>
          <w:rFonts w:ascii="Segoe UI" w:hAnsi="Segoe UI" w:cs="Segoe UI"/>
          <w:sz w:val="24"/>
          <w:szCs w:val="24"/>
        </w:rPr>
        <w:t>u</w:t>
      </w:r>
      <w:r w:rsidR="00C85AA2" w:rsidRPr="00A3486E">
        <w:rPr>
          <w:rFonts w:ascii="Segoe UI" w:hAnsi="Segoe UI" w:cs="Segoe UI"/>
          <w:sz w:val="24"/>
          <w:szCs w:val="24"/>
        </w:rPr>
        <w:t>lking</w:t>
      </w:r>
      <w:r w:rsidRPr="00A3486E">
        <w:rPr>
          <w:rFonts w:ascii="Segoe UI" w:hAnsi="Segoe UI" w:cs="Segoe UI"/>
          <w:sz w:val="24"/>
          <w:szCs w:val="24"/>
        </w:rPr>
        <w:t xml:space="preserve"> (Deforce et </w:t>
      </w:r>
      <w:proofErr w:type="spellStart"/>
      <w:r w:rsidRPr="00A3486E">
        <w:rPr>
          <w:rFonts w:ascii="Segoe UI" w:hAnsi="Segoe UI" w:cs="Segoe UI"/>
          <w:sz w:val="24"/>
          <w:szCs w:val="24"/>
        </w:rPr>
        <w:t>el</w:t>
      </w:r>
      <w:proofErr w:type="spellEnd"/>
      <w:r w:rsidRPr="00A3486E">
        <w:rPr>
          <w:rFonts w:ascii="Segoe UI" w:hAnsi="Segoe UI" w:cs="Segoe UI"/>
          <w:sz w:val="24"/>
          <w:szCs w:val="24"/>
        </w:rPr>
        <w:t xml:space="preserve"> 2014); although the data is not clear as moss could have </w:t>
      </w:r>
      <w:r w:rsidR="00E851CE">
        <w:rPr>
          <w:rFonts w:ascii="Segoe UI" w:hAnsi="Segoe UI" w:cs="Segoe UI"/>
          <w:sz w:val="24"/>
          <w:szCs w:val="24"/>
        </w:rPr>
        <w:t xml:space="preserve">also </w:t>
      </w:r>
      <w:r w:rsidRPr="00A3486E">
        <w:rPr>
          <w:rFonts w:ascii="Segoe UI" w:hAnsi="Segoe UI" w:cs="Segoe UI"/>
          <w:sz w:val="24"/>
          <w:szCs w:val="24"/>
        </w:rPr>
        <w:t>been used as cushioning material when transporting cargo or even used to insulate and hold the shape of leather shoes (</w:t>
      </w:r>
      <w:proofErr w:type="spellStart"/>
      <w:r w:rsidR="005D1884">
        <w:rPr>
          <w:rFonts w:ascii="Segoe UI" w:hAnsi="Segoe UI" w:cs="Segoe UI"/>
          <w:sz w:val="24"/>
          <w:szCs w:val="24"/>
        </w:rPr>
        <w:t>Nayling</w:t>
      </w:r>
      <w:proofErr w:type="spellEnd"/>
      <w:r w:rsidR="005D1884">
        <w:rPr>
          <w:rFonts w:ascii="Segoe UI" w:hAnsi="Segoe UI" w:cs="Segoe UI"/>
          <w:sz w:val="24"/>
          <w:szCs w:val="24"/>
        </w:rPr>
        <w:t xml:space="preserve"> &amp; Jones 2014</w:t>
      </w:r>
      <w:r w:rsidRPr="00A3486E">
        <w:rPr>
          <w:rFonts w:ascii="Segoe UI" w:hAnsi="Segoe UI" w:cs="Segoe UI"/>
          <w:sz w:val="24"/>
          <w:szCs w:val="24"/>
        </w:rPr>
        <w:t xml:space="preserve">). </w:t>
      </w:r>
    </w:p>
    <w:p w14:paraId="01797756" w14:textId="700D6624" w:rsidR="0054229F" w:rsidRDefault="00A3486E" w:rsidP="00A3486E">
      <w:pPr>
        <w:spacing w:before="100" w:beforeAutospacing="1" w:after="100" w:afterAutospacing="1" w:line="240" w:lineRule="auto"/>
        <w:outlineLvl w:val="3"/>
        <w:rPr>
          <w:rFonts w:ascii="Segoe UI" w:hAnsi="Segoe UI" w:cs="Segoe UI"/>
          <w:sz w:val="24"/>
          <w:szCs w:val="24"/>
        </w:rPr>
      </w:pPr>
      <w:r w:rsidRPr="00A3486E">
        <w:rPr>
          <w:rFonts w:ascii="Segoe UI" w:hAnsi="Segoe UI" w:cs="Segoe UI"/>
          <w:sz w:val="24"/>
          <w:szCs w:val="24"/>
        </w:rPr>
        <w:t xml:space="preserve">The microfossil sampling may have also indicated the foodstuffs used by the crew or transported in the bulk area of TBW; the sampled data showed that plum stones, hazelnut shells, and raspberry seeds were present. Interestingly, remains of cereal and cornflower were identified, indicating that TBW was used to transport bulk grain, maybe from the Baltic via the low countries; cornflower was harmful to grain crops but could have been harvested with grains and not separated. Conversely, the cornflower was </w:t>
      </w:r>
      <w:r w:rsidR="004F7A2B">
        <w:rPr>
          <w:rFonts w:ascii="Segoe UI" w:hAnsi="Segoe UI" w:cs="Segoe UI"/>
          <w:sz w:val="24"/>
          <w:szCs w:val="24"/>
        </w:rPr>
        <w:t xml:space="preserve">also </w:t>
      </w:r>
      <w:r w:rsidRPr="00A3486E">
        <w:rPr>
          <w:rFonts w:ascii="Segoe UI" w:hAnsi="Segoe UI" w:cs="Segoe UI"/>
          <w:sz w:val="24"/>
          <w:szCs w:val="24"/>
        </w:rPr>
        <w:t>thought to be a symbolic flower, tied to many old folk traditions, young men would wear them, and if the blue colour faded too quickly, it meant their love would not be returned. (Howard, 1987)</w:t>
      </w:r>
      <w:r w:rsidR="00C471E7">
        <w:rPr>
          <w:rFonts w:ascii="Segoe UI" w:hAnsi="Segoe UI" w:cs="Segoe UI"/>
          <w:sz w:val="24"/>
          <w:szCs w:val="24"/>
        </w:rPr>
        <w:t>. TBW was most probably a cargo vessel,</w:t>
      </w:r>
      <w:r w:rsidR="00E55546">
        <w:rPr>
          <w:rFonts w:ascii="Segoe UI" w:hAnsi="Segoe UI" w:cs="Segoe UI"/>
          <w:sz w:val="24"/>
          <w:szCs w:val="24"/>
        </w:rPr>
        <w:t xml:space="preserve"> and the pre</w:t>
      </w:r>
      <w:r w:rsidR="004F7A2B">
        <w:rPr>
          <w:rFonts w:ascii="Segoe UI" w:hAnsi="Segoe UI" w:cs="Segoe UI"/>
          <w:sz w:val="24"/>
          <w:szCs w:val="24"/>
        </w:rPr>
        <w:t>sence</w:t>
      </w:r>
      <w:r w:rsidR="00E55546">
        <w:rPr>
          <w:rFonts w:ascii="Segoe UI" w:hAnsi="Segoe UI" w:cs="Segoe UI"/>
          <w:sz w:val="24"/>
          <w:szCs w:val="24"/>
        </w:rPr>
        <w:t xml:space="preserve"> of cornflower is indicative that </w:t>
      </w:r>
      <w:r w:rsidR="004F7A2B">
        <w:rPr>
          <w:rFonts w:ascii="Segoe UI" w:hAnsi="Segoe UI" w:cs="Segoe UI"/>
          <w:sz w:val="24"/>
          <w:szCs w:val="24"/>
        </w:rPr>
        <w:t>T</w:t>
      </w:r>
      <w:r w:rsidR="00E55546">
        <w:rPr>
          <w:rFonts w:ascii="Segoe UI" w:hAnsi="Segoe UI" w:cs="Segoe UI"/>
          <w:sz w:val="24"/>
          <w:szCs w:val="24"/>
        </w:rPr>
        <w:t xml:space="preserve">BW transported </w:t>
      </w:r>
      <w:r w:rsidR="004F7A2B">
        <w:rPr>
          <w:rFonts w:ascii="Segoe UI" w:hAnsi="Segoe UI" w:cs="Segoe UI"/>
          <w:sz w:val="24"/>
          <w:szCs w:val="24"/>
        </w:rPr>
        <w:t xml:space="preserve">bulk </w:t>
      </w:r>
      <w:r w:rsidR="00E55546">
        <w:rPr>
          <w:rFonts w:ascii="Segoe UI" w:hAnsi="Segoe UI" w:cs="Segoe UI"/>
          <w:sz w:val="24"/>
          <w:szCs w:val="24"/>
        </w:rPr>
        <w:t>grain</w:t>
      </w:r>
      <w:r w:rsidR="004F7A2B">
        <w:rPr>
          <w:rFonts w:ascii="Segoe UI" w:hAnsi="Segoe UI" w:cs="Segoe UI"/>
          <w:sz w:val="24"/>
          <w:szCs w:val="24"/>
        </w:rPr>
        <w:t xml:space="preserve"> at some point during her lifetime. Still,</w:t>
      </w:r>
      <w:r w:rsidR="00C471E7">
        <w:rPr>
          <w:rFonts w:ascii="Segoe UI" w:hAnsi="Segoe UI" w:cs="Segoe UI"/>
          <w:sz w:val="24"/>
          <w:szCs w:val="24"/>
        </w:rPr>
        <w:t xml:space="preserve"> it is also </w:t>
      </w:r>
      <w:r w:rsidR="004F7A2B">
        <w:rPr>
          <w:rFonts w:ascii="Segoe UI" w:hAnsi="Segoe UI" w:cs="Segoe UI"/>
          <w:sz w:val="24"/>
          <w:szCs w:val="24"/>
        </w:rPr>
        <w:t>essential</w:t>
      </w:r>
      <w:r w:rsidR="00C471E7">
        <w:rPr>
          <w:rFonts w:ascii="Segoe UI" w:hAnsi="Segoe UI" w:cs="Segoe UI"/>
          <w:sz w:val="24"/>
          <w:szCs w:val="24"/>
        </w:rPr>
        <w:t xml:space="preserve"> to </w:t>
      </w:r>
      <w:r w:rsidR="004F7A2B">
        <w:rPr>
          <w:rFonts w:ascii="Segoe UI" w:hAnsi="Segoe UI" w:cs="Segoe UI"/>
          <w:sz w:val="24"/>
          <w:szCs w:val="24"/>
        </w:rPr>
        <w:t>consider that the recovered assemblages could take on many</w:t>
      </w:r>
      <w:r w:rsidR="00E55546">
        <w:rPr>
          <w:rFonts w:ascii="Segoe UI" w:hAnsi="Segoe UI" w:cs="Segoe UI"/>
          <w:sz w:val="24"/>
          <w:szCs w:val="24"/>
        </w:rPr>
        <w:t xml:space="preserve"> different</w:t>
      </w:r>
      <w:r w:rsidR="00C471E7">
        <w:rPr>
          <w:rFonts w:ascii="Segoe UI" w:hAnsi="Segoe UI" w:cs="Segoe UI"/>
          <w:sz w:val="24"/>
          <w:szCs w:val="24"/>
        </w:rPr>
        <w:t xml:space="preserve"> meaning</w:t>
      </w:r>
      <w:r w:rsidR="004F7A2B">
        <w:rPr>
          <w:rFonts w:ascii="Segoe UI" w:hAnsi="Segoe UI" w:cs="Segoe UI"/>
          <w:sz w:val="24"/>
          <w:szCs w:val="24"/>
        </w:rPr>
        <w:t>s</w:t>
      </w:r>
      <w:r w:rsidR="00C471E7">
        <w:rPr>
          <w:rFonts w:ascii="Segoe UI" w:hAnsi="Segoe UI" w:cs="Segoe UI"/>
          <w:sz w:val="24"/>
          <w:szCs w:val="24"/>
        </w:rPr>
        <w:t xml:space="preserve"> beyond </w:t>
      </w:r>
      <w:r w:rsidR="00E55546">
        <w:rPr>
          <w:rFonts w:ascii="Segoe UI" w:hAnsi="Segoe UI" w:cs="Segoe UI"/>
          <w:sz w:val="24"/>
          <w:szCs w:val="24"/>
        </w:rPr>
        <w:t xml:space="preserve">the </w:t>
      </w:r>
      <w:r w:rsidR="004F7A2B">
        <w:rPr>
          <w:rFonts w:ascii="Segoe UI" w:hAnsi="Segoe UI" w:cs="Segoe UI"/>
          <w:sz w:val="24"/>
          <w:szCs w:val="24"/>
        </w:rPr>
        <w:t>evident</w:t>
      </w:r>
      <w:r w:rsidR="00E55546">
        <w:rPr>
          <w:rFonts w:ascii="Segoe UI" w:hAnsi="Segoe UI" w:cs="Segoe UI"/>
          <w:sz w:val="24"/>
          <w:szCs w:val="24"/>
        </w:rPr>
        <w:t xml:space="preserve"> functional economic perspective. </w:t>
      </w:r>
      <w:r w:rsidR="00C471E7">
        <w:rPr>
          <w:rFonts w:ascii="Segoe UI" w:hAnsi="Segoe UI" w:cs="Segoe UI"/>
          <w:sz w:val="24"/>
          <w:szCs w:val="24"/>
        </w:rPr>
        <w:t xml:space="preserve">    </w:t>
      </w:r>
    </w:p>
    <w:p w14:paraId="7CC97A6E" w14:textId="4FC28713" w:rsidR="00426DC9" w:rsidRDefault="00826668" w:rsidP="005016C5">
      <w:pPr>
        <w:spacing w:before="100" w:beforeAutospacing="1" w:after="100" w:afterAutospacing="1" w:line="240" w:lineRule="auto"/>
        <w:outlineLvl w:val="3"/>
        <w:rPr>
          <w:rFonts w:ascii="Segoe UI" w:hAnsi="Segoe UI" w:cs="Segoe UI"/>
          <w:sz w:val="24"/>
          <w:szCs w:val="24"/>
        </w:rPr>
      </w:pPr>
      <w:r w:rsidRPr="00826668">
        <w:rPr>
          <w:rFonts w:ascii="Segoe UI" w:hAnsi="Segoe UI" w:cs="Segoe UI"/>
          <w:sz w:val="24"/>
          <w:szCs w:val="24"/>
        </w:rPr>
        <w:lastRenderedPageBreak/>
        <w:t>The range of pollen specimens</w:t>
      </w:r>
      <w:r w:rsidR="002452ED">
        <w:rPr>
          <w:rFonts w:ascii="Segoe UI" w:hAnsi="Segoe UI" w:cs="Segoe UI"/>
          <w:sz w:val="24"/>
          <w:szCs w:val="24"/>
        </w:rPr>
        <w:t xml:space="preserve">, </w:t>
      </w:r>
      <w:r w:rsidR="00496D9D">
        <w:rPr>
          <w:rFonts w:ascii="Segoe UI" w:hAnsi="Segoe UI" w:cs="Segoe UI"/>
          <w:sz w:val="24"/>
          <w:szCs w:val="24"/>
        </w:rPr>
        <w:t>f</w:t>
      </w:r>
      <w:r w:rsidR="00527D2E" w:rsidRPr="00527D2E">
        <w:rPr>
          <w:rFonts w:ascii="Segoe UI" w:hAnsi="Segoe UI" w:cs="Segoe UI"/>
          <w:sz w:val="24"/>
          <w:szCs w:val="24"/>
        </w:rPr>
        <w:t>oraminifera</w:t>
      </w:r>
      <w:r w:rsidR="002452ED">
        <w:rPr>
          <w:rFonts w:ascii="Segoe UI" w:hAnsi="Segoe UI" w:cs="Segoe UI"/>
          <w:sz w:val="24"/>
          <w:szCs w:val="24"/>
        </w:rPr>
        <w:t xml:space="preserve"> and d</w:t>
      </w:r>
      <w:r w:rsidR="002452ED" w:rsidRPr="002452ED">
        <w:rPr>
          <w:rFonts w:ascii="Segoe UI" w:hAnsi="Segoe UI" w:cs="Segoe UI"/>
          <w:sz w:val="24"/>
          <w:szCs w:val="24"/>
        </w:rPr>
        <w:t>inoflagellates</w:t>
      </w:r>
      <w:r w:rsidR="00527D2E">
        <w:rPr>
          <w:rFonts w:ascii="Segoe UI" w:hAnsi="Segoe UI" w:cs="Segoe UI"/>
          <w:sz w:val="24"/>
          <w:szCs w:val="24"/>
        </w:rPr>
        <w:t xml:space="preserve"> </w:t>
      </w:r>
      <w:r w:rsidRPr="00826668">
        <w:rPr>
          <w:rFonts w:ascii="Segoe UI" w:hAnsi="Segoe UI" w:cs="Segoe UI"/>
          <w:sz w:val="24"/>
          <w:szCs w:val="24"/>
        </w:rPr>
        <w:t>did not discern much difference to the locality of the saltmarsh area found on this part on the coast. One exception was the single spruce pollen grain of </w:t>
      </w:r>
      <w:proofErr w:type="spellStart"/>
      <w:r w:rsidRPr="00826668">
        <w:rPr>
          <w:rStyle w:val="Emphasis"/>
          <w:rFonts w:ascii="Segoe UI" w:hAnsi="Segoe UI" w:cs="Segoe UI"/>
          <w:color w:val="0E101A"/>
          <w:sz w:val="24"/>
          <w:szCs w:val="24"/>
        </w:rPr>
        <w:t>Picea</w:t>
      </w:r>
      <w:proofErr w:type="spellEnd"/>
      <w:r w:rsidRPr="00826668">
        <w:rPr>
          <w:rStyle w:val="Emphasis"/>
          <w:rFonts w:ascii="Segoe UI" w:hAnsi="Segoe UI" w:cs="Segoe UI"/>
          <w:color w:val="0E101A"/>
          <w:sz w:val="24"/>
          <w:szCs w:val="24"/>
        </w:rPr>
        <w:t>, </w:t>
      </w:r>
      <w:r w:rsidRPr="00826668">
        <w:rPr>
          <w:rFonts w:ascii="Segoe UI" w:hAnsi="Segoe UI" w:cs="Segoe UI"/>
          <w:sz w:val="24"/>
          <w:szCs w:val="24"/>
        </w:rPr>
        <w:t>which would give weight to the theory that TBW had contact with Northern Germany/Scandinavia.</w:t>
      </w:r>
      <w:r w:rsidR="00F80386">
        <w:rPr>
          <w:rFonts w:ascii="Segoe UI" w:hAnsi="Segoe UI" w:cs="Segoe UI"/>
          <w:sz w:val="24"/>
          <w:szCs w:val="24"/>
        </w:rPr>
        <w:t xml:space="preserve"> T</w:t>
      </w:r>
      <w:r w:rsidRPr="00826668">
        <w:rPr>
          <w:rFonts w:ascii="Segoe UI" w:hAnsi="Segoe UI" w:cs="Segoe UI"/>
          <w:sz w:val="24"/>
          <w:szCs w:val="24"/>
        </w:rPr>
        <w:t>here is maybe scope to increase the amount of pollen</w:t>
      </w:r>
      <w:r w:rsidR="00487F2B">
        <w:rPr>
          <w:rFonts w:ascii="Segoe UI" w:hAnsi="Segoe UI" w:cs="Segoe UI"/>
          <w:sz w:val="24"/>
          <w:szCs w:val="24"/>
        </w:rPr>
        <w:t>, spore</w:t>
      </w:r>
      <w:r w:rsidR="005B0A3D">
        <w:rPr>
          <w:rFonts w:ascii="Segoe UI" w:hAnsi="Segoe UI" w:cs="Segoe UI"/>
          <w:sz w:val="24"/>
          <w:szCs w:val="24"/>
        </w:rPr>
        <w:t>,</w:t>
      </w:r>
      <w:r w:rsidR="00487F2B">
        <w:rPr>
          <w:rFonts w:ascii="Segoe UI" w:hAnsi="Segoe UI" w:cs="Segoe UI"/>
          <w:sz w:val="24"/>
          <w:szCs w:val="24"/>
        </w:rPr>
        <w:t xml:space="preserve"> f</w:t>
      </w:r>
      <w:r w:rsidR="00487F2B" w:rsidRPr="00527D2E">
        <w:rPr>
          <w:rFonts w:ascii="Segoe UI" w:hAnsi="Segoe UI" w:cs="Segoe UI"/>
          <w:sz w:val="24"/>
          <w:szCs w:val="24"/>
        </w:rPr>
        <w:t>oraminifera</w:t>
      </w:r>
      <w:r w:rsidR="00487F2B">
        <w:rPr>
          <w:rFonts w:ascii="Segoe UI" w:hAnsi="Segoe UI" w:cs="Segoe UI"/>
          <w:sz w:val="24"/>
          <w:szCs w:val="24"/>
        </w:rPr>
        <w:t xml:space="preserve"> and d</w:t>
      </w:r>
      <w:r w:rsidR="00487F2B" w:rsidRPr="002452ED">
        <w:rPr>
          <w:rFonts w:ascii="Segoe UI" w:hAnsi="Segoe UI" w:cs="Segoe UI"/>
          <w:sz w:val="24"/>
          <w:szCs w:val="24"/>
        </w:rPr>
        <w:t>inoflagellates</w:t>
      </w:r>
      <w:r w:rsidRPr="00826668">
        <w:rPr>
          <w:rFonts w:ascii="Segoe UI" w:hAnsi="Segoe UI" w:cs="Segoe UI"/>
          <w:sz w:val="24"/>
          <w:szCs w:val="24"/>
        </w:rPr>
        <w:t xml:space="preserve"> sampling</w:t>
      </w:r>
      <w:r w:rsidR="00F80386">
        <w:rPr>
          <w:rFonts w:ascii="Segoe UI" w:hAnsi="Segoe UI" w:cs="Segoe UI"/>
          <w:sz w:val="24"/>
          <w:szCs w:val="24"/>
        </w:rPr>
        <w:t xml:space="preserve"> to</w:t>
      </w:r>
      <w:r w:rsidR="00F80386" w:rsidRPr="00826668">
        <w:rPr>
          <w:rFonts w:ascii="Segoe UI" w:hAnsi="Segoe UI" w:cs="Segoe UI"/>
          <w:sz w:val="24"/>
          <w:szCs w:val="24"/>
        </w:rPr>
        <w:t xml:space="preserve"> produce </w:t>
      </w:r>
      <w:r w:rsidR="00555D67">
        <w:rPr>
          <w:rFonts w:ascii="Segoe UI" w:hAnsi="Segoe UI" w:cs="Segoe UI"/>
          <w:sz w:val="24"/>
          <w:szCs w:val="24"/>
        </w:rPr>
        <w:t xml:space="preserve">improved </w:t>
      </w:r>
      <w:r w:rsidR="00F80386" w:rsidRPr="00826668">
        <w:rPr>
          <w:rFonts w:ascii="Segoe UI" w:hAnsi="Segoe UI" w:cs="Segoe UI"/>
          <w:sz w:val="24"/>
          <w:szCs w:val="24"/>
        </w:rPr>
        <w:t>representative sample</w:t>
      </w:r>
      <w:r w:rsidR="00555D67">
        <w:rPr>
          <w:rFonts w:ascii="Segoe UI" w:hAnsi="Segoe UI" w:cs="Segoe UI"/>
          <w:sz w:val="24"/>
          <w:szCs w:val="24"/>
        </w:rPr>
        <w:t>s</w:t>
      </w:r>
      <w:r w:rsidR="00F80386">
        <w:rPr>
          <w:rFonts w:ascii="Segoe UI" w:hAnsi="Segoe UI" w:cs="Segoe UI"/>
          <w:sz w:val="24"/>
          <w:szCs w:val="24"/>
        </w:rPr>
        <w:t xml:space="preserve">, </w:t>
      </w:r>
      <w:r w:rsidRPr="00826668">
        <w:rPr>
          <w:rFonts w:ascii="Segoe UI" w:hAnsi="Segoe UI" w:cs="Segoe UI"/>
          <w:sz w:val="24"/>
          <w:szCs w:val="24"/>
        </w:rPr>
        <w:t>if future excavations of TBW go ahead.</w:t>
      </w:r>
      <w:r w:rsidR="00064117">
        <w:rPr>
          <w:rFonts w:ascii="Segoe UI" w:hAnsi="Segoe UI" w:cs="Segoe UI"/>
          <w:sz w:val="24"/>
          <w:szCs w:val="24"/>
        </w:rPr>
        <w:t xml:space="preserve"> </w:t>
      </w:r>
      <w:r w:rsidR="00330E7A">
        <w:rPr>
          <w:rFonts w:ascii="Segoe UI" w:hAnsi="Segoe UI" w:cs="Segoe UI"/>
          <w:sz w:val="24"/>
          <w:szCs w:val="24"/>
        </w:rPr>
        <w:t>T</w:t>
      </w:r>
      <w:r w:rsidR="00064117">
        <w:rPr>
          <w:rFonts w:ascii="Segoe UI" w:hAnsi="Segoe UI" w:cs="Segoe UI"/>
          <w:sz w:val="24"/>
          <w:szCs w:val="24"/>
        </w:rPr>
        <w:t>he geochemistry results</w:t>
      </w:r>
      <w:r w:rsidR="004260AD">
        <w:rPr>
          <w:rFonts w:ascii="Segoe UI" w:hAnsi="Segoe UI" w:cs="Segoe UI"/>
          <w:sz w:val="24"/>
          <w:szCs w:val="24"/>
        </w:rPr>
        <w:t xml:space="preserve"> did not give a clear picture </w:t>
      </w:r>
      <w:proofErr w:type="gramStart"/>
      <w:r w:rsidR="00F42129">
        <w:rPr>
          <w:rFonts w:ascii="Segoe UI" w:hAnsi="Segoe UI" w:cs="Segoe UI"/>
          <w:sz w:val="24"/>
          <w:szCs w:val="24"/>
        </w:rPr>
        <w:t>in regard to</w:t>
      </w:r>
      <w:proofErr w:type="gramEnd"/>
      <w:r w:rsidR="004260AD">
        <w:rPr>
          <w:rFonts w:ascii="Segoe UI" w:hAnsi="Segoe UI" w:cs="Segoe UI"/>
          <w:sz w:val="24"/>
          <w:szCs w:val="24"/>
        </w:rPr>
        <w:t xml:space="preserve"> identifiable organic</w:t>
      </w:r>
      <w:r w:rsidR="00F42129">
        <w:rPr>
          <w:rFonts w:ascii="Segoe UI" w:hAnsi="Segoe UI" w:cs="Segoe UI"/>
          <w:sz w:val="24"/>
          <w:szCs w:val="24"/>
        </w:rPr>
        <w:t xml:space="preserve"> compounds </w:t>
      </w:r>
      <w:r w:rsidR="00330E7A">
        <w:rPr>
          <w:rFonts w:ascii="Segoe UI" w:hAnsi="Segoe UI" w:cs="Segoe UI"/>
          <w:sz w:val="24"/>
          <w:szCs w:val="24"/>
        </w:rPr>
        <w:t>across all the samples</w:t>
      </w:r>
      <w:r w:rsidR="00487EE0">
        <w:rPr>
          <w:rFonts w:ascii="Segoe UI" w:hAnsi="Segoe UI" w:cs="Segoe UI"/>
          <w:sz w:val="24"/>
          <w:szCs w:val="24"/>
        </w:rPr>
        <w:t xml:space="preserve"> </w:t>
      </w:r>
      <w:r w:rsidR="00584EF7">
        <w:rPr>
          <w:rFonts w:ascii="Segoe UI" w:hAnsi="Segoe UI" w:cs="Segoe UI"/>
          <w:sz w:val="24"/>
          <w:szCs w:val="24"/>
        </w:rPr>
        <w:t>taken</w:t>
      </w:r>
      <w:r w:rsidR="00330E7A">
        <w:rPr>
          <w:rFonts w:ascii="Segoe UI" w:hAnsi="Segoe UI" w:cs="Segoe UI"/>
          <w:sz w:val="24"/>
          <w:szCs w:val="24"/>
        </w:rPr>
        <w:t xml:space="preserve">, although a </w:t>
      </w:r>
      <w:r w:rsidR="00CC69D9">
        <w:rPr>
          <w:rFonts w:ascii="Segoe UI" w:hAnsi="Segoe UI" w:cs="Segoe UI"/>
          <w:sz w:val="24"/>
          <w:szCs w:val="24"/>
        </w:rPr>
        <w:t xml:space="preserve">crude </w:t>
      </w:r>
      <w:r w:rsidR="00330E7A">
        <w:rPr>
          <w:rFonts w:ascii="Segoe UI" w:hAnsi="Segoe UI" w:cs="Segoe UI"/>
          <w:sz w:val="24"/>
          <w:szCs w:val="24"/>
        </w:rPr>
        <w:t xml:space="preserve">pine derived creosote was </w:t>
      </w:r>
      <w:r w:rsidR="00E64336">
        <w:rPr>
          <w:rFonts w:ascii="Segoe UI" w:hAnsi="Segoe UI" w:cs="Segoe UI"/>
          <w:sz w:val="24"/>
          <w:szCs w:val="24"/>
        </w:rPr>
        <w:t>detectable in some of the samples</w:t>
      </w:r>
      <w:r w:rsidR="00CC69D9">
        <w:rPr>
          <w:rFonts w:ascii="Segoe UI" w:hAnsi="Segoe UI" w:cs="Segoe UI"/>
          <w:sz w:val="24"/>
          <w:szCs w:val="24"/>
        </w:rPr>
        <w:t>,</w:t>
      </w:r>
      <w:r w:rsidR="00305057">
        <w:rPr>
          <w:rFonts w:ascii="Segoe UI" w:hAnsi="Segoe UI" w:cs="Segoe UI"/>
          <w:sz w:val="24"/>
          <w:szCs w:val="24"/>
        </w:rPr>
        <w:t xml:space="preserve"> it could not be ascertained </w:t>
      </w:r>
      <w:r w:rsidR="005B24C4">
        <w:rPr>
          <w:rFonts w:ascii="Segoe UI" w:hAnsi="Segoe UI" w:cs="Segoe UI"/>
          <w:sz w:val="24"/>
          <w:szCs w:val="24"/>
        </w:rPr>
        <w:t xml:space="preserve">if this was naturally occurring, more extensive sampling would be needed in the future. </w:t>
      </w:r>
      <w:r w:rsidR="00D229C1">
        <w:rPr>
          <w:rFonts w:ascii="Segoe UI" w:hAnsi="Segoe UI" w:cs="Segoe UI"/>
          <w:sz w:val="24"/>
          <w:szCs w:val="24"/>
        </w:rPr>
        <w:t xml:space="preserve">The </w:t>
      </w:r>
      <w:r w:rsidR="00E879B3">
        <w:rPr>
          <w:rFonts w:ascii="Segoe UI" w:hAnsi="Segoe UI" w:cs="Segoe UI"/>
          <w:sz w:val="24"/>
          <w:szCs w:val="24"/>
        </w:rPr>
        <w:t>r</w:t>
      </w:r>
      <w:r w:rsidR="00D229C1">
        <w:rPr>
          <w:rFonts w:ascii="Segoe UI" w:hAnsi="Segoe UI" w:cs="Segoe UI"/>
          <w:sz w:val="24"/>
          <w:szCs w:val="24"/>
        </w:rPr>
        <w:t>adiocarbon dating</w:t>
      </w:r>
      <w:r w:rsidR="00A62EE3">
        <w:rPr>
          <w:rFonts w:ascii="Segoe UI" w:hAnsi="Segoe UI" w:cs="Segoe UI"/>
          <w:sz w:val="24"/>
          <w:szCs w:val="24"/>
        </w:rPr>
        <w:t xml:space="preserve"> </w:t>
      </w:r>
      <w:r w:rsidR="003F736C">
        <w:rPr>
          <w:rFonts w:ascii="Segoe UI" w:hAnsi="Segoe UI" w:cs="Segoe UI"/>
          <w:sz w:val="24"/>
          <w:szCs w:val="24"/>
        </w:rPr>
        <w:t xml:space="preserve">samples did not </w:t>
      </w:r>
      <w:r w:rsidR="000211A9">
        <w:rPr>
          <w:rFonts w:ascii="Segoe UI" w:hAnsi="Segoe UI" w:cs="Segoe UI"/>
          <w:sz w:val="24"/>
          <w:szCs w:val="24"/>
        </w:rPr>
        <w:t xml:space="preserve">unfortunately </w:t>
      </w:r>
      <w:r w:rsidR="003F736C">
        <w:rPr>
          <w:rFonts w:ascii="Segoe UI" w:hAnsi="Segoe UI" w:cs="Segoe UI"/>
          <w:sz w:val="24"/>
          <w:szCs w:val="24"/>
        </w:rPr>
        <w:t>match the dendroecological dates</w:t>
      </w:r>
      <w:r w:rsidR="00812E63">
        <w:rPr>
          <w:rFonts w:ascii="Segoe UI" w:hAnsi="Segoe UI" w:cs="Segoe UI"/>
          <w:sz w:val="24"/>
          <w:szCs w:val="24"/>
        </w:rPr>
        <w:t>, dating TBW to the late 15</w:t>
      </w:r>
      <w:r w:rsidR="00812E63" w:rsidRPr="00812E63">
        <w:rPr>
          <w:rFonts w:ascii="Segoe UI" w:hAnsi="Segoe UI" w:cs="Segoe UI"/>
          <w:sz w:val="24"/>
          <w:szCs w:val="24"/>
          <w:vertAlign w:val="superscript"/>
        </w:rPr>
        <w:t>th</w:t>
      </w:r>
      <w:r w:rsidR="00812E63">
        <w:rPr>
          <w:rFonts w:ascii="Segoe UI" w:hAnsi="Segoe UI" w:cs="Segoe UI"/>
          <w:sz w:val="24"/>
          <w:szCs w:val="24"/>
        </w:rPr>
        <w:t xml:space="preserve"> Century</w:t>
      </w:r>
      <w:r w:rsidR="005F5580">
        <w:rPr>
          <w:rFonts w:ascii="Segoe UI" w:hAnsi="Segoe UI" w:cs="Segoe UI"/>
          <w:sz w:val="24"/>
          <w:szCs w:val="24"/>
        </w:rPr>
        <w:t>;</w:t>
      </w:r>
      <w:r w:rsidR="003F736C">
        <w:rPr>
          <w:rFonts w:ascii="Segoe UI" w:hAnsi="Segoe UI" w:cs="Segoe UI"/>
          <w:sz w:val="24"/>
          <w:szCs w:val="24"/>
        </w:rPr>
        <w:t xml:space="preserve"> but </w:t>
      </w:r>
      <w:r w:rsidR="002863FC">
        <w:rPr>
          <w:rFonts w:ascii="Segoe UI" w:hAnsi="Segoe UI" w:cs="Segoe UI"/>
          <w:sz w:val="24"/>
          <w:szCs w:val="24"/>
        </w:rPr>
        <w:t>again,</w:t>
      </w:r>
      <w:r w:rsidR="003F736C">
        <w:rPr>
          <w:rFonts w:ascii="Segoe UI" w:hAnsi="Segoe UI" w:cs="Segoe UI"/>
          <w:sz w:val="24"/>
          <w:szCs w:val="24"/>
        </w:rPr>
        <w:t xml:space="preserve"> extensive </w:t>
      </w:r>
      <w:r w:rsidR="000972EE">
        <w:rPr>
          <w:rFonts w:ascii="Segoe UI" w:hAnsi="Segoe UI" w:cs="Segoe UI"/>
          <w:sz w:val="24"/>
          <w:szCs w:val="24"/>
        </w:rPr>
        <w:t>sampling was</w:t>
      </w:r>
      <w:r w:rsidR="003F736C">
        <w:rPr>
          <w:rFonts w:ascii="Segoe UI" w:hAnsi="Segoe UI" w:cs="Segoe UI"/>
          <w:sz w:val="24"/>
          <w:szCs w:val="24"/>
        </w:rPr>
        <w:t xml:space="preserve"> not </w:t>
      </w:r>
      <w:r w:rsidR="00812E63">
        <w:rPr>
          <w:rFonts w:ascii="Segoe UI" w:hAnsi="Segoe UI" w:cs="Segoe UI"/>
          <w:sz w:val="24"/>
          <w:szCs w:val="24"/>
        </w:rPr>
        <w:t>carried out in 2018</w:t>
      </w:r>
      <w:r w:rsidR="00E226B9">
        <w:rPr>
          <w:rFonts w:ascii="Segoe UI" w:hAnsi="Segoe UI" w:cs="Segoe UI"/>
          <w:sz w:val="24"/>
          <w:szCs w:val="24"/>
        </w:rPr>
        <w:t xml:space="preserve">, so this result </w:t>
      </w:r>
      <w:r w:rsidR="00C90BC1">
        <w:rPr>
          <w:rFonts w:ascii="Segoe UI" w:hAnsi="Segoe UI" w:cs="Segoe UI"/>
          <w:sz w:val="24"/>
          <w:szCs w:val="24"/>
        </w:rPr>
        <w:t xml:space="preserve">is </w:t>
      </w:r>
      <w:r w:rsidR="00246D5C">
        <w:rPr>
          <w:rFonts w:ascii="Segoe UI" w:hAnsi="Segoe UI" w:cs="Segoe UI"/>
          <w:sz w:val="24"/>
          <w:szCs w:val="24"/>
        </w:rPr>
        <w:t xml:space="preserve">maybe </w:t>
      </w:r>
      <w:r w:rsidR="00E226B9">
        <w:rPr>
          <w:rFonts w:ascii="Segoe UI" w:hAnsi="Segoe UI" w:cs="Segoe UI"/>
          <w:sz w:val="24"/>
          <w:szCs w:val="24"/>
        </w:rPr>
        <w:t>an outlier in the data</w:t>
      </w:r>
      <w:r w:rsidR="006A4FDD">
        <w:rPr>
          <w:rFonts w:ascii="Segoe UI" w:hAnsi="Segoe UI" w:cs="Segoe UI"/>
          <w:sz w:val="24"/>
          <w:szCs w:val="24"/>
        </w:rPr>
        <w:t xml:space="preserve">. </w:t>
      </w:r>
    </w:p>
    <w:p w14:paraId="677B3ED5" w14:textId="3CA1AA28" w:rsidR="004924CE" w:rsidRDefault="004924CE" w:rsidP="004924CE">
      <w:pPr>
        <w:spacing w:before="100" w:beforeAutospacing="1" w:after="100" w:afterAutospacing="1" w:line="240" w:lineRule="auto"/>
        <w:outlineLvl w:val="3"/>
        <w:rPr>
          <w:rFonts w:ascii="Segoe UI" w:hAnsi="Segoe UI" w:cs="Segoe UI"/>
          <w:sz w:val="24"/>
          <w:szCs w:val="24"/>
        </w:rPr>
      </w:pPr>
      <w:r w:rsidRPr="004924CE">
        <w:rPr>
          <w:rFonts w:ascii="Segoe UI" w:hAnsi="Segoe UI" w:cs="Segoe UI"/>
          <w:sz w:val="24"/>
          <w:szCs w:val="24"/>
        </w:rPr>
        <w:t>The consensus in the report is that TBW was stripped of all cargo and fittings after being stranded. Nonetheless, some interesting artefacts were recovered during the fieldwork in 2018, which have been remarkably well preserved in the marine sediment and may help answer research questions about the origins of TBW and what it was carrying. Most notable were two well-preserved leather shoes dating to the 16th century, thought to be comparative in style</w:t>
      </w:r>
      <w:r w:rsidR="00DE05BF">
        <w:rPr>
          <w:rFonts w:ascii="Segoe UI" w:hAnsi="Segoe UI" w:cs="Segoe UI"/>
          <w:sz w:val="24"/>
          <w:szCs w:val="24"/>
        </w:rPr>
        <w:t xml:space="preserve"> and</w:t>
      </w:r>
      <w:r w:rsidRPr="004924CE">
        <w:rPr>
          <w:rFonts w:ascii="Segoe UI" w:hAnsi="Segoe UI" w:cs="Segoe UI"/>
          <w:sz w:val="24"/>
          <w:szCs w:val="24"/>
        </w:rPr>
        <w:t xml:space="preserve"> age to leather shoes found in wrecks off the coast of the Netherlands, and a fig shaped wooden spoon which was representative in shape and style for the period. Ceramic finds included burnt bricks in the galley part of the vessel, most likely used for cooking and fragments of red tiles, which may have been the remnants of TBW last cargo.   </w:t>
      </w:r>
    </w:p>
    <w:p w14:paraId="08EC6896" w14:textId="49059D5E" w:rsidR="0049197E" w:rsidRDefault="00426DC9" w:rsidP="004924CE">
      <w:pPr>
        <w:spacing w:before="100" w:beforeAutospacing="1" w:after="100" w:afterAutospacing="1" w:line="240" w:lineRule="auto"/>
        <w:outlineLvl w:val="3"/>
        <w:rPr>
          <w:rFonts w:ascii="Segoe UI" w:hAnsi="Segoe UI" w:cs="Segoe UI"/>
          <w:sz w:val="24"/>
          <w:szCs w:val="24"/>
        </w:rPr>
      </w:pPr>
      <w:r w:rsidRPr="00530C98">
        <w:rPr>
          <w:rFonts w:ascii="Segoe UI" w:hAnsi="Segoe UI" w:cs="Segoe UI"/>
          <w:sz w:val="24"/>
          <w:szCs w:val="24"/>
        </w:rPr>
        <w:t>T</w:t>
      </w:r>
      <w:r w:rsidR="006A4FDD" w:rsidRPr="00530C98">
        <w:rPr>
          <w:rFonts w:ascii="Segoe UI" w:hAnsi="Segoe UI" w:cs="Segoe UI"/>
          <w:sz w:val="24"/>
          <w:szCs w:val="24"/>
        </w:rPr>
        <w:t xml:space="preserve">he main narrative that can be taken from the </w:t>
      </w:r>
      <w:r w:rsidRPr="00530C98">
        <w:rPr>
          <w:rFonts w:ascii="Segoe UI" w:hAnsi="Segoe UI" w:cs="Segoe UI"/>
          <w:sz w:val="24"/>
          <w:szCs w:val="24"/>
        </w:rPr>
        <w:t>data</w:t>
      </w:r>
      <w:r w:rsidR="006A4FDD" w:rsidRPr="00530C98">
        <w:rPr>
          <w:rFonts w:ascii="Segoe UI" w:hAnsi="Segoe UI" w:cs="Segoe UI"/>
          <w:sz w:val="24"/>
          <w:szCs w:val="24"/>
        </w:rPr>
        <w:t xml:space="preserve"> sampling </w:t>
      </w:r>
      <w:r w:rsidR="00DA54D0">
        <w:rPr>
          <w:rFonts w:ascii="Segoe UI" w:hAnsi="Segoe UI" w:cs="Segoe UI"/>
          <w:sz w:val="24"/>
          <w:szCs w:val="24"/>
        </w:rPr>
        <w:t>and the artifacts so far recovered</w:t>
      </w:r>
      <w:r w:rsidR="0045004C">
        <w:rPr>
          <w:rFonts w:ascii="Segoe UI" w:hAnsi="Segoe UI" w:cs="Segoe UI"/>
          <w:sz w:val="24"/>
          <w:szCs w:val="24"/>
        </w:rPr>
        <w:t>,</w:t>
      </w:r>
      <w:r w:rsidR="00DA54D0">
        <w:rPr>
          <w:rFonts w:ascii="Segoe UI" w:hAnsi="Segoe UI" w:cs="Segoe UI"/>
          <w:sz w:val="24"/>
          <w:szCs w:val="24"/>
        </w:rPr>
        <w:t xml:space="preserve"> </w:t>
      </w:r>
      <w:r w:rsidR="006A4FDD" w:rsidRPr="00530C98">
        <w:rPr>
          <w:rFonts w:ascii="Segoe UI" w:hAnsi="Segoe UI" w:cs="Segoe UI"/>
          <w:sz w:val="24"/>
          <w:szCs w:val="24"/>
        </w:rPr>
        <w:t xml:space="preserve">is that </w:t>
      </w:r>
      <w:r w:rsidR="0045004C">
        <w:rPr>
          <w:rFonts w:ascii="Segoe UI" w:hAnsi="Segoe UI" w:cs="Segoe UI"/>
          <w:sz w:val="24"/>
          <w:szCs w:val="24"/>
        </w:rPr>
        <w:t xml:space="preserve">there is still and abundance of </w:t>
      </w:r>
      <w:r w:rsidR="00D06FA5">
        <w:rPr>
          <w:rFonts w:ascii="Segoe UI" w:hAnsi="Segoe UI" w:cs="Segoe UI"/>
          <w:sz w:val="24"/>
          <w:szCs w:val="24"/>
        </w:rPr>
        <w:t xml:space="preserve">environmental </w:t>
      </w:r>
      <w:r w:rsidR="0045004C">
        <w:rPr>
          <w:rFonts w:ascii="Segoe UI" w:hAnsi="Segoe UI" w:cs="Segoe UI"/>
          <w:sz w:val="24"/>
          <w:szCs w:val="24"/>
        </w:rPr>
        <w:t xml:space="preserve">data </w:t>
      </w:r>
      <w:r w:rsidR="00424713">
        <w:rPr>
          <w:rFonts w:ascii="Segoe UI" w:hAnsi="Segoe UI" w:cs="Segoe UI"/>
          <w:sz w:val="24"/>
          <w:szCs w:val="24"/>
        </w:rPr>
        <w:t xml:space="preserve">and artefacts </w:t>
      </w:r>
      <w:r w:rsidR="0045004C">
        <w:rPr>
          <w:rFonts w:ascii="Segoe UI" w:hAnsi="Segoe UI" w:cs="Segoe UI"/>
          <w:sz w:val="24"/>
          <w:szCs w:val="24"/>
        </w:rPr>
        <w:t>to be recovered and therefor</w:t>
      </w:r>
      <w:r w:rsidR="00327FDF">
        <w:rPr>
          <w:rFonts w:ascii="Segoe UI" w:hAnsi="Segoe UI" w:cs="Segoe UI"/>
          <w:sz w:val="24"/>
          <w:szCs w:val="24"/>
        </w:rPr>
        <w:t>e more</w:t>
      </w:r>
      <w:r w:rsidR="00D27F0D" w:rsidRPr="00530C98">
        <w:rPr>
          <w:rFonts w:ascii="Segoe UI" w:hAnsi="Segoe UI" w:cs="Segoe UI"/>
          <w:sz w:val="24"/>
          <w:szCs w:val="24"/>
        </w:rPr>
        <w:t xml:space="preserve"> work is </w:t>
      </w:r>
      <w:r w:rsidR="00424713">
        <w:rPr>
          <w:rFonts w:ascii="Segoe UI" w:hAnsi="Segoe UI" w:cs="Segoe UI"/>
          <w:sz w:val="24"/>
          <w:szCs w:val="24"/>
        </w:rPr>
        <w:t xml:space="preserve">still </w:t>
      </w:r>
      <w:r w:rsidR="00D27F0D" w:rsidRPr="00530C98">
        <w:rPr>
          <w:rFonts w:ascii="Segoe UI" w:hAnsi="Segoe UI" w:cs="Segoe UI"/>
          <w:sz w:val="24"/>
          <w:szCs w:val="24"/>
        </w:rPr>
        <w:t>needed on TBW</w:t>
      </w:r>
      <w:r w:rsidR="00327FDF">
        <w:rPr>
          <w:rFonts w:ascii="Segoe UI" w:hAnsi="Segoe UI" w:cs="Segoe UI"/>
          <w:sz w:val="24"/>
          <w:szCs w:val="24"/>
        </w:rPr>
        <w:t xml:space="preserve"> in the future</w:t>
      </w:r>
      <w:r w:rsidR="00971F96">
        <w:rPr>
          <w:rFonts w:ascii="Segoe UI" w:hAnsi="Segoe UI" w:cs="Segoe UI"/>
          <w:sz w:val="24"/>
          <w:szCs w:val="24"/>
        </w:rPr>
        <w:t xml:space="preserve">. </w:t>
      </w:r>
      <w:r w:rsidR="00D27F0D" w:rsidRPr="00530C98">
        <w:rPr>
          <w:rFonts w:ascii="Segoe UI" w:hAnsi="Segoe UI" w:cs="Segoe UI"/>
          <w:sz w:val="24"/>
          <w:szCs w:val="24"/>
        </w:rPr>
        <w:t xml:space="preserve"> </w:t>
      </w:r>
      <w:r w:rsidR="00971F96">
        <w:rPr>
          <w:rFonts w:ascii="Segoe UI" w:hAnsi="Segoe UI" w:cs="Segoe UI"/>
          <w:sz w:val="24"/>
          <w:szCs w:val="24"/>
        </w:rPr>
        <w:t xml:space="preserve">The </w:t>
      </w:r>
      <w:r w:rsidR="003C496C">
        <w:rPr>
          <w:rFonts w:ascii="Segoe UI" w:hAnsi="Segoe UI" w:cs="Segoe UI"/>
          <w:sz w:val="24"/>
          <w:szCs w:val="24"/>
        </w:rPr>
        <w:t xml:space="preserve">practical </w:t>
      </w:r>
      <w:r w:rsidR="00971F96">
        <w:rPr>
          <w:rFonts w:ascii="Segoe UI" w:hAnsi="Segoe UI" w:cs="Segoe UI"/>
          <w:sz w:val="24"/>
          <w:szCs w:val="24"/>
        </w:rPr>
        <w:t>difficulties</w:t>
      </w:r>
      <w:r w:rsidR="003C496C">
        <w:rPr>
          <w:rFonts w:ascii="Segoe UI" w:hAnsi="Segoe UI" w:cs="Segoe UI"/>
          <w:sz w:val="24"/>
          <w:szCs w:val="24"/>
        </w:rPr>
        <w:t xml:space="preserve"> of intertidal archaeology (</w:t>
      </w:r>
      <w:r w:rsidR="004F7A2B">
        <w:rPr>
          <w:rFonts w:ascii="Segoe UI" w:hAnsi="Segoe UI" w:cs="Segoe UI"/>
          <w:sz w:val="24"/>
          <w:szCs w:val="24"/>
        </w:rPr>
        <w:t>Bell, 2012</w:t>
      </w:r>
      <w:r w:rsidR="003C496C">
        <w:rPr>
          <w:rFonts w:ascii="Segoe UI" w:hAnsi="Segoe UI" w:cs="Segoe UI"/>
          <w:sz w:val="24"/>
          <w:szCs w:val="24"/>
        </w:rPr>
        <w:t xml:space="preserve">) </w:t>
      </w:r>
      <w:r w:rsidR="0045004C">
        <w:rPr>
          <w:rFonts w:ascii="Segoe UI" w:hAnsi="Segoe UI" w:cs="Segoe UI"/>
          <w:sz w:val="24"/>
          <w:szCs w:val="24"/>
        </w:rPr>
        <w:t xml:space="preserve">did impede </w:t>
      </w:r>
      <w:r w:rsidR="00D85624">
        <w:rPr>
          <w:rFonts w:ascii="Segoe UI" w:hAnsi="Segoe UI" w:cs="Segoe UI"/>
          <w:sz w:val="24"/>
          <w:szCs w:val="24"/>
        </w:rPr>
        <w:t xml:space="preserve">on </w:t>
      </w:r>
      <w:r w:rsidR="00424713">
        <w:rPr>
          <w:rFonts w:ascii="Segoe UI" w:hAnsi="Segoe UI" w:cs="Segoe UI"/>
          <w:sz w:val="24"/>
          <w:szCs w:val="24"/>
        </w:rPr>
        <w:t>the 2018 excavations</w:t>
      </w:r>
      <w:r w:rsidR="00436ABD">
        <w:rPr>
          <w:rFonts w:ascii="Segoe UI" w:hAnsi="Segoe UI" w:cs="Segoe UI"/>
          <w:sz w:val="24"/>
          <w:szCs w:val="24"/>
        </w:rPr>
        <w:t>,</w:t>
      </w:r>
      <w:r w:rsidR="00424713">
        <w:rPr>
          <w:rFonts w:ascii="Segoe UI" w:hAnsi="Segoe UI" w:cs="Segoe UI"/>
          <w:sz w:val="24"/>
          <w:szCs w:val="24"/>
        </w:rPr>
        <w:t xml:space="preserve"> which resulted in not being able to fully excavate areas of the hull </w:t>
      </w:r>
      <w:r w:rsidR="00436ABD">
        <w:rPr>
          <w:rFonts w:ascii="Segoe UI" w:hAnsi="Segoe UI" w:cs="Segoe UI"/>
          <w:sz w:val="24"/>
          <w:szCs w:val="24"/>
        </w:rPr>
        <w:t xml:space="preserve">that </w:t>
      </w:r>
      <w:r w:rsidR="00424713">
        <w:rPr>
          <w:rFonts w:ascii="Segoe UI" w:hAnsi="Segoe UI" w:cs="Segoe UI"/>
          <w:sz w:val="24"/>
          <w:szCs w:val="24"/>
        </w:rPr>
        <w:t xml:space="preserve">are thought to </w:t>
      </w:r>
      <w:r w:rsidR="00D85624">
        <w:rPr>
          <w:rFonts w:ascii="Segoe UI" w:hAnsi="Segoe UI" w:cs="Segoe UI"/>
          <w:sz w:val="24"/>
          <w:szCs w:val="24"/>
        </w:rPr>
        <w:t>be</w:t>
      </w:r>
      <w:r w:rsidR="00436ABD">
        <w:rPr>
          <w:rFonts w:ascii="Segoe UI" w:hAnsi="Segoe UI" w:cs="Segoe UI"/>
          <w:sz w:val="24"/>
          <w:szCs w:val="24"/>
        </w:rPr>
        <w:t xml:space="preserve"> </w:t>
      </w:r>
      <w:r w:rsidR="00424713">
        <w:rPr>
          <w:rFonts w:ascii="Segoe UI" w:hAnsi="Segoe UI" w:cs="Segoe UI"/>
          <w:sz w:val="24"/>
          <w:szCs w:val="24"/>
        </w:rPr>
        <w:t xml:space="preserve">undisturbed under the </w:t>
      </w:r>
      <w:r w:rsidR="00436ABD">
        <w:rPr>
          <w:rFonts w:ascii="Segoe UI" w:hAnsi="Segoe UI" w:cs="Segoe UI"/>
          <w:sz w:val="24"/>
          <w:szCs w:val="24"/>
        </w:rPr>
        <w:t>timber structure.</w:t>
      </w:r>
      <w:r w:rsidR="00433EFD">
        <w:rPr>
          <w:rFonts w:ascii="Segoe UI" w:hAnsi="Segoe UI" w:cs="Segoe UI"/>
          <w:sz w:val="24"/>
          <w:szCs w:val="24"/>
        </w:rPr>
        <w:t xml:space="preserve"> The</w:t>
      </w:r>
      <w:r w:rsidR="00A10CE7">
        <w:rPr>
          <w:rFonts w:ascii="Segoe UI" w:hAnsi="Segoe UI" w:cs="Segoe UI"/>
          <w:sz w:val="24"/>
          <w:szCs w:val="24"/>
        </w:rPr>
        <w:t xml:space="preserve"> recovered data and artifacts </w:t>
      </w:r>
      <w:proofErr w:type="gramStart"/>
      <w:r w:rsidR="00D85624">
        <w:rPr>
          <w:rFonts w:ascii="Segoe UI" w:hAnsi="Segoe UI" w:cs="Segoe UI"/>
          <w:sz w:val="24"/>
          <w:szCs w:val="24"/>
        </w:rPr>
        <w:t>does</w:t>
      </w:r>
      <w:proofErr w:type="gramEnd"/>
      <w:r w:rsidR="00D85624">
        <w:rPr>
          <w:rFonts w:ascii="Segoe UI" w:hAnsi="Segoe UI" w:cs="Segoe UI"/>
          <w:sz w:val="24"/>
          <w:szCs w:val="24"/>
        </w:rPr>
        <w:t xml:space="preserve"> </w:t>
      </w:r>
      <w:r w:rsidR="007041C9">
        <w:rPr>
          <w:rFonts w:ascii="Segoe UI" w:hAnsi="Segoe UI" w:cs="Segoe UI"/>
          <w:sz w:val="24"/>
          <w:szCs w:val="24"/>
        </w:rPr>
        <w:t xml:space="preserve">however </w:t>
      </w:r>
      <w:r w:rsidR="00A10CE7">
        <w:rPr>
          <w:rFonts w:ascii="Segoe UI" w:hAnsi="Segoe UI" w:cs="Segoe UI"/>
          <w:sz w:val="24"/>
          <w:szCs w:val="24"/>
        </w:rPr>
        <w:t xml:space="preserve">go part of the way to addressing </w:t>
      </w:r>
      <w:r w:rsidR="00D85624">
        <w:rPr>
          <w:rFonts w:ascii="Segoe UI" w:hAnsi="Segoe UI" w:cs="Segoe UI"/>
          <w:sz w:val="24"/>
          <w:szCs w:val="24"/>
        </w:rPr>
        <w:t xml:space="preserve">some of </w:t>
      </w:r>
      <w:r w:rsidR="00BE635D">
        <w:rPr>
          <w:rFonts w:ascii="Segoe UI" w:hAnsi="Segoe UI" w:cs="Segoe UI"/>
          <w:sz w:val="24"/>
          <w:szCs w:val="24"/>
        </w:rPr>
        <w:t xml:space="preserve">the </w:t>
      </w:r>
      <w:r w:rsidR="00433EFD">
        <w:rPr>
          <w:rFonts w:ascii="Segoe UI" w:hAnsi="Segoe UI" w:cs="Segoe UI"/>
          <w:sz w:val="24"/>
          <w:szCs w:val="24"/>
        </w:rPr>
        <w:t>research questions proposed in the original framework</w:t>
      </w:r>
      <w:r w:rsidR="00BE635D">
        <w:rPr>
          <w:rFonts w:ascii="Segoe UI" w:hAnsi="Segoe UI" w:cs="Segoe UI"/>
          <w:sz w:val="24"/>
          <w:szCs w:val="24"/>
        </w:rPr>
        <w:t>,</w:t>
      </w:r>
      <w:r w:rsidR="00BA6945">
        <w:rPr>
          <w:rFonts w:ascii="Segoe UI" w:hAnsi="Segoe UI" w:cs="Segoe UI"/>
          <w:sz w:val="24"/>
          <w:szCs w:val="24"/>
        </w:rPr>
        <w:t xml:space="preserve"> we can </w:t>
      </w:r>
      <w:r w:rsidR="00A36964">
        <w:rPr>
          <w:rFonts w:ascii="Segoe UI" w:hAnsi="Segoe UI" w:cs="Segoe UI"/>
          <w:sz w:val="24"/>
          <w:szCs w:val="24"/>
        </w:rPr>
        <w:t xml:space="preserve">certainly </w:t>
      </w:r>
      <w:r w:rsidR="00BA6945">
        <w:rPr>
          <w:rFonts w:ascii="Segoe UI" w:hAnsi="Segoe UI" w:cs="Segoe UI"/>
          <w:sz w:val="24"/>
          <w:szCs w:val="24"/>
        </w:rPr>
        <w:t>see from the dendrological</w:t>
      </w:r>
      <w:r w:rsidR="00693791">
        <w:rPr>
          <w:rFonts w:ascii="Segoe UI" w:hAnsi="Segoe UI" w:cs="Segoe UI"/>
          <w:sz w:val="24"/>
          <w:szCs w:val="24"/>
        </w:rPr>
        <w:t xml:space="preserve">, environmental sampling and recovered artefacts that </w:t>
      </w:r>
      <w:r w:rsidR="00981FCF">
        <w:rPr>
          <w:rFonts w:ascii="Segoe UI" w:hAnsi="Segoe UI" w:cs="Segoe UI"/>
          <w:sz w:val="24"/>
          <w:szCs w:val="24"/>
        </w:rPr>
        <w:t xml:space="preserve">TBW had a connection to trade </w:t>
      </w:r>
      <w:r w:rsidR="00E960EA">
        <w:rPr>
          <w:rFonts w:ascii="Segoe UI" w:hAnsi="Segoe UI" w:cs="Segoe UI"/>
          <w:sz w:val="24"/>
          <w:szCs w:val="24"/>
        </w:rPr>
        <w:t>between southern England and Northern Europe</w:t>
      </w:r>
      <w:r w:rsidR="00064512">
        <w:rPr>
          <w:rFonts w:ascii="Segoe UI" w:hAnsi="Segoe UI" w:cs="Segoe UI"/>
          <w:sz w:val="24"/>
          <w:szCs w:val="24"/>
        </w:rPr>
        <w:t xml:space="preserve">. </w:t>
      </w:r>
      <w:r w:rsidR="009A235C">
        <w:rPr>
          <w:rFonts w:ascii="Segoe UI" w:hAnsi="Segoe UI" w:cs="Segoe UI"/>
          <w:sz w:val="24"/>
          <w:szCs w:val="24"/>
        </w:rPr>
        <w:t xml:space="preserve">But </w:t>
      </w:r>
      <w:r w:rsidR="00A36964">
        <w:rPr>
          <w:rFonts w:ascii="Segoe UI" w:hAnsi="Segoe UI" w:cs="Segoe UI"/>
          <w:sz w:val="24"/>
          <w:szCs w:val="24"/>
        </w:rPr>
        <w:t xml:space="preserve">further </w:t>
      </w:r>
      <w:r w:rsidR="006644DD">
        <w:rPr>
          <w:rFonts w:ascii="Segoe UI" w:hAnsi="Segoe UI" w:cs="Segoe UI"/>
          <w:sz w:val="24"/>
          <w:szCs w:val="24"/>
        </w:rPr>
        <w:t xml:space="preserve">research questions need to be more refined and based on the findings </w:t>
      </w:r>
      <w:r w:rsidR="00D71919">
        <w:rPr>
          <w:rFonts w:ascii="Segoe UI" w:hAnsi="Segoe UI" w:cs="Segoe UI"/>
          <w:sz w:val="24"/>
          <w:szCs w:val="24"/>
        </w:rPr>
        <w:t>so far</w:t>
      </w:r>
      <w:r w:rsidR="007041C9">
        <w:rPr>
          <w:rFonts w:ascii="Segoe UI" w:hAnsi="Segoe UI" w:cs="Segoe UI"/>
          <w:sz w:val="24"/>
          <w:szCs w:val="24"/>
        </w:rPr>
        <w:t xml:space="preserve"> made</w:t>
      </w:r>
      <w:r w:rsidR="00D71919">
        <w:rPr>
          <w:rFonts w:ascii="Segoe UI" w:hAnsi="Segoe UI" w:cs="Segoe UI"/>
          <w:sz w:val="24"/>
          <w:szCs w:val="24"/>
        </w:rPr>
        <w:t xml:space="preserve"> from the 2017 and 2018 excavations.</w:t>
      </w:r>
      <w:r w:rsidR="007041C9">
        <w:rPr>
          <w:rFonts w:ascii="Segoe UI" w:hAnsi="Segoe UI" w:cs="Segoe UI"/>
          <w:sz w:val="24"/>
          <w:szCs w:val="24"/>
        </w:rPr>
        <w:t xml:space="preserve"> </w:t>
      </w:r>
    </w:p>
    <w:p w14:paraId="2BDBAADC" w14:textId="5BA2F122" w:rsidR="00D46F11" w:rsidRPr="00530C98" w:rsidRDefault="00A4653C" w:rsidP="005016C5">
      <w:pPr>
        <w:spacing w:before="100" w:beforeAutospacing="1" w:after="100" w:afterAutospacing="1" w:line="240" w:lineRule="auto"/>
        <w:outlineLvl w:val="3"/>
        <w:rPr>
          <w:rFonts w:ascii="Segoe UI" w:hAnsi="Segoe UI" w:cs="Segoe UI"/>
          <w:sz w:val="24"/>
          <w:szCs w:val="24"/>
        </w:rPr>
      </w:pPr>
      <w:r w:rsidRPr="00A4653C">
        <w:rPr>
          <w:rFonts w:ascii="Segoe UI" w:hAnsi="Segoe UI" w:cs="Segoe UI"/>
          <w:sz w:val="24"/>
          <w:szCs w:val="24"/>
        </w:rPr>
        <w:t xml:space="preserve">The importance cannot be underestimated; our current knowledge about marine archaeology from the early post-medieval period is not abundant.  TBW is an opportunity to gain insight that could impact </w:t>
      </w:r>
      <w:r w:rsidR="00AC559F">
        <w:rPr>
          <w:rFonts w:ascii="Segoe UI" w:hAnsi="Segoe UI" w:cs="Segoe UI"/>
          <w:sz w:val="24"/>
          <w:szCs w:val="24"/>
        </w:rPr>
        <w:t xml:space="preserve">on </w:t>
      </w:r>
      <w:r w:rsidRPr="00A4653C">
        <w:rPr>
          <w:rFonts w:ascii="Segoe UI" w:hAnsi="Segoe UI" w:cs="Segoe UI"/>
          <w:sz w:val="24"/>
          <w:szCs w:val="24"/>
        </w:rPr>
        <w:t xml:space="preserve">a national and international level, producing a considerable amount of scholarly research outputs with receptive audiences in academia and the general public. In terms of engagement, the 2018 project involved a collaborative community effort and included volunteers from local </w:t>
      </w:r>
      <w:r w:rsidRPr="00A4653C">
        <w:rPr>
          <w:rFonts w:ascii="Segoe UI" w:hAnsi="Segoe UI" w:cs="Segoe UI"/>
          <w:sz w:val="24"/>
          <w:szCs w:val="24"/>
        </w:rPr>
        <w:lastRenderedPageBreak/>
        <w:t>archaeology groups in Kent and both regional and national stakeholders. The 2018 excavations also received significant local and national news coverage (</w:t>
      </w:r>
      <w:r w:rsidR="004F7A2B">
        <w:rPr>
          <w:rFonts w:ascii="Segoe UI" w:hAnsi="Segoe UI" w:cs="Segoe UI"/>
          <w:sz w:val="24"/>
          <w:szCs w:val="24"/>
        </w:rPr>
        <w:t>Kennedy, 2018</w:t>
      </w:r>
      <w:r w:rsidRPr="00A4653C">
        <w:rPr>
          <w:rFonts w:ascii="Segoe UI" w:hAnsi="Segoe UI" w:cs="Segoe UI"/>
          <w:sz w:val="24"/>
          <w:szCs w:val="24"/>
        </w:rPr>
        <w:t xml:space="preserve">), which is important, as </w:t>
      </w:r>
      <w:r w:rsidR="00AC559F">
        <w:rPr>
          <w:rFonts w:ascii="Segoe UI" w:hAnsi="Segoe UI" w:cs="Segoe UI"/>
          <w:sz w:val="24"/>
          <w:szCs w:val="24"/>
        </w:rPr>
        <w:t xml:space="preserve">our </w:t>
      </w:r>
      <w:r w:rsidRPr="00A4653C">
        <w:rPr>
          <w:rFonts w:ascii="Segoe UI" w:hAnsi="Segoe UI" w:cs="Segoe UI"/>
          <w:sz w:val="24"/>
          <w:szCs w:val="24"/>
        </w:rPr>
        <w:t xml:space="preserve">heritage should always be shared with a wide audience.               </w:t>
      </w:r>
    </w:p>
    <w:p w14:paraId="11278C8B" w14:textId="6D3DABBF" w:rsidR="008831E7" w:rsidRDefault="00D4419D" w:rsidP="005016C5">
      <w:pPr>
        <w:spacing w:before="100" w:beforeAutospacing="1" w:after="100" w:afterAutospacing="1" w:line="240" w:lineRule="auto"/>
        <w:outlineLvl w:val="3"/>
        <w:rPr>
          <w:rFonts w:ascii="Segoe UI" w:hAnsi="Segoe UI" w:cs="Segoe UI"/>
          <w:b/>
          <w:bCs/>
          <w:sz w:val="24"/>
          <w:szCs w:val="24"/>
        </w:rPr>
      </w:pPr>
      <w:r w:rsidRPr="00662E79">
        <w:rPr>
          <w:rFonts w:ascii="Segoe UI" w:hAnsi="Segoe UI" w:cs="Segoe UI"/>
          <w:b/>
          <w:bCs/>
          <w:sz w:val="24"/>
          <w:szCs w:val="24"/>
        </w:rPr>
        <w:t xml:space="preserve">Bibliography: </w:t>
      </w:r>
    </w:p>
    <w:p w14:paraId="49AD678E" w14:textId="181FA0AE" w:rsidR="0066485D" w:rsidRPr="0066485D" w:rsidRDefault="0066485D" w:rsidP="0066485D">
      <w:pPr>
        <w:pStyle w:val="ListParagraph"/>
        <w:numPr>
          <w:ilvl w:val="0"/>
          <w:numId w:val="2"/>
        </w:numPr>
        <w:spacing w:before="100" w:beforeAutospacing="1" w:after="100" w:afterAutospacing="1" w:line="240" w:lineRule="auto"/>
        <w:outlineLvl w:val="3"/>
        <w:rPr>
          <w:rFonts w:ascii="Segoe UI" w:hAnsi="Segoe UI" w:cs="Segoe UI"/>
          <w:sz w:val="20"/>
          <w:szCs w:val="20"/>
        </w:rPr>
      </w:pPr>
      <w:r w:rsidRPr="00C92EEF">
        <w:rPr>
          <w:rStyle w:val="authors"/>
          <w:rFonts w:ascii="Segoe UI" w:hAnsi="Segoe UI" w:cs="Segoe UI"/>
          <w:sz w:val="20"/>
          <w:szCs w:val="20"/>
        </w:rPr>
        <w:t>Allen</w:t>
      </w:r>
      <w:r>
        <w:rPr>
          <w:rStyle w:val="authors"/>
          <w:rFonts w:ascii="Segoe UI" w:hAnsi="Segoe UI" w:cs="Segoe UI"/>
          <w:sz w:val="20"/>
          <w:szCs w:val="20"/>
        </w:rPr>
        <w:t xml:space="preserve"> T</w:t>
      </w:r>
      <w:r w:rsidRPr="00C92EEF">
        <w:rPr>
          <w:rStyle w:val="authors"/>
          <w:rFonts w:ascii="Segoe UI" w:hAnsi="Segoe UI" w:cs="Segoe UI"/>
          <w:sz w:val="20"/>
          <w:szCs w:val="20"/>
        </w:rPr>
        <w:t>,</w:t>
      </w:r>
      <w:r>
        <w:rPr>
          <w:rStyle w:val="authors"/>
          <w:rFonts w:ascii="Segoe UI" w:hAnsi="Segoe UI" w:cs="Segoe UI"/>
          <w:sz w:val="20"/>
          <w:szCs w:val="20"/>
        </w:rPr>
        <w:t xml:space="preserve"> </w:t>
      </w:r>
      <w:r w:rsidRPr="00C92EEF">
        <w:rPr>
          <w:rStyle w:val="authors"/>
          <w:rFonts w:ascii="Segoe UI" w:hAnsi="Segoe UI" w:cs="Segoe UI"/>
          <w:sz w:val="20"/>
          <w:szCs w:val="20"/>
        </w:rPr>
        <w:t>Cotterill</w:t>
      </w:r>
      <w:r>
        <w:rPr>
          <w:rStyle w:val="authors"/>
          <w:rFonts w:ascii="Segoe UI" w:hAnsi="Segoe UI" w:cs="Segoe UI"/>
          <w:sz w:val="20"/>
          <w:szCs w:val="20"/>
        </w:rPr>
        <w:t>, M</w:t>
      </w:r>
      <w:r w:rsidRPr="00C92EEF">
        <w:rPr>
          <w:rStyle w:val="authors"/>
          <w:rFonts w:ascii="Segoe UI" w:hAnsi="Segoe UI" w:cs="Segoe UI"/>
          <w:sz w:val="20"/>
          <w:szCs w:val="20"/>
        </w:rPr>
        <w:t xml:space="preserve"> &amp; Pike</w:t>
      </w:r>
      <w:r>
        <w:rPr>
          <w:rStyle w:val="authors"/>
          <w:rFonts w:ascii="Segoe UI" w:hAnsi="Segoe UI" w:cs="Segoe UI"/>
          <w:sz w:val="20"/>
          <w:szCs w:val="20"/>
        </w:rPr>
        <w:t>, G</w:t>
      </w:r>
      <w:r w:rsidRPr="00C92EEF">
        <w:rPr>
          <w:rFonts w:ascii="Segoe UI" w:hAnsi="Segoe UI" w:cs="Segoe UI"/>
          <w:sz w:val="20"/>
          <w:szCs w:val="20"/>
        </w:rPr>
        <w:t> </w:t>
      </w:r>
      <w:r w:rsidRPr="00C92EEF">
        <w:rPr>
          <w:rStyle w:val="date"/>
          <w:rFonts w:ascii="Segoe UI" w:hAnsi="Segoe UI" w:cs="Segoe UI"/>
          <w:sz w:val="20"/>
          <w:szCs w:val="20"/>
        </w:rPr>
        <w:t>(2001)</w:t>
      </w:r>
      <w:r w:rsidRPr="00C92EEF">
        <w:rPr>
          <w:rFonts w:ascii="Segoe UI" w:hAnsi="Segoe UI" w:cs="Segoe UI"/>
          <w:sz w:val="20"/>
          <w:szCs w:val="20"/>
        </w:rPr>
        <w:t> </w:t>
      </w:r>
      <w:r w:rsidRPr="00C92EEF">
        <w:rPr>
          <w:rStyle w:val="arttitle"/>
          <w:rFonts w:ascii="Segoe UI" w:hAnsi="Segoe UI" w:cs="Segoe UI"/>
          <w:sz w:val="20"/>
          <w:szCs w:val="20"/>
        </w:rPr>
        <w:t>Copperas: an account of the Whitstable copperas works and the first major chemical industry in England</w:t>
      </w:r>
      <w:r w:rsidRPr="00C92EEF">
        <w:rPr>
          <w:rStyle w:val="arttitle"/>
          <w:rFonts w:ascii="Segoe UI" w:hAnsi="Segoe UI" w:cs="Segoe UI"/>
          <w:i/>
          <w:iCs/>
          <w:sz w:val="20"/>
          <w:szCs w:val="20"/>
        </w:rPr>
        <w:t>,</w:t>
      </w:r>
      <w:r w:rsidRPr="00C92EEF">
        <w:rPr>
          <w:rFonts w:ascii="Segoe UI" w:hAnsi="Segoe UI" w:cs="Segoe UI"/>
          <w:sz w:val="20"/>
          <w:szCs w:val="20"/>
        </w:rPr>
        <w:t> </w:t>
      </w:r>
      <w:r w:rsidRPr="00C92EEF">
        <w:rPr>
          <w:rStyle w:val="serialtitle"/>
          <w:rFonts w:ascii="Segoe UI" w:hAnsi="Segoe UI" w:cs="Segoe UI"/>
          <w:i/>
          <w:iCs/>
          <w:sz w:val="20"/>
          <w:szCs w:val="20"/>
        </w:rPr>
        <w:t>Industrial Archaeology Review</w:t>
      </w:r>
      <w:r w:rsidRPr="00C92EEF">
        <w:rPr>
          <w:rStyle w:val="serialtitle"/>
          <w:rFonts w:ascii="Segoe UI" w:hAnsi="Segoe UI" w:cs="Segoe UI"/>
          <w:sz w:val="20"/>
          <w:szCs w:val="20"/>
        </w:rPr>
        <w:t>,</w:t>
      </w:r>
      <w:r w:rsidRPr="00C92EEF">
        <w:rPr>
          <w:rFonts w:ascii="Segoe UI" w:hAnsi="Segoe UI" w:cs="Segoe UI"/>
          <w:sz w:val="20"/>
          <w:szCs w:val="20"/>
        </w:rPr>
        <w:t> </w:t>
      </w:r>
      <w:r w:rsidRPr="00C92EEF">
        <w:rPr>
          <w:rStyle w:val="volumeissue"/>
          <w:rFonts w:ascii="Segoe UI" w:hAnsi="Segoe UI" w:cs="Segoe UI"/>
          <w:b/>
          <w:bCs/>
          <w:sz w:val="20"/>
          <w:szCs w:val="20"/>
        </w:rPr>
        <w:t>23</w:t>
      </w:r>
      <w:r>
        <w:rPr>
          <w:rStyle w:val="volumeissue"/>
          <w:rFonts w:ascii="Segoe UI" w:hAnsi="Segoe UI" w:cs="Segoe UI"/>
          <w:sz w:val="20"/>
          <w:szCs w:val="20"/>
        </w:rPr>
        <w:t xml:space="preserve"> </w:t>
      </w:r>
      <w:r w:rsidRPr="00C92EEF">
        <w:rPr>
          <w:rStyle w:val="volumeissue"/>
          <w:rFonts w:ascii="Segoe UI" w:hAnsi="Segoe UI" w:cs="Segoe UI"/>
          <w:sz w:val="20"/>
          <w:szCs w:val="20"/>
        </w:rPr>
        <w:t>:2,</w:t>
      </w:r>
      <w:r w:rsidRPr="00C92EEF">
        <w:rPr>
          <w:rFonts w:ascii="Segoe UI" w:hAnsi="Segoe UI" w:cs="Segoe UI"/>
          <w:sz w:val="20"/>
          <w:szCs w:val="20"/>
        </w:rPr>
        <w:t> </w:t>
      </w:r>
      <w:r w:rsidRPr="00C92EEF">
        <w:rPr>
          <w:rStyle w:val="pagerange"/>
          <w:rFonts w:ascii="Segoe UI" w:hAnsi="Segoe UI" w:cs="Segoe UI"/>
          <w:sz w:val="20"/>
          <w:szCs w:val="20"/>
        </w:rPr>
        <w:t>93-112,</w:t>
      </w:r>
      <w:r w:rsidRPr="00C92EEF">
        <w:rPr>
          <w:rFonts w:ascii="Segoe UI" w:hAnsi="Segoe UI" w:cs="Segoe UI"/>
          <w:sz w:val="20"/>
          <w:szCs w:val="20"/>
        </w:rPr>
        <w:t> </w:t>
      </w:r>
      <w:r w:rsidRPr="00C92EEF">
        <w:rPr>
          <w:rStyle w:val="doilink"/>
          <w:rFonts w:ascii="Segoe UI" w:hAnsi="Segoe UI" w:cs="Segoe UI"/>
          <w:sz w:val="20"/>
          <w:szCs w:val="20"/>
        </w:rPr>
        <w:t>DOI: </w:t>
      </w:r>
      <w:r w:rsidRPr="0066485D">
        <w:rPr>
          <w:rStyle w:val="doilink"/>
          <w:rFonts w:ascii="Segoe UI" w:hAnsi="Segoe UI" w:cs="Segoe UI"/>
          <w:sz w:val="20"/>
          <w:szCs w:val="20"/>
        </w:rPr>
        <w:t>10.1179/iar.2001.23.2.93</w:t>
      </w:r>
    </w:p>
    <w:p w14:paraId="07731393" w14:textId="7772FD7B" w:rsidR="00C92EEF" w:rsidRPr="004F7A2B" w:rsidRDefault="007729FF" w:rsidP="007729FF">
      <w:pPr>
        <w:pStyle w:val="ListParagraph"/>
        <w:numPr>
          <w:ilvl w:val="0"/>
          <w:numId w:val="2"/>
        </w:numPr>
        <w:spacing w:before="100" w:beforeAutospacing="1" w:after="100" w:afterAutospacing="1" w:line="240" w:lineRule="auto"/>
        <w:outlineLvl w:val="3"/>
        <w:rPr>
          <w:rFonts w:ascii="Segoe UI" w:hAnsi="Segoe UI" w:cs="Segoe UI"/>
          <w:b/>
          <w:bCs/>
          <w:sz w:val="20"/>
          <w:szCs w:val="20"/>
        </w:rPr>
      </w:pPr>
      <w:r w:rsidRPr="007729FF">
        <w:rPr>
          <w:rFonts w:ascii="Segoe UI" w:hAnsi="Segoe UI" w:cs="Segoe UI"/>
          <w:sz w:val="20"/>
          <w:szCs w:val="20"/>
          <w:shd w:val="clear" w:color="auto" w:fill="FCFCFC"/>
        </w:rPr>
        <w:t xml:space="preserve">Bagheri, M., </w:t>
      </w:r>
      <w:r w:rsidR="005D1884" w:rsidRPr="007729FF">
        <w:rPr>
          <w:rFonts w:ascii="Segoe UI" w:hAnsi="Segoe UI" w:cs="Segoe UI"/>
          <w:sz w:val="20"/>
          <w:szCs w:val="20"/>
          <w:shd w:val="clear" w:color="auto" w:fill="FCFCFC"/>
        </w:rPr>
        <w:t>Rumania</w:t>
      </w:r>
      <w:r w:rsidRPr="007729FF">
        <w:rPr>
          <w:rFonts w:ascii="Segoe UI" w:hAnsi="Segoe UI" w:cs="Segoe UI"/>
          <w:sz w:val="20"/>
          <w:szCs w:val="20"/>
          <w:shd w:val="clear" w:color="auto" w:fill="FCFCFC"/>
        </w:rPr>
        <w:t xml:space="preserve">, M. </w:t>
      </w:r>
      <w:r>
        <w:rPr>
          <w:rFonts w:ascii="Segoe UI" w:hAnsi="Segoe UI" w:cs="Segoe UI"/>
          <w:sz w:val="20"/>
          <w:szCs w:val="20"/>
          <w:shd w:val="clear" w:color="auto" w:fill="FCFCFC"/>
        </w:rPr>
        <w:t xml:space="preserve">(2021) </w:t>
      </w:r>
      <w:r w:rsidRPr="007729FF">
        <w:rPr>
          <w:rFonts w:ascii="Segoe UI" w:hAnsi="Segoe UI" w:cs="Segoe UI"/>
          <w:sz w:val="20"/>
          <w:szCs w:val="20"/>
          <w:shd w:val="clear" w:color="auto" w:fill="FCFCFC"/>
        </w:rPr>
        <w:t>Geological and Geotechnical Characteristics of London Clay from the Isle of Sheppey. </w:t>
      </w:r>
      <w:r w:rsidRPr="007729FF">
        <w:rPr>
          <w:rFonts w:ascii="Segoe UI" w:hAnsi="Segoe UI" w:cs="Segoe UI"/>
          <w:i/>
          <w:iCs/>
          <w:sz w:val="20"/>
          <w:szCs w:val="20"/>
          <w:shd w:val="clear" w:color="auto" w:fill="FCFCFC"/>
        </w:rPr>
        <w:t xml:space="preserve">Geotech </w:t>
      </w:r>
      <w:proofErr w:type="spellStart"/>
      <w:r w:rsidRPr="007729FF">
        <w:rPr>
          <w:rFonts w:ascii="Segoe UI" w:hAnsi="Segoe UI" w:cs="Segoe UI"/>
          <w:i/>
          <w:iCs/>
          <w:sz w:val="20"/>
          <w:szCs w:val="20"/>
          <w:shd w:val="clear" w:color="auto" w:fill="FCFCFC"/>
        </w:rPr>
        <w:t>Geol</w:t>
      </w:r>
      <w:proofErr w:type="spellEnd"/>
      <w:r w:rsidRPr="007729FF">
        <w:rPr>
          <w:rFonts w:ascii="Segoe UI" w:hAnsi="Segoe UI" w:cs="Segoe UI"/>
          <w:i/>
          <w:iCs/>
          <w:sz w:val="20"/>
          <w:szCs w:val="20"/>
          <w:shd w:val="clear" w:color="auto" w:fill="FCFCFC"/>
        </w:rPr>
        <w:t xml:space="preserve"> </w:t>
      </w:r>
      <w:proofErr w:type="spellStart"/>
      <w:r w:rsidRPr="007729FF">
        <w:rPr>
          <w:rFonts w:ascii="Segoe UI" w:hAnsi="Segoe UI" w:cs="Segoe UI"/>
          <w:i/>
          <w:iCs/>
          <w:sz w:val="20"/>
          <w:szCs w:val="20"/>
          <w:shd w:val="clear" w:color="auto" w:fill="FCFCFC"/>
        </w:rPr>
        <w:t>Eng</w:t>
      </w:r>
      <w:proofErr w:type="spellEnd"/>
      <w:r w:rsidRPr="007729FF">
        <w:rPr>
          <w:rFonts w:ascii="Segoe UI" w:hAnsi="Segoe UI" w:cs="Segoe UI"/>
          <w:sz w:val="20"/>
          <w:szCs w:val="20"/>
          <w:shd w:val="clear" w:color="auto" w:fill="FCFCFC"/>
        </w:rPr>
        <w:t> </w:t>
      </w:r>
      <w:r w:rsidRPr="007729FF">
        <w:rPr>
          <w:rFonts w:ascii="Segoe UI" w:hAnsi="Segoe UI" w:cs="Segoe UI"/>
          <w:b/>
          <w:bCs/>
          <w:sz w:val="20"/>
          <w:szCs w:val="20"/>
          <w:shd w:val="clear" w:color="auto" w:fill="FCFCFC"/>
        </w:rPr>
        <w:t>39, </w:t>
      </w:r>
      <w:r w:rsidRPr="007729FF">
        <w:rPr>
          <w:rFonts w:ascii="Segoe UI" w:hAnsi="Segoe UI" w:cs="Segoe UI"/>
          <w:sz w:val="20"/>
          <w:szCs w:val="20"/>
          <w:shd w:val="clear" w:color="auto" w:fill="FCFCFC"/>
        </w:rPr>
        <w:t>1701–</w:t>
      </w:r>
      <w:proofErr w:type="gramStart"/>
      <w:r w:rsidRPr="007729FF">
        <w:rPr>
          <w:rFonts w:ascii="Segoe UI" w:hAnsi="Segoe UI" w:cs="Segoe UI"/>
          <w:sz w:val="20"/>
          <w:szCs w:val="20"/>
          <w:shd w:val="clear" w:color="auto" w:fill="FCFCFC"/>
        </w:rPr>
        <w:t>1713</w:t>
      </w:r>
      <w:r>
        <w:rPr>
          <w:rFonts w:ascii="Segoe UI" w:hAnsi="Segoe UI" w:cs="Segoe UI"/>
          <w:sz w:val="20"/>
          <w:szCs w:val="20"/>
          <w:shd w:val="clear" w:color="auto" w:fill="FCFCFC"/>
        </w:rPr>
        <w:t xml:space="preserve"> </w:t>
      </w:r>
      <w:r w:rsidRPr="007729FF">
        <w:rPr>
          <w:rFonts w:ascii="Segoe UI" w:hAnsi="Segoe UI" w:cs="Segoe UI"/>
          <w:sz w:val="20"/>
          <w:szCs w:val="20"/>
          <w:shd w:val="clear" w:color="auto" w:fill="FCFCFC"/>
        </w:rPr>
        <w:t>.</w:t>
      </w:r>
      <w:proofErr w:type="gramEnd"/>
      <w:r w:rsidRPr="007729FF">
        <w:rPr>
          <w:rFonts w:ascii="Segoe UI" w:hAnsi="Segoe UI" w:cs="Segoe UI"/>
          <w:sz w:val="20"/>
          <w:szCs w:val="20"/>
          <w:shd w:val="clear" w:color="auto" w:fill="FCFCFC"/>
        </w:rPr>
        <w:t xml:space="preserve"> </w:t>
      </w:r>
      <w:r w:rsidR="0066485D" w:rsidRPr="0066485D">
        <w:rPr>
          <w:rFonts w:ascii="Segoe UI" w:hAnsi="Segoe UI" w:cs="Segoe UI"/>
          <w:sz w:val="20"/>
          <w:szCs w:val="20"/>
          <w:shd w:val="clear" w:color="auto" w:fill="FCFCFC"/>
        </w:rPr>
        <w:t>DOI:</w:t>
      </w:r>
      <w:r w:rsidR="0066485D">
        <w:rPr>
          <w:rFonts w:ascii="Segoe UI" w:hAnsi="Segoe UI" w:cs="Segoe UI"/>
          <w:sz w:val="20"/>
          <w:szCs w:val="20"/>
          <w:shd w:val="clear" w:color="auto" w:fill="FCFCFC"/>
        </w:rPr>
        <w:t xml:space="preserve"> </w:t>
      </w:r>
      <w:r w:rsidR="00BA6E95" w:rsidRPr="0066485D">
        <w:rPr>
          <w:rFonts w:ascii="Segoe UI" w:hAnsi="Segoe UI" w:cs="Segoe UI"/>
          <w:sz w:val="20"/>
          <w:szCs w:val="20"/>
          <w:shd w:val="clear" w:color="auto" w:fill="FCFCFC"/>
        </w:rPr>
        <w:t>10.1007/s10706-020-01572-3</w:t>
      </w:r>
    </w:p>
    <w:p w14:paraId="11734BD3" w14:textId="4F4CF6C1" w:rsidR="004F7A2B" w:rsidRPr="004F7A2B" w:rsidRDefault="004F7A2B" w:rsidP="007729FF">
      <w:pPr>
        <w:pStyle w:val="ListParagraph"/>
        <w:numPr>
          <w:ilvl w:val="0"/>
          <w:numId w:val="2"/>
        </w:numPr>
        <w:spacing w:before="100" w:beforeAutospacing="1" w:after="100" w:afterAutospacing="1" w:line="240" w:lineRule="auto"/>
        <w:outlineLvl w:val="3"/>
        <w:rPr>
          <w:rFonts w:ascii="Segoe UI" w:hAnsi="Segoe UI" w:cs="Segoe UI"/>
          <w:b/>
          <w:bCs/>
          <w:sz w:val="20"/>
          <w:szCs w:val="20"/>
        </w:rPr>
      </w:pPr>
      <w:r w:rsidRPr="004F7A2B">
        <w:rPr>
          <w:rFonts w:ascii="Segoe UI" w:hAnsi="Segoe UI" w:cs="Segoe UI"/>
          <w:sz w:val="20"/>
          <w:szCs w:val="20"/>
          <w:shd w:val="clear" w:color="auto" w:fill="FCFCFC"/>
        </w:rPr>
        <w:t xml:space="preserve">Bell, M. 2012. Intertidal Survey and Excavation. In </w:t>
      </w:r>
      <w:r w:rsidRPr="004F7A2B">
        <w:rPr>
          <w:rFonts w:ascii="Segoe UI" w:hAnsi="Segoe UI" w:cs="Segoe UI"/>
          <w:sz w:val="20"/>
          <w:szCs w:val="20"/>
          <w:lang w:val="en"/>
        </w:rPr>
        <w:t xml:space="preserve">Menotti, f ed &amp; O'Sullivan, A ed. </w:t>
      </w:r>
      <w:r w:rsidRPr="004F7A2B">
        <w:rPr>
          <w:rFonts w:ascii="Segoe UI" w:hAnsi="Segoe UI" w:cs="Segoe UI"/>
          <w:i/>
          <w:iCs/>
          <w:sz w:val="20"/>
          <w:szCs w:val="20"/>
          <w:lang w:val="en"/>
        </w:rPr>
        <w:t>The Oxford Handbook of Wetland Archaeology</w:t>
      </w:r>
      <w:r w:rsidRPr="004F7A2B">
        <w:rPr>
          <w:rFonts w:ascii="Segoe UI" w:hAnsi="Segoe UI" w:cs="Segoe UI"/>
          <w:sz w:val="20"/>
          <w:szCs w:val="20"/>
          <w:lang w:val="en"/>
        </w:rPr>
        <w:t>: OUP Press: DOI: 10.1093/</w:t>
      </w:r>
      <w:proofErr w:type="spellStart"/>
      <w:r w:rsidRPr="004F7A2B">
        <w:rPr>
          <w:rFonts w:ascii="Segoe UI" w:hAnsi="Segoe UI" w:cs="Segoe UI"/>
          <w:sz w:val="20"/>
          <w:szCs w:val="20"/>
          <w:lang w:val="en"/>
        </w:rPr>
        <w:t>oxfordhb</w:t>
      </w:r>
      <w:proofErr w:type="spellEnd"/>
      <w:r w:rsidRPr="004F7A2B">
        <w:rPr>
          <w:rFonts w:ascii="Segoe UI" w:hAnsi="Segoe UI" w:cs="Segoe UI"/>
          <w:sz w:val="20"/>
          <w:szCs w:val="20"/>
          <w:lang w:val="en"/>
        </w:rPr>
        <w:t>/9780199573493.013.0028</w:t>
      </w:r>
    </w:p>
    <w:p w14:paraId="56A32813" w14:textId="0D367520" w:rsidR="004F7A2B" w:rsidRPr="004F7A2B" w:rsidRDefault="004F7A2B" w:rsidP="004F7A2B">
      <w:pPr>
        <w:pStyle w:val="ListParagraph"/>
        <w:numPr>
          <w:ilvl w:val="0"/>
          <w:numId w:val="2"/>
        </w:numPr>
        <w:spacing w:before="100" w:beforeAutospacing="1" w:after="100" w:afterAutospacing="1" w:line="240" w:lineRule="auto"/>
        <w:outlineLvl w:val="3"/>
        <w:rPr>
          <w:rFonts w:ascii="Segoe UI" w:hAnsi="Segoe UI" w:cs="Segoe UI"/>
          <w:b/>
          <w:bCs/>
          <w:sz w:val="20"/>
          <w:szCs w:val="20"/>
        </w:rPr>
      </w:pPr>
      <w:proofErr w:type="spellStart"/>
      <w:r w:rsidRPr="00BA6E95">
        <w:rPr>
          <w:rFonts w:ascii="Segoe UI" w:hAnsi="Segoe UI" w:cs="Segoe UI"/>
          <w:sz w:val="20"/>
          <w:szCs w:val="20"/>
        </w:rPr>
        <w:t>CIfA</w:t>
      </w:r>
      <w:proofErr w:type="spellEnd"/>
      <w:r w:rsidRPr="00BA6E95">
        <w:rPr>
          <w:rFonts w:ascii="Segoe UI" w:hAnsi="Segoe UI" w:cs="Segoe UI"/>
          <w:sz w:val="20"/>
          <w:szCs w:val="20"/>
        </w:rPr>
        <w:t xml:space="preserve"> </w:t>
      </w:r>
      <w:r>
        <w:rPr>
          <w:rFonts w:ascii="Segoe UI" w:hAnsi="Segoe UI" w:cs="Segoe UI"/>
          <w:sz w:val="20"/>
          <w:szCs w:val="20"/>
        </w:rPr>
        <w:t>(</w:t>
      </w:r>
      <w:r w:rsidRPr="00BA6E95">
        <w:rPr>
          <w:rFonts w:ascii="Segoe UI" w:hAnsi="Segoe UI" w:cs="Segoe UI"/>
          <w:sz w:val="20"/>
          <w:szCs w:val="20"/>
        </w:rPr>
        <w:t>2014a</w:t>
      </w:r>
      <w:r>
        <w:rPr>
          <w:rFonts w:ascii="Segoe UI" w:hAnsi="Segoe UI" w:cs="Segoe UI"/>
          <w:sz w:val="20"/>
          <w:szCs w:val="20"/>
        </w:rPr>
        <w:t>)</w:t>
      </w:r>
      <w:r w:rsidRPr="00BA6E95">
        <w:rPr>
          <w:rFonts w:ascii="Segoe UI" w:hAnsi="Segoe UI" w:cs="Segoe UI"/>
          <w:sz w:val="20"/>
          <w:szCs w:val="20"/>
        </w:rPr>
        <w:t xml:space="preserve"> Standard and Guidance for Archaeological Excavation. Reading, Chartered Institute for Archaeologists</w:t>
      </w:r>
      <w:r>
        <w:rPr>
          <w:rFonts w:ascii="Segoe UI" w:hAnsi="Segoe UI" w:cs="Segoe UI"/>
          <w:sz w:val="20"/>
          <w:szCs w:val="20"/>
        </w:rPr>
        <w:t>.</w:t>
      </w:r>
    </w:p>
    <w:p w14:paraId="39C68403" w14:textId="77C6C594" w:rsidR="0066485D" w:rsidRPr="0066485D" w:rsidRDefault="0066485D" w:rsidP="0066485D">
      <w:pPr>
        <w:pStyle w:val="ListParagraph"/>
        <w:numPr>
          <w:ilvl w:val="0"/>
          <w:numId w:val="2"/>
        </w:numPr>
        <w:spacing w:before="100" w:beforeAutospacing="1" w:after="100" w:afterAutospacing="1" w:line="240" w:lineRule="auto"/>
        <w:outlineLvl w:val="3"/>
        <w:rPr>
          <w:rFonts w:ascii="Segoe UI" w:hAnsi="Segoe UI" w:cs="Segoe UI"/>
          <w:sz w:val="20"/>
          <w:szCs w:val="20"/>
        </w:rPr>
      </w:pPr>
      <w:r w:rsidRPr="00C92EEF">
        <w:rPr>
          <w:rFonts w:ascii="Segoe UI" w:eastAsia="Times New Roman" w:hAnsi="Segoe UI" w:cs="Segoe UI"/>
          <w:sz w:val="20"/>
          <w:szCs w:val="20"/>
          <w:lang w:eastAsia="en-GB"/>
        </w:rPr>
        <w:t xml:space="preserve">Croce, P, Gain, T and Roberts, L (2019) </w:t>
      </w:r>
      <w:r w:rsidRPr="00C92EEF">
        <w:rPr>
          <w:rFonts w:ascii="Segoe UI" w:hAnsi="Segoe UI" w:cs="Segoe UI"/>
          <w:i/>
          <w:iCs/>
          <w:sz w:val="20"/>
          <w:szCs w:val="20"/>
        </w:rPr>
        <w:t>Tankerton Bay, Post-excavation Assessment and Updated Project Design, Document reference 200950.03</w:t>
      </w:r>
      <w:r w:rsidRPr="00C92EEF">
        <w:rPr>
          <w:rFonts w:ascii="Segoe UI" w:hAnsi="Segoe UI" w:cs="Segoe UI"/>
          <w:sz w:val="20"/>
          <w:szCs w:val="20"/>
        </w:rPr>
        <w:t>: Wessex Archaeology. Forthcoming currently In</w:t>
      </w:r>
      <w:r w:rsidR="000F1EC5">
        <w:rPr>
          <w:rFonts w:ascii="Segoe UI" w:hAnsi="Segoe UI" w:cs="Segoe UI"/>
          <w:sz w:val="20"/>
          <w:szCs w:val="20"/>
        </w:rPr>
        <w:t>-p</w:t>
      </w:r>
      <w:r w:rsidRPr="00C92EEF">
        <w:rPr>
          <w:rFonts w:ascii="Segoe UI" w:hAnsi="Segoe UI" w:cs="Segoe UI"/>
          <w:sz w:val="20"/>
          <w:szCs w:val="20"/>
        </w:rPr>
        <w:t xml:space="preserve">ress.   </w:t>
      </w:r>
    </w:p>
    <w:p w14:paraId="39563435" w14:textId="53B29DDD" w:rsidR="005D1884" w:rsidRPr="005D1884" w:rsidRDefault="005D1884" w:rsidP="007729FF">
      <w:pPr>
        <w:pStyle w:val="ListParagraph"/>
        <w:numPr>
          <w:ilvl w:val="0"/>
          <w:numId w:val="2"/>
        </w:numPr>
        <w:spacing w:before="100" w:beforeAutospacing="1" w:after="100" w:afterAutospacing="1" w:line="240" w:lineRule="auto"/>
        <w:outlineLvl w:val="3"/>
        <w:rPr>
          <w:rFonts w:ascii="Segoe UI" w:hAnsi="Segoe UI" w:cs="Segoe UI"/>
          <w:b/>
          <w:bCs/>
          <w:sz w:val="20"/>
          <w:szCs w:val="20"/>
        </w:rPr>
      </w:pPr>
      <w:r w:rsidRPr="005D1884">
        <w:rPr>
          <w:rFonts w:ascii="Segoe UI" w:hAnsi="Segoe UI" w:cs="Segoe UI"/>
          <w:sz w:val="20"/>
          <w:szCs w:val="20"/>
        </w:rPr>
        <w:t xml:space="preserve">Deforce, K, </w:t>
      </w:r>
      <w:proofErr w:type="spellStart"/>
      <w:r w:rsidRPr="005D1884">
        <w:rPr>
          <w:rFonts w:ascii="Segoe UI" w:hAnsi="Segoe UI" w:cs="Segoe UI"/>
          <w:sz w:val="20"/>
          <w:szCs w:val="20"/>
        </w:rPr>
        <w:t>Allemeersch</w:t>
      </w:r>
      <w:proofErr w:type="spellEnd"/>
      <w:r w:rsidRPr="005D1884">
        <w:rPr>
          <w:rFonts w:ascii="Segoe UI" w:hAnsi="Segoe UI" w:cs="Segoe UI"/>
          <w:sz w:val="20"/>
          <w:szCs w:val="20"/>
        </w:rPr>
        <w:t xml:space="preserve">, L, </w:t>
      </w:r>
      <w:proofErr w:type="spellStart"/>
      <w:r w:rsidRPr="005D1884">
        <w:rPr>
          <w:rFonts w:ascii="Segoe UI" w:hAnsi="Segoe UI" w:cs="Segoe UI"/>
          <w:sz w:val="20"/>
          <w:szCs w:val="20"/>
        </w:rPr>
        <w:t>Stieperaere</w:t>
      </w:r>
      <w:proofErr w:type="spellEnd"/>
      <w:r w:rsidRPr="005D1884">
        <w:rPr>
          <w:rFonts w:ascii="Segoe UI" w:hAnsi="Segoe UI" w:cs="Segoe UI"/>
          <w:sz w:val="20"/>
          <w:szCs w:val="20"/>
        </w:rPr>
        <w:t xml:space="preserve">, H and </w:t>
      </w:r>
      <w:proofErr w:type="spellStart"/>
      <w:r w:rsidRPr="005D1884">
        <w:rPr>
          <w:rFonts w:ascii="Segoe UI" w:hAnsi="Segoe UI" w:cs="Segoe UI"/>
          <w:sz w:val="20"/>
          <w:szCs w:val="20"/>
        </w:rPr>
        <w:t>Haneca</w:t>
      </w:r>
      <w:proofErr w:type="spellEnd"/>
      <w:r w:rsidRPr="005D1884">
        <w:rPr>
          <w:rFonts w:ascii="Segoe UI" w:hAnsi="Segoe UI" w:cs="Segoe UI"/>
          <w:sz w:val="20"/>
          <w:szCs w:val="20"/>
        </w:rPr>
        <w:t xml:space="preserve">, K </w:t>
      </w:r>
      <w:r>
        <w:rPr>
          <w:rFonts w:ascii="Segoe UI" w:hAnsi="Segoe UI" w:cs="Segoe UI"/>
          <w:sz w:val="20"/>
          <w:szCs w:val="20"/>
        </w:rPr>
        <w:t>(</w:t>
      </w:r>
      <w:r w:rsidRPr="005D1884">
        <w:rPr>
          <w:rFonts w:ascii="Segoe UI" w:hAnsi="Segoe UI" w:cs="Segoe UI"/>
          <w:sz w:val="20"/>
          <w:szCs w:val="20"/>
        </w:rPr>
        <w:t>2014</w:t>
      </w:r>
      <w:r>
        <w:rPr>
          <w:rFonts w:ascii="Segoe UI" w:hAnsi="Segoe UI" w:cs="Segoe UI"/>
          <w:sz w:val="20"/>
          <w:szCs w:val="20"/>
        </w:rPr>
        <w:t>)</w:t>
      </w:r>
      <w:r w:rsidRPr="005D1884">
        <w:rPr>
          <w:rFonts w:ascii="Segoe UI" w:hAnsi="Segoe UI" w:cs="Segoe UI"/>
          <w:sz w:val="20"/>
          <w:szCs w:val="20"/>
        </w:rPr>
        <w:t xml:space="preserve"> Tracking ancient ship routes through the analysis of caulking material from shipwrecks? The case study of two 14th century cogs from Doel (northern Belgium). </w:t>
      </w:r>
      <w:r w:rsidRPr="005D1884">
        <w:rPr>
          <w:rFonts w:ascii="Segoe UI" w:hAnsi="Segoe UI" w:cs="Segoe UI"/>
          <w:i/>
          <w:iCs/>
          <w:sz w:val="20"/>
          <w:szCs w:val="20"/>
        </w:rPr>
        <w:t xml:space="preserve">J </w:t>
      </w:r>
      <w:proofErr w:type="spellStart"/>
      <w:r w:rsidRPr="005D1884">
        <w:rPr>
          <w:rFonts w:ascii="Segoe UI" w:hAnsi="Segoe UI" w:cs="Segoe UI"/>
          <w:i/>
          <w:iCs/>
          <w:sz w:val="20"/>
          <w:szCs w:val="20"/>
        </w:rPr>
        <w:t>Archaeol</w:t>
      </w:r>
      <w:proofErr w:type="spellEnd"/>
      <w:r w:rsidRPr="005D1884">
        <w:rPr>
          <w:rFonts w:ascii="Segoe UI" w:hAnsi="Segoe UI" w:cs="Segoe UI"/>
          <w:i/>
          <w:iCs/>
          <w:sz w:val="20"/>
          <w:szCs w:val="20"/>
        </w:rPr>
        <w:t xml:space="preserve"> Sci</w:t>
      </w:r>
      <w:r w:rsidRPr="005D1884">
        <w:rPr>
          <w:rFonts w:ascii="Segoe UI" w:hAnsi="Segoe UI" w:cs="Segoe UI"/>
          <w:sz w:val="20"/>
          <w:szCs w:val="20"/>
        </w:rPr>
        <w:t xml:space="preserve"> </w:t>
      </w:r>
      <w:r w:rsidRPr="005D1884">
        <w:rPr>
          <w:rFonts w:ascii="Segoe UI" w:hAnsi="Segoe UI" w:cs="Segoe UI"/>
          <w:b/>
          <w:bCs/>
          <w:sz w:val="20"/>
          <w:szCs w:val="20"/>
        </w:rPr>
        <w:t>43</w:t>
      </w:r>
      <w:r w:rsidRPr="005D1884">
        <w:rPr>
          <w:rFonts w:ascii="Segoe UI" w:hAnsi="Segoe UI" w:cs="Segoe UI"/>
          <w:sz w:val="20"/>
          <w:szCs w:val="20"/>
        </w:rPr>
        <w:t>, 299-314</w:t>
      </w:r>
    </w:p>
    <w:p w14:paraId="38D0AAEA" w14:textId="12295EEA" w:rsidR="0066485D" w:rsidRPr="0066485D" w:rsidRDefault="0066485D" w:rsidP="0066485D">
      <w:pPr>
        <w:pStyle w:val="ListParagraph"/>
        <w:numPr>
          <w:ilvl w:val="0"/>
          <w:numId w:val="2"/>
        </w:numPr>
        <w:spacing w:before="100" w:beforeAutospacing="1" w:after="100" w:afterAutospacing="1" w:line="240" w:lineRule="auto"/>
        <w:outlineLvl w:val="3"/>
        <w:rPr>
          <w:rFonts w:ascii="Segoe UI" w:hAnsi="Segoe UI" w:cs="Segoe UI"/>
          <w:sz w:val="20"/>
          <w:szCs w:val="20"/>
        </w:rPr>
      </w:pPr>
      <w:r w:rsidRPr="0066485D">
        <w:rPr>
          <w:rStyle w:val="authors"/>
          <w:rFonts w:ascii="Segoe UI" w:hAnsi="Segoe UI" w:cs="Segoe UI"/>
          <w:sz w:val="20"/>
          <w:szCs w:val="20"/>
          <w:shd w:val="clear" w:color="auto" w:fill="FFFFFF"/>
        </w:rPr>
        <w:t>Domínguez‐</w:t>
      </w:r>
      <w:proofErr w:type="spellStart"/>
      <w:r w:rsidRPr="0066485D">
        <w:rPr>
          <w:rStyle w:val="authors"/>
          <w:rFonts w:ascii="Segoe UI" w:hAnsi="Segoe UI" w:cs="Segoe UI"/>
          <w:sz w:val="20"/>
          <w:szCs w:val="20"/>
          <w:shd w:val="clear" w:color="auto" w:fill="FFFFFF"/>
        </w:rPr>
        <w:t>delmás</w:t>
      </w:r>
      <w:proofErr w:type="spellEnd"/>
      <w:r w:rsidRPr="0066485D">
        <w:rPr>
          <w:rStyle w:val="authors"/>
          <w:rFonts w:ascii="Segoe UI" w:hAnsi="Segoe UI" w:cs="Segoe UI"/>
          <w:sz w:val="20"/>
          <w:szCs w:val="20"/>
          <w:shd w:val="clear" w:color="auto" w:fill="FFFFFF"/>
        </w:rPr>
        <w:t xml:space="preserve">, M, Rich, S, Daly, A, </w:t>
      </w:r>
      <w:proofErr w:type="spellStart"/>
      <w:r w:rsidRPr="0066485D">
        <w:rPr>
          <w:rStyle w:val="authors"/>
          <w:rFonts w:ascii="Segoe UI" w:hAnsi="Segoe UI" w:cs="Segoe UI"/>
          <w:sz w:val="20"/>
          <w:szCs w:val="20"/>
          <w:shd w:val="clear" w:color="auto" w:fill="FFFFFF"/>
        </w:rPr>
        <w:t>Nayling</w:t>
      </w:r>
      <w:proofErr w:type="spellEnd"/>
      <w:r w:rsidRPr="0066485D">
        <w:rPr>
          <w:rStyle w:val="authors"/>
          <w:rFonts w:ascii="Segoe UI" w:hAnsi="Segoe UI" w:cs="Segoe UI"/>
          <w:sz w:val="20"/>
          <w:szCs w:val="20"/>
          <w:shd w:val="clear" w:color="auto" w:fill="FFFFFF"/>
        </w:rPr>
        <w:t xml:space="preserve">, N &amp; </w:t>
      </w:r>
      <w:proofErr w:type="spellStart"/>
      <w:r w:rsidRPr="0066485D">
        <w:rPr>
          <w:rStyle w:val="authors"/>
          <w:rFonts w:ascii="Segoe UI" w:hAnsi="Segoe UI" w:cs="Segoe UI"/>
          <w:sz w:val="20"/>
          <w:szCs w:val="20"/>
          <w:shd w:val="clear" w:color="auto" w:fill="FFFFFF"/>
        </w:rPr>
        <w:t>Haneca</w:t>
      </w:r>
      <w:proofErr w:type="spellEnd"/>
      <w:r w:rsidRPr="0066485D">
        <w:rPr>
          <w:rStyle w:val="authors"/>
          <w:rFonts w:ascii="Segoe UI" w:hAnsi="Segoe UI" w:cs="Segoe UI"/>
          <w:sz w:val="20"/>
          <w:szCs w:val="20"/>
          <w:shd w:val="clear" w:color="auto" w:fill="FFFFFF"/>
        </w:rPr>
        <w:t>, K</w:t>
      </w:r>
      <w:r w:rsidRPr="0066485D">
        <w:rPr>
          <w:rFonts w:ascii="Segoe UI" w:hAnsi="Segoe UI" w:cs="Segoe UI"/>
          <w:sz w:val="20"/>
          <w:szCs w:val="20"/>
          <w:shd w:val="clear" w:color="auto" w:fill="FFFFFF"/>
        </w:rPr>
        <w:t> </w:t>
      </w:r>
      <w:r w:rsidRPr="0066485D">
        <w:rPr>
          <w:rStyle w:val="date"/>
          <w:rFonts w:ascii="Segoe UI" w:hAnsi="Segoe UI" w:cs="Segoe UI"/>
          <w:sz w:val="20"/>
          <w:szCs w:val="20"/>
          <w:shd w:val="clear" w:color="auto" w:fill="FFFFFF"/>
        </w:rPr>
        <w:t>(2019)</w:t>
      </w:r>
      <w:r w:rsidRPr="0066485D">
        <w:rPr>
          <w:rFonts w:ascii="Segoe UI" w:hAnsi="Segoe UI" w:cs="Segoe UI"/>
          <w:sz w:val="20"/>
          <w:szCs w:val="20"/>
          <w:shd w:val="clear" w:color="auto" w:fill="FFFFFF"/>
        </w:rPr>
        <w:t> </w:t>
      </w:r>
      <w:r w:rsidRPr="0066485D">
        <w:rPr>
          <w:rStyle w:val="arttitle"/>
          <w:rFonts w:ascii="Segoe UI" w:hAnsi="Segoe UI" w:cs="Segoe UI"/>
          <w:sz w:val="20"/>
          <w:szCs w:val="20"/>
          <w:shd w:val="clear" w:color="auto" w:fill="FFFFFF"/>
        </w:rPr>
        <w:t>Selecting and Sampling Shipwreck Timbers for Dendrochronological Research: practical guidance,</w:t>
      </w:r>
      <w:r w:rsidRPr="0066485D">
        <w:rPr>
          <w:rFonts w:ascii="Segoe UI" w:hAnsi="Segoe UI" w:cs="Segoe UI"/>
          <w:sz w:val="20"/>
          <w:szCs w:val="20"/>
          <w:shd w:val="clear" w:color="auto" w:fill="FFFFFF"/>
        </w:rPr>
        <w:t> </w:t>
      </w:r>
      <w:r w:rsidRPr="0066485D">
        <w:rPr>
          <w:rStyle w:val="serialtitle"/>
          <w:rFonts w:ascii="Segoe UI" w:hAnsi="Segoe UI" w:cs="Segoe UI"/>
          <w:i/>
          <w:iCs/>
          <w:sz w:val="20"/>
          <w:szCs w:val="20"/>
          <w:shd w:val="clear" w:color="auto" w:fill="FFFFFF"/>
        </w:rPr>
        <w:t>International Journal of Nautical Archaeology</w:t>
      </w:r>
      <w:r w:rsidRPr="0066485D">
        <w:rPr>
          <w:rStyle w:val="serialtitle"/>
          <w:rFonts w:ascii="Segoe UI" w:hAnsi="Segoe UI" w:cs="Segoe UI"/>
          <w:sz w:val="20"/>
          <w:szCs w:val="20"/>
          <w:shd w:val="clear" w:color="auto" w:fill="FFFFFF"/>
        </w:rPr>
        <w:t>,</w:t>
      </w:r>
      <w:r w:rsidRPr="0066485D">
        <w:rPr>
          <w:rFonts w:ascii="Segoe UI" w:hAnsi="Segoe UI" w:cs="Segoe UI"/>
          <w:sz w:val="20"/>
          <w:szCs w:val="20"/>
          <w:shd w:val="clear" w:color="auto" w:fill="FFFFFF"/>
        </w:rPr>
        <w:t> </w:t>
      </w:r>
      <w:r w:rsidRPr="0066485D">
        <w:rPr>
          <w:rStyle w:val="volumeissue"/>
          <w:rFonts w:ascii="Segoe UI" w:hAnsi="Segoe UI" w:cs="Segoe UI"/>
          <w:b/>
          <w:bCs/>
          <w:sz w:val="20"/>
          <w:szCs w:val="20"/>
          <w:shd w:val="clear" w:color="auto" w:fill="FFFFFF"/>
        </w:rPr>
        <w:t>48</w:t>
      </w:r>
      <w:r w:rsidRPr="0066485D">
        <w:rPr>
          <w:rStyle w:val="volumeissue"/>
          <w:rFonts w:ascii="Segoe UI" w:hAnsi="Segoe UI" w:cs="Segoe UI"/>
          <w:sz w:val="20"/>
          <w:szCs w:val="20"/>
          <w:shd w:val="clear" w:color="auto" w:fill="FFFFFF"/>
        </w:rPr>
        <w:t>:1,</w:t>
      </w:r>
      <w:r w:rsidRPr="0066485D">
        <w:rPr>
          <w:rFonts w:ascii="Segoe UI" w:hAnsi="Segoe UI" w:cs="Segoe UI"/>
          <w:sz w:val="20"/>
          <w:szCs w:val="20"/>
          <w:shd w:val="clear" w:color="auto" w:fill="FFFFFF"/>
        </w:rPr>
        <w:t> </w:t>
      </w:r>
      <w:r w:rsidRPr="0066485D">
        <w:rPr>
          <w:rStyle w:val="pagerange"/>
          <w:rFonts w:ascii="Segoe UI" w:hAnsi="Segoe UI" w:cs="Segoe UI"/>
          <w:sz w:val="20"/>
          <w:szCs w:val="20"/>
          <w:shd w:val="clear" w:color="auto" w:fill="FFFFFF"/>
        </w:rPr>
        <w:t>231-244,</w:t>
      </w:r>
      <w:r w:rsidRPr="0066485D">
        <w:rPr>
          <w:rFonts w:ascii="Segoe UI" w:hAnsi="Segoe UI" w:cs="Segoe UI"/>
          <w:sz w:val="20"/>
          <w:szCs w:val="20"/>
          <w:shd w:val="clear" w:color="auto" w:fill="FFFFFF"/>
        </w:rPr>
        <w:t> </w:t>
      </w:r>
      <w:r w:rsidRPr="0066485D">
        <w:rPr>
          <w:rStyle w:val="doilink"/>
          <w:rFonts w:ascii="Segoe UI" w:hAnsi="Segoe UI" w:cs="Segoe UI"/>
          <w:sz w:val="20"/>
          <w:szCs w:val="20"/>
          <w:shd w:val="clear" w:color="auto" w:fill="FFFFFF"/>
        </w:rPr>
        <w:t>DOI: </w:t>
      </w:r>
      <w:hyperlink r:id="rId5" w:history="1">
        <w:r w:rsidRPr="0066485D">
          <w:rPr>
            <w:rStyle w:val="Hyperlink"/>
            <w:rFonts w:ascii="Segoe UI" w:hAnsi="Segoe UI" w:cs="Segoe UI"/>
            <w:color w:val="auto"/>
            <w:sz w:val="20"/>
            <w:szCs w:val="20"/>
            <w:shd w:val="clear" w:color="auto" w:fill="FFFFFF"/>
          </w:rPr>
          <w:t>10.1111/1095-9270.12329</w:t>
        </w:r>
      </w:hyperlink>
    </w:p>
    <w:p w14:paraId="174FD941" w14:textId="0A13BC47" w:rsidR="00DA4780" w:rsidRPr="00B20CB9" w:rsidRDefault="00DA4780" w:rsidP="007729FF">
      <w:pPr>
        <w:pStyle w:val="ListParagraph"/>
        <w:numPr>
          <w:ilvl w:val="0"/>
          <w:numId w:val="2"/>
        </w:numPr>
        <w:spacing w:before="100" w:beforeAutospacing="1" w:after="100" w:afterAutospacing="1" w:line="240" w:lineRule="auto"/>
        <w:outlineLvl w:val="3"/>
        <w:rPr>
          <w:rFonts w:ascii="Segoe UI" w:hAnsi="Segoe UI" w:cs="Segoe UI"/>
          <w:b/>
          <w:bCs/>
          <w:sz w:val="20"/>
          <w:szCs w:val="20"/>
        </w:rPr>
      </w:pPr>
      <w:r w:rsidRPr="00DA4780">
        <w:rPr>
          <w:rFonts w:ascii="Segoe UI" w:hAnsi="Segoe UI" w:cs="Segoe UI"/>
          <w:sz w:val="20"/>
          <w:szCs w:val="20"/>
        </w:rPr>
        <w:t xml:space="preserve">English Heritage, </w:t>
      </w:r>
      <w:r>
        <w:rPr>
          <w:rFonts w:ascii="Segoe UI" w:hAnsi="Segoe UI" w:cs="Segoe UI"/>
          <w:sz w:val="20"/>
          <w:szCs w:val="20"/>
        </w:rPr>
        <w:t>(</w:t>
      </w:r>
      <w:r w:rsidRPr="00DA4780">
        <w:rPr>
          <w:rFonts w:ascii="Segoe UI" w:hAnsi="Segoe UI" w:cs="Segoe UI"/>
          <w:sz w:val="20"/>
          <w:szCs w:val="20"/>
        </w:rPr>
        <w:t>2010</w:t>
      </w:r>
      <w:r>
        <w:rPr>
          <w:rFonts w:ascii="Segoe UI" w:hAnsi="Segoe UI" w:cs="Segoe UI"/>
          <w:sz w:val="20"/>
          <w:szCs w:val="20"/>
        </w:rPr>
        <w:t>)</w:t>
      </w:r>
      <w:r w:rsidRPr="00DA4780">
        <w:rPr>
          <w:rFonts w:ascii="Segoe UI" w:hAnsi="Segoe UI" w:cs="Segoe UI"/>
          <w:sz w:val="20"/>
          <w:szCs w:val="20"/>
        </w:rPr>
        <w:t>, The Greater Thames Estuary Historic Environment Research Framework, Update and Revision of the Archaeological Research Framework for the Greater Thames Estuary (1999)</w:t>
      </w:r>
      <w:r w:rsidR="000F1EC5">
        <w:rPr>
          <w:rFonts w:ascii="Segoe UI" w:hAnsi="Segoe UI" w:cs="Segoe UI"/>
          <w:sz w:val="20"/>
          <w:szCs w:val="20"/>
        </w:rPr>
        <w:t xml:space="preserve">. </w:t>
      </w:r>
    </w:p>
    <w:p w14:paraId="7A0C9C04" w14:textId="77777777" w:rsidR="004F7A2B" w:rsidRPr="004F7A2B" w:rsidRDefault="00B20CB9" w:rsidP="007729FF">
      <w:pPr>
        <w:pStyle w:val="ListParagraph"/>
        <w:numPr>
          <w:ilvl w:val="0"/>
          <w:numId w:val="2"/>
        </w:numPr>
        <w:spacing w:before="100" w:beforeAutospacing="1" w:after="100" w:afterAutospacing="1" w:line="240" w:lineRule="auto"/>
        <w:outlineLvl w:val="3"/>
        <w:rPr>
          <w:rFonts w:ascii="Segoe UI" w:hAnsi="Segoe UI" w:cs="Segoe UI"/>
          <w:b/>
          <w:bCs/>
          <w:i/>
          <w:iCs/>
          <w:sz w:val="20"/>
          <w:szCs w:val="20"/>
        </w:rPr>
      </w:pPr>
      <w:proofErr w:type="spellStart"/>
      <w:r>
        <w:rPr>
          <w:rFonts w:ascii="Segoe UI" w:hAnsi="Segoe UI" w:cs="Segoe UI"/>
          <w:sz w:val="20"/>
          <w:szCs w:val="20"/>
        </w:rPr>
        <w:t>Goodsall</w:t>
      </w:r>
      <w:proofErr w:type="spellEnd"/>
      <w:r>
        <w:rPr>
          <w:rFonts w:ascii="Segoe UI" w:hAnsi="Segoe UI" w:cs="Segoe UI"/>
          <w:sz w:val="20"/>
          <w:szCs w:val="20"/>
        </w:rPr>
        <w:t>,</w:t>
      </w:r>
      <w:r w:rsidR="000F1EC5">
        <w:rPr>
          <w:rFonts w:ascii="Segoe UI" w:hAnsi="Segoe UI" w:cs="Segoe UI"/>
          <w:sz w:val="20"/>
          <w:szCs w:val="20"/>
        </w:rPr>
        <w:t xml:space="preserve"> H (1957) The Whitstable Copperas Industry, </w:t>
      </w:r>
      <w:proofErr w:type="spellStart"/>
      <w:r w:rsidR="000F1EC5" w:rsidRPr="000F1EC5">
        <w:rPr>
          <w:rFonts w:ascii="Segoe UI" w:hAnsi="Segoe UI" w:cs="Segoe UI"/>
          <w:i/>
          <w:iCs/>
          <w:sz w:val="20"/>
          <w:szCs w:val="20"/>
        </w:rPr>
        <w:t>Archaeologia</w:t>
      </w:r>
      <w:proofErr w:type="spellEnd"/>
      <w:r w:rsidR="000F1EC5" w:rsidRPr="000F1EC5">
        <w:rPr>
          <w:rFonts w:ascii="Segoe UI" w:hAnsi="Segoe UI" w:cs="Segoe UI"/>
          <w:i/>
          <w:iCs/>
          <w:sz w:val="20"/>
          <w:szCs w:val="20"/>
        </w:rPr>
        <w:t xml:space="preserve"> </w:t>
      </w:r>
      <w:proofErr w:type="spellStart"/>
      <w:r w:rsidR="000F1EC5" w:rsidRPr="000F1EC5">
        <w:rPr>
          <w:rFonts w:ascii="Segoe UI" w:hAnsi="Segoe UI" w:cs="Segoe UI"/>
          <w:i/>
          <w:iCs/>
          <w:sz w:val="20"/>
          <w:szCs w:val="20"/>
        </w:rPr>
        <w:t>Cantiana</w:t>
      </w:r>
      <w:proofErr w:type="spellEnd"/>
      <w:r w:rsidR="000F1EC5" w:rsidRPr="000F1EC5">
        <w:rPr>
          <w:rFonts w:ascii="Segoe UI" w:hAnsi="Segoe UI" w:cs="Segoe UI"/>
          <w:i/>
          <w:iCs/>
          <w:sz w:val="20"/>
          <w:szCs w:val="20"/>
        </w:rPr>
        <w:t>,</w:t>
      </w:r>
      <w:r w:rsidR="000F1EC5">
        <w:rPr>
          <w:rFonts w:ascii="Segoe UI" w:hAnsi="Segoe UI" w:cs="Segoe UI"/>
          <w:sz w:val="20"/>
          <w:szCs w:val="20"/>
        </w:rPr>
        <w:t xml:space="preserve"> Vol.</w:t>
      </w:r>
      <w:r w:rsidR="000F1EC5" w:rsidRPr="000F1EC5">
        <w:rPr>
          <w:rFonts w:ascii="Segoe UI" w:hAnsi="Segoe UI" w:cs="Segoe UI"/>
          <w:b/>
          <w:bCs/>
          <w:sz w:val="20"/>
          <w:szCs w:val="20"/>
        </w:rPr>
        <w:t>70</w:t>
      </w:r>
      <w:r w:rsidR="000F1EC5">
        <w:rPr>
          <w:rFonts w:ascii="Segoe UI" w:hAnsi="Segoe UI" w:cs="Segoe UI"/>
          <w:sz w:val="20"/>
          <w:szCs w:val="20"/>
        </w:rPr>
        <w:t>, 142-159.</w:t>
      </w:r>
    </w:p>
    <w:p w14:paraId="112EA656" w14:textId="6BEF4E82" w:rsidR="00B20CB9" w:rsidRPr="004F7A2B" w:rsidRDefault="004F7A2B" w:rsidP="007729FF">
      <w:pPr>
        <w:pStyle w:val="ListParagraph"/>
        <w:numPr>
          <w:ilvl w:val="0"/>
          <w:numId w:val="2"/>
        </w:numPr>
        <w:spacing w:before="100" w:beforeAutospacing="1" w:after="100" w:afterAutospacing="1" w:line="240" w:lineRule="auto"/>
        <w:outlineLvl w:val="3"/>
        <w:rPr>
          <w:rFonts w:ascii="Segoe UI" w:hAnsi="Segoe UI" w:cs="Segoe UI"/>
          <w:b/>
          <w:bCs/>
          <w:i/>
          <w:iCs/>
          <w:sz w:val="20"/>
          <w:szCs w:val="20"/>
        </w:rPr>
      </w:pPr>
      <w:r>
        <w:rPr>
          <w:rFonts w:ascii="Segoe UI" w:hAnsi="Segoe UI" w:cs="Segoe UI"/>
          <w:sz w:val="20"/>
          <w:szCs w:val="20"/>
        </w:rPr>
        <w:t xml:space="preserve">Howard, M (1987) </w:t>
      </w:r>
      <w:r>
        <w:rPr>
          <w:rFonts w:ascii="Segoe UI" w:hAnsi="Segoe UI" w:cs="Segoe UI"/>
          <w:i/>
          <w:iCs/>
          <w:sz w:val="20"/>
          <w:szCs w:val="20"/>
        </w:rPr>
        <w:t>Traditional Folk Remedies:</w:t>
      </w:r>
      <w:r>
        <w:rPr>
          <w:rFonts w:ascii="Segoe UI" w:hAnsi="Segoe UI" w:cs="Segoe UI"/>
          <w:sz w:val="20"/>
          <w:szCs w:val="20"/>
        </w:rPr>
        <w:t xml:space="preserve"> First Edition</w:t>
      </w:r>
      <w:r>
        <w:rPr>
          <w:rFonts w:ascii="Segoe UI" w:hAnsi="Segoe UI" w:cs="Segoe UI"/>
          <w:i/>
          <w:iCs/>
          <w:sz w:val="20"/>
          <w:szCs w:val="20"/>
        </w:rPr>
        <w:t xml:space="preserve">, </w:t>
      </w:r>
      <w:proofErr w:type="spellStart"/>
      <w:r>
        <w:rPr>
          <w:rFonts w:ascii="Segoe UI" w:hAnsi="Segoe UI" w:cs="Segoe UI"/>
          <w:sz w:val="20"/>
          <w:szCs w:val="20"/>
        </w:rPr>
        <w:t>Edbury</w:t>
      </w:r>
      <w:proofErr w:type="spellEnd"/>
      <w:r>
        <w:rPr>
          <w:rFonts w:ascii="Segoe UI" w:hAnsi="Segoe UI" w:cs="Segoe UI"/>
          <w:sz w:val="20"/>
          <w:szCs w:val="20"/>
        </w:rPr>
        <w:t xml:space="preserve"> Press. </w:t>
      </w:r>
      <w:r w:rsidR="00B20CB9" w:rsidRPr="000F1EC5">
        <w:rPr>
          <w:rFonts w:ascii="Segoe UI" w:hAnsi="Segoe UI" w:cs="Segoe UI"/>
          <w:i/>
          <w:iCs/>
          <w:sz w:val="20"/>
          <w:szCs w:val="20"/>
        </w:rPr>
        <w:t xml:space="preserve"> </w:t>
      </w:r>
    </w:p>
    <w:p w14:paraId="56A3B4F4" w14:textId="7ED5A07E" w:rsidR="004F7A2B" w:rsidRPr="004F7A2B" w:rsidRDefault="004F7A2B" w:rsidP="004F7A2B">
      <w:pPr>
        <w:pStyle w:val="ListParagraph"/>
        <w:numPr>
          <w:ilvl w:val="0"/>
          <w:numId w:val="2"/>
        </w:numPr>
        <w:spacing w:before="100" w:beforeAutospacing="1" w:after="100" w:afterAutospacing="1" w:line="240" w:lineRule="auto"/>
        <w:outlineLvl w:val="3"/>
        <w:rPr>
          <w:rFonts w:ascii="Segoe UI" w:hAnsi="Segoe UI" w:cs="Segoe UI"/>
          <w:sz w:val="20"/>
          <w:szCs w:val="20"/>
        </w:rPr>
      </w:pPr>
      <w:r w:rsidRPr="004F7A2B">
        <w:rPr>
          <w:rFonts w:ascii="Segoe UI" w:hAnsi="Segoe UI" w:cs="Segoe UI"/>
          <w:sz w:val="20"/>
          <w:szCs w:val="20"/>
        </w:rPr>
        <w:t xml:space="preserve">Kennedy, M 2018. </w:t>
      </w:r>
      <w:r w:rsidRPr="004F7A2B">
        <w:rPr>
          <w:rFonts w:ascii="Segoe UI" w:hAnsi="Segoe UI" w:cs="Segoe UI"/>
          <w:sz w:val="20"/>
          <w:szCs w:val="20"/>
          <w:lang w:val="en"/>
        </w:rPr>
        <w:t xml:space="preserve">Tudor shipwreck discovered by local group on Kent beach. The Guardian [online] 16 July [Accessed 25 October 2021]. Available: https://www.theguardian.com/science/2018/jul/16/tudor-shipwreck-discovered-by-local-group-on-kent-beach </w:t>
      </w:r>
    </w:p>
    <w:p w14:paraId="1426E712" w14:textId="77777777" w:rsidR="004F7A2B" w:rsidRDefault="001448C2" w:rsidP="004F7A2B">
      <w:pPr>
        <w:pStyle w:val="ListParagraph"/>
        <w:numPr>
          <w:ilvl w:val="0"/>
          <w:numId w:val="2"/>
        </w:numPr>
        <w:spacing w:before="100" w:beforeAutospacing="1" w:after="100" w:afterAutospacing="1" w:line="240" w:lineRule="auto"/>
        <w:outlineLvl w:val="3"/>
        <w:rPr>
          <w:rFonts w:ascii="Segoe UI" w:hAnsi="Segoe UI" w:cs="Segoe UI"/>
          <w:sz w:val="20"/>
          <w:szCs w:val="20"/>
        </w:rPr>
      </w:pPr>
      <w:r w:rsidRPr="00C92EEF">
        <w:rPr>
          <w:rFonts w:ascii="Segoe UI" w:hAnsi="Segoe UI" w:cs="Segoe UI"/>
          <w:sz w:val="20"/>
          <w:szCs w:val="20"/>
        </w:rPr>
        <w:t xml:space="preserve">Kent County Council, </w:t>
      </w:r>
      <w:r w:rsidR="007729FF">
        <w:rPr>
          <w:rFonts w:ascii="Segoe UI" w:hAnsi="Segoe UI" w:cs="Segoe UI"/>
          <w:sz w:val="20"/>
          <w:szCs w:val="20"/>
        </w:rPr>
        <w:t>(</w:t>
      </w:r>
      <w:r w:rsidRPr="00C92EEF">
        <w:rPr>
          <w:rFonts w:ascii="Segoe UI" w:hAnsi="Segoe UI" w:cs="Segoe UI"/>
          <w:sz w:val="20"/>
          <w:szCs w:val="20"/>
        </w:rPr>
        <w:t>2021</w:t>
      </w:r>
      <w:r w:rsidR="007729FF">
        <w:rPr>
          <w:rFonts w:ascii="Segoe UI" w:hAnsi="Segoe UI" w:cs="Segoe UI"/>
          <w:sz w:val="20"/>
          <w:szCs w:val="20"/>
        </w:rPr>
        <w:t>)</w:t>
      </w:r>
      <w:r w:rsidRPr="00C92EEF">
        <w:rPr>
          <w:rFonts w:ascii="Segoe UI" w:hAnsi="Segoe UI" w:cs="Segoe UI"/>
          <w:sz w:val="20"/>
          <w:szCs w:val="20"/>
        </w:rPr>
        <w:t xml:space="preserve">, </w:t>
      </w:r>
      <w:r w:rsidRPr="00C92EEF">
        <w:rPr>
          <w:rFonts w:ascii="Segoe UI" w:hAnsi="Segoe UI" w:cs="Segoe UI"/>
          <w:sz w:val="20"/>
          <w:szCs w:val="20"/>
          <w:shd w:val="clear" w:color="auto" w:fill="FFFFFF"/>
        </w:rPr>
        <w:t>Intertidal </w:t>
      </w:r>
      <w:hyperlink r:id="rId6" w:tooltip="Click to find out more about this" w:history="1">
        <w:r w:rsidRPr="00C92EEF">
          <w:rPr>
            <w:rStyle w:val="Hyperlink"/>
            <w:rFonts w:ascii="Segoe UI" w:hAnsi="Segoe UI" w:cs="Segoe UI"/>
            <w:color w:val="auto"/>
            <w:sz w:val="20"/>
            <w:szCs w:val="20"/>
            <w:u w:val="none"/>
            <w:shd w:val="clear" w:color="auto" w:fill="FFFFFF"/>
          </w:rPr>
          <w:t>Wreck</w:t>
        </w:r>
      </w:hyperlink>
      <w:r w:rsidRPr="00C92EEF">
        <w:rPr>
          <w:rFonts w:ascii="Segoe UI" w:hAnsi="Segoe UI" w:cs="Segoe UI"/>
          <w:sz w:val="20"/>
          <w:szCs w:val="20"/>
          <w:shd w:val="clear" w:color="auto" w:fill="FFFFFF"/>
        </w:rPr>
        <w:t> at Tankerton Beach</w:t>
      </w:r>
      <w:r w:rsidR="00CA3EA0" w:rsidRPr="00C92EEF">
        <w:rPr>
          <w:rFonts w:ascii="Segoe UI" w:hAnsi="Segoe UI" w:cs="Segoe UI"/>
          <w:sz w:val="20"/>
          <w:szCs w:val="20"/>
          <w:shd w:val="clear" w:color="auto" w:fill="FFFFFF"/>
        </w:rPr>
        <w:t>.</w:t>
      </w:r>
      <w:r w:rsidRPr="00C92EEF">
        <w:rPr>
          <w:rFonts w:ascii="Segoe UI" w:hAnsi="Segoe UI" w:cs="Segoe UI"/>
          <w:sz w:val="20"/>
          <w:szCs w:val="20"/>
          <w:shd w:val="clear" w:color="auto" w:fill="FFFFFF"/>
        </w:rPr>
        <w:t xml:space="preserve"> HER Number</w:t>
      </w:r>
      <w:r w:rsidR="00CA3EA0" w:rsidRPr="00C92EEF">
        <w:rPr>
          <w:rFonts w:ascii="Segoe UI" w:hAnsi="Segoe UI" w:cs="Segoe UI"/>
          <w:sz w:val="20"/>
          <w:szCs w:val="20"/>
          <w:shd w:val="clear" w:color="auto" w:fill="FFFFFF"/>
        </w:rPr>
        <w:t>:</w:t>
      </w:r>
      <w:r w:rsidRPr="00C92EEF">
        <w:rPr>
          <w:rFonts w:ascii="Segoe UI" w:hAnsi="Segoe UI" w:cs="Segoe UI"/>
          <w:sz w:val="20"/>
          <w:szCs w:val="20"/>
          <w:shd w:val="clear" w:color="auto" w:fill="FFFFFF"/>
        </w:rPr>
        <w:t xml:space="preserve"> TR 16 NW 1273, </w:t>
      </w:r>
      <w:r w:rsidRPr="00C92EEF">
        <w:rPr>
          <w:rFonts w:ascii="Segoe UI" w:hAnsi="Segoe UI" w:cs="Segoe UI"/>
          <w:i/>
          <w:iCs/>
          <w:sz w:val="20"/>
          <w:szCs w:val="20"/>
          <w:shd w:val="clear" w:color="auto" w:fill="FFFFFF"/>
        </w:rPr>
        <w:t>KCC</w:t>
      </w:r>
      <w:r w:rsidRPr="00C92EEF">
        <w:rPr>
          <w:rFonts w:ascii="Segoe UI" w:hAnsi="Segoe UI" w:cs="Segoe UI"/>
          <w:sz w:val="20"/>
          <w:szCs w:val="20"/>
        </w:rPr>
        <w:t xml:space="preserve"> [online]. </w:t>
      </w:r>
      <w:r w:rsidR="00CA3EA0" w:rsidRPr="00C92EEF">
        <w:rPr>
          <w:rFonts w:ascii="Segoe UI" w:hAnsi="Segoe UI" w:cs="Segoe UI"/>
          <w:sz w:val="20"/>
          <w:szCs w:val="20"/>
        </w:rPr>
        <w:t>[Accessed 25</w:t>
      </w:r>
      <w:r w:rsidR="00CA3EA0" w:rsidRPr="00C92EEF">
        <w:rPr>
          <w:rFonts w:ascii="Segoe UI" w:hAnsi="Segoe UI" w:cs="Segoe UI"/>
          <w:sz w:val="20"/>
          <w:szCs w:val="20"/>
          <w:vertAlign w:val="superscript"/>
        </w:rPr>
        <w:t>th</w:t>
      </w:r>
      <w:r w:rsidR="00CA3EA0" w:rsidRPr="00C92EEF">
        <w:rPr>
          <w:rFonts w:ascii="Segoe UI" w:hAnsi="Segoe UI" w:cs="Segoe UI"/>
          <w:sz w:val="20"/>
          <w:szCs w:val="20"/>
        </w:rPr>
        <w:t xml:space="preserve"> of October 2021]. Available from: </w:t>
      </w:r>
      <w:hyperlink r:id="rId7" w:history="1">
        <w:r w:rsidR="00CA3EA0" w:rsidRPr="00C92EEF">
          <w:rPr>
            <w:rStyle w:val="Hyperlink"/>
            <w:rFonts w:ascii="Segoe UI" w:hAnsi="Segoe UI" w:cs="Segoe UI"/>
            <w:color w:val="auto"/>
            <w:sz w:val="20"/>
            <w:szCs w:val="20"/>
          </w:rPr>
          <w:t>https://webapps.kent.gov.uk/KCC.ExploringKentsPast.Web.Sites.Public/SingleResult.aspx?uid=MKE110739</w:t>
        </w:r>
      </w:hyperlink>
    </w:p>
    <w:p w14:paraId="2918AFF7" w14:textId="1957DC8A" w:rsidR="00662E79" w:rsidRPr="00C471E7" w:rsidRDefault="00C471E7" w:rsidP="00CA3EA0">
      <w:pPr>
        <w:pStyle w:val="ListParagraph"/>
        <w:numPr>
          <w:ilvl w:val="0"/>
          <w:numId w:val="2"/>
        </w:numPr>
        <w:spacing w:before="100" w:beforeAutospacing="1" w:after="100" w:afterAutospacing="1" w:line="240" w:lineRule="auto"/>
        <w:outlineLvl w:val="3"/>
        <w:rPr>
          <w:rFonts w:ascii="Segoe UI" w:hAnsi="Segoe UI" w:cs="Segoe UI"/>
          <w:sz w:val="20"/>
          <w:szCs w:val="20"/>
        </w:rPr>
      </w:pPr>
      <w:proofErr w:type="spellStart"/>
      <w:r w:rsidRPr="00C471E7">
        <w:rPr>
          <w:rFonts w:ascii="Segoe UI" w:hAnsi="Segoe UI" w:cs="Segoe UI"/>
          <w:sz w:val="20"/>
          <w:szCs w:val="20"/>
          <w:shd w:val="clear" w:color="auto" w:fill="FFFFFF"/>
        </w:rPr>
        <w:t>Nayling</w:t>
      </w:r>
      <w:proofErr w:type="spellEnd"/>
      <w:r w:rsidRPr="00C471E7">
        <w:rPr>
          <w:rFonts w:ascii="Segoe UI" w:hAnsi="Segoe UI" w:cs="Segoe UI"/>
          <w:sz w:val="20"/>
          <w:szCs w:val="20"/>
          <w:shd w:val="clear" w:color="auto" w:fill="FFFFFF"/>
        </w:rPr>
        <w:t xml:space="preserve">, N. and Jones, T. (2014), The Newport Medieval Ship. </w:t>
      </w:r>
      <w:r w:rsidRPr="00C471E7">
        <w:rPr>
          <w:rFonts w:ascii="Segoe UI" w:hAnsi="Segoe UI" w:cs="Segoe UI"/>
          <w:i/>
          <w:iCs/>
          <w:sz w:val="20"/>
          <w:szCs w:val="20"/>
          <w:shd w:val="clear" w:color="auto" w:fill="FFFFFF"/>
        </w:rPr>
        <w:t>International Journal of Nautical Archaeology</w:t>
      </w:r>
      <w:r w:rsidRPr="00C471E7">
        <w:rPr>
          <w:rFonts w:ascii="Segoe UI" w:hAnsi="Segoe UI" w:cs="Segoe UI"/>
          <w:sz w:val="20"/>
          <w:szCs w:val="20"/>
          <w:shd w:val="clear" w:color="auto" w:fill="FFFFFF"/>
        </w:rPr>
        <w:t xml:space="preserve">, </w:t>
      </w:r>
      <w:r w:rsidRPr="00C471E7">
        <w:rPr>
          <w:rFonts w:ascii="Segoe UI" w:hAnsi="Segoe UI" w:cs="Segoe UI"/>
          <w:b/>
          <w:bCs/>
          <w:sz w:val="20"/>
          <w:szCs w:val="20"/>
          <w:shd w:val="clear" w:color="auto" w:fill="FFFFFF"/>
        </w:rPr>
        <w:t>43:</w:t>
      </w:r>
      <w:r w:rsidRPr="00C471E7">
        <w:rPr>
          <w:rFonts w:ascii="Segoe UI" w:hAnsi="Segoe UI" w:cs="Segoe UI"/>
          <w:sz w:val="20"/>
          <w:szCs w:val="20"/>
          <w:shd w:val="clear" w:color="auto" w:fill="FFFFFF"/>
        </w:rPr>
        <w:t xml:space="preserve"> 239-278. </w:t>
      </w:r>
      <w:r w:rsidRPr="00C471E7">
        <w:rPr>
          <w:rFonts w:ascii="Segoe UI" w:hAnsi="Segoe UI" w:cs="Segoe UI"/>
          <w:sz w:val="20"/>
          <w:szCs w:val="20"/>
          <w:shd w:val="clear" w:color="auto" w:fill="FFFFFF"/>
        </w:rPr>
        <w:t xml:space="preserve">D0I: </w:t>
      </w:r>
      <w:r w:rsidRPr="00C471E7">
        <w:rPr>
          <w:rFonts w:ascii="Segoe UI" w:hAnsi="Segoe UI" w:cs="Segoe UI"/>
          <w:sz w:val="20"/>
          <w:szCs w:val="20"/>
          <w:shd w:val="clear" w:color="auto" w:fill="FFFFFF"/>
        </w:rPr>
        <w:t>10.1111/1095-9270.12053</w:t>
      </w:r>
    </w:p>
    <w:p w14:paraId="5AB456E6" w14:textId="77777777" w:rsidR="00C471E7" w:rsidRPr="00C471E7" w:rsidRDefault="00C471E7" w:rsidP="004F7A2B">
      <w:pPr>
        <w:pStyle w:val="ListParagraph"/>
        <w:spacing w:before="100" w:beforeAutospacing="1" w:after="100" w:afterAutospacing="1" w:line="240" w:lineRule="auto"/>
        <w:outlineLvl w:val="3"/>
        <w:rPr>
          <w:rFonts w:ascii="Segoe UI" w:hAnsi="Segoe UI" w:cs="Segoe UI"/>
          <w:sz w:val="20"/>
          <w:szCs w:val="20"/>
        </w:rPr>
      </w:pPr>
    </w:p>
    <w:p w14:paraId="0DF8A2F6" w14:textId="77777777" w:rsidR="008831E7" w:rsidRPr="00530C98" w:rsidRDefault="008831E7" w:rsidP="005016C5">
      <w:pPr>
        <w:spacing w:before="100" w:beforeAutospacing="1" w:after="100" w:afterAutospacing="1" w:line="240" w:lineRule="auto"/>
        <w:outlineLvl w:val="3"/>
        <w:rPr>
          <w:rFonts w:ascii="Segoe UI" w:hAnsi="Segoe UI" w:cs="Segoe UI"/>
          <w:sz w:val="24"/>
          <w:szCs w:val="24"/>
        </w:rPr>
      </w:pPr>
    </w:p>
    <w:p w14:paraId="459EA270" w14:textId="7216A268" w:rsidR="00AB22E1" w:rsidRDefault="00AB22E1" w:rsidP="00AB22E1">
      <w:pPr>
        <w:spacing w:after="0"/>
      </w:pPr>
    </w:p>
    <w:p w14:paraId="0695E8D2" w14:textId="40117830" w:rsidR="00D05C41" w:rsidRDefault="00D05C41" w:rsidP="00AB22E1">
      <w:pPr>
        <w:spacing w:after="0"/>
      </w:pPr>
    </w:p>
    <w:p w14:paraId="793C903E" w14:textId="23768D51" w:rsidR="00D05C41" w:rsidRDefault="00D05C41" w:rsidP="00AB22E1">
      <w:pPr>
        <w:spacing w:after="0"/>
      </w:pPr>
    </w:p>
    <w:p w14:paraId="16181A65" w14:textId="666F07B4" w:rsidR="00D05C41" w:rsidRDefault="00D05C41" w:rsidP="00AB22E1">
      <w:pPr>
        <w:spacing w:after="0"/>
      </w:pPr>
    </w:p>
    <w:sectPr w:rsidR="00D05C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534B9"/>
    <w:multiLevelType w:val="hybridMultilevel"/>
    <w:tmpl w:val="D4124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690443"/>
    <w:multiLevelType w:val="hybridMultilevel"/>
    <w:tmpl w:val="655CF1F8"/>
    <w:lvl w:ilvl="0" w:tplc="BCFA7A86">
      <w:start w:val="1"/>
      <w:numFmt w:val="bullet"/>
      <w:lvlText w:val=""/>
      <w:lvlJc w:val="left"/>
      <w:pPr>
        <w:ind w:left="720" w:hanging="360"/>
      </w:pPr>
      <w:rPr>
        <w:rFonts w:ascii="Symbol" w:eastAsiaTheme="minorHAnsi" w:hAnsi="Symbol"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3C0EFF"/>
    <w:multiLevelType w:val="multilevel"/>
    <w:tmpl w:val="E1148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xMzczMbAwMAHyDJR0lIJTi4sz8/NACoxrAWAQFUAsAAAA"/>
    <w:docVar w:name="dgnword-docGUID" w:val="{73683F93-BE39-4426-B045-E502EFCC5D25}"/>
    <w:docVar w:name="dgnword-eventsink" w:val="2009891821424"/>
  </w:docVars>
  <w:rsids>
    <w:rsidRoot w:val="00AB22E1"/>
    <w:rsid w:val="00002CAE"/>
    <w:rsid w:val="0000537A"/>
    <w:rsid w:val="00005A9F"/>
    <w:rsid w:val="00006265"/>
    <w:rsid w:val="00007261"/>
    <w:rsid w:val="00007E20"/>
    <w:rsid w:val="00011E8D"/>
    <w:rsid w:val="00012FEF"/>
    <w:rsid w:val="00014AA2"/>
    <w:rsid w:val="0001740D"/>
    <w:rsid w:val="000202EC"/>
    <w:rsid w:val="000211A9"/>
    <w:rsid w:val="00026E98"/>
    <w:rsid w:val="00027B51"/>
    <w:rsid w:val="0003045B"/>
    <w:rsid w:val="000306B2"/>
    <w:rsid w:val="00041B70"/>
    <w:rsid w:val="000508E7"/>
    <w:rsid w:val="00064117"/>
    <w:rsid w:val="00064512"/>
    <w:rsid w:val="00064908"/>
    <w:rsid w:val="00066A7B"/>
    <w:rsid w:val="0007315C"/>
    <w:rsid w:val="00075A6B"/>
    <w:rsid w:val="00083F9E"/>
    <w:rsid w:val="000875D1"/>
    <w:rsid w:val="000902AB"/>
    <w:rsid w:val="000916B0"/>
    <w:rsid w:val="00093718"/>
    <w:rsid w:val="000972EE"/>
    <w:rsid w:val="000B3E54"/>
    <w:rsid w:val="000C38A1"/>
    <w:rsid w:val="000D25F1"/>
    <w:rsid w:val="000D488A"/>
    <w:rsid w:val="000E4868"/>
    <w:rsid w:val="000E71A5"/>
    <w:rsid w:val="000F1EC5"/>
    <w:rsid w:val="001013EC"/>
    <w:rsid w:val="001017EE"/>
    <w:rsid w:val="00116D47"/>
    <w:rsid w:val="001201F0"/>
    <w:rsid w:val="00137E20"/>
    <w:rsid w:val="001448C2"/>
    <w:rsid w:val="00164CB8"/>
    <w:rsid w:val="001746EF"/>
    <w:rsid w:val="00175314"/>
    <w:rsid w:val="00180542"/>
    <w:rsid w:val="00181675"/>
    <w:rsid w:val="001A69D8"/>
    <w:rsid w:val="001C1260"/>
    <w:rsid w:val="001C2A50"/>
    <w:rsid w:val="001C3031"/>
    <w:rsid w:val="001C4DEE"/>
    <w:rsid w:val="001D550A"/>
    <w:rsid w:val="001E085B"/>
    <w:rsid w:val="001E29A5"/>
    <w:rsid w:val="001E367F"/>
    <w:rsid w:val="0020156D"/>
    <w:rsid w:val="00215B78"/>
    <w:rsid w:val="00224EB2"/>
    <w:rsid w:val="0023021F"/>
    <w:rsid w:val="002365C7"/>
    <w:rsid w:val="002401DB"/>
    <w:rsid w:val="002452ED"/>
    <w:rsid w:val="00246D5C"/>
    <w:rsid w:val="00250FD6"/>
    <w:rsid w:val="00265642"/>
    <w:rsid w:val="00276907"/>
    <w:rsid w:val="002863FC"/>
    <w:rsid w:val="00294DEA"/>
    <w:rsid w:val="002959B4"/>
    <w:rsid w:val="002A2133"/>
    <w:rsid w:val="002B268B"/>
    <w:rsid w:val="002B6401"/>
    <w:rsid w:val="002C1BFA"/>
    <w:rsid w:val="002C1ECB"/>
    <w:rsid w:val="00305057"/>
    <w:rsid w:val="003079E5"/>
    <w:rsid w:val="00320F49"/>
    <w:rsid w:val="00322C06"/>
    <w:rsid w:val="0032369D"/>
    <w:rsid w:val="00327FDF"/>
    <w:rsid w:val="00330E7A"/>
    <w:rsid w:val="0033668C"/>
    <w:rsid w:val="00337A5D"/>
    <w:rsid w:val="00340C2F"/>
    <w:rsid w:val="00347F6C"/>
    <w:rsid w:val="00354F45"/>
    <w:rsid w:val="00370AD3"/>
    <w:rsid w:val="0037285D"/>
    <w:rsid w:val="00374094"/>
    <w:rsid w:val="003759BF"/>
    <w:rsid w:val="00377EFB"/>
    <w:rsid w:val="00387E5A"/>
    <w:rsid w:val="0039557D"/>
    <w:rsid w:val="003A2DA6"/>
    <w:rsid w:val="003B08FC"/>
    <w:rsid w:val="003B5A11"/>
    <w:rsid w:val="003B64BC"/>
    <w:rsid w:val="003C496C"/>
    <w:rsid w:val="003E6A42"/>
    <w:rsid w:val="003F736C"/>
    <w:rsid w:val="004041CF"/>
    <w:rsid w:val="004045ED"/>
    <w:rsid w:val="00407D57"/>
    <w:rsid w:val="00424713"/>
    <w:rsid w:val="00424E9E"/>
    <w:rsid w:val="00425BCF"/>
    <w:rsid w:val="004260AD"/>
    <w:rsid w:val="00426DC9"/>
    <w:rsid w:val="00433EFD"/>
    <w:rsid w:val="004357B5"/>
    <w:rsid w:val="0043641C"/>
    <w:rsid w:val="00436ABD"/>
    <w:rsid w:val="00445A80"/>
    <w:rsid w:val="0045004C"/>
    <w:rsid w:val="00450CCF"/>
    <w:rsid w:val="00461E81"/>
    <w:rsid w:val="00472488"/>
    <w:rsid w:val="00487EE0"/>
    <w:rsid w:val="00487F2B"/>
    <w:rsid w:val="0049197E"/>
    <w:rsid w:val="004924CE"/>
    <w:rsid w:val="00496D9D"/>
    <w:rsid w:val="004C02E6"/>
    <w:rsid w:val="004C0899"/>
    <w:rsid w:val="004C76A3"/>
    <w:rsid w:val="004C7E8D"/>
    <w:rsid w:val="004D4C77"/>
    <w:rsid w:val="004D5095"/>
    <w:rsid w:val="004D645E"/>
    <w:rsid w:val="004D6C03"/>
    <w:rsid w:val="004E6DD9"/>
    <w:rsid w:val="004F7A2B"/>
    <w:rsid w:val="005016C5"/>
    <w:rsid w:val="00502A45"/>
    <w:rsid w:val="005049C1"/>
    <w:rsid w:val="005058C7"/>
    <w:rsid w:val="00505CCF"/>
    <w:rsid w:val="005079C4"/>
    <w:rsid w:val="00521FD0"/>
    <w:rsid w:val="00522C7C"/>
    <w:rsid w:val="00527D2E"/>
    <w:rsid w:val="00530C98"/>
    <w:rsid w:val="0053424E"/>
    <w:rsid w:val="0054229F"/>
    <w:rsid w:val="00555D67"/>
    <w:rsid w:val="00555D6A"/>
    <w:rsid w:val="00556B1B"/>
    <w:rsid w:val="00560C0A"/>
    <w:rsid w:val="00562652"/>
    <w:rsid w:val="005676A5"/>
    <w:rsid w:val="00567F79"/>
    <w:rsid w:val="00575EB0"/>
    <w:rsid w:val="00584EF7"/>
    <w:rsid w:val="005971F0"/>
    <w:rsid w:val="005A2295"/>
    <w:rsid w:val="005B0A3D"/>
    <w:rsid w:val="005B23DD"/>
    <w:rsid w:val="005B24C4"/>
    <w:rsid w:val="005B6B81"/>
    <w:rsid w:val="005D1884"/>
    <w:rsid w:val="005E158E"/>
    <w:rsid w:val="005E3452"/>
    <w:rsid w:val="005E382D"/>
    <w:rsid w:val="005E6D25"/>
    <w:rsid w:val="005F0B0B"/>
    <w:rsid w:val="005F146A"/>
    <w:rsid w:val="005F20F5"/>
    <w:rsid w:val="005F5580"/>
    <w:rsid w:val="005F55DA"/>
    <w:rsid w:val="00601B62"/>
    <w:rsid w:val="00607096"/>
    <w:rsid w:val="00612BF9"/>
    <w:rsid w:val="00614F77"/>
    <w:rsid w:val="00626273"/>
    <w:rsid w:val="00627F7D"/>
    <w:rsid w:val="00632488"/>
    <w:rsid w:val="006346DF"/>
    <w:rsid w:val="00662A12"/>
    <w:rsid w:val="00662E79"/>
    <w:rsid w:val="00663990"/>
    <w:rsid w:val="006644DD"/>
    <w:rsid w:val="0066485D"/>
    <w:rsid w:val="006665E9"/>
    <w:rsid w:val="0067129C"/>
    <w:rsid w:val="006715B2"/>
    <w:rsid w:val="00682841"/>
    <w:rsid w:val="00692495"/>
    <w:rsid w:val="006928BB"/>
    <w:rsid w:val="00693791"/>
    <w:rsid w:val="006A4FDD"/>
    <w:rsid w:val="006A50E1"/>
    <w:rsid w:val="006B69B7"/>
    <w:rsid w:val="006B7BBE"/>
    <w:rsid w:val="006C68CC"/>
    <w:rsid w:val="006C6F29"/>
    <w:rsid w:val="006E0EAC"/>
    <w:rsid w:val="006F33CE"/>
    <w:rsid w:val="00700EA6"/>
    <w:rsid w:val="0070162A"/>
    <w:rsid w:val="00702865"/>
    <w:rsid w:val="007041C9"/>
    <w:rsid w:val="00721B34"/>
    <w:rsid w:val="007232F6"/>
    <w:rsid w:val="00725E6D"/>
    <w:rsid w:val="00731BF8"/>
    <w:rsid w:val="00733769"/>
    <w:rsid w:val="00736277"/>
    <w:rsid w:val="007505F5"/>
    <w:rsid w:val="007560F3"/>
    <w:rsid w:val="00771D19"/>
    <w:rsid w:val="007729FF"/>
    <w:rsid w:val="00782FB1"/>
    <w:rsid w:val="007914A5"/>
    <w:rsid w:val="00794FB7"/>
    <w:rsid w:val="007E61BC"/>
    <w:rsid w:val="007F2075"/>
    <w:rsid w:val="007F2F4F"/>
    <w:rsid w:val="007F7F7D"/>
    <w:rsid w:val="00800D56"/>
    <w:rsid w:val="0080312A"/>
    <w:rsid w:val="008056DA"/>
    <w:rsid w:val="00810AD4"/>
    <w:rsid w:val="00812E63"/>
    <w:rsid w:val="00821EA9"/>
    <w:rsid w:val="00826668"/>
    <w:rsid w:val="00860A26"/>
    <w:rsid w:val="0087230B"/>
    <w:rsid w:val="008743D9"/>
    <w:rsid w:val="008831E7"/>
    <w:rsid w:val="0088706A"/>
    <w:rsid w:val="008911C1"/>
    <w:rsid w:val="008A4CA6"/>
    <w:rsid w:val="008A6ABF"/>
    <w:rsid w:val="008B6512"/>
    <w:rsid w:val="008B66AB"/>
    <w:rsid w:val="008B73DB"/>
    <w:rsid w:val="008C0595"/>
    <w:rsid w:val="008C4CC6"/>
    <w:rsid w:val="008E2ADC"/>
    <w:rsid w:val="008E646F"/>
    <w:rsid w:val="008E7D6B"/>
    <w:rsid w:val="008F12B2"/>
    <w:rsid w:val="008F24A7"/>
    <w:rsid w:val="008F62F7"/>
    <w:rsid w:val="00903746"/>
    <w:rsid w:val="00904818"/>
    <w:rsid w:val="00905DFE"/>
    <w:rsid w:val="009061DC"/>
    <w:rsid w:val="0092329A"/>
    <w:rsid w:val="009307F5"/>
    <w:rsid w:val="00930940"/>
    <w:rsid w:val="00946B03"/>
    <w:rsid w:val="00950BC0"/>
    <w:rsid w:val="00956559"/>
    <w:rsid w:val="00960E16"/>
    <w:rsid w:val="00966077"/>
    <w:rsid w:val="00971F96"/>
    <w:rsid w:val="00977195"/>
    <w:rsid w:val="009779E7"/>
    <w:rsid w:val="00981FCF"/>
    <w:rsid w:val="009856A3"/>
    <w:rsid w:val="009858E4"/>
    <w:rsid w:val="00985D2B"/>
    <w:rsid w:val="0099396A"/>
    <w:rsid w:val="00997C95"/>
    <w:rsid w:val="009A235C"/>
    <w:rsid w:val="009A2ECF"/>
    <w:rsid w:val="009B633B"/>
    <w:rsid w:val="009C2AC3"/>
    <w:rsid w:val="009D15C8"/>
    <w:rsid w:val="009D794C"/>
    <w:rsid w:val="009E06A5"/>
    <w:rsid w:val="009F3E74"/>
    <w:rsid w:val="009F4975"/>
    <w:rsid w:val="00A035B8"/>
    <w:rsid w:val="00A10CE7"/>
    <w:rsid w:val="00A168D8"/>
    <w:rsid w:val="00A17A02"/>
    <w:rsid w:val="00A205E2"/>
    <w:rsid w:val="00A314DB"/>
    <w:rsid w:val="00A3486E"/>
    <w:rsid w:val="00A36350"/>
    <w:rsid w:val="00A36964"/>
    <w:rsid w:val="00A4653C"/>
    <w:rsid w:val="00A53DF2"/>
    <w:rsid w:val="00A55AE5"/>
    <w:rsid w:val="00A60BFF"/>
    <w:rsid w:val="00A62EE3"/>
    <w:rsid w:val="00A640E2"/>
    <w:rsid w:val="00A7377D"/>
    <w:rsid w:val="00A76217"/>
    <w:rsid w:val="00A825B5"/>
    <w:rsid w:val="00A91610"/>
    <w:rsid w:val="00A96FA1"/>
    <w:rsid w:val="00AA193E"/>
    <w:rsid w:val="00AA5145"/>
    <w:rsid w:val="00AA5903"/>
    <w:rsid w:val="00AB22E1"/>
    <w:rsid w:val="00AB3AA7"/>
    <w:rsid w:val="00AB7793"/>
    <w:rsid w:val="00AB7D69"/>
    <w:rsid w:val="00AC290E"/>
    <w:rsid w:val="00AC559F"/>
    <w:rsid w:val="00AD1E64"/>
    <w:rsid w:val="00AD545E"/>
    <w:rsid w:val="00AF0020"/>
    <w:rsid w:val="00AF3533"/>
    <w:rsid w:val="00AF5B31"/>
    <w:rsid w:val="00AF7681"/>
    <w:rsid w:val="00B12330"/>
    <w:rsid w:val="00B138EE"/>
    <w:rsid w:val="00B20CB9"/>
    <w:rsid w:val="00B36841"/>
    <w:rsid w:val="00B3738A"/>
    <w:rsid w:val="00B466F7"/>
    <w:rsid w:val="00B477BA"/>
    <w:rsid w:val="00B80193"/>
    <w:rsid w:val="00B812FA"/>
    <w:rsid w:val="00BA0C22"/>
    <w:rsid w:val="00BA5E2E"/>
    <w:rsid w:val="00BA6945"/>
    <w:rsid w:val="00BA6E95"/>
    <w:rsid w:val="00BB4D36"/>
    <w:rsid w:val="00BB6478"/>
    <w:rsid w:val="00BC0926"/>
    <w:rsid w:val="00BD1205"/>
    <w:rsid w:val="00BE2E12"/>
    <w:rsid w:val="00BE4526"/>
    <w:rsid w:val="00BE635D"/>
    <w:rsid w:val="00C15B5E"/>
    <w:rsid w:val="00C25D64"/>
    <w:rsid w:val="00C33847"/>
    <w:rsid w:val="00C37364"/>
    <w:rsid w:val="00C46453"/>
    <w:rsid w:val="00C471E7"/>
    <w:rsid w:val="00C64BA5"/>
    <w:rsid w:val="00C84D55"/>
    <w:rsid w:val="00C85228"/>
    <w:rsid w:val="00C85AA2"/>
    <w:rsid w:val="00C90BC1"/>
    <w:rsid w:val="00C92EEF"/>
    <w:rsid w:val="00C96A34"/>
    <w:rsid w:val="00CA3EA0"/>
    <w:rsid w:val="00CA47AE"/>
    <w:rsid w:val="00CB160A"/>
    <w:rsid w:val="00CB4C74"/>
    <w:rsid w:val="00CC69D9"/>
    <w:rsid w:val="00CC7975"/>
    <w:rsid w:val="00CD3A90"/>
    <w:rsid w:val="00CD605F"/>
    <w:rsid w:val="00CD654D"/>
    <w:rsid w:val="00D05C41"/>
    <w:rsid w:val="00D06FA5"/>
    <w:rsid w:val="00D10C4E"/>
    <w:rsid w:val="00D229C1"/>
    <w:rsid w:val="00D22D02"/>
    <w:rsid w:val="00D27F0D"/>
    <w:rsid w:val="00D3390B"/>
    <w:rsid w:val="00D4419D"/>
    <w:rsid w:val="00D46F11"/>
    <w:rsid w:val="00D4785A"/>
    <w:rsid w:val="00D5381D"/>
    <w:rsid w:val="00D60E28"/>
    <w:rsid w:val="00D71919"/>
    <w:rsid w:val="00D83C00"/>
    <w:rsid w:val="00D85624"/>
    <w:rsid w:val="00D9006C"/>
    <w:rsid w:val="00D9162E"/>
    <w:rsid w:val="00D94882"/>
    <w:rsid w:val="00D96BC3"/>
    <w:rsid w:val="00DA2CC9"/>
    <w:rsid w:val="00DA32B4"/>
    <w:rsid w:val="00DA4780"/>
    <w:rsid w:val="00DA54D0"/>
    <w:rsid w:val="00DB475D"/>
    <w:rsid w:val="00DC51F8"/>
    <w:rsid w:val="00DC6F21"/>
    <w:rsid w:val="00DD1CD3"/>
    <w:rsid w:val="00DD39DC"/>
    <w:rsid w:val="00DE05BF"/>
    <w:rsid w:val="00DE1151"/>
    <w:rsid w:val="00DE613B"/>
    <w:rsid w:val="00DE7104"/>
    <w:rsid w:val="00DF73EF"/>
    <w:rsid w:val="00E06B19"/>
    <w:rsid w:val="00E160A6"/>
    <w:rsid w:val="00E16537"/>
    <w:rsid w:val="00E1765F"/>
    <w:rsid w:val="00E202EF"/>
    <w:rsid w:val="00E21684"/>
    <w:rsid w:val="00E226B9"/>
    <w:rsid w:val="00E25F9B"/>
    <w:rsid w:val="00E3410D"/>
    <w:rsid w:val="00E36B16"/>
    <w:rsid w:val="00E446FA"/>
    <w:rsid w:val="00E52051"/>
    <w:rsid w:val="00E55546"/>
    <w:rsid w:val="00E616B5"/>
    <w:rsid w:val="00E62CCD"/>
    <w:rsid w:val="00E64336"/>
    <w:rsid w:val="00E7730F"/>
    <w:rsid w:val="00E82602"/>
    <w:rsid w:val="00E84848"/>
    <w:rsid w:val="00E851CE"/>
    <w:rsid w:val="00E879B3"/>
    <w:rsid w:val="00E91312"/>
    <w:rsid w:val="00E960EA"/>
    <w:rsid w:val="00EA4E2A"/>
    <w:rsid w:val="00EA604B"/>
    <w:rsid w:val="00EA616B"/>
    <w:rsid w:val="00EB6B0B"/>
    <w:rsid w:val="00EC06E8"/>
    <w:rsid w:val="00ED2056"/>
    <w:rsid w:val="00ED4BD5"/>
    <w:rsid w:val="00EE2BA3"/>
    <w:rsid w:val="00EE3D6C"/>
    <w:rsid w:val="00EF18FB"/>
    <w:rsid w:val="00EF21E2"/>
    <w:rsid w:val="00EF2DE5"/>
    <w:rsid w:val="00F06EEB"/>
    <w:rsid w:val="00F10188"/>
    <w:rsid w:val="00F15292"/>
    <w:rsid w:val="00F30908"/>
    <w:rsid w:val="00F42129"/>
    <w:rsid w:val="00F44DE8"/>
    <w:rsid w:val="00F44FBF"/>
    <w:rsid w:val="00F4669F"/>
    <w:rsid w:val="00F50831"/>
    <w:rsid w:val="00F6029B"/>
    <w:rsid w:val="00F60D6C"/>
    <w:rsid w:val="00F60F0B"/>
    <w:rsid w:val="00F62E31"/>
    <w:rsid w:val="00F6475C"/>
    <w:rsid w:val="00F80386"/>
    <w:rsid w:val="00F93D09"/>
    <w:rsid w:val="00FB68E0"/>
    <w:rsid w:val="00FB7252"/>
    <w:rsid w:val="00FC1F65"/>
    <w:rsid w:val="00FD0B69"/>
    <w:rsid w:val="00FD59EC"/>
    <w:rsid w:val="00FE3F4D"/>
    <w:rsid w:val="00FE728A"/>
    <w:rsid w:val="00FF04D3"/>
    <w:rsid w:val="6863F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3C73A"/>
  <w15:chartTrackingRefBased/>
  <w15:docId w15:val="{2FF6A7ED-FEEB-4205-AE3E-D7947F251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22E1"/>
    <w:pPr>
      <w:ind w:left="720"/>
      <w:contextualSpacing/>
    </w:pPr>
  </w:style>
  <w:style w:type="character" w:styleId="Hyperlink">
    <w:name w:val="Hyperlink"/>
    <w:basedOn w:val="DefaultParagraphFont"/>
    <w:uiPriority w:val="99"/>
    <w:unhideWhenUsed/>
    <w:rsid w:val="00DE7104"/>
    <w:rPr>
      <w:color w:val="0563C1" w:themeColor="hyperlink"/>
      <w:u w:val="single"/>
    </w:rPr>
  </w:style>
  <w:style w:type="character" w:styleId="UnresolvedMention">
    <w:name w:val="Unresolved Mention"/>
    <w:basedOn w:val="DefaultParagraphFont"/>
    <w:uiPriority w:val="99"/>
    <w:semiHidden/>
    <w:unhideWhenUsed/>
    <w:rsid w:val="00DE7104"/>
    <w:rPr>
      <w:color w:val="605E5C"/>
      <w:shd w:val="clear" w:color="auto" w:fill="E1DFDD"/>
    </w:rPr>
  </w:style>
  <w:style w:type="character" w:styleId="CommentReference">
    <w:name w:val="annotation reference"/>
    <w:basedOn w:val="DefaultParagraphFont"/>
    <w:uiPriority w:val="99"/>
    <w:semiHidden/>
    <w:unhideWhenUsed/>
    <w:rsid w:val="000E71A5"/>
    <w:rPr>
      <w:sz w:val="16"/>
      <w:szCs w:val="16"/>
    </w:rPr>
  </w:style>
  <w:style w:type="paragraph" w:styleId="CommentText">
    <w:name w:val="annotation text"/>
    <w:basedOn w:val="Normal"/>
    <w:link w:val="CommentTextChar"/>
    <w:uiPriority w:val="99"/>
    <w:semiHidden/>
    <w:unhideWhenUsed/>
    <w:rsid w:val="000E71A5"/>
    <w:pPr>
      <w:spacing w:line="240" w:lineRule="auto"/>
    </w:pPr>
    <w:rPr>
      <w:sz w:val="20"/>
      <w:szCs w:val="20"/>
    </w:rPr>
  </w:style>
  <w:style w:type="character" w:customStyle="1" w:styleId="CommentTextChar">
    <w:name w:val="Comment Text Char"/>
    <w:basedOn w:val="DefaultParagraphFont"/>
    <w:link w:val="CommentText"/>
    <w:uiPriority w:val="99"/>
    <w:semiHidden/>
    <w:rsid w:val="000E71A5"/>
    <w:rPr>
      <w:sz w:val="20"/>
      <w:szCs w:val="20"/>
    </w:rPr>
  </w:style>
  <w:style w:type="paragraph" w:styleId="CommentSubject">
    <w:name w:val="annotation subject"/>
    <w:basedOn w:val="CommentText"/>
    <w:next w:val="CommentText"/>
    <w:link w:val="CommentSubjectChar"/>
    <w:uiPriority w:val="99"/>
    <w:semiHidden/>
    <w:unhideWhenUsed/>
    <w:rsid w:val="000E71A5"/>
    <w:rPr>
      <w:b/>
      <w:bCs/>
    </w:rPr>
  </w:style>
  <w:style w:type="character" w:customStyle="1" w:styleId="CommentSubjectChar">
    <w:name w:val="Comment Subject Char"/>
    <w:basedOn w:val="CommentTextChar"/>
    <w:link w:val="CommentSubject"/>
    <w:uiPriority w:val="99"/>
    <w:semiHidden/>
    <w:rsid w:val="000E71A5"/>
    <w:rPr>
      <w:b/>
      <w:bCs/>
      <w:sz w:val="20"/>
      <w:szCs w:val="20"/>
    </w:rPr>
  </w:style>
  <w:style w:type="character" w:styleId="Emphasis">
    <w:name w:val="Emphasis"/>
    <w:basedOn w:val="DefaultParagraphFont"/>
    <w:uiPriority w:val="20"/>
    <w:qFormat/>
    <w:rsid w:val="00826668"/>
    <w:rPr>
      <w:i/>
      <w:iCs/>
    </w:rPr>
  </w:style>
  <w:style w:type="character" w:customStyle="1" w:styleId="authors">
    <w:name w:val="authors"/>
    <w:basedOn w:val="DefaultParagraphFont"/>
    <w:rsid w:val="00180542"/>
  </w:style>
  <w:style w:type="character" w:customStyle="1" w:styleId="date">
    <w:name w:val="date"/>
    <w:basedOn w:val="DefaultParagraphFont"/>
    <w:rsid w:val="00180542"/>
  </w:style>
  <w:style w:type="character" w:customStyle="1" w:styleId="arttitle">
    <w:name w:val="art_title"/>
    <w:basedOn w:val="DefaultParagraphFont"/>
    <w:rsid w:val="00180542"/>
  </w:style>
  <w:style w:type="character" w:customStyle="1" w:styleId="serialtitle">
    <w:name w:val="serial_title"/>
    <w:basedOn w:val="DefaultParagraphFont"/>
    <w:rsid w:val="00180542"/>
  </w:style>
  <w:style w:type="character" w:customStyle="1" w:styleId="volumeissue">
    <w:name w:val="volume_issue"/>
    <w:basedOn w:val="DefaultParagraphFont"/>
    <w:rsid w:val="00180542"/>
  </w:style>
  <w:style w:type="character" w:customStyle="1" w:styleId="pagerange">
    <w:name w:val="page_range"/>
    <w:basedOn w:val="DefaultParagraphFont"/>
    <w:rsid w:val="00180542"/>
  </w:style>
  <w:style w:type="character" w:customStyle="1" w:styleId="doilink">
    <w:name w:val="doi_link"/>
    <w:basedOn w:val="DefaultParagraphFont"/>
    <w:rsid w:val="00180542"/>
  </w:style>
  <w:style w:type="character" w:styleId="FollowedHyperlink">
    <w:name w:val="FollowedHyperlink"/>
    <w:basedOn w:val="DefaultParagraphFont"/>
    <w:uiPriority w:val="99"/>
    <w:semiHidden/>
    <w:unhideWhenUsed/>
    <w:rsid w:val="00DA47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97204">
      <w:bodyDiv w:val="1"/>
      <w:marLeft w:val="0"/>
      <w:marRight w:val="0"/>
      <w:marTop w:val="0"/>
      <w:marBottom w:val="0"/>
      <w:divBdr>
        <w:top w:val="none" w:sz="0" w:space="0" w:color="auto"/>
        <w:left w:val="none" w:sz="0" w:space="0" w:color="auto"/>
        <w:bottom w:val="none" w:sz="0" w:space="0" w:color="auto"/>
        <w:right w:val="none" w:sz="0" w:space="0" w:color="auto"/>
      </w:divBdr>
      <w:divsChild>
        <w:div w:id="676812930">
          <w:marLeft w:val="0"/>
          <w:marRight w:val="0"/>
          <w:marTop w:val="0"/>
          <w:marBottom w:val="0"/>
          <w:divBdr>
            <w:top w:val="none" w:sz="0" w:space="0" w:color="auto"/>
            <w:left w:val="none" w:sz="0" w:space="0" w:color="auto"/>
            <w:bottom w:val="none" w:sz="0" w:space="0" w:color="auto"/>
            <w:right w:val="none" w:sz="0" w:space="0" w:color="auto"/>
          </w:divBdr>
        </w:div>
      </w:divsChild>
    </w:div>
    <w:div w:id="2079358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ebapps.kent.gov.uk/KCC.ExploringKentsPast.Web.Sites.Public/SingleResult.aspx?uid=MKE11073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ebapps.kent.gov.uk/KCC.ExploringKentsPast.Web.Sites.Public/SingleResult.aspx?uid=TKE1029" TargetMode="External"/><Relationship Id="rId5" Type="http://schemas.openxmlformats.org/officeDocument/2006/relationships/hyperlink" Target="https://doi.org/10.1111/1095-9270.1232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5</Pages>
  <Words>2287</Words>
  <Characters>13039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Crame</dc:creator>
  <cp:keywords/>
  <dc:description/>
  <cp:lastModifiedBy>Paul Crame</cp:lastModifiedBy>
  <cp:revision>7</cp:revision>
  <dcterms:created xsi:type="dcterms:W3CDTF">2021-10-24T18:19:00Z</dcterms:created>
  <dcterms:modified xsi:type="dcterms:W3CDTF">2021-10-25T21:05:00Z</dcterms:modified>
</cp:coreProperties>
</file>