
<file path=[Content_Types].xml><?xml version="1.0" encoding="utf-8"?>
<Types xmlns="http://schemas.openxmlformats.org/package/2006/content-types">
  <Default Extension="xml" ContentType="application/xml"/>
  <Default Extension="rels" ContentType="application/vnd.openxmlformats-package.relationships+xml"/>
  <Override PartName="/word/fontTable.xml" ContentType="application/vnd.openxmlformats-officedocument.wordprocessingml.fontTable+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endnotes.xml" ContentType="application/vnd.openxmlformats-officedocument.wordprocessingml.endnotes+xml"/>
  <Override PartName="/customXml/itemProps1.xml" ContentType="application/vnd.openxmlformats-officedocument.customXmlProperties+xml"/>
  <Override PartName="/word/styles.xml" ContentType="application/vnd.openxmlformats-officedocument.wordprocessingml.styles+xml"/>
  <Override PartName="/word/footnotes.xml" ContentType="application/vnd.openxmlformats-officedocument.wordprocessingml.footnotes+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14:paraId="00000005">
      <w:pPr>
        <w:spacing w:line="259" w:lineRule="auto"/>
        <w:jc w:val="center"/>
        <w:rPr>
          <w:rFonts w:cstheme="minorHAnsi" w:eastAsia="Aptos"/>
          <w:b/>
          <w:bCs/>
          <w:i/>
          <w:iCs/>
          <w:sz w:val="28"/>
          <w:szCs w:val="24"/>
          <w14:ligatures w14:val="standardContextual"/>
        </w:rPr>
      </w:pPr>
      <w:r>
        <w:rPr>
          <w:rFonts w:cstheme="minorHAnsi" w:eastAsia="Aptos"/>
          <w:b/>
          <w:bCs/>
          <w:i/>
          <w:iCs/>
          <w:sz w:val="28"/>
          <w:szCs w:val="24"/>
          <w14:ligatures w14:val="standardContextual"/>
        </w:rPr>
        <w:t xml:space="preserve">Programme: BA International Hotel Management </w:t>
      </w:r>
    </w:p>
    <w:p w14:paraId="00000006">
      <w:pPr>
        <w:spacing w:line="259" w:lineRule="auto"/>
        <w:jc w:val="center"/>
        <w:rPr>
          <w:rFonts w:cstheme="minorHAnsi" w:eastAsia="Aptos"/>
          <w:b/>
          <w:bCs/>
          <w:i/>
          <w:iCs/>
          <w:sz w:val="28"/>
          <w:szCs w:val="24"/>
          <w14:ligatures w14:val="standardContextual"/>
        </w:rPr>
      </w:pPr>
      <w:r>
        <w:rPr>
          <w:rFonts w:cstheme="minorHAnsi" w:eastAsia="Aptos"/>
          <w:b/>
          <w:bCs/>
          <w:i/>
          <w:iCs/>
          <w:sz w:val="28"/>
          <w:szCs w:val="24"/>
          <w14:ligatures w14:val="standardContextual"/>
        </w:rPr>
        <w:t>Module: Management &amp; Organisational Behaviour</w:t>
      </w:r>
    </w:p>
    <w:p w14:paraId="00000007">
      <w:pPr>
        <w:spacing w:line="259" w:lineRule="auto"/>
        <w:jc w:val="center"/>
        <w:rPr>
          <w:rFonts w:cstheme="minorHAnsi" w:eastAsia="Aptos"/>
          <w:b/>
          <w:bCs/>
          <w:i/>
          <w:iCs/>
          <w:sz w:val="28"/>
          <w:szCs w:val="24"/>
          <w14:ligatures w14:val="standardContextual"/>
        </w:rPr>
      </w:pPr>
      <w:r>
        <w:rPr>
          <w:rFonts w:cstheme="minorHAnsi" w:eastAsia="Aptos"/>
          <w:b/>
          <w:bCs/>
          <w:i/>
          <w:iCs/>
          <w:sz w:val="28"/>
          <w:szCs w:val="24"/>
          <w14:ligatures w14:val="standardContextual"/>
        </w:rPr>
        <w:t>Module code: BMIH5004</w:t>
      </w:r>
    </w:p>
    <w:p w14:paraId="00000008">
      <w:pPr>
        <w:spacing w:line="259" w:lineRule="auto"/>
        <w:jc w:val="center"/>
        <w:rPr>
          <w:rFonts w:cstheme="minorHAnsi" w:eastAsia="Aptos"/>
          <w:b/>
          <w:bCs/>
          <w:i/>
          <w:iCs/>
          <w:sz w:val="28"/>
          <w:szCs w:val="24"/>
          <w14:ligatures w14:val="standardContextual"/>
        </w:rPr>
      </w:pPr>
      <w:r>
        <w:rPr>
          <w:rFonts w:cstheme="minorHAnsi" w:eastAsia="Aptos"/>
          <w:b/>
          <w:bCs/>
          <w:i/>
          <w:iCs/>
          <w:sz w:val="28"/>
          <w:szCs w:val="24"/>
          <w14:ligatures w14:val="standardContextual"/>
        </w:rPr>
        <w:t>Student Name:Vasile Pitirici</w:t>
      </w:r>
    </w:p>
    <w:p w14:paraId="00000009">
      <w:pPr>
        <w:spacing w:line="259" w:lineRule="auto"/>
        <w:jc w:val="center"/>
        <w:rPr>
          <w:rFonts w:cstheme="minorHAnsi" w:eastAsia="Aptos"/>
          <w:b/>
          <w:bCs/>
          <w:i/>
          <w:iCs/>
          <w:sz w:val="28"/>
          <w:szCs w:val="24"/>
          <w14:ligatures w14:val="standardContextual"/>
        </w:rPr>
      </w:pPr>
      <w:r>
        <w:rPr>
          <w:rFonts w:cstheme="minorHAnsi" w:eastAsia="Aptos"/>
          <w:b/>
          <w:bCs/>
          <w:i/>
          <w:iCs/>
          <w:sz w:val="28"/>
          <w:szCs w:val="24"/>
          <w14:ligatures w14:val="standardContextual"/>
        </w:rPr>
        <w:t>Id:2213422</w:t>
      </w:r>
    </w:p>
    <w:p w14:paraId="0000000A">
      <w:pPr>
        <w:spacing w:line="259" w:lineRule="auto"/>
        <w:jc w:val="center"/>
        <w:rPr>
          <w:rFonts w:cstheme="minorHAnsi" w:eastAsia="Aptos"/>
          <w:b/>
          <w:bCs/>
          <w:i/>
          <w:iCs/>
          <w:sz w:val="28"/>
          <w:szCs w:val="24"/>
          <w14:ligatures w14:val="standardContextual"/>
        </w:rPr>
      </w:pPr>
      <w:r>
        <w:rPr>
          <w:rFonts w:cstheme="minorHAnsi" w:eastAsia="Aptos"/>
          <w:b/>
          <w:bCs/>
          <w:i/>
          <w:iCs/>
          <w:sz w:val="28"/>
          <w:szCs w:val="24"/>
          <w14:ligatures w14:val="standardContextual"/>
        </w:rPr>
        <w:t>Lecturer: Giulia Chifari</w:t>
      </w:r>
    </w:p>
    <w:p w14:paraId="0000000B">
      <w:pPr>
        <w:rPr>
          <w:b/>
          <w:bCs/>
        </w:rPr>
      </w:pPr>
    </w:p>
    <w:p w14:paraId="0000000C">
      <w:pPr>
        <w:rPr>
          <w:b/>
          <w:bCs/>
        </w:rPr>
      </w:pPr>
    </w:p>
    <w:p w14:paraId="0000000D">
      <w:pPr>
        <w:rPr>
          <w:b/>
          <w:bCs/>
        </w:rPr>
      </w:pPr>
    </w:p>
    <w:p w14:paraId="0000000E">
      <w:pPr>
        <w:rPr>
          <w:b/>
          <w:bCs/>
        </w:rPr>
      </w:pPr>
    </w:p>
    <w:p w14:paraId="0000000F">
      <w:pPr>
        <w:rPr>
          <w:b/>
          <w:bCs/>
        </w:rPr>
      </w:pPr>
    </w:p>
    <w:p w14:paraId="00000010">
      <w:pPr>
        <w:rPr>
          <w:b/>
          <w:bCs/>
        </w:rPr>
      </w:pPr>
    </w:p>
    <w:p w14:paraId="00000011">
      <w:pPr>
        <w:rPr>
          <w:b/>
          <w:bCs/>
        </w:rPr>
      </w:pPr>
    </w:p>
    <w:p w14:paraId="00000012">
      <w:pPr>
        <w:rPr>
          <w:b/>
          <w:bCs/>
        </w:rPr>
      </w:pPr>
    </w:p>
    <w:p w14:paraId="00000013">
      <w:pPr>
        <w:rPr>
          <w:b/>
          <w:bCs/>
        </w:rPr>
      </w:pPr>
    </w:p>
    <w:p w14:paraId="00000014">
      <w:pPr>
        <w:rPr>
          <w:b/>
          <w:bCs/>
        </w:rPr>
      </w:pPr>
    </w:p>
    <w:p w14:paraId="00000015">
      <w:pPr>
        <w:rPr>
          <w:b/>
          <w:bCs/>
        </w:rPr>
      </w:pPr>
    </w:p>
    <w:p w14:paraId="00000016">
      <w:pPr>
        <w:rPr>
          <w:b/>
          <w:bCs/>
        </w:rPr>
      </w:pPr>
    </w:p>
    <w:p w14:paraId="00000017">
      <w:pPr>
        <w:rPr>
          <w:b/>
          <w:bCs/>
        </w:rPr>
      </w:pPr>
    </w:p>
    <w:p w14:paraId="00000018">
      <w:pPr>
        <w:rPr>
          <w:b/>
          <w:bCs/>
        </w:rPr>
      </w:pPr>
    </w:p>
    <w:p w14:paraId="00000019">
      <w:pPr>
        <w:rPr>
          <w:b/>
          <w:bCs/>
        </w:rPr>
      </w:pPr>
    </w:p>
    <w:p w14:paraId="0000001A">
      <w:pPr>
        <w:rPr>
          <w:b/>
          <w:bCs/>
        </w:rPr>
      </w:pPr>
    </w:p>
    <w:p w14:paraId="0000001B">
      <w:pPr>
        <w:rPr>
          <w:b/>
          <w:bCs/>
        </w:rPr>
      </w:pPr>
    </w:p>
    <w:p w14:paraId="0000001C">
      <w:pPr>
        <w:rPr>
          <w:b/>
          <w:bCs/>
        </w:rPr>
      </w:pPr>
    </w:p>
    <w:p w14:paraId="0000001D">
      <w:pPr>
        <w:rPr>
          <w:b/>
          <w:bCs/>
        </w:rPr>
      </w:pPr>
    </w:p>
    <w:p w14:paraId="0000001E">
      <w:pPr>
        <w:jc w:val="center"/>
        <w:rPr>
          <w:b/>
          <w:bCs/>
        </w:rPr>
      </w:pPr>
      <w:r>
        <w:rPr>
          <w:b/>
          <w:bCs/>
        </w:rPr>
        <w:t>Executive summary</w:t>
      </w:r>
    </w:p>
    <w:p w14:paraId="0000001F">
      <w:r>
        <w:t>This</w:t>
      </w:r>
      <w:r>
        <w:rPr>
          <w:b/>
          <w:bCs/>
        </w:rPr>
        <w:t xml:space="preserve"> </w:t>
      </w:r>
      <w:r>
        <w:t>report</w:t>
      </w:r>
      <w:r>
        <w:rPr>
          <w:b/>
          <w:bCs/>
        </w:rPr>
        <w:t xml:space="preserve"> </w:t>
      </w:r>
      <w:r>
        <w:t xml:space="preserve">properly analyses </w:t>
      </w:r>
      <w:r>
        <w:t xml:space="preserve">Wyndham Hotels &amp; Resorts' organizational structure, culture, and goals, focusing on recent change initiatives and strategic direction. It properly explores the company’s hierarchical yet that decentralized the franchise model as well as customer centric culture and sustainability. Different kinds of key initiatives mainly include the digital transformation along </w:t>
      </w:r>
      <w:r>
        <w:t>wit</w:t>
      </w:r>
      <w:r>
        <w:t xml:space="preserve"> increased efficiency. The report properly evaluates the strategy of the company for global expansion and digital capabilities. Different kinds of recommendations are provided to strengthen the centralized coordination and increase the overall sustainability.  </w:t>
      </w:r>
    </w:p>
    <w:p w14:paraId="00000020">
      <w:pPr>
        <w:pStyle w:val="Heading1"/>
        <w:rPr/>
      </w:pPr>
    </w:p>
    <w:p w14:paraId="00000021">
      <w:pPr>
        <w:pStyle w:val="Heading1"/>
        <w:rPr/>
      </w:pPr>
    </w:p>
    <w:p w14:paraId="00000022">
      <w:pPr>
        <w:pStyle w:val="Heading1"/>
        <w:rPr/>
      </w:pPr>
    </w:p>
    <w:p w14:paraId="00000023">
      <w:pPr>
        <w:pStyle w:val="Heading1"/>
        <w:rPr/>
      </w:pPr>
    </w:p>
    <w:p w14:paraId="00000024">
      <w:pPr>
        <w:pStyle w:val="Heading1"/>
        <w:rPr/>
      </w:pPr>
    </w:p>
    <w:p w14:paraId="00000025">
      <w:pPr>
        <w:pStyle w:val="Heading1"/>
        <w:rPr/>
      </w:pPr>
    </w:p>
    <w:p w14:paraId="00000026">
      <w:pPr>
        <w:pStyle w:val="Heading1"/>
        <w:rPr/>
      </w:pPr>
    </w:p>
    <w:p w14:paraId="00000027">
      <w:pPr>
        <w:pStyle w:val="Heading1"/>
        <w:rPr/>
      </w:pPr>
    </w:p>
    <w:p w14:paraId="00000028">
      <w:pPr>
        <w:pStyle w:val="Heading1"/>
        <w:rPr/>
      </w:pPr>
    </w:p>
    <w:p w14:paraId="00000029"/>
    <w:p w14:paraId="0000002A"/>
    <w:p w14:paraId="0000002B">
      <w:pPr>
        <w:pStyle w:val="TOCHeading"/>
        <w:rPr/>
      </w:pPr>
      <w:r>
        <w:t>Contents</w:t>
      </w:r>
    </w:p>
    <w:p w14:paraId="0000002C">
      <w:pPr>
        <w:pStyle w:val="Toc1"/>
        <w:tabs>
          <w:tab w:val="right" w:leader="dot" w:pos="9350"/>
        </w:tabs>
        <w:rPr>
          <w:rFonts w:eastAsiaTheme="minorEastAsia"/>
          <w:sz w:val="22"/>
          <w:lang w:val="en-US"/>
        </w:rPr>
      </w:pPr>
      <w:r>
        <w:rPr>
          <w:rStyle w:val="Hyperlink"/>
        </w:rPr>
        <w:fldChar w:fldCharType="begin"/>
      </w:r>
      <w:r>
        <w:rPr>
          <w:rStyle w:val="Hyperlink"/>
        </w:rPr>
        <w:instrText xml:space="preserve"> TOC \o "1-3" \h \z \u </w:instrText>
      </w:r>
      <w:r>
        <w:rPr>
          <w:rStyle w:val="Hyperlink"/>
        </w:rPr>
        <w:fldChar w:fldCharType="separate"/>
      </w:r>
      <w:r>
        <w:rPr>
          <w:rStyle w:val="Hyperlink"/>
        </w:rPr>
        <w:fldChar w:fldCharType="begin"/>
      </w:r>
      <w:r>
        <w:rPr>
          <w:rStyle w:val="Hyperlink"/>
        </w:rPr>
        <w:instrText xml:space="preserve">HYPERLINK \l "_Toc179825318" </w:instrText>
      </w:r>
      <w:r>
        <w:rPr>
          <w:rStyle w:val="Hyperlink"/>
        </w:rPr>
        <w:fldChar w:fldCharType="separate"/>
      </w:r>
      <w:r>
        <w:rPr>
          <w:rStyle w:val="Hyperlink"/>
        </w:rPr>
        <w:t>Introduction</w:t>
      </w:r>
      <w:r>
        <w:tab/>
      </w:r>
      <w:r>
        <w:fldChar w:fldCharType="begin"/>
      </w:r>
      <w:r>
        <w:instrText xml:space="preserve"> PAGEREF _Toc179825318 \h </w:instrText>
      </w:r>
      <w:r>
        <w:fldChar w:fldCharType="separate"/>
      </w:r>
      <w:r>
        <w:t>4</w:t>
      </w:r>
      <w:r>
        <w:rPr>
          <w:rFonts w:eastAsiaTheme="minorEastAsia"/>
          <w:sz w:val="22"/>
          <w:lang w:val="en-US"/>
        </w:rPr>
        <w:fldChar w:fldCharType="end"/>
      </w:r>
      <w:r>
        <w:rPr>
          <w:rFonts w:eastAsiaTheme="minorEastAsia"/>
          <w:sz w:val="22"/>
          <w:lang w:val="en-US"/>
        </w:rPr>
        <w:fldChar w:fldCharType="end"/>
      </w:r>
    </w:p>
    <w:p w14:paraId="0000002D">
      <w:pPr>
        <w:pStyle w:val="Toc1"/>
        <w:tabs>
          <w:tab w:val="right" w:leader="dot" w:pos="9350"/>
        </w:tabs>
        <w:rPr>
          <w:rFonts w:eastAsiaTheme="minorEastAsia"/>
          <w:sz w:val="22"/>
          <w:lang w:val="en-US"/>
        </w:rPr>
      </w:pPr>
      <w:r>
        <w:rPr>
          <w:rStyle w:val="Hyperlink"/>
        </w:rPr>
        <w:fldChar w:fldCharType="begin"/>
      </w:r>
      <w:r>
        <w:rPr>
          <w:rStyle w:val="Hyperlink"/>
        </w:rPr>
        <w:instrText xml:space="preserve">HYPERLINK \l "_Toc179825319" </w:instrText>
      </w:r>
      <w:r>
        <w:rPr>
          <w:rStyle w:val="Hyperlink"/>
        </w:rPr>
        <w:fldChar w:fldCharType="separate"/>
      </w:r>
      <w:r>
        <w:rPr>
          <w:rStyle w:val="Hyperlink"/>
        </w:rPr>
        <w:t>Organizational Structure, Culture, and Goals</w:t>
      </w:r>
      <w:r>
        <w:tab/>
      </w:r>
      <w:r>
        <w:fldChar w:fldCharType="begin"/>
      </w:r>
      <w:r>
        <w:instrText xml:space="preserve"> PAGEREF _Toc179825319 \h </w:instrText>
      </w:r>
      <w:r>
        <w:fldChar w:fldCharType="separate"/>
      </w:r>
      <w:r>
        <w:t>4</w:t>
      </w:r>
      <w:r>
        <w:rPr>
          <w:rFonts w:eastAsiaTheme="minorEastAsia"/>
          <w:sz w:val="22"/>
          <w:lang w:val="en-US"/>
        </w:rPr>
        <w:fldChar w:fldCharType="end"/>
      </w:r>
      <w:r>
        <w:rPr>
          <w:rFonts w:eastAsiaTheme="minorEastAsia"/>
          <w:sz w:val="22"/>
          <w:lang w:val="en-US"/>
        </w:rPr>
        <w:fldChar w:fldCharType="end"/>
      </w:r>
    </w:p>
    <w:p w14:paraId="0000002E">
      <w:pPr>
        <w:pStyle w:val="Toc1"/>
        <w:tabs>
          <w:tab w:val="right" w:leader="dot" w:pos="9350"/>
        </w:tabs>
        <w:rPr>
          <w:rFonts w:eastAsiaTheme="minorEastAsia"/>
          <w:sz w:val="22"/>
          <w:lang w:val="en-US"/>
        </w:rPr>
      </w:pPr>
      <w:r>
        <w:rPr>
          <w:rStyle w:val="Hyperlink"/>
          <w:rFonts w:eastAsia="Times New Roman"/>
          <w:lang w:val="en-US"/>
        </w:rPr>
        <w:fldChar w:fldCharType="begin"/>
      </w:r>
      <w:r>
        <w:rPr>
          <w:rStyle w:val="Hyperlink"/>
          <w:rFonts w:eastAsia="Times New Roman"/>
          <w:lang w:val="en-US"/>
        </w:rPr>
        <w:instrText xml:space="preserve">HYPERLINK \l "_Toc179825320" </w:instrText>
      </w:r>
      <w:r>
        <w:rPr>
          <w:rStyle w:val="Hyperlink"/>
          <w:rFonts w:eastAsia="Times New Roman"/>
          <w:lang w:val="en-US"/>
        </w:rPr>
        <w:fldChar w:fldCharType="separate"/>
      </w:r>
      <w:r>
        <w:rPr>
          <w:rStyle w:val="Hyperlink"/>
          <w:rFonts w:eastAsia="Times New Roman"/>
          <w:lang w:val="en-US"/>
        </w:rPr>
        <w:t>Recent Change Initiatives</w:t>
      </w:r>
      <w:r>
        <w:tab/>
      </w:r>
      <w:r>
        <w:fldChar w:fldCharType="begin"/>
      </w:r>
      <w:r>
        <w:instrText xml:space="preserve"> PAGEREF _Toc179825320 \h </w:instrText>
      </w:r>
      <w:r>
        <w:fldChar w:fldCharType="separate"/>
      </w:r>
      <w:r>
        <w:t>6</w:t>
      </w:r>
      <w:r>
        <w:rPr>
          <w:rFonts w:eastAsiaTheme="minorEastAsia"/>
          <w:sz w:val="22"/>
          <w:lang w:val="en-US"/>
        </w:rPr>
        <w:fldChar w:fldCharType="end"/>
      </w:r>
      <w:r>
        <w:rPr>
          <w:rFonts w:eastAsiaTheme="minorEastAsia"/>
          <w:sz w:val="22"/>
          <w:lang w:val="en-US"/>
        </w:rPr>
        <w:fldChar w:fldCharType="end"/>
      </w:r>
    </w:p>
    <w:p w14:paraId="0000002F">
      <w:pPr>
        <w:pStyle w:val="Toc1"/>
        <w:tabs>
          <w:tab w:val="right" w:leader="dot" w:pos="9350"/>
        </w:tabs>
        <w:rPr>
          <w:rFonts w:eastAsiaTheme="minorEastAsia"/>
          <w:sz w:val="22"/>
          <w:lang w:val="en-US"/>
        </w:rPr>
      </w:pPr>
      <w:r>
        <w:rPr>
          <w:rStyle w:val="Hyperlink"/>
        </w:rPr>
        <w:fldChar w:fldCharType="begin"/>
      </w:r>
      <w:r>
        <w:rPr>
          <w:rStyle w:val="Hyperlink"/>
        </w:rPr>
        <w:instrText xml:space="preserve">HYPERLINK \l "_Toc179825321" </w:instrText>
      </w:r>
      <w:r>
        <w:rPr>
          <w:rStyle w:val="Hyperlink"/>
        </w:rPr>
        <w:fldChar w:fldCharType="separate"/>
      </w:r>
      <w:r>
        <w:rPr>
          <w:rStyle w:val="Hyperlink"/>
        </w:rPr>
        <w:t>Strategic Direction</w:t>
      </w:r>
      <w:r>
        <w:tab/>
      </w:r>
      <w:r>
        <w:fldChar w:fldCharType="begin"/>
      </w:r>
      <w:r>
        <w:instrText xml:space="preserve"> PAGEREF _Toc179825321 \h </w:instrText>
      </w:r>
      <w:r>
        <w:fldChar w:fldCharType="separate"/>
      </w:r>
      <w:r>
        <w:t>7</w:t>
      </w:r>
      <w:r>
        <w:rPr>
          <w:rFonts w:eastAsiaTheme="minorEastAsia"/>
          <w:sz w:val="22"/>
          <w:lang w:val="en-US"/>
        </w:rPr>
        <w:fldChar w:fldCharType="end"/>
      </w:r>
      <w:r>
        <w:rPr>
          <w:rFonts w:eastAsiaTheme="minorEastAsia"/>
          <w:sz w:val="22"/>
          <w:lang w:val="en-US"/>
        </w:rPr>
        <w:fldChar w:fldCharType="end"/>
      </w:r>
    </w:p>
    <w:p w14:paraId="00000030">
      <w:pPr>
        <w:pStyle w:val="Toc1"/>
        <w:tabs>
          <w:tab w:val="right" w:leader="dot" w:pos="9350"/>
        </w:tabs>
        <w:rPr>
          <w:rFonts w:eastAsiaTheme="minorEastAsia"/>
          <w:sz w:val="22"/>
          <w:lang w:val="en-US"/>
        </w:rPr>
      </w:pPr>
      <w:r>
        <w:rPr>
          <w:rStyle w:val="Hyperlink"/>
        </w:rPr>
        <w:fldChar w:fldCharType="begin"/>
      </w:r>
      <w:r>
        <w:rPr>
          <w:rStyle w:val="Hyperlink"/>
        </w:rPr>
        <w:instrText xml:space="preserve">HYPERLINK \l "_Toc179825322" </w:instrText>
      </w:r>
      <w:r>
        <w:rPr>
          <w:rStyle w:val="Hyperlink"/>
        </w:rPr>
        <w:fldChar w:fldCharType="separate"/>
      </w:r>
      <w:r>
        <w:rPr>
          <w:rStyle w:val="Hyperlink"/>
        </w:rPr>
        <w:t>Conclusion</w:t>
      </w:r>
      <w:r>
        <w:tab/>
      </w:r>
      <w:r>
        <w:fldChar w:fldCharType="begin"/>
      </w:r>
      <w:r>
        <w:instrText xml:space="preserve"> PAGEREF _Toc179825322 \h </w:instrText>
      </w:r>
      <w:r>
        <w:fldChar w:fldCharType="separate"/>
      </w:r>
      <w:r>
        <w:t>8</w:t>
      </w:r>
      <w:r>
        <w:rPr>
          <w:rFonts w:eastAsiaTheme="minorEastAsia"/>
          <w:sz w:val="22"/>
          <w:lang w:val="en-US"/>
        </w:rPr>
        <w:fldChar w:fldCharType="end"/>
      </w:r>
      <w:r>
        <w:rPr>
          <w:rFonts w:eastAsiaTheme="minorEastAsia"/>
          <w:sz w:val="22"/>
          <w:lang w:val="en-US"/>
        </w:rPr>
        <w:fldChar w:fldCharType="end"/>
      </w:r>
    </w:p>
    <w:p w14:paraId="00000031">
      <w:pPr>
        <w:pStyle w:val="Toc1"/>
        <w:tabs>
          <w:tab w:val="right" w:leader="dot" w:pos="9350"/>
        </w:tabs>
        <w:rPr>
          <w:rFonts w:eastAsiaTheme="minorEastAsia"/>
          <w:sz w:val="22"/>
          <w:lang w:val="en-US"/>
        </w:rPr>
      </w:pPr>
      <w:r>
        <w:rPr>
          <w:rStyle w:val="Hyperlink"/>
        </w:rPr>
        <w:fldChar w:fldCharType="begin"/>
      </w:r>
      <w:r>
        <w:rPr>
          <w:rStyle w:val="Hyperlink"/>
        </w:rPr>
        <w:instrText xml:space="preserve">HYPERLINK \l "_Toc179825323" </w:instrText>
      </w:r>
      <w:r>
        <w:rPr>
          <w:rStyle w:val="Hyperlink"/>
        </w:rPr>
        <w:fldChar w:fldCharType="separate"/>
      </w:r>
      <w:r>
        <w:rPr>
          <w:rStyle w:val="Hyperlink"/>
        </w:rPr>
        <w:t>Recommendations for Improvement</w:t>
      </w:r>
      <w:r>
        <w:tab/>
      </w:r>
      <w:r>
        <w:fldChar w:fldCharType="begin"/>
      </w:r>
      <w:r>
        <w:instrText xml:space="preserve"> PAGEREF _Toc179825323 \h </w:instrText>
      </w:r>
      <w:r>
        <w:fldChar w:fldCharType="separate"/>
      </w:r>
      <w:r>
        <w:t>8</w:t>
      </w:r>
      <w:r>
        <w:rPr>
          <w:rFonts w:eastAsiaTheme="minorEastAsia"/>
          <w:sz w:val="22"/>
          <w:lang w:val="en-US"/>
        </w:rPr>
        <w:fldChar w:fldCharType="end"/>
      </w:r>
      <w:r>
        <w:rPr>
          <w:rFonts w:eastAsiaTheme="minorEastAsia"/>
          <w:sz w:val="22"/>
          <w:lang w:val="en-US"/>
        </w:rPr>
        <w:fldChar w:fldCharType="end"/>
      </w:r>
    </w:p>
    <w:p w14:paraId="00000032">
      <w:pPr>
        <w:pStyle w:val="Toc1"/>
        <w:tabs>
          <w:tab w:val="right" w:leader="dot" w:pos="9350"/>
        </w:tabs>
        <w:rPr>
          <w:rFonts w:eastAsiaTheme="minorEastAsia"/>
          <w:sz w:val="22"/>
          <w:lang w:val="en-US"/>
        </w:rPr>
      </w:pPr>
      <w:r>
        <w:rPr>
          <w:rStyle w:val="Hyperlink"/>
        </w:rPr>
        <w:fldChar w:fldCharType="begin"/>
      </w:r>
      <w:r>
        <w:rPr>
          <w:rStyle w:val="Hyperlink"/>
        </w:rPr>
        <w:instrText xml:space="preserve">HYPERLINK \l "_Toc179825324" </w:instrText>
      </w:r>
      <w:r>
        <w:rPr>
          <w:rStyle w:val="Hyperlink"/>
        </w:rPr>
        <w:fldChar w:fldCharType="separate"/>
      </w:r>
      <w:r>
        <w:rPr>
          <w:rStyle w:val="Hyperlink"/>
        </w:rPr>
        <w:t>References</w:t>
      </w:r>
      <w:r>
        <w:tab/>
      </w:r>
      <w:r>
        <w:fldChar w:fldCharType="begin"/>
      </w:r>
      <w:r>
        <w:instrText xml:space="preserve"> PAGEREF _Toc179825324 \h </w:instrText>
      </w:r>
      <w:r>
        <w:fldChar w:fldCharType="separate"/>
      </w:r>
      <w:r>
        <w:t>10</w:t>
      </w:r>
      <w:r>
        <w:rPr>
          <w:rFonts w:eastAsiaTheme="minorEastAsia"/>
          <w:sz w:val="22"/>
          <w:lang w:val="en-US"/>
        </w:rPr>
        <w:fldChar w:fldCharType="end"/>
      </w:r>
      <w:r>
        <w:rPr>
          <w:rFonts w:eastAsiaTheme="minorEastAsia"/>
          <w:sz w:val="22"/>
          <w:lang w:val="en-US"/>
        </w:rPr>
        <w:fldChar w:fldCharType="end"/>
      </w:r>
    </w:p>
    <w:p w14:paraId="00000033">
      <w:r>
        <w:fldChar w:fldCharType="end"/>
      </w:r>
    </w:p>
    <w:p w14:paraId="00000034">
      <w:pPr>
        <w:pStyle w:val="Heading1"/>
        <w:rPr/>
      </w:pPr>
    </w:p>
    <w:p w14:paraId="00000035">
      <w:pPr>
        <w:pStyle w:val="Heading1"/>
        <w:rPr/>
      </w:pPr>
    </w:p>
    <w:p w14:paraId="00000036">
      <w:pPr>
        <w:pStyle w:val="Heading1"/>
        <w:rPr/>
      </w:pPr>
    </w:p>
    <w:p w14:paraId="00000037">
      <w:pPr>
        <w:pStyle w:val="Heading1"/>
        <w:rPr/>
      </w:pPr>
    </w:p>
    <w:p w14:paraId="00000038">
      <w:pPr>
        <w:pStyle w:val="Heading1"/>
        <w:rPr/>
      </w:pPr>
    </w:p>
    <w:p w14:paraId="00000039">
      <w:pPr>
        <w:pStyle w:val="Heading1"/>
        <w:rPr/>
      </w:pPr>
    </w:p>
    <w:p w14:paraId="0000003A"/>
    <w:p w14:paraId="0000003B"/>
    <w:p w14:paraId="0000003C"/>
    <w:p w14:paraId="0000003D"/>
    <w:p w14:paraId="0000003E">
      <w:pPr>
        <w:pStyle w:val="Heading1"/>
        <w:rPr/>
      </w:pPr>
      <w:bookmarkStart w:id="0" w:name="_Toc179825318"/>
      <w:r>
        <w:t>Introduction</w:t>
      </w:r>
      <w:bookmarkEnd w:id="0"/>
    </w:p>
    <w:p w14:paraId="0000003F">
      <w:pPr>
        <w:rPr>
          <w:rFonts w:cstheme="minorHAnsi" w:eastAsia="Times New Roman"/>
          <w:szCs w:val="24"/>
          <w:lang w:val="en-US"/>
        </w:rPr>
      </w:pPr>
      <w:r>
        <w:rPr>
          <w:rFonts w:cstheme="minorHAnsi"/>
        </w:rPr>
        <w:t xml:space="preserve">Wyndham Hotels &amp; Resorts is one of the largest and most diverse hotel groups all over the </w:t>
      </w:r>
      <w:r>
        <w:rPr>
          <w:rFonts w:cstheme="minorHAnsi"/>
        </w:rPr>
        <w:t>world</w:t>
      </w:r>
      <w:r>
        <w:rPr>
          <w:rFonts w:cstheme="minorHAnsi"/>
        </w:rPr>
        <w:t>, with over 9</w:t>
      </w:r>
      <w:r>
        <w:rPr>
          <w:rFonts w:cstheme="minorHAnsi"/>
        </w:rPr>
        <w:t>1</w:t>
      </w:r>
      <w:r>
        <w:rPr>
          <w:rFonts w:cstheme="minorHAnsi"/>
        </w:rPr>
        <w:t>00 hotels across 95 countries</w:t>
      </w:r>
      <w:r>
        <w:rPr>
          <w:rFonts w:cstheme="minorHAnsi"/>
        </w:rPr>
        <w:t xml:space="preserve"> </w:t>
      </w:r>
      <w:r>
        <w:rPr>
          <w:rFonts w:cstheme="minorHAnsi"/>
          <w:color w:val="000000"/>
          <w:shd w:val="clear" w:color="auto" w:fill="ffffff"/>
        </w:rPr>
        <w:t>(Wyndhamhotels.com, 2024)</w:t>
      </w:r>
      <w:r>
        <w:rPr>
          <w:rFonts w:cstheme="minorHAnsi"/>
        </w:rPr>
        <w:t xml:space="preserve">. It properly operates a variety of brands that ranging from economy to upscale and catering to different </w:t>
      </w:r>
      <w:r>
        <w:rPr>
          <w:rFonts w:cstheme="minorHAnsi"/>
        </w:rPr>
        <w:t xml:space="preserve">strategies for market segments such as business travellers, tourists and extended stay guests. The aim of this report is to properly analyse the organisational structure, organisational culture and goals of Wyndham Hotels &amp; Resorts to evaluate recent change initiatives along with assess its strategic direction. This report will be delved into the recommendations on how the company can be able to increase its competitiveness in the hotel industry. </w:t>
      </w:r>
      <w:r>
        <w:rPr>
          <w:rFonts w:cstheme="minorHAnsi"/>
        </w:rPr>
        <w:t>This report will assess how the organization's structure is designed to manage such a large, diverse portfolio, the influence of corporate culture on its operations, and how the company's goals align with both its corporate vision and individual hotel units.</w:t>
      </w:r>
    </w:p>
    <w:p w14:paraId="00000040">
      <w:pPr>
        <w:pStyle w:val="Heading1"/>
        <w:rPr/>
      </w:pPr>
      <w:bookmarkStart w:id="1" w:name="_Toc179825319"/>
      <w:r>
        <w:t>Organizational Structure, Culture, and Goals</w:t>
      </w:r>
      <w:bookmarkEnd w:id="1"/>
    </w:p>
    <w:p w14:paraId="00000041">
      <w:pPr>
        <w:rPr>
          <w:rFonts w:cstheme="minorHAnsi"/>
          <w:b/>
          <w:bCs/>
        </w:rPr>
      </w:pPr>
      <w:r>
        <w:rPr>
          <w:rFonts w:cstheme="minorHAnsi"/>
          <w:b/>
          <w:bCs/>
        </w:rPr>
        <w:t>Organizational Structure</w:t>
      </w:r>
    </w:p>
    <w:p w14:paraId="00000042">
      <w:pPr>
        <w:rPr>
          <w:rFonts w:cstheme="minorHAnsi" w:eastAsia="Times New Roman"/>
          <w:szCs w:val="24"/>
          <w:lang w:val="en-US"/>
        </w:rPr>
      </w:pPr>
      <w:r>
        <w:rPr>
          <w:rFonts w:cstheme="minorHAnsi"/>
        </w:rPr>
        <w:t xml:space="preserve">Wyndham Hotels &amp; Resorts operates a hierarchical organizational structure with clear reporting lines from the top executives to individual hotel managers. The hierarchical organizational structure significantly allows for the efficient decision-making at the level of corporate at the time of providing flexibility at individual </w:t>
      </w:r>
      <w:r>
        <w:rPr>
          <w:rFonts w:cstheme="minorHAnsi"/>
        </w:rPr>
        <w:t>hotel units</w:t>
      </w:r>
      <w:r>
        <w:rPr>
          <w:rFonts w:cstheme="minorHAnsi"/>
        </w:rPr>
        <w:t xml:space="preserve"> (</w:t>
      </w:r>
      <w:r>
        <w:rPr>
          <w:rFonts w:cstheme="minorHAnsi" w:eastAsia="Times New Roman"/>
          <w:szCs w:val="24"/>
          <w:lang w:val="en-US"/>
        </w:rPr>
        <w:t>Diefenbach</w:t>
      </w:r>
      <w:r>
        <w:rPr>
          <w:rFonts w:cstheme="minorHAnsi" w:eastAsia="Times New Roman"/>
          <w:szCs w:val="24"/>
          <w:lang w:val="en-US"/>
        </w:rPr>
        <w:t>, 2013)</w:t>
      </w:r>
      <w:r>
        <w:rPr>
          <w:rFonts w:cstheme="minorHAnsi"/>
        </w:rPr>
        <w:t>. The company’s organisational structure is decentralized and properly enabling franchisees to manage daily operational activities and adhering to the overall strategic goals as well as different types of policies that are set by the corporate headquarters. Wyndham’s model mainly based on a mix of owned, leased and franchised hotels and properly supports this hybrid structure and ensuring alignment of strategic objectives across different types of properties</w:t>
      </w:r>
      <w:r>
        <w:rPr>
          <w:rFonts w:cstheme="minorHAnsi"/>
        </w:rPr>
        <w:t xml:space="preserve"> (</w:t>
      </w:r>
      <w:r>
        <w:rPr>
          <w:rFonts w:cstheme="minorHAnsi" w:eastAsia="Times New Roman"/>
          <w:szCs w:val="24"/>
          <w:lang w:val="en-US"/>
        </w:rPr>
        <w:t>Kowalczyk, 2015)</w:t>
      </w:r>
      <w:r>
        <w:rPr>
          <w:rFonts w:cstheme="minorHAnsi"/>
        </w:rPr>
        <w:t xml:space="preserve">. </w:t>
      </w:r>
    </w:p>
    <w:p w14:paraId="00000043">
      <w:pPr>
        <w:rPr>
          <w:rFonts w:cstheme="minorHAnsi" w:eastAsia="Times New Roman"/>
          <w:szCs w:val="24"/>
          <w:lang w:val="en-US"/>
        </w:rPr>
      </w:pPr>
      <w:r>
        <w:rPr>
          <w:rFonts w:cstheme="minorHAnsi"/>
        </w:rPr>
        <w:t xml:space="preserve">Wyndham’s leadership team oversees the company’s strategic direction at a global level. However, the company is divided into regional units to properly handle the diverse needs of different market position. The company properly operates on the franchise model, where all the hotel owners run the company’s branded properties. The franchises </w:t>
      </w:r>
      <w:r>
        <w:rPr>
          <w:rFonts w:cstheme="minorHAnsi"/>
        </w:rPr>
        <w:t>benefit</w:t>
      </w:r>
      <w:r>
        <w:rPr>
          <w:rFonts w:cstheme="minorHAnsi"/>
        </w:rPr>
        <w:t xml:space="preserve"> from the </w:t>
      </w:r>
      <w:r>
        <w:rPr>
          <w:rFonts w:cstheme="minorHAnsi"/>
        </w:rPr>
        <w:t xml:space="preserve">brand </w:t>
      </w:r>
      <w:r>
        <w:rPr>
          <w:rFonts w:cstheme="minorHAnsi"/>
        </w:rPr>
        <w:t xml:space="preserve">recognition and sufficient corporate support from </w:t>
      </w:r>
      <w:r>
        <w:rPr>
          <w:rFonts w:cstheme="minorHAnsi"/>
        </w:rPr>
        <w:t>a</w:t>
      </w:r>
      <w:r>
        <w:rPr>
          <w:rFonts w:cstheme="minorHAnsi"/>
        </w:rPr>
        <w:t xml:space="preserve"> company, while </w:t>
      </w:r>
      <w:r>
        <w:rPr>
          <w:rFonts w:cstheme="minorHAnsi"/>
        </w:rPr>
        <w:t>a</w:t>
      </w:r>
      <w:r>
        <w:rPr>
          <w:rFonts w:cstheme="minorHAnsi"/>
        </w:rPr>
        <w:t xml:space="preserve"> company </w:t>
      </w:r>
      <w:r>
        <w:rPr>
          <w:rFonts w:cstheme="minorHAnsi"/>
        </w:rPr>
        <w:t xml:space="preserve">can be able to </w:t>
      </w:r>
      <w:r>
        <w:rPr>
          <w:rFonts w:cstheme="minorHAnsi"/>
        </w:rPr>
        <w:t>gain sufficient revenue with the help of fees of franchise</w:t>
      </w:r>
      <w:r>
        <w:rPr>
          <w:rFonts w:cstheme="minorHAnsi"/>
        </w:rPr>
        <w:t xml:space="preserve"> (</w:t>
      </w:r>
      <w:r>
        <w:rPr>
          <w:rFonts w:cstheme="minorHAnsi" w:eastAsia="Times New Roman"/>
          <w:szCs w:val="24"/>
          <w:lang w:val="en-US"/>
        </w:rPr>
        <w:t>Maillet</w:t>
      </w:r>
      <w:r>
        <w:rPr>
          <w:rFonts w:cstheme="minorHAnsi" w:eastAsia="Times New Roman"/>
          <w:szCs w:val="24"/>
          <w:lang w:val="en-US"/>
        </w:rPr>
        <w:t>, 2014)</w:t>
      </w:r>
      <w:r>
        <w:rPr>
          <w:rFonts w:cstheme="minorHAnsi"/>
        </w:rPr>
        <w:t xml:space="preserve">. Communication flows from the corporate office to the regional directors, who significantly ensure that the vision of company that are implemented at the unit level. This kind of balance of centralized corporate control along with local flexibility is the key to this company’s success. </w:t>
      </w:r>
    </w:p>
    <w:p w14:paraId="00000044">
      <w:pPr>
        <w:rPr>
          <w:rFonts w:cstheme="minorHAnsi"/>
          <w:b/>
          <w:bCs/>
        </w:rPr>
      </w:pPr>
      <w:r>
        <w:rPr>
          <w:rFonts w:cstheme="minorHAnsi"/>
          <w:b/>
          <w:bCs/>
        </w:rPr>
        <w:t>Corporate Culture</w:t>
      </w:r>
    </w:p>
    <w:p w14:paraId="00000045">
      <w:pPr>
        <w:rPr>
          <w:rFonts w:cstheme="minorHAnsi" w:eastAsia="Times New Roman"/>
          <w:szCs w:val="24"/>
          <w:lang w:val="en-US"/>
        </w:rPr>
      </w:pPr>
      <w:r>
        <w:rPr>
          <w:rFonts w:cstheme="minorHAnsi"/>
        </w:rPr>
        <w:t xml:space="preserve">Wyndham fosters a customer-centric corporate culture that properly emphasizing the satisfaction for all the guest and operational excellence. The company’s “Count </w:t>
      </w:r>
      <w:r>
        <w:rPr>
          <w:rFonts w:cstheme="minorHAnsi"/>
        </w:rPr>
        <w:t>On</w:t>
      </w:r>
      <w:r>
        <w:rPr>
          <w:rFonts w:cstheme="minorHAnsi"/>
        </w:rPr>
        <w:t xml:space="preserve"> Me” service culture is central to its operational activities and ensuring that all the employees across all </w:t>
      </w:r>
      <w:r>
        <w:rPr>
          <w:rFonts w:cstheme="minorHAnsi"/>
        </w:rPr>
        <w:t>kinds of levels are empowered to properly deliver the high-quality service. Th</w:t>
      </w:r>
      <w:r>
        <w:rPr>
          <w:rFonts w:cstheme="minorHAnsi"/>
        </w:rPr>
        <w:t>e</w:t>
      </w:r>
      <w:r>
        <w:rPr>
          <w:rFonts w:cstheme="minorHAnsi"/>
        </w:rPr>
        <w:t xml:space="preserve"> culture influences the operational success of </w:t>
      </w:r>
      <w:r>
        <w:rPr>
          <w:rFonts w:cstheme="minorHAnsi"/>
        </w:rPr>
        <w:t>a</w:t>
      </w:r>
      <w:r>
        <w:rPr>
          <w:rFonts w:cstheme="minorHAnsi"/>
        </w:rPr>
        <w:t xml:space="preserve"> company and encouraging collaboration and accountability along with innovative work at corporate and unit levels</w:t>
      </w:r>
      <w:r>
        <w:rPr>
          <w:rFonts w:cstheme="minorHAnsi"/>
        </w:rPr>
        <w:t xml:space="preserve"> (</w:t>
      </w:r>
      <w:r>
        <w:rPr>
          <w:rFonts w:cstheme="minorHAnsi" w:eastAsia="Times New Roman"/>
          <w:szCs w:val="24"/>
          <w:lang w:val="en-US"/>
        </w:rPr>
        <w:t>Hickman and Silva, 2018)</w:t>
      </w:r>
      <w:r>
        <w:rPr>
          <w:rFonts w:cstheme="minorHAnsi"/>
        </w:rPr>
        <w:t xml:space="preserve">. Wyndham also significantly promotes diversity and inclusivity, with the initiatives aimed at supporting all the employees from different kinds of backgrounds. </w:t>
      </w:r>
    </w:p>
    <w:p w14:paraId="00000046">
      <w:pPr>
        <w:rPr>
          <w:rFonts w:cstheme="minorHAnsi" w:eastAsia="Times New Roman"/>
          <w:szCs w:val="24"/>
          <w:lang w:val="en-US"/>
        </w:rPr>
      </w:pPr>
      <w:r>
        <w:rPr>
          <w:rFonts w:cstheme="minorHAnsi"/>
        </w:rPr>
        <w:t>Wyndham’s corporate culture properly extends to the efforts of sustainability, as the company emphasizes the environmentally-friendly practices across its all the properties. The Wyndham Green Program is a notable initiative that integrates the sustainability into the daily operational activities and significantly promoting the energy efficiency along with conservation of water and reduction of waste</w:t>
      </w:r>
      <w:r>
        <w:rPr>
          <w:rFonts w:cstheme="minorHAnsi"/>
        </w:rPr>
        <w:t xml:space="preserve"> (</w:t>
      </w:r>
      <w:r>
        <w:rPr>
          <w:rFonts w:cstheme="minorHAnsi" w:eastAsia="Times New Roman"/>
          <w:szCs w:val="24"/>
          <w:lang w:val="en-US"/>
        </w:rPr>
        <w:t>Avasiloaei</w:t>
      </w:r>
      <w:r>
        <w:rPr>
          <w:rFonts w:cstheme="minorHAnsi" w:eastAsia="Times New Roman"/>
          <w:szCs w:val="24"/>
          <w:lang w:val="en-US"/>
        </w:rPr>
        <w:t>, 2022)</w:t>
      </w:r>
      <w:r>
        <w:rPr>
          <w:rFonts w:cstheme="minorHAnsi"/>
        </w:rPr>
        <w:t xml:space="preserve">. </w:t>
      </w:r>
      <w:r>
        <w:rPr>
          <w:rFonts w:cstheme="minorHAnsi"/>
        </w:rPr>
        <w:t xml:space="preserve">It has strong focus on the diversity and inclusion, which is embedded in its culture of corporate. This company actively promotes diversity in the hiring practices as well as works to make an inclusive environment all over its hotels. The culture significantly promotes a sense of ownership among all the employees and ensuring that all the guests receive a positive </w:t>
      </w:r>
      <w:r>
        <w:rPr>
          <w:rFonts w:cstheme="minorHAnsi"/>
        </w:rPr>
        <w:t xml:space="preserve">experience in terms of the location of the brand. </w:t>
      </w:r>
    </w:p>
    <w:p w14:paraId="00000047">
      <w:pPr>
        <w:rPr>
          <w:rFonts w:cstheme="minorHAnsi"/>
          <w:b/>
          <w:bCs/>
        </w:rPr>
      </w:pPr>
      <w:r>
        <w:rPr>
          <w:rFonts w:cstheme="minorHAnsi"/>
          <w:b/>
          <w:bCs/>
        </w:rPr>
        <w:t>Goals</w:t>
      </w:r>
    </w:p>
    <w:p w14:paraId="00000048">
      <w:pPr>
        <w:rPr>
          <w:rFonts w:cstheme="minorHAnsi"/>
        </w:rPr>
      </w:pPr>
      <w:r>
        <w:rPr>
          <w:rFonts w:cstheme="minorHAnsi"/>
        </w:rPr>
        <w:t xml:space="preserve">At the corporate level, this Wyndham aims to expand its global footprint an increase the recognition of their brand, and maintain the overall profitability. The company’s proper focus is on the growing its portfolio with the help of acquisitions, franchising, and building loyalty among its customer base. Wyndham has also set the goals around the sustainability and corporate social </w:t>
      </w:r>
      <w:r>
        <w:rPr>
          <w:rFonts w:cstheme="minorHAnsi"/>
        </w:rPr>
        <w:t>responsibility that aiming to mitigate its carbon footprint along with increase the engagement with community.</w:t>
      </w:r>
    </w:p>
    <w:p w14:paraId="00000049">
      <w:pPr>
        <w:rPr>
          <w:rFonts w:cstheme="minorHAnsi" w:eastAsia="Times New Roman"/>
          <w:szCs w:val="24"/>
          <w:lang w:val="en-US"/>
        </w:rPr>
      </w:pPr>
      <w:r>
        <w:rPr>
          <w:rFonts w:cstheme="minorHAnsi"/>
        </w:rPr>
        <w:t>At the individual hotel level, goals include the maintaining for the high occupancy rates and ensuring efficiency in the operational activities as well as delivering exceptional guest experiences</w:t>
      </w:r>
      <w:r>
        <w:rPr>
          <w:rFonts w:cstheme="minorHAnsi"/>
        </w:rPr>
        <w:t xml:space="preserve"> (</w:t>
      </w:r>
      <w:r>
        <w:rPr>
          <w:rFonts w:cstheme="minorHAnsi" w:eastAsia="Times New Roman"/>
          <w:szCs w:val="24"/>
          <w:lang w:val="en-US"/>
        </w:rPr>
        <w:t>Penner et al., 2013)</w:t>
      </w:r>
      <w:r>
        <w:rPr>
          <w:rFonts w:cstheme="minorHAnsi"/>
        </w:rPr>
        <w:t xml:space="preserve">. Each hotel unit sets specific goals that are based on its location, market along with brand to contribute to the overall objectives for the organisation. </w:t>
      </w:r>
      <w:r>
        <w:rPr>
          <w:rFonts w:cstheme="minorHAnsi"/>
        </w:rPr>
        <w:t>Individual hotel units are mainly focused on the operational excellence that is measured with the help of guest satisfaction scores and revenue per available room (</w:t>
      </w:r>
      <w:r>
        <w:rPr>
          <w:rFonts w:cstheme="minorHAnsi"/>
        </w:rPr>
        <w:t>RevPAR) and adherence to the standards of brand. All the hotel managers are mainly responsible to ensure that they provide sufficient quality to properly maintain the overall efficiency and profitability</w:t>
      </w:r>
      <w:r>
        <w:rPr>
          <w:rFonts w:cstheme="minorHAnsi"/>
        </w:rPr>
        <w:t xml:space="preserve"> (</w:t>
      </w:r>
      <w:r>
        <w:rPr>
          <w:rFonts w:cstheme="minorHAnsi" w:eastAsia="Times New Roman"/>
          <w:szCs w:val="24"/>
          <w:lang w:val="en-US"/>
        </w:rPr>
        <w:t>Hayes et al., 2017)</w:t>
      </w:r>
      <w:r>
        <w:rPr>
          <w:rFonts w:cstheme="minorHAnsi"/>
        </w:rPr>
        <w:t xml:space="preserve">. Each hotel is also encouraged to align with the company’s sustainability initiatives with the specific targets. </w:t>
      </w:r>
    </w:p>
    <w:p w14:paraId="0000004A">
      <w:pPr>
        <w:pStyle w:val="Heading1"/>
        <w:rPr>
          <w:rFonts w:eastAsia="Times New Roman"/>
          <w:lang w:val="en-US"/>
        </w:rPr>
      </w:pPr>
      <w:bookmarkStart w:id="2" w:name="_Toc179825320"/>
      <w:r>
        <w:rPr>
          <w:rFonts w:eastAsia="Times New Roman"/>
          <w:lang w:val="en-US"/>
        </w:rPr>
        <w:t>Recent Change Initiatives</w:t>
      </w:r>
      <w:bookmarkEnd w:id="2"/>
    </w:p>
    <w:p w14:paraId="0000004B">
      <w:pPr>
        <w:rPr>
          <w:b/>
          <w:bCs/>
          <w:lang w:val="en-US"/>
        </w:rPr>
      </w:pPr>
      <w:r>
        <w:rPr>
          <w:b/>
          <w:bCs/>
          <w:lang w:val="en-US"/>
        </w:rPr>
        <w:t>Identifying Change Initiatives</w:t>
      </w:r>
    </w:p>
    <w:p w14:paraId="0000004C">
      <w:pPr>
        <w:rPr>
          <w:rFonts w:cstheme="minorHAnsi" w:eastAsia="Times New Roman"/>
          <w:szCs w:val="24"/>
          <w:lang w:val="en-US"/>
        </w:rPr>
      </w:pPr>
      <w:r>
        <w:rPr>
          <w:rFonts w:cstheme="minorHAnsi"/>
        </w:rPr>
        <w:t>In recent years, Wyndham Hotels &amp; Resorts has significantly undertaken the different change initiatives that aimed to address the overall market trends and improving the efficiency in the operational activities. One significant change is the digital transformation initiative, which mainly focuses to increase the experience of guest with the help of technology</w:t>
      </w:r>
      <w:r>
        <w:rPr>
          <w:rFonts w:cstheme="minorHAnsi"/>
        </w:rPr>
        <w:t xml:space="preserve"> (</w:t>
      </w:r>
      <w:r>
        <w:rPr>
          <w:rFonts w:cstheme="minorHAnsi" w:eastAsia="Times New Roman"/>
          <w:szCs w:val="24"/>
          <w:lang w:val="en-US"/>
        </w:rPr>
        <w:t xml:space="preserve">Ž </w:t>
      </w:r>
      <w:r>
        <w:rPr>
          <w:rFonts w:cstheme="minorHAnsi" w:eastAsia="Times New Roman"/>
          <w:szCs w:val="24"/>
          <w:lang w:val="en-US"/>
        </w:rPr>
        <w:t>Đorđević</w:t>
      </w:r>
      <w:r>
        <w:rPr>
          <w:rFonts w:cstheme="minorHAnsi" w:eastAsia="Times New Roman"/>
          <w:szCs w:val="24"/>
          <w:lang w:val="en-US"/>
        </w:rPr>
        <w:t xml:space="preserve"> and </w:t>
      </w:r>
      <w:r>
        <w:rPr>
          <w:rFonts w:cstheme="minorHAnsi" w:eastAsia="Times New Roman"/>
          <w:szCs w:val="24"/>
          <w:lang w:val="en-US"/>
        </w:rPr>
        <w:t>Janković</w:t>
      </w:r>
      <w:r>
        <w:rPr>
          <w:rFonts w:cstheme="minorHAnsi" w:eastAsia="Times New Roman"/>
          <w:szCs w:val="24"/>
          <w:lang w:val="en-US"/>
        </w:rPr>
        <w:t>, 2015)</w:t>
      </w:r>
      <w:r>
        <w:rPr>
          <w:rFonts w:cstheme="minorHAnsi"/>
        </w:rPr>
        <w:t>. This mainly includes mobile check-ins, keyless room entry, and personalized marketing via the Wyndham Rewards loyalty program.</w:t>
      </w:r>
      <w:r>
        <w:rPr>
          <w:rFonts w:cstheme="minorHAnsi"/>
        </w:rPr>
        <w:t xml:space="preserve"> </w:t>
      </w:r>
      <w:r>
        <w:rPr>
          <w:rFonts w:cstheme="minorHAnsi"/>
        </w:rPr>
        <w:t xml:space="preserve">Moreover, the company has implemented operational changes to properly improve the safety and hygiene in response to the Covid-19 pandemic. </w:t>
      </w:r>
    </w:p>
    <w:p w14:paraId="0000004D">
      <w:pPr>
        <w:rPr>
          <w:b/>
          <w:bCs/>
        </w:rPr>
      </w:pPr>
      <w:r>
        <w:rPr>
          <w:b/>
          <w:bCs/>
        </w:rPr>
        <w:t>Impact of the Initiatives</w:t>
      </w:r>
    </w:p>
    <w:p w14:paraId="0000004E">
      <w:pPr>
        <w:rPr>
          <w:rFonts w:cstheme="minorHAnsi" w:eastAsia="Times New Roman"/>
          <w:szCs w:val="24"/>
          <w:lang w:val="en-US"/>
        </w:rPr>
      </w:pPr>
      <w:r>
        <w:rPr>
          <w:rFonts w:cstheme="minorHAnsi"/>
        </w:rPr>
        <w:t>The digital transformation has positively impacted th</w:t>
      </w:r>
      <w:r>
        <w:rPr>
          <w:rFonts w:cstheme="minorHAnsi"/>
        </w:rPr>
        <w:t>e</w:t>
      </w:r>
      <w:r>
        <w:rPr>
          <w:rFonts w:cstheme="minorHAnsi"/>
        </w:rPr>
        <w:t xml:space="preserve"> company with the help of improving satisfaction for customer and streamline the operational activities</w:t>
      </w:r>
      <w:r>
        <w:rPr>
          <w:rFonts w:cstheme="minorHAnsi"/>
        </w:rPr>
        <w:t xml:space="preserve"> (</w:t>
      </w:r>
      <w:r>
        <w:rPr>
          <w:rFonts w:cstheme="minorHAnsi" w:eastAsia="Times New Roman"/>
          <w:szCs w:val="24"/>
          <w:lang w:val="en-US"/>
        </w:rPr>
        <w:t>Ustundag</w:t>
      </w:r>
      <w:r>
        <w:rPr>
          <w:rFonts w:cstheme="minorHAnsi" w:eastAsia="Times New Roman"/>
          <w:szCs w:val="24"/>
          <w:lang w:val="en-US"/>
        </w:rPr>
        <w:t xml:space="preserve"> and </w:t>
      </w:r>
      <w:r>
        <w:rPr>
          <w:rFonts w:cstheme="minorHAnsi" w:eastAsia="Times New Roman"/>
          <w:szCs w:val="24"/>
          <w:lang w:val="en-US"/>
        </w:rPr>
        <w:t>Cevikcan</w:t>
      </w:r>
      <w:r>
        <w:rPr>
          <w:rFonts w:cstheme="minorHAnsi" w:eastAsia="Times New Roman"/>
          <w:szCs w:val="24"/>
          <w:lang w:val="en-US"/>
        </w:rPr>
        <w:t>, 2017)</w:t>
      </w:r>
      <w:r>
        <w:rPr>
          <w:rFonts w:cstheme="minorHAnsi"/>
        </w:rPr>
        <w:t xml:space="preserve">. The mobile app as well as digital services have significantly enhanced </w:t>
      </w:r>
      <w:r>
        <w:rPr>
          <w:rFonts w:cstheme="minorHAnsi"/>
        </w:rPr>
        <w:t xml:space="preserve">convenience for all the guests, specifically for the business travellers. The hygiene along with safety protocols </w:t>
      </w:r>
      <w:r>
        <w:rPr>
          <w:rFonts w:cstheme="minorHAnsi"/>
        </w:rPr>
        <w:t xml:space="preserve">implemented in response to the pandemic that have helped to restore the confidence of travellers and resulting in enhanced occupancy rates. </w:t>
      </w:r>
    </w:p>
    <w:p w14:paraId="0000004F">
      <w:r>
        <w:rPr>
          <w:rFonts w:cstheme="minorHAnsi"/>
        </w:rPr>
        <w:t>The company’s move to the sustainability with the</w:t>
      </w:r>
      <w:r>
        <w:t xml:space="preserve"> help of Wyndham Green Program that has also had a positive impact</w:t>
      </w:r>
      <w:r>
        <w:t xml:space="preserve"> </w:t>
      </w:r>
      <w:r>
        <w:rPr>
          <w:color w:val="000000"/>
          <w:shd w:val="clear" w:color="auto" w:fill="ffffff"/>
        </w:rPr>
        <w:t>(Wyndhamhotels.com, 2024)</w:t>
      </w:r>
      <w:r>
        <w:t xml:space="preserve">. All the hotels have reported cost savings from mitigated energy consumption and the initiative has increased the reputation of the company among environmentally-conscious consumers. </w:t>
      </w:r>
    </w:p>
    <w:p w14:paraId="00000050">
      <w:pPr>
        <w:rPr>
          <w:b/>
          <w:bCs/>
        </w:rPr>
      </w:pPr>
      <w:r>
        <w:rPr>
          <w:b/>
          <w:bCs/>
        </w:rPr>
        <w:t>Evaluation of Change Management</w:t>
      </w:r>
    </w:p>
    <w:p w14:paraId="00000051">
      <w:pPr>
        <w:rPr>
          <w:rFonts w:cstheme="minorHAnsi" w:eastAsia="Times New Roman"/>
          <w:szCs w:val="24"/>
          <w:lang w:val="en-US"/>
        </w:rPr>
      </w:pPr>
      <w:r>
        <w:rPr>
          <w:rFonts w:cstheme="minorHAnsi"/>
        </w:rPr>
        <w:t>Wyndham properly managed these changes effectively with the help of ensuring that all the employees at all the levels were well-trained and equipped to handle new technologies along with prot</w:t>
      </w:r>
      <w:r>
        <w:rPr>
          <w:rFonts w:cstheme="minorHAnsi"/>
        </w:rPr>
        <w:t>ocols. The company also communicated the overall changes clearly to its franchisees, ensuring consistent implementation across its properties</w:t>
      </w:r>
      <w:r>
        <w:rPr>
          <w:rFonts w:cstheme="minorHAnsi"/>
        </w:rPr>
        <w:t xml:space="preserve"> (</w:t>
      </w:r>
      <w:r>
        <w:rPr>
          <w:rFonts w:cstheme="minorHAnsi" w:eastAsia="Times New Roman"/>
          <w:szCs w:val="24"/>
          <w:lang w:val="en-US"/>
        </w:rPr>
        <w:t>Hoy and Stanworth, 2014)</w:t>
      </w:r>
      <w:r>
        <w:rPr>
          <w:rFonts w:cstheme="minorHAnsi"/>
        </w:rPr>
        <w:t xml:space="preserve">. However, some kinds of challenges were encountered, specifically in smaller hotel units where all the resources to implement new kinds of technologies that were limited. </w:t>
      </w:r>
      <w:r>
        <w:rPr>
          <w:rFonts w:cstheme="minorHAnsi"/>
        </w:rPr>
        <w:t>However, all the challenges were noted to ensure u</w:t>
      </w:r>
      <w:r>
        <w:rPr>
          <w:rFonts w:cstheme="minorHAnsi"/>
        </w:rPr>
        <w:t>n</w:t>
      </w:r>
      <w:r>
        <w:rPr>
          <w:rFonts w:cstheme="minorHAnsi"/>
        </w:rPr>
        <w:t xml:space="preserve">iform adoption </w:t>
      </w:r>
      <w:r>
        <w:rPr>
          <w:rFonts w:cstheme="minorHAnsi"/>
        </w:rPr>
        <w:t>for the worldwide properties. The rewards program’s expansion has been well-received</w:t>
      </w:r>
      <w:r>
        <w:rPr>
          <w:rFonts w:cstheme="minorHAnsi"/>
        </w:rPr>
        <w:t xml:space="preserve"> for a company</w:t>
      </w:r>
      <w:r>
        <w:rPr>
          <w:rFonts w:cstheme="minorHAnsi"/>
        </w:rPr>
        <w:t>, though there have been some challenges to communicate the changes to a base of global customer</w:t>
      </w:r>
      <w:r>
        <w:rPr>
          <w:rFonts w:cstheme="minorHAnsi"/>
        </w:rPr>
        <w:t xml:space="preserve"> (</w:t>
      </w:r>
      <w:r>
        <w:rPr>
          <w:rFonts w:cstheme="minorHAnsi" w:eastAsia="Times New Roman"/>
          <w:szCs w:val="24"/>
          <w:lang w:val="en-US"/>
        </w:rPr>
        <w:t>Richter et al., 2015)</w:t>
      </w:r>
      <w:r>
        <w:rPr>
          <w:rFonts w:cstheme="minorHAnsi"/>
        </w:rPr>
        <w:t xml:space="preserve">. </w:t>
      </w:r>
    </w:p>
    <w:p w14:paraId="00000052">
      <w:pPr>
        <w:pStyle w:val="Heading1"/>
        <w:rPr/>
      </w:pPr>
      <w:bookmarkStart w:id="3" w:name="_Toc179825321"/>
      <w:r>
        <w:t>Strategic Direction</w:t>
      </w:r>
      <w:bookmarkEnd w:id="3"/>
    </w:p>
    <w:p w14:paraId="00000053">
      <w:pPr>
        <w:rPr>
          <w:b/>
          <w:bCs/>
        </w:rPr>
      </w:pPr>
      <w:r>
        <w:rPr>
          <w:b/>
          <w:bCs/>
        </w:rPr>
        <w:t>Strategic Goals</w:t>
      </w:r>
    </w:p>
    <w:p w14:paraId="00000054">
      <w:pPr>
        <w:rPr>
          <w:rFonts w:cstheme="minorHAnsi" w:eastAsia="Times New Roman"/>
          <w:szCs w:val="24"/>
          <w:lang w:val="en-US"/>
        </w:rPr>
      </w:pPr>
      <w:r>
        <w:rPr>
          <w:rFonts w:cstheme="minorHAnsi"/>
        </w:rPr>
        <w:t xml:space="preserve">Wyndham Hotels &amp; Resorts is properly focused on long-term growth with the help of expansion of brand and franchise development, and customer loyalty. The company’s strategic direction is centred on enhancing its global presence specifically </w:t>
      </w:r>
      <w:r>
        <w:rPr>
          <w:rFonts w:cstheme="minorHAnsi"/>
        </w:rPr>
        <w:t>for the emerging markets and increasing its digital capabilities to stay competitive in the evolving hotel industry</w:t>
      </w:r>
      <w:r>
        <w:rPr>
          <w:rFonts w:cstheme="minorHAnsi"/>
        </w:rPr>
        <w:t xml:space="preserve"> (</w:t>
      </w:r>
      <w:r>
        <w:rPr>
          <w:rFonts w:cstheme="minorHAnsi" w:eastAsia="Times New Roman"/>
          <w:szCs w:val="24"/>
          <w:lang w:val="en-US"/>
        </w:rPr>
        <w:t>Johnson et al., 2020)</w:t>
      </w:r>
      <w:r>
        <w:rPr>
          <w:rFonts w:cstheme="minorHAnsi"/>
        </w:rPr>
        <w:t xml:space="preserve">. Another strategic goal is sustainability, with the commitment of the company to mitigate the environmental impact along with increasing its corporate social responsibility initiatives. </w:t>
      </w:r>
    </w:p>
    <w:p w14:paraId="00000055">
      <w:pPr>
        <w:rPr>
          <w:rFonts w:cstheme="minorHAnsi" w:eastAsia="Times New Roman"/>
          <w:szCs w:val="24"/>
          <w:lang w:val="en-US"/>
        </w:rPr>
      </w:pPr>
      <w:r>
        <w:rPr>
          <w:rFonts w:cstheme="minorHAnsi"/>
          <w:b/>
          <w:bCs/>
        </w:rPr>
        <w:t>Strategy Implementation</w:t>
      </w:r>
      <w:r>
        <w:rPr>
          <w:rFonts w:cstheme="minorHAnsi"/>
        </w:rPr>
        <w:t>: To achieve these objectives</w:t>
      </w:r>
      <w:r>
        <w:rPr>
          <w:rFonts w:cstheme="minorHAnsi"/>
        </w:rPr>
        <w:t xml:space="preserve"> on a </w:t>
      </w:r>
      <w:r>
        <w:rPr>
          <w:rFonts w:cstheme="minorHAnsi"/>
        </w:rPr>
        <w:t>long-term</w:t>
      </w:r>
      <w:r>
        <w:rPr>
          <w:rFonts w:cstheme="minorHAnsi"/>
        </w:rPr>
        <w:t xml:space="preserve"> basis</w:t>
      </w:r>
      <w:r>
        <w:rPr>
          <w:rFonts w:cstheme="minorHAnsi"/>
        </w:rPr>
        <w:t xml:space="preserve">, this company has adopted a sufficient growth strategy that significantly involves enhancing its franchise network with the help of strategic partnerships along with acquisitions. Moreover, the sufficient </w:t>
      </w:r>
      <w:r>
        <w:rPr>
          <w:rFonts w:cstheme="minorHAnsi"/>
        </w:rPr>
        <w:t xml:space="preserve">investment of the company in data analytics help the optimize its marketing strategies that offering tailored experiences to its all the </w:t>
      </w:r>
      <w:r>
        <w:rPr>
          <w:rFonts w:cstheme="minorHAnsi"/>
        </w:rPr>
        <w:t>customers</w:t>
      </w:r>
      <w:r>
        <w:rPr>
          <w:rFonts w:cstheme="minorHAnsi"/>
        </w:rPr>
        <w:t xml:space="preserve"> (</w:t>
      </w:r>
      <w:r>
        <w:rPr>
          <w:rFonts w:cstheme="minorHAnsi" w:eastAsia="Times New Roman"/>
          <w:szCs w:val="24"/>
          <w:lang w:val="en-US"/>
        </w:rPr>
        <w:t>Jones and Wren, 2016)</w:t>
      </w:r>
      <w:r>
        <w:rPr>
          <w:rFonts w:cstheme="minorHAnsi"/>
        </w:rPr>
        <w:t>. Wyndham’s sufficient focus on the expanding its global footprint</w:t>
      </w:r>
      <w:r>
        <w:rPr>
          <w:rFonts w:cstheme="minorHAnsi"/>
        </w:rPr>
        <w:t xml:space="preserve"> aligns with the goal to be a market leader in hospitality. However, properly maintaining the consistency in the quality of service at the time of scaling rapidly could be a challenge. The use of technology to the personalized customer experiences is a strategic advantage in the increasingly competitive hospitality sector</w:t>
      </w:r>
      <w:r>
        <w:rPr>
          <w:rFonts w:cstheme="minorHAnsi"/>
        </w:rPr>
        <w:t xml:space="preserve"> (</w:t>
      </w:r>
      <w:r>
        <w:rPr>
          <w:rFonts w:cstheme="minorHAnsi" w:eastAsia="Times New Roman"/>
          <w:szCs w:val="24"/>
          <w:lang w:val="en-US"/>
        </w:rPr>
        <w:t>Mok</w:t>
      </w:r>
      <w:r>
        <w:rPr>
          <w:rFonts w:cstheme="minorHAnsi" w:eastAsia="Times New Roman"/>
          <w:szCs w:val="24"/>
          <w:lang w:val="en-US"/>
        </w:rPr>
        <w:t xml:space="preserve"> et al., 2013)</w:t>
      </w:r>
      <w:r>
        <w:rPr>
          <w:rFonts w:cstheme="minorHAnsi"/>
        </w:rPr>
        <w:t>.</w:t>
      </w:r>
      <w:r>
        <w:rPr>
          <w:rFonts w:cstheme="minorHAnsi"/>
        </w:rPr>
        <w:t xml:space="preserve"> </w:t>
      </w:r>
    </w:p>
    <w:p w14:paraId="00000056">
      <w:pPr>
        <w:pStyle w:val="Heading1"/>
        <w:rPr/>
      </w:pPr>
      <w:bookmarkStart w:id="4" w:name="_Toc179825322"/>
      <w:r>
        <w:t>Conclusion</w:t>
      </w:r>
      <w:bookmarkEnd w:id="4"/>
    </w:p>
    <w:p w14:paraId="00000057">
      <w:r>
        <w:t xml:space="preserve">In conclusion, this Wyndham Hotels &amp; Resorts has established itself as a global leader in the industry of hospitality with the help of leveraging the hierarchical organisational structure as well as strong corporate culture, along with clear strategic goals. The company’s decentralized franchise model significantly allows for the flexibility at the local level at the time of maintaining alignment with corporate objectives. </w:t>
      </w:r>
      <w:r>
        <w:t>This company’s customer-centric approach as well as commitment to diversity and inclusion, and focus on sustainability have signif</w:t>
      </w:r>
      <w:r>
        <w:t>ic</w:t>
      </w:r>
      <w:r>
        <w:t xml:space="preserve">antly driven its operational success. Recent change initiatives including, digital transformation and heightened safety protocols, have positively impacted with the satisfaction of customer along with efficiency in the operational activities. However, to remain competitive, this company can be able to strengthen the centralized coordination and increase the </w:t>
      </w:r>
      <w:r>
        <w:t xml:space="preserve">efforts for sustainability and properly improve the engagement of customer with the help of digital platforms. With the help of implementing these recommendations, this company can be able to continue to expand its global footprint along with improve its position in the market in this evolving hospitality industry. </w:t>
      </w:r>
    </w:p>
    <w:p w14:paraId="00000058">
      <w:pPr>
        <w:pStyle w:val="Heading1"/>
        <w:rPr/>
      </w:pPr>
      <w:bookmarkStart w:id="5" w:name="_Toc179825323"/>
      <w:r>
        <w:t>Recommendations for Improvement</w:t>
      </w:r>
      <w:bookmarkEnd w:id="5"/>
    </w:p>
    <w:p w14:paraId="00000059">
      <w:pPr>
        <w:rPr>
          <w:rFonts w:cstheme="minorHAnsi" w:eastAsia="Times New Roman"/>
          <w:szCs w:val="24"/>
          <w:lang w:val="en-US"/>
        </w:rPr>
      </w:pPr>
      <w:r>
        <w:rPr>
          <w:rFonts w:cstheme="minorHAnsi"/>
          <w:b/>
          <w:bCs/>
        </w:rPr>
        <w:t>Strengthen Centralized Coordination</w:t>
      </w:r>
      <w:r>
        <w:rPr>
          <w:rFonts w:cstheme="minorHAnsi"/>
        </w:rPr>
        <w:t>: Wyndham could benefit from increasing centralize oversight without undermining the overall flexibility that offered with the help of its decentralized structure. This could involve properly establishing regional hubs that ensure the consistency of the brand and service quality all over the diverse markets. Regional managers should need to be empowered to enforce the standards of corporate, specifically to underperforming regions (</w:t>
      </w:r>
      <w:r>
        <w:rPr>
          <w:rFonts w:cstheme="minorHAnsi" w:eastAsia="Times New Roman"/>
          <w:szCs w:val="24"/>
          <w:lang w:val="en-US"/>
        </w:rPr>
        <w:t>Sminia</w:t>
      </w:r>
      <w:r>
        <w:rPr>
          <w:rFonts w:cstheme="minorHAnsi" w:eastAsia="Times New Roman"/>
          <w:szCs w:val="24"/>
          <w:lang w:val="en-US"/>
        </w:rPr>
        <w:t>, 2017)</w:t>
      </w:r>
      <w:r>
        <w:rPr>
          <w:rFonts w:cstheme="minorHAnsi"/>
        </w:rPr>
        <w:t xml:space="preserve">. This could be supported with the help of more frequent </w:t>
      </w:r>
      <w:r>
        <w:rPr>
          <w:rFonts w:cstheme="minorHAnsi"/>
        </w:rPr>
        <w:t xml:space="preserve">audits and increased communication between corporate headquarters along with franchise operations. </w:t>
      </w:r>
    </w:p>
    <w:p w14:paraId="0000005A">
      <w:pPr>
        <w:rPr>
          <w:rFonts w:cstheme="minorHAnsi" w:eastAsia="Times New Roman"/>
          <w:szCs w:val="24"/>
          <w:lang w:val="en-US"/>
        </w:rPr>
      </w:pPr>
      <w:r>
        <w:rPr>
          <w:rStyle w:val="Strong"/>
          <w:rFonts w:cstheme="minorHAnsi"/>
        </w:rPr>
        <w:t xml:space="preserve">Enhance Sustainability Initiatives: </w:t>
      </w:r>
      <w:r>
        <w:rPr>
          <w:rStyle w:val="Strong"/>
          <w:rFonts w:cstheme="minorHAnsi"/>
          <w:b w:val="off"/>
          <w:bCs w:val="off"/>
        </w:rPr>
        <w:t>While</w:t>
      </w:r>
      <w:r>
        <w:rPr>
          <w:rStyle w:val="Strong"/>
          <w:rFonts w:cstheme="minorHAnsi"/>
        </w:rPr>
        <w:t xml:space="preserve"> </w:t>
      </w:r>
      <w:r>
        <w:rPr>
          <w:rStyle w:val="Strong"/>
          <w:rFonts w:cstheme="minorHAnsi"/>
          <w:b w:val="off"/>
          <w:bCs w:val="off"/>
        </w:rPr>
        <w:t xml:space="preserve">this </w:t>
      </w:r>
      <w:r>
        <w:rPr>
          <w:rFonts w:cstheme="minorHAnsi"/>
        </w:rPr>
        <w:t>Wyndham’s sustainability efforts are commendable, there is room to enhance its environmental focus. Introducing green certifications for the individual properties that could motivate franchises to properly adopt the overall best practices. Wyndham should need to provide sustainability training to franchise managers as well as set the measurable goals to mitigate water, energy consumption along with waste. Offering incentives to achieve sustainability targets would encourage the broader adoption (</w:t>
      </w:r>
      <w:r>
        <w:rPr>
          <w:rFonts w:cstheme="minorHAnsi" w:eastAsia="Times New Roman"/>
          <w:szCs w:val="24"/>
          <w:lang w:val="en-US"/>
        </w:rPr>
        <w:t>Caradonna</w:t>
      </w:r>
      <w:r>
        <w:rPr>
          <w:rFonts w:cstheme="minorHAnsi" w:eastAsia="Times New Roman"/>
          <w:szCs w:val="24"/>
          <w:lang w:val="en-US"/>
        </w:rPr>
        <w:t>, 2022)</w:t>
      </w:r>
      <w:r>
        <w:rPr>
          <w:rFonts w:cstheme="minorHAnsi"/>
        </w:rPr>
        <w:t xml:space="preserve">. </w:t>
      </w:r>
    </w:p>
    <w:p w14:paraId="0000005B">
      <w:pPr>
        <w:rPr>
          <w:rFonts w:cstheme="minorHAnsi" w:eastAsia="Times New Roman"/>
          <w:szCs w:val="24"/>
          <w:lang w:val="en-US"/>
        </w:rPr>
      </w:pPr>
      <w:r>
        <w:rPr>
          <w:rStyle w:val="Strong"/>
          <w:rFonts w:cstheme="minorHAnsi"/>
        </w:rPr>
        <w:t>Expand Customer Engagement through Digital Platforms:</w:t>
      </w:r>
      <w:r>
        <w:rPr>
          <w:rFonts w:cstheme="minorHAnsi"/>
        </w:rPr>
        <w:t xml:space="preserve"> Wyndham’s digital transformation can be able to take further with the help of making more interactive platforms that significantly engage all the customers pre and post stay to provide personalized travel recommendations that are based on user interests. The development of AI-powered chatbots for the personalized customer interaction could increase the experience of customer (</w:t>
      </w:r>
      <w:r>
        <w:rPr>
          <w:rFonts w:cstheme="minorHAnsi" w:eastAsia="Times New Roman"/>
          <w:szCs w:val="24"/>
          <w:lang w:val="en-US"/>
        </w:rPr>
        <w:t>Nagaraj, 2021)</w:t>
      </w:r>
      <w:r>
        <w:rPr>
          <w:rFonts w:cstheme="minorHAnsi"/>
        </w:rPr>
        <w:t xml:space="preserve">. Moreover, gathering feedback from customer with the help of these platforms could provide real-time insights into the improving services. </w:t>
      </w:r>
    </w:p>
    <w:p w14:paraId="0000005C">
      <w:pPr>
        <w:rPr>
          <w:rFonts w:cstheme="minorHAnsi" w:eastAsia="Times New Roman"/>
          <w:szCs w:val="24"/>
          <w:lang w:val="en-US"/>
        </w:rPr>
      </w:pPr>
      <w:r>
        <w:rPr>
          <w:rStyle w:val="Strong"/>
          <w:rFonts w:cstheme="minorHAnsi"/>
        </w:rPr>
        <w:t>Improve Employee Training Programs:</w:t>
      </w:r>
      <w:r>
        <w:rPr>
          <w:rFonts w:cstheme="minorHAnsi"/>
        </w:rPr>
        <w:t xml:space="preserve"> Wyndham should need to focus on the strengthening all the employee’s training programs, specifically for staff in newly franchised properties. This would help to ensure that new types of unites meet their service standards from the outset. Training modules should be standardized across global franchises, with the inclusion of cultural sensitivity training to properly meet the requirements of diverse guest demographics (</w:t>
      </w:r>
      <w:r>
        <w:rPr>
          <w:rFonts w:cstheme="minorHAnsi" w:eastAsia="Times New Roman"/>
          <w:szCs w:val="24"/>
          <w:lang w:val="en-US"/>
        </w:rPr>
        <w:t>Elnaga</w:t>
      </w:r>
      <w:r>
        <w:rPr>
          <w:rFonts w:cstheme="minorHAnsi" w:eastAsia="Times New Roman"/>
          <w:szCs w:val="24"/>
          <w:lang w:val="en-US"/>
        </w:rPr>
        <w:t xml:space="preserve"> and Imran, 2013)</w:t>
      </w:r>
      <w:r>
        <w:rPr>
          <w:rFonts w:cstheme="minorHAnsi"/>
        </w:rPr>
        <w:t xml:space="preserve">. </w:t>
      </w:r>
    </w:p>
    <w:p w14:paraId="0000005D"/>
    <w:p w14:paraId="0000005E"/>
    <w:p w14:paraId="0000005F"/>
    <w:p w14:paraId="00000060"/>
    <w:p w14:paraId="00000061">
      <w:pPr>
        <w:pStyle w:val="Heading1"/>
        <w:rPr>
          <w:rFonts w:asciiTheme="minorHAnsi" w:cstheme="minorBidi" w:hAnsiTheme="minorHAnsi"/>
        </w:rPr>
      </w:pPr>
      <w:bookmarkStart w:id="6" w:name="_Toc179825324"/>
      <w:r>
        <w:t>Reference</w:t>
      </w:r>
      <w:r>
        <w:t>s</w:t>
      </w:r>
      <w:bookmarkEnd w:id="6"/>
    </w:p>
    <w:p w14:paraId="00000062">
      <w:pPr>
        <w:rPr>
          <w:lang w:val="en-US"/>
        </w:rPr>
      </w:pPr>
      <w:r>
        <w:t>‌</w:t>
      </w:r>
      <w:r>
        <w:rPr>
          <w:lang w:val="en-US"/>
        </w:rPr>
        <w:t xml:space="preserve">Kowalczyk, A., 2015. The world’s biggest hotel companies. Old trends and new tendencies. </w:t>
      </w:r>
      <w:r>
        <w:rPr>
          <w:i/>
          <w:iCs/>
          <w:lang w:val="en-US"/>
        </w:rPr>
        <w:t xml:space="preserve">Miscellanea </w:t>
      </w:r>
      <w:r>
        <w:rPr>
          <w:i/>
          <w:iCs/>
          <w:lang w:val="en-US"/>
        </w:rPr>
        <w:t>Geographica</w:t>
      </w:r>
      <w:r>
        <w:rPr>
          <w:lang w:val="en-US"/>
        </w:rPr>
        <w:t xml:space="preserve">, </w:t>
      </w:r>
      <w:r>
        <w:rPr>
          <w:i/>
          <w:iCs/>
          <w:lang w:val="en-US"/>
        </w:rPr>
        <w:t>19</w:t>
      </w:r>
      <w:r>
        <w:rPr>
          <w:lang w:val="en-US"/>
        </w:rPr>
        <w:t>(4), pp.26-33.</w:t>
      </w:r>
    </w:p>
    <w:p w14:paraId="00000063">
      <w:pPr>
        <w:rPr>
          <w:lang w:val="en-US"/>
        </w:rPr>
      </w:pPr>
      <w:r>
        <w:rPr>
          <w:lang w:val="en-US"/>
        </w:rPr>
        <w:t>Avasiloaei</w:t>
      </w:r>
      <w:r>
        <w:rPr>
          <w:lang w:val="en-US"/>
        </w:rPr>
        <w:t xml:space="preserve">, D., 2022. Reinventing the Business Model in the Tourism Industry based on Sustainable Circular Economy and Innovation. </w:t>
      </w:r>
      <w:r>
        <w:rPr>
          <w:i/>
          <w:iCs/>
          <w:lang w:val="en-US"/>
        </w:rPr>
        <w:t>ENTRENOVA-</w:t>
      </w:r>
      <w:r>
        <w:rPr>
          <w:i/>
          <w:iCs/>
          <w:lang w:val="en-US"/>
        </w:rPr>
        <w:t>ENTerprise</w:t>
      </w:r>
      <w:r>
        <w:rPr>
          <w:i/>
          <w:iCs/>
          <w:lang w:val="en-US"/>
        </w:rPr>
        <w:t xml:space="preserve"> </w:t>
      </w:r>
      <w:r>
        <w:rPr>
          <w:i/>
          <w:iCs/>
          <w:lang w:val="en-US"/>
        </w:rPr>
        <w:t>REsearch</w:t>
      </w:r>
      <w:r>
        <w:rPr>
          <w:i/>
          <w:iCs/>
          <w:lang w:val="en-US"/>
        </w:rPr>
        <w:t xml:space="preserve"> </w:t>
      </w:r>
      <w:r>
        <w:rPr>
          <w:i/>
          <w:iCs/>
          <w:lang w:val="en-US"/>
        </w:rPr>
        <w:t>InNOVAtion</w:t>
      </w:r>
      <w:r>
        <w:rPr>
          <w:lang w:val="en-US"/>
        </w:rPr>
        <w:t xml:space="preserve">, </w:t>
      </w:r>
      <w:r>
        <w:rPr>
          <w:i/>
          <w:iCs/>
          <w:lang w:val="en-US"/>
        </w:rPr>
        <w:t>8</w:t>
      </w:r>
      <w:r>
        <w:rPr>
          <w:lang w:val="en-US"/>
        </w:rPr>
        <w:t>(1), pp.435-448.</w:t>
      </w:r>
    </w:p>
    <w:p w14:paraId="00000064">
      <w:pPr>
        <w:rPr>
          <w:lang w:val="en-US"/>
        </w:rPr>
      </w:pPr>
      <w:r>
        <w:rPr>
          <w:lang w:val="en-US"/>
        </w:rPr>
        <w:t>Caradonna</w:t>
      </w:r>
      <w:r>
        <w:rPr>
          <w:lang w:val="en-US"/>
        </w:rPr>
        <w:t xml:space="preserve">, J.L., 2022. </w:t>
      </w:r>
      <w:r>
        <w:rPr>
          <w:i/>
          <w:iCs/>
          <w:lang w:val="en-US"/>
        </w:rPr>
        <w:t>Sustainability: A history</w:t>
      </w:r>
      <w:r>
        <w:rPr>
          <w:lang w:val="en-US"/>
        </w:rPr>
        <w:t>. Oxford University Press.</w:t>
      </w:r>
    </w:p>
    <w:p w14:paraId="00000065">
      <w:pPr>
        <w:rPr>
          <w:lang w:val="en-US"/>
        </w:rPr>
      </w:pPr>
      <w:r>
        <w:rPr>
          <w:lang w:val="en-US"/>
        </w:rPr>
        <w:t>Diefenbach</w:t>
      </w:r>
      <w:r>
        <w:rPr>
          <w:lang w:val="en-US"/>
        </w:rPr>
        <w:t xml:space="preserve">, T., 2013. </w:t>
      </w:r>
      <w:r>
        <w:rPr>
          <w:i/>
          <w:iCs/>
          <w:lang w:val="en-US"/>
        </w:rPr>
        <w:t xml:space="preserve">Hierarchy and </w:t>
      </w:r>
      <w:r>
        <w:rPr>
          <w:i/>
          <w:iCs/>
          <w:lang w:val="en-US"/>
        </w:rPr>
        <w:t>organisation</w:t>
      </w:r>
      <w:r>
        <w:rPr>
          <w:i/>
          <w:iCs/>
          <w:lang w:val="en-US"/>
        </w:rPr>
        <w:t>: Toward a general theory of hierarchical social systems</w:t>
      </w:r>
      <w:r>
        <w:rPr>
          <w:lang w:val="en-US"/>
        </w:rPr>
        <w:t>. Routledge.</w:t>
      </w:r>
    </w:p>
    <w:p w14:paraId="00000066">
      <w:pPr>
        <w:rPr>
          <w:lang w:val="en-US"/>
        </w:rPr>
      </w:pPr>
      <w:r>
        <w:rPr>
          <w:lang w:val="en-US"/>
        </w:rPr>
        <w:t>Elnaga</w:t>
      </w:r>
      <w:r>
        <w:rPr>
          <w:lang w:val="en-US"/>
        </w:rPr>
        <w:t xml:space="preserve">, A. and Imran, A., 2013. The effect of training on employee performance. </w:t>
      </w:r>
      <w:r>
        <w:rPr>
          <w:i/>
          <w:iCs/>
          <w:lang w:val="en-US"/>
        </w:rPr>
        <w:t>European journal of Business and Management</w:t>
      </w:r>
      <w:r>
        <w:rPr>
          <w:lang w:val="en-US"/>
        </w:rPr>
        <w:t xml:space="preserve">, </w:t>
      </w:r>
      <w:r>
        <w:rPr>
          <w:i/>
          <w:iCs/>
          <w:lang w:val="en-US"/>
        </w:rPr>
        <w:t>5</w:t>
      </w:r>
      <w:r>
        <w:rPr>
          <w:lang w:val="en-US"/>
        </w:rPr>
        <w:t>(4), pp.137-147.</w:t>
      </w:r>
    </w:p>
    <w:p w14:paraId="00000067">
      <w:pPr>
        <w:rPr>
          <w:lang w:val="en-US"/>
        </w:rPr>
      </w:pPr>
      <w:r>
        <w:rPr>
          <w:lang w:val="en-US"/>
        </w:rPr>
        <w:t xml:space="preserve">Hayes, D.K., </w:t>
      </w:r>
      <w:r>
        <w:rPr>
          <w:lang w:val="en-US"/>
        </w:rPr>
        <w:t>Ninemeier</w:t>
      </w:r>
      <w:r>
        <w:rPr>
          <w:lang w:val="en-US"/>
        </w:rPr>
        <w:t xml:space="preserve">, J.D. and Miller, A.A., 2017. </w:t>
      </w:r>
      <w:r>
        <w:rPr>
          <w:i/>
          <w:iCs/>
          <w:lang w:val="en-US"/>
        </w:rPr>
        <w:t>Hotel operations management</w:t>
      </w:r>
      <w:r>
        <w:rPr>
          <w:lang w:val="en-US"/>
        </w:rPr>
        <w:t>. Pearson.</w:t>
      </w:r>
    </w:p>
    <w:p w14:paraId="00000068">
      <w:pPr>
        <w:rPr>
          <w:lang w:val="en-US"/>
        </w:rPr>
      </w:pPr>
      <w:r>
        <w:rPr>
          <w:lang w:val="en-US"/>
        </w:rPr>
        <w:t xml:space="preserve">Hickman, C.R. and Silva, M.A., 2018. </w:t>
      </w:r>
      <w:r>
        <w:rPr>
          <w:i/>
          <w:iCs/>
          <w:lang w:val="en-US"/>
        </w:rPr>
        <w:t>Creating excellence: Managing corporate culture, strategy, and change in the new age</w:t>
      </w:r>
      <w:r>
        <w:rPr>
          <w:lang w:val="en-US"/>
        </w:rPr>
        <w:t>. Routledge.</w:t>
      </w:r>
    </w:p>
    <w:p w14:paraId="00000069">
      <w:pPr>
        <w:rPr>
          <w:lang w:val="en-US"/>
        </w:rPr>
      </w:pPr>
      <w:r>
        <w:rPr>
          <w:lang w:val="en-US"/>
        </w:rPr>
        <w:t xml:space="preserve">Hoy, F. and Stanworth, J., 2014. </w:t>
      </w:r>
      <w:r>
        <w:rPr>
          <w:i/>
          <w:iCs/>
          <w:lang w:val="en-US"/>
        </w:rPr>
        <w:t>Franchising: an international perspective</w:t>
      </w:r>
      <w:r>
        <w:rPr>
          <w:lang w:val="en-US"/>
        </w:rPr>
        <w:t>. Routledge.</w:t>
      </w:r>
    </w:p>
    <w:p w14:paraId="0000006A">
      <w:pPr>
        <w:rPr>
          <w:lang w:val="en-US"/>
        </w:rPr>
      </w:pPr>
      <w:r>
        <w:rPr>
          <w:lang w:val="en-US"/>
        </w:rPr>
        <w:t xml:space="preserve">Johnson, J., Whittington, R., </w:t>
      </w:r>
      <w:r>
        <w:rPr>
          <w:lang w:val="en-US"/>
        </w:rPr>
        <w:t>Regnér</w:t>
      </w:r>
      <w:r>
        <w:rPr>
          <w:lang w:val="en-US"/>
        </w:rPr>
        <w:t xml:space="preserve">, P., Angwin, D., Johnson, G. and Scholes, K., 2020. </w:t>
      </w:r>
      <w:r>
        <w:rPr>
          <w:i/>
          <w:iCs/>
          <w:lang w:val="en-US"/>
        </w:rPr>
        <w:t>Exploring strategy</w:t>
      </w:r>
      <w:r>
        <w:rPr>
          <w:lang w:val="en-US"/>
        </w:rPr>
        <w:t>. Pearson UK.</w:t>
      </w:r>
    </w:p>
    <w:p w14:paraId="0000006B">
      <w:pPr>
        <w:rPr>
          <w:lang w:val="en-US"/>
        </w:rPr>
      </w:pPr>
      <w:r>
        <w:rPr>
          <w:lang w:val="en-US"/>
        </w:rPr>
        <w:t xml:space="preserve">Jones, J. and Wren, C., 2016. </w:t>
      </w:r>
      <w:r>
        <w:rPr>
          <w:i/>
          <w:iCs/>
          <w:lang w:val="en-US"/>
        </w:rPr>
        <w:t>Foreign direct investment and the regional economy</w:t>
      </w:r>
      <w:r>
        <w:rPr>
          <w:lang w:val="en-US"/>
        </w:rPr>
        <w:t>. Routledge.</w:t>
      </w:r>
    </w:p>
    <w:p w14:paraId="0000006C">
      <w:pPr>
        <w:rPr>
          <w:lang w:val="en-US"/>
        </w:rPr>
      </w:pPr>
      <w:r>
        <w:rPr>
          <w:lang w:val="en-US"/>
        </w:rPr>
        <w:t>Maillet</w:t>
      </w:r>
      <w:r>
        <w:rPr>
          <w:lang w:val="en-US"/>
        </w:rPr>
        <w:t xml:space="preserve">, W., 2014. </w:t>
      </w:r>
      <w:r>
        <w:rPr>
          <w:i/>
          <w:iCs/>
          <w:lang w:val="en-US"/>
        </w:rPr>
        <w:t>Franchising Demystified: The Definitive Franchise Handbook</w:t>
      </w:r>
      <w:r>
        <w:rPr>
          <w:lang w:val="en-US"/>
        </w:rPr>
        <w:t xml:space="preserve">. </w:t>
      </w:r>
      <w:r>
        <w:rPr>
          <w:lang w:val="en-US"/>
        </w:rPr>
        <w:t>FriesenPress</w:t>
      </w:r>
      <w:r>
        <w:rPr>
          <w:lang w:val="en-US"/>
        </w:rPr>
        <w:t>.</w:t>
      </w:r>
    </w:p>
    <w:p w14:paraId="0000006D">
      <w:pPr>
        <w:rPr>
          <w:lang w:val="en-US"/>
        </w:rPr>
      </w:pPr>
      <w:r>
        <w:rPr>
          <w:lang w:val="en-US"/>
        </w:rPr>
        <w:t>Mok</w:t>
      </w:r>
      <w:r>
        <w:rPr>
          <w:lang w:val="en-US"/>
        </w:rPr>
        <w:t xml:space="preserve">, C., Sparks, B. and </w:t>
      </w:r>
      <w:r>
        <w:rPr>
          <w:lang w:val="en-US"/>
        </w:rPr>
        <w:t>Kadampully</w:t>
      </w:r>
      <w:r>
        <w:rPr>
          <w:lang w:val="en-US"/>
        </w:rPr>
        <w:t xml:space="preserve">, J., 2013. </w:t>
      </w:r>
      <w:r>
        <w:rPr>
          <w:i/>
          <w:iCs/>
          <w:lang w:val="en-US"/>
        </w:rPr>
        <w:t>Service quality management in hospitality, tourism, and leisure</w:t>
      </w:r>
      <w:r>
        <w:rPr>
          <w:lang w:val="en-US"/>
        </w:rPr>
        <w:t>. Routledge.</w:t>
      </w:r>
    </w:p>
    <w:p w14:paraId="0000006E">
      <w:pPr>
        <w:rPr>
          <w:lang w:val="en-US"/>
        </w:rPr>
      </w:pPr>
      <w:r>
        <w:rPr>
          <w:lang w:val="en-US"/>
        </w:rPr>
        <w:t xml:space="preserve">Nagaraj, S. ed., 2021. </w:t>
      </w:r>
      <w:r>
        <w:rPr>
          <w:i/>
          <w:iCs/>
          <w:lang w:val="en-US"/>
        </w:rPr>
        <w:t>Insights, Innovation, and Analytics for Optimal Customer Engagement</w:t>
      </w:r>
      <w:r>
        <w:rPr>
          <w:lang w:val="en-US"/>
        </w:rPr>
        <w:t>. IGI Global.</w:t>
      </w:r>
    </w:p>
    <w:p w14:paraId="0000006F">
      <w:pPr>
        <w:rPr>
          <w:lang w:val="en-US"/>
        </w:rPr>
      </w:pPr>
      <w:r>
        <w:rPr>
          <w:lang w:val="en-US"/>
        </w:rPr>
        <w:t xml:space="preserve">Penner, R.H., Adams, L. and </w:t>
      </w:r>
      <w:r>
        <w:rPr>
          <w:lang w:val="en-US"/>
        </w:rPr>
        <w:t>Rutes</w:t>
      </w:r>
      <w:r>
        <w:rPr>
          <w:lang w:val="en-US"/>
        </w:rPr>
        <w:t xml:space="preserve">, W., 2013. </w:t>
      </w:r>
      <w:r>
        <w:rPr>
          <w:i/>
          <w:iCs/>
          <w:lang w:val="en-US"/>
        </w:rPr>
        <w:t>Hotel design, planning and development</w:t>
      </w:r>
      <w:r>
        <w:rPr>
          <w:lang w:val="en-US"/>
        </w:rPr>
        <w:t>. Routledge.</w:t>
      </w:r>
    </w:p>
    <w:p w14:paraId="00000070">
      <w:pPr>
        <w:rPr>
          <w:lang w:val="en-US"/>
        </w:rPr>
      </w:pPr>
      <w:r>
        <w:rPr>
          <w:lang w:val="en-US"/>
        </w:rPr>
        <w:t xml:space="preserve">Richter, G., </w:t>
      </w:r>
      <w:r>
        <w:rPr>
          <w:lang w:val="en-US"/>
        </w:rPr>
        <w:t>Raban</w:t>
      </w:r>
      <w:r>
        <w:rPr>
          <w:lang w:val="en-US"/>
        </w:rPr>
        <w:t xml:space="preserve">, D.R. and </w:t>
      </w:r>
      <w:r>
        <w:rPr>
          <w:lang w:val="en-US"/>
        </w:rPr>
        <w:t>Rafaeli</w:t>
      </w:r>
      <w:r>
        <w:rPr>
          <w:lang w:val="en-US"/>
        </w:rPr>
        <w:t xml:space="preserve">, S., 2015. </w:t>
      </w:r>
      <w:r>
        <w:rPr>
          <w:i/>
          <w:iCs/>
          <w:lang w:val="en-US"/>
        </w:rPr>
        <w:t>Studying gamification: The effect of rewards and incentives on motivation</w:t>
      </w:r>
      <w:r>
        <w:rPr>
          <w:lang w:val="en-US"/>
        </w:rPr>
        <w:t xml:space="preserve"> (pp. 21-46). Springer International Publishing.</w:t>
      </w:r>
    </w:p>
    <w:p w14:paraId="00000071">
      <w:pPr>
        <w:rPr>
          <w:lang w:val="en-US"/>
        </w:rPr>
      </w:pPr>
      <w:r>
        <w:rPr>
          <w:lang w:val="en-US"/>
        </w:rPr>
        <w:t>Sminia</w:t>
      </w:r>
      <w:r>
        <w:rPr>
          <w:lang w:val="en-US"/>
        </w:rPr>
        <w:t xml:space="preserve">, H., 2017. </w:t>
      </w:r>
      <w:r>
        <w:rPr>
          <w:i/>
          <w:iCs/>
          <w:lang w:val="en-US"/>
        </w:rPr>
        <w:t>The strategic manager</w:t>
      </w:r>
      <w:r>
        <w:rPr>
          <w:lang w:val="en-US"/>
        </w:rPr>
        <w:t>. Routledge.</w:t>
      </w:r>
    </w:p>
    <w:p w14:paraId="00000072">
      <w:pPr>
        <w:rPr>
          <w:lang w:val="en-US"/>
        </w:rPr>
      </w:pPr>
      <w:r>
        <w:rPr>
          <w:lang w:val="en-US"/>
        </w:rPr>
        <w:t>Ustundag</w:t>
      </w:r>
      <w:r>
        <w:rPr>
          <w:lang w:val="en-US"/>
        </w:rPr>
        <w:t xml:space="preserve">, A. and </w:t>
      </w:r>
      <w:r>
        <w:rPr>
          <w:lang w:val="en-US"/>
        </w:rPr>
        <w:t>Cevikcan</w:t>
      </w:r>
      <w:r>
        <w:rPr>
          <w:lang w:val="en-US"/>
        </w:rPr>
        <w:t xml:space="preserve">, E., 2017. </w:t>
      </w:r>
      <w:r>
        <w:rPr>
          <w:i/>
          <w:iCs/>
          <w:lang w:val="en-US"/>
        </w:rPr>
        <w:t>Industry 4.0: managing the digital transformation</w:t>
      </w:r>
      <w:r>
        <w:rPr>
          <w:lang w:val="en-US"/>
        </w:rPr>
        <w:t>. Springer.</w:t>
      </w:r>
    </w:p>
    <w:p w14:paraId="00000073">
      <w:pPr>
        <w:rPr>
          <w:lang w:val="en-US"/>
        </w:rPr>
      </w:pPr>
      <w:r>
        <w:t>Wyndhamhotels.com. (2024). </w:t>
      </w:r>
      <w:r>
        <w:rPr>
          <w:i/>
          <w:iCs/>
        </w:rPr>
        <w:t>Discover the World with Wyndham Hotels &amp; Resorts - Explore Now</w:t>
      </w:r>
      <w:r>
        <w:t>. [online] Available at: https://www.wyndhamhotels.com/about-us [Accessed 14 Oct. 2024].</w:t>
      </w:r>
    </w:p>
    <w:p w14:paraId="00000074">
      <w:pPr>
        <w:rPr>
          <w:lang w:val="en-US"/>
        </w:rPr>
      </w:pPr>
      <w:r>
        <w:t>Wyndhamhotels.com. (2024). </w:t>
      </w:r>
      <w:r>
        <w:rPr>
          <w:i/>
          <w:iCs/>
        </w:rPr>
        <w:t>Sustainable Practices at Wyndham Hotels | Eco-Friendly Stays</w:t>
      </w:r>
      <w:r>
        <w:t>. [online] Available at: https://www.wyndhamhotels.com/wyndham-green-sustainability [Accessed 14 Oct. 2024].</w:t>
      </w:r>
    </w:p>
    <w:p w14:paraId="00000075">
      <w:pPr>
        <w:rPr>
          <w:lang w:val="en-US"/>
        </w:rPr>
      </w:pPr>
      <w:r>
        <w:rPr>
          <w:lang w:val="en-US"/>
        </w:rPr>
        <w:t xml:space="preserve">Ž </w:t>
      </w:r>
      <w:r>
        <w:rPr>
          <w:lang w:val="en-US"/>
        </w:rPr>
        <w:t>Đorđević</w:t>
      </w:r>
      <w:r>
        <w:rPr>
          <w:lang w:val="en-US"/>
        </w:rPr>
        <w:t xml:space="preserve">, D. and </w:t>
      </w:r>
      <w:r>
        <w:rPr>
          <w:lang w:val="en-US"/>
        </w:rPr>
        <w:t>Janković</w:t>
      </w:r>
      <w:r>
        <w:rPr>
          <w:lang w:val="en-US"/>
        </w:rPr>
        <w:t xml:space="preserve">, M., 2015. Modern distribution and development of hotel industry in the world. </w:t>
      </w:r>
      <w:r>
        <w:rPr>
          <w:i/>
          <w:iCs/>
          <w:lang w:val="en-US"/>
        </w:rPr>
        <w:t>Ekonomika</w:t>
      </w:r>
      <w:r>
        <w:rPr>
          <w:i/>
          <w:iCs/>
          <w:lang w:val="en-US"/>
        </w:rPr>
        <w:t>, Journal for Economic Theory and Practice and Social Issues</w:t>
      </w:r>
      <w:r>
        <w:rPr>
          <w:lang w:val="en-US"/>
        </w:rPr>
        <w:t xml:space="preserve">, </w:t>
      </w:r>
      <w:r>
        <w:rPr>
          <w:i/>
          <w:iCs/>
          <w:lang w:val="en-US"/>
        </w:rPr>
        <w:t>61</w:t>
      </w:r>
      <w:r>
        <w:rPr>
          <w:lang w:val="en-US"/>
        </w:rPr>
        <w:t>(3), pp.99-110.</w:t>
      </w:r>
    </w:p>
    <w:p w14:paraId="00000076">
      <w:pPr>
        <w:rPr>
          <w:color w:val="000000"/>
        </w:rPr>
      </w:pPr>
    </w:p>
    <w:sectPr>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14:paraId="00000003">
      <w:pPr>
        <w:spacing w:after="0" w:line="240" w:lineRule="auto"/>
        <w:rPr/>
      </w:pPr>
      <w:r>
        <w:rPr/>
        <w:separator/>
      </w:r>
    </w:p>
  </w:endnote>
  <w:endnote w:type="continuationSeparator" w:id="1">
    <w:p w14:paraId="00000004">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00000000" w:usb1="00000000" w:usb2="00000009" w:usb3="00000000" w:csb0="000001ff" w:csb1="00000000"/>
  </w:font>
  <w:font w:name="Times New Roman">
    <w:panose1 w:val="02020603050405020304"/>
    <w:charset w:val="00"/>
    <w:family w:val="roman"/>
    <w:pitch w:val="variable"/>
    <w:sig w:usb0="00000000" w:usb1="00000000" w:usb2="00000009" w:usb3="00000000" w:csb0="000001ff" w:csb1="00000000"/>
  </w:font>
  <w:font w:name="Calibri Light">
    <w:panose1 w:val="020f0302020204030204"/>
    <w:charset w:val="00"/>
    <w:family w:val="swiss"/>
    <w:pitch w:val="variable"/>
    <w:sig w:usb0="00000000" w:usb1="00000000" w:usb2="00000009" w:usb3="00000000" w:csb0="000001ff" w:csb1="00000000"/>
  </w:font>
  <w:font w:name="Arial">
    <w:panose1 w:val="020b0604020202020204"/>
    <w:charset w:val="00"/>
    <w:family w:val="swiss"/>
    <w:pitch w:val="variable"/>
    <w:sig w:usb0="00000000" w:usb1="00000000" w:usb2="00000009" w:usb3="00000000" w:csb0="000001ff" w:csb1="00000000"/>
  </w:font>
  <w:font w:name="Aptos">
    <w:altName w:val="Calibri"/>
    <w:charset w:val="00"/>
    <w:family w:val="swiss"/>
    <w:pitch w:val="variable"/>
    <w:sig w:usb0="20000287" w:usb1="00000003" w:usb2="00000000" w:usb3="00000000" w:csb0="0000019f" w:csb1="00000000"/>
  </w:font>
  <w:font w:name="Cambria">
    <w:panose1 w:val="02040503050406030204"/>
    <w:charset w:val="00"/>
    <w:family w:val="roman"/>
    <w:pitch w:val="variable"/>
    <w:sig w:usb0="a00002ef" w:usb1="4000004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14:paraId="00000001">
      <w:pPr>
        <w:spacing w:after="0" w:line="240" w:lineRule="auto"/>
        <w:rPr/>
      </w:pPr>
      <w:r>
        <w:rPr/>
        <w:separator/>
      </w:r>
    </w:p>
  </w:footnote>
  <w:footnote w:type="continuationSeparator" w:id="1">
    <w:p w14:paraId="00000002">
      <w:pPr>
        <w:spacing w:after="0" w:line="240" w:lineRule="auto"/>
        <w:rPr/>
      </w:pPr>
      <w:r>
        <w:rP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3D3"/>
    <w:rsid w:val="001421E7"/>
    <w:rsid w:val="001E1A81"/>
    <w:rsid w:val="00257653"/>
    <w:rsid w:val="0028727F"/>
    <w:rsid w:val="002A529E"/>
    <w:rsid w:val="00307108"/>
    <w:rsid w:val="004011D7"/>
    <w:rsid w:val="00404216"/>
    <w:rsid w:val="0042191B"/>
    <w:rsid w:val="00454782"/>
    <w:rsid w:val="005360F9"/>
    <w:rsid w:val="00572960"/>
    <w:rsid w:val="006104CB"/>
    <w:rsid w:val="00675A04"/>
    <w:rsid w:val="006A0D99"/>
    <w:rsid w:val="006E0D5D"/>
    <w:rsid w:val="006F1A05"/>
    <w:rsid w:val="0079474D"/>
    <w:rsid w:val="007A2317"/>
    <w:rsid w:val="007D0978"/>
    <w:rsid w:val="00847057"/>
    <w:rsid w:val="008A34DC"/>
    <w:rsid w:val="008B385A"/>
    <w:rsid w:val="00962931"/>
    <w:rsid w:val="009903B1"/>
    <w:rsid w:val="009D4ADD"/>
    <w:rsid w:val="00A16C72"/>
    <w:rsid w:val="00A33EBA"/>
    <w:rsid w:val="00A90BCB"/>
    <w:rsid w:val="00B2317A"/>
    <w:rsid w:val="00B61149"/>
    <w:rsid w:val="00B65F6E"/>
    <w:rsid w:val="00B84A12"/>
    <w:rsid w:val="00BA64CA"/>
    <w:rsid w:val="00C8482D"/>
    <w:rsid w:val="00CF5AF3"/>
    <w:rsid w:val="00D05E25"/>
    <w:rsid w:val="00D546CA"/>
    <w:rsid w:val="00D7297B"/>
    <w:rsid w:val="00DE6FA8"/>
    <w:rsid w:val="00E22A1C"/>
    <w:rsid w:val="00E46129"/>
    <w:rsid w:val="00E553D3"/>
    <w:rsid w:val="00F150F6"/>
    <w:rsid w:val="00F25B09"/>
    <w:rsid w:val="00F2623A"/>
    <w:rsid w:val="00F32D97"/>
    <w:rsid w:val="00F51F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7113EF"/>
  <w15:chartTrackingRefBased/>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US" w:bidi="ar-SA" w:eastAsia="en-US"/>
      </w:rPr>
    </w:rPrDefault>
    <w:pPrDefault>
      <w:pPr>
        <w:spacing w:after="160" w:line="259" w:lineRule="auto"/>
      </w:pPr>
    </w:pPrDefault>
  </w:docDefaults>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FollowedHyperlink">
    <w:name w:val="FollowedHyperlink"/>
    <w:basedOn w:val="DefaultParagraphFont"/>
    <w:uiPriority w:val="99"/>
    <w:semiHidden w:val="on"/>
    <w:unhideWhenUsed w:val="on"/>
    <w:rPr>
      <w:color w:val="954f72" w:themeColor="followed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44546a" w:themeColor="text2"/>
      <w:sz w:val="18"/>
      <w:szCs w:val="18"/>
    </w:rPr>
  </w:style>
  <w:style w:type="paragraph" w:default="1" w:styleId="Normal">
    <w:name w:val="Normal"/>
    <w:uiPriority w:val="99"/>
    <w:qFormat w:val="on"/>
    <w:pPr>
      <w:spacing w:line="360" w:lineRule="auto"/>
      <w:jc w:val="both"/>
    </w:pPr>
    <w:rPr>
      <w:sz w:val="24"/>
      <w:lang w:val="en-GB"/>
    </w:rPr>
  </w:style>
  <w:style w:type="paragraph" w:styleId="Heading1">
    <w:name w:val="Heading 1"/>
    <w:basedOn w:val="Normal"/>
    <w:next w:val="Normal"/>
    <w:link w:val="Heading1Char"/>
    <w:uiPriority w:val="9"/>
    <w:qFormat w:val="on"/>
    <w:pPr>
      <w:keepNext w:val="on"/>
      <w:keepLines w:val="on"/>
      <w:spacing w:before="240" w:after="0"/>
    </w:pPr>
    <w:rPr>
      <w:rFonts w:asciiTheme="majorHAnsi" w:cstheme="majorBidi" w:eastAsiaTheme="majorEastAsia" w:hAnsiTheme="majorHAnsi"/>
      <w:color w:val="2f5395" w:themeColor="accent1" w:themeShade="bf"/>
      <w:sz w:val="32"/>
      <w:szCs w:val="32"/>
    </w:rPr>
  </w:style>
  <w:style w:type="paragraph" w:styleId="Heading4">
    <w:name w:val="Heading 4"/>
    <w:basedOn w:val="Normal"/>
    <w:link w:val="Heading4Char"/>
    <w:uiPriority w:val="9"/>
    <w:qFormat w:val="on"/>
    <w:pPr>
      <w:spacing w:before="100" w:after="100" w:line="240" w:lineRule="auto"/>
      <w:jc w:val="left"/>
    </w:pPr>
    <w:rPr>
      <w:rFonts w:ascii="Times New Roman" w:cs="Times New Roman" w:eastAsia="Times New Roman" w:hAnsi="Times New Roman"/>
      <w:b/>
      <w:bCs/>
      <w:szCs w:val="24"/>
      <w:lang w:val="en-US"/>
    </w:rPr>
  </w:style>
  <w:style w:type="paragraph" w:styleId="Heading5">
    <w:name w:val="Heading 5"/>
    <w:basedOn w:val="Normal"/>
    <w:link w:val="Heading5Char"/>
    <w:uiPriority w:val="9"/>
    <w:qFormat w:val="on"/>
    <w:pPr>
      <w:spacing w:before="100" w:after="100" w:line="240" w:lineRule="auto"/>
      <w:jc w:val="left"/>
    </w:pPr>
    <w:rPr>
      <w:rFonts w:ascii="Times New Roman" w:cs="Times New Roman" w:eastAsia="Times New Roman" w:hAnsi="Times New Roman"/>
      <w:b/>
      <w:bCs/>
      <w:sz w:val="20"/>
      <w:szCs w:val="20"/>
      <w:lang w:val="en-US"/>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4Char">
    <w:name w:val="Heading 4 Char"/>
    <w:basedOn w:val="DefaultParagraphFont"/>
    <w:link w:val="Heading4"/>
    <w:uiPriority w:val="9"/>
    <w:rPr>
      <w:rFonts w:ascii="Times New Roman" w:cs="Times New Roman" w:eastAsia="Times New Roman" w:hAnsi="Times New Roman"/>
      <w:b/>
      <w:bCs/>
      <w:sz w:val="24"/>
      <w:szCs w:val="24"/>
    </w:rPr>
  </w:style>
  <w:style w:type="character" w:customStyle="1" w:styleId="Heading5Char">
    <w:name w:val="Heading 5 Char"/>
    <w:basedOn w:val="DefaultParagraphFont"/>
    <w:link w:val="Heading5"/>
    <w:uiPriority w:val="9"/>
    <w:rPr>
      <w:rFonts w:ascii="Times New Roman" w:cs="Times New Roman" w:eastAsia="Times New Roman" w:hAnsi="Times New Roman"/>
      <w:b/>
      <w:bCs/>
      <w:sz w:val="20"/>
      <w:szCs w:val="20"/>
    </w:rPr>
  </w:style>
  <w:style w:type="character" w:styleId="Strong">
    <w:name w:val="Strong"/>
    <w:basedOn w:val="DefaultParagraphFont"/>
    <w:uiPriority w:val="22"/>
    <w:qFormat w:val="on"/>
    <w:rPr>
      <w:b/>
      <w:bCs/>
    </w:rPr>
  </w:style>
  <w:style w:type="paragraph" w:styleId="Normal(Web)">
    <w:name w:val="Normal (Web)"/>
    <w:basedOn w:val="Normal"/>
    <w:uiPriority w:val="99"/>
    <w:unhideWhenUsed w:val="on"/>
    <w:pPr>
      <w:spacing w:before="100" w:after="100" w:line="240" w:lineRule="auto"/>
      <w:jc w:val="left"/>
    </w:pPr>
    <w:rPr>
      <w:rFonts w:ascii="Times New Roman" w:cs="Times New Roman" w:eastAsia="Times New Roman" w:hAnsi="Times New Roman"/>
      <w:szCs w:val="24"/>
      <w:lang w:val="en-US"/>
    </w:rPr>
  </w:style>
  <w:style w:type="character" w:customStyle="1" w:styleId="Heading1Char">
    <w:name w:val="Heading 1 Char"/>
    <w:basedOn w:val="DefaultParagraphFont"/>
    <w:link w:val="Heading1"/>
    <w:uiPriority w:val="9"/>
    <w:rPr>
      <w:rFonts w:asciiTheme="majorHAnsi" w:cstheme="majorBidi" w:eastAsiaTheme="majorEastAsia" w:hAnsiTheme="majorHAnsi"/>
      <w:color w:val="2f5395" w:themeColor="accent1" w:themeShade="bf"/>
      <w:sz w:val="32"/>
      <w:szCs w:val="32"/>
      <w:lang w:val="en-GB"/>
    </w:rPr>
  </w:style>
  <w:style w:type="paragraph" w:styleId="TOCHeading">
    <w:name w:val="TOC Heading"/>
    <w:basedOn w:val="Heading1"/>
    <w:next w:val="Normal"/>
    <w:uiPriority w:val="39"/>
    <w:unhideWhenUsed w:val="on"/>
    <w:qFormat w:val="on"/>
    <w:pPr>
      <w:spacing w:line="259" w:lineRule="auto"/>
      <w:jc w:val="left"/>
    </w:pPr>
    <w:rPr>
      <w:lang w:val="en-US"/>
    </w:rPr>
  </w:style>
  <w:style w:type="paragraph" w:styleId="Toc1">
    <w:name w:val="Toc 1"/>
    <w:basedOn w:val="Normal"/>
    <w:next w:val="Normal"/>
    <w:uiPriority w:val="39"/>
    <w:unhideWhenUsed w:val="on"/>
    <w:pPr>
      <w:spacing w:after="100"/>
    </w:pPr>
  </w:style>
  <w:style w:type="character" w:styleId="Hyperlink">
    <w:name w:val="Hyperlink"/>
    <w:basedOn w:val="DefaultParagraphFont"/>
    <w:uiPriority w:val="99"/>
    <w:unhideWhenUsed w:val="on"/>
    <w:rPr>
      <w:color w:val="0563c1" w:themeColor="hyperlink"/>
      <w:u w:val="single"/>
    </w:rPr>
  </w:style>
  <w:style w:type="paragraph" w:customStyle="1" w:styleId="Default">
    <w:name w:val="Default"/>
    <w:uiPriority w:val="99"/>
    <w:pPr>
      <w:spacing w:after="0" w:line="240" w:lineRule="auto"/>
    </w:pPr>
    <w:rPr>
      <w:rFonts w:ascii="Arial" w:cs="Arial" w:hAnsi="Arial"/>
      <w:color w:val="000000"/>
      <w:sz w:val="24"/>
      <w:szCs w:val="24"/>
    </w:rPr>
  </w:style>
  <w:style w:type="paragraph" w:styleId="Header">
    <w:name w:val="Header"/>
    <w:basedOn w:val="Normal"/>
    <w:link w:val="HeaderChar"/>
    <w:uiPriority w:val="99"/>
    <w:unhideWhenUsed w:val="on"/>
    <w:pPr>
      <w:tabs>
        <w:tab w:val="center" w:pos="4680"/>
        <w:tab w:val="right" w:pos="9360"/>
      </w:tabs>
      <w:spacing w:after="0" w:line="240" w:lineRule="auto"/>
    </w:pPr>
  </w:style>
  <w:style w:type="character" w:customStyle="1" w:styleId="HeaderChar">
    <w:name w:val="Header Char"/>
    <w:basedOn w:val="DefaultParagraphFont"/>
    <w:link w:val="Header"/>
    <w:uiPriority w:val="99"/>
    <w:rPr>
      <w:sz w:val="24"/>
      <w:lang w:val="en-GB"/>
    </w:rPr>
  </w:style>
  <w:style w:type="paragraph" w:styleId="Footer">
    <w:name w:val="Footer"/>
    <w:basedOn w:val="Normal"/>
    <w:link w:val="FooterChar"/>
    <w:uiPriority w:val="99"/>
    <w:unhideWhenUsed w:val="on"/>
    <w:pPr>
      <w:tabs>
        <w:tab w:val="center" w:pos="4680"/>
        <w:tab w:val="right" w:pos="9360"/>
      </w:tabs>
      <w:spacing w:after="0" w:line="240" w:lineRule="auto"/>
    </w:pPr>
  </w:style>
  <w:style w:type="character" w:customStyle="1" w:styleId="FooterChar">
    <w:name w:val="Footer Char"/>
    <w:basedOn w:val="DefaultParagraphFont"/>
    <w:link w:val="Footer"/>
    <w:uiPriority w:val="99"/>
    <w:rPr>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57190">
      <w:bodyDiv w:val="1"/>
      <w:marLeft w:val="0"/>
      <w:marRight w:val="0"/>
      <w:marTop w:val="0"/>
      <w:marBottom w:val="0"/>
      <w:divBdr>
        <w:top w:val="none" w:sz="0" w:space="0" w:color="auto"/>
        <w:left w:val="none" w:sz="0" w:space="0" w:color="auto"/>
        <w:bottom w:val="none" w:sz="0" w:space="0" w:color="auto"/>
        <w:right w:val="none" w:sz="0" w:space="0" w:color="auto"/>
      </w:divBdr>
      <w:divsChild>
        <w:div w:id="1224171240">
          <w:marLeft w:val="0"/>
          <w:marRight w:val="0"/>
          <w:marTop w:val="0"/>
          <w:marBottom w:val="0"/>
          <w:divBdr>
            <w:top w:val="none" w:sz="0" w:space="0" w:color="auto"/>
            <w:left w:val="none" w:sz="0" w:space="0" w:color="auto"/>
            <w:bottom w:val="none" w:sz="0" w:space="0" w:color="auto"/>
            <w:right w:val="none" w:sz="0" w:space="0" w:color="auto"/>
          </w:divBdr>
        </w:div>
      </w:divsChild>
    </w:div>
    <w:div w:id="48504439">
      <w:bodyDiv w:val="1"/>
      <w:marLeft w:val="0"/>
      <w:marRight w:val="0"/>
      <w:marTop w:val="0"/>
      <w:marBottom w:val="0"/>
      <w:divBdr>
        <w:top w:val="none" w:sz="0" w:space="0" w:color="auto"/>
        <w:left w:val="none" w:sz="0" w:space="0" w:color="auto"/>
        <w:bottom w:val="none" w:sz="0" w:space="0" w:color="auto"/>
        <w:right w:val="none" w:sz="0" w:space="0" w:color="auto"/>
      </w:divBdr>
    </w:div>
    <w:div w:id="138771303">
      <w:bodyDiv w:val="1"/>
      <w:marLeft w:val="0"/>
      <w:marRight w:val="0"/>
      <w:marTop w:val="0"/>
      <w:marBottom w:val="0"/>
      <w:divBdr>
        <w:top w:val="none" w:sz="0" w:space="0" w:color="auto"/>
        <w:left w:val="none" w:sz="0" w:space="0" w:color="auto"/>
        <w:bottom w:val="none" w:sz="0" w:space="0" w:color="auto"/>
        <w:right w:val="none" w:sz="0" w:space="0" w:color="auto"/>
      </w:divBdr>
      <w:divsChild>
        <w:div w:id="1513951757">
          <w:marLeft w:val="0"/>
          <w:marRight w:val="0"/>
          <w:marTop w:val="0"/>
          <w:marBottom w:val="0"/>
          <w:divBdr>
            <w:top w:val="none" w:sz="0" w:space="0" w:color="auto"/>
            <w:left w:val="none" w:sz="0" w:space="0" w:color="auto"/>
            <w:bottom w:val="none" w:sz="0" w:space="0" w:color="auto"/>
            <w:right w:val="none" w:sz="0" w:space="0" w:color="auto"/>
          </w:divBdr>
        </w:div>
      </w:divsChild>
    </w:div>
    <w:div w:id="163328000">
      <w:bodyDiv w:val="1"/>
      <w:marLeft w:val="0"/>
      <w:marRight w:val="0"/>
      <w:marTop w:val="0"/>
      <w:marBottom w:val="0"/>
      <w:divBdr>
        <w:top w:val="none" w:sz="0" w:space="0" w:color="auto"/>
        <w:left w:val="none" w:sz="0" w:space="0" w:color="auto"/>
        <w:bottom w:val="none" w:sz="0" w:space="0" w:color="auto"/>
        <w:right w:val="none" w:sz="0" w:space="0" w:color="auto"/>
      </w:divBdr>
      <w:divsChild>
        <w:div w:id="1649286493">
          <w:marLeft w:val="0"/>
          <w:marRight w:val="0"/>
          <w:marTop w:val="0"/>
          <w:marBottom w:val="0"/>
          <w:divBdr>
            <w:top w:val="none" w:sz="0" w:space="0" w:color="auto"/>
            <w:left w:val="none" w:sz="0" w:space="0" w:color="auto"/>
            <w:bottom w:val="none" w:sz="0" w:space="0" w:color="auto"/>
            <w:right w:val="none" w:sz="0" w:space="0" w:color="auto"/>
          </w:divBdr>
        </w:div>
      </w:divsChild>
    </w:div>
    <w:div w:id="193615540">
      <w:bodyDiv w:val="1"/>
      <w:marLeft w:val="0"/>
      <w:marRight w:val="0"/>
      <w:marTop w:val="0"/>
      <w:marBottom w:val="0"/>
      <w:divBdr>
        <w:top w:val="none" w:sz="0" w:space="0" w:color="auto"/>
        <w:left w:val="none" w:sz="0" w:space="0" w:color="auto"/>
        <w:bottom w:val="none" w:sz="0" w:space="0" w:color="auto"/>
        <w:right w:val="none" w:sz="0" w:space="0" w:color="auto"/>
      </w:divBdr>
      <w:divsChild>
        <w:div w:id="106630395">
          <w:marLeft w:val="0"/>
          <w:marRight w:val="0"/>
          <w:marTop w:val="0"/>
          <w:marBottom w:val="0"/>
          <w:divBdr>
            <w:top w:val="none" w:sz="0" w:space="0" w:color="auto"/>
            <w:left w:val="none" w:sz="0" w:space="0" w:color="auto"/>
            <w:bottom w:val="none" w:sz="0" w:space="0" w:color="auto"/>
            <w:right w:val="none" w:sz="0" w:space="0" w:color="auto"/>
          </w:divBdr>
        </w:div>
      </w:divsChild>
    </w:div>
    <w:div w:id="227738675">
      <w:bodyDiv w:val="1"/>
      <w:marLeft w:val="0"/>
      <w:marRight w:val="0"/>
      <w:marTop w:val="0"/>
      <w:marBottom w:val="0"/>
      <w:divBdr>
        <w:top w:val="none" w:sz="0" w:space="0" w:color="auto"/>
        <w:left w:val="none" w:sz="0" w:space="0" w:color="auto"/>
        <w:bottom w:val="none" w:sz="0" w:space="0" w:color="auto"/>
        <w:right w:val="none" w:sz="0" w:space="0" w:color="auto"/>
      </w:divBdr>
      <w:divsChild>
        <w:div w:id="1438793085">
          <w:marLeft w:val="0"/>
          <w:marRight w:val="0"/>
          <w:marTop w:val="0"/>
          <w:marBottom w:val="0"/>
          <w:divBdr>
            <w:top w:val="none" w:sz="0" w:space="0" w:color="auto"/>
            <w:left w:val="none" w:sz="0" w:space="0" w:color="auto"/>
            <w:bottom w:val="none" w:sz="0" w:space="0" w:color="auto"/>
            <w:right w:val="none" w:sz="0" w:space="0" w:color="auto"/>
          </w:divBdr>
        </w:div>
      </w:divsChild>
    </w:div>
    <w:div w:id="237831078">
      <w:bodyDiv w:val="1"/>
      <w:marLeft w:val="0"/>
      <w:marRight w:val="0"/>
      <w:marTop w:val="0"/>
      <w:marBottom w:val="0"/>
      <w:divBdr>
        <w:top w:val="none" w:sz="0" w:space="0" w:color="auto"/>
        <w:left w:val="none" w:sz="0" w:space="0" w:color="auto"/>
        <w:bottom w:val="none" w:sz="0" w:space="0" w:color="auto"/>
        <w:right w:val="none" w:sz="0" w:space="0" w:color="auto"/>
      </w:divBdr>
      <w:divsChild>
        <w:div w:id="592326750">
          <w:marLeft w:val="0"/>
          <w:marRight w:val="0"/>
          <w:marTop w:val="0"/>
          <w:marBottom w:val="0"/>
          <w:divBdr>
            <w:top w:val="none" w:sz="0" w:space="0" w:color="auto"/>
            <w:left w:val="none" w:sz="0" w:space="0" w:color="auto"/>
            <w:bottom w:val="none" w:sz="0" w:space="0" w:color="auto"/>
            <w:right w:val="none" w:sz="0" w:space="0" w:color="auto"/>
          </w:divBdr>
        </w:div>
      </w:divsChild>
    </w:div>
    <w:div w:id="250042017">
      <w:bodyDiv w:val="1"/>
      <w:marLeft w:val="0"/>
      <w:marRight w:val="0"/>
      <w:marTop w:val="0"/>
      <w:marBottom w:val="0"/>
      <w:divBdr>
        <w:top w:val="none" w:sz="0" w:space="0" w:color="auto"/>
        <w:left w:val="none" w:sz="0" w:space="0" w:color="auto"/>
        <w:bottom w:val="none" w:sz="0" w:space="0" w:color="auto"/>
        <w:right w:val="none" w:sz="0" w:space="0" w:color="auto"/>
      </w:divBdr>
      <w:divsChild>
        <w:div w:id="2132823009">
          <w:marLeft w:val="0"/>
          <w:marRight w:val="0"/>
          <w:marTop w:val="0"/>
          <w:marBottom w:val="0"/>
          <w:divBdr>
            <w:top w:val="none" w:sz="0" w:space="0" w:color="auto"/>
            <w:left w:val="none" w:sz="0" w:space="0" w:color="auto"/>
            <w:bottom w:val="none" w:sz="0" w:space="0" w:color="auto"/>
            <w:right w:val="none" w:sz="0" w:space="0" w:color="auto"/>
          </w:divBdr>
        </w:div>
      </w:divsChild>
    </w:div>
    <w:div w:id="272857969">
      <w:bodyDiv w:val="1"/>
      <w:marLeft w:val="0"/>
      <w:marRight w:val="0"/>
      <w:marTop w:val="0"/>
      <w:marBottom w:val="0"/>
      <w:divBdr>
        <w:top w:val="none" w:sz="0" w:space="0" w:color="auto"/>
        <w:left w:val="none" w:sz="0" w:space="0" w:color="auto"/>
        <w:bottom w:val="none" w:sz="0" w:space="0" w:color="auto"/>
        <w:right w:val="none" w:sz="0" w:space="0" w:color="auto"/>
      </w:divBdr>
      <w:divsChild>
        <w:div w:id="1792816923">
          <w:marLeft w:val="0"/>
          <w:marRight w:val="0"/>
          <w:marTop w:val="0"/>
          <w:marBottom w:val="0"/>
          <w:divBdr>
            <w:top w:val="none" w:sz="0" w:space="0" w:color="auto"/>
            <w:left w:val="none" w:sz="0" w:space="0" w:color="auto"/>
            <w:bottom w:val="none" w:sz="0" w:space="0" w:color="auto"/>
            <w:right w:val="none" w:sz="0" w:space="0" w:color="auto"/>
          </w:divBdr>
        </w:div>
      </w:divsChild>
    </w:div>
    <w:div w:id="362901528">
      <w:bodyDiv w:val="1"/>
      <w:marLeft w:val="0"/>
      <w:marRight w:val="0"/>
      <w:marTop w:val="0"/>
      <w:marBottom w:val="0"/>
      <w:divBdr>
        <w:top w:val="none" w:sz="0" w:space="0" w:color="auto"/>
        <w:left w:val="none" w:sz="0" w:space="0" w:color="auto"/>
        <w:bottom w:val="none" w:sz="0" w:space="0" w:color="auto"/>
        <w:right w:val="none" w:sz="0" w:space="0" w:color="auto"/>
      </w:divBdr>
      <w:divsChild>
        <w:div w:id="323096811">
          <w:marLeft w:val="0"/>
          <w:marRight w:val="0"/>
          <w:marTop w:val="0"/>
          <w:marBottom w:val="0"/>
          <w:divBdr>
            <w:top w:val="none" w:sz="0" w:space="0" w:color="auto"/>
            <w:left w:val="none" w:sz="0" w:space="0" w:color="auto"/>
            <w:bottom w:val="none" w:sz="0" w:space="0" w:color="auto"/>
            <w:right w:val="none" w:sz="0" w:space="0" w:color="auto"/>
          </w:divBdr>
        </w:div>
      </w:divsChild>
    </w:div>
    <w:div w:id="433749016">
      <w:bodyDiv w:val="1"/>
      <w:marLeft w:val="0"/>
      <w:marRight w:val="0"/>
      <w:marTop w:val="0"/>
      <w:marBottom w:val="0"/>
      <w:divBdr>
        <w:top w:val="none" w:sz="0" w:space="0" w:color="auto"/>
        <w:left w:val="none" w:sz="0" w:space="0" w:color="auto"/>
        <w:bottom w:val="none" w:sz="0" w:space="0" w:color="auto"/>
        <w:right w:val="none" w:sz="0" w:space="0" w:color="auto"/>
      </w:divBdr>
      <w:divsChild>
        <w:div w:id="570310251">
          <w:marLeft w:val="0"/>
          <w:marRight w:val="0"/>
          <w:marTop w:val="0"/>
          <w:marBottom w:val="0"/>
          <w:divBdr>
            <w:top w:val="none" w:sz="0" w:space="0" w:color="auto"/>
            <w:left w:val="none" w:sz="0" w:space="0" w:color="auto"/>
            <w:bottom w:val="none" w:sz="0" w:space="0" w:color="auto"/>
            <w:right w:val="none" w:sz="0" w:space="0" w:color="auto"/>
          </w:divBdr>
        </w:div>
      </w:divsChild>
    </w:div>
    <w:div w:id="475531654">
      <w:bodyDiv w:val="1"/>
      <w:marLeft w:val="0"/>
      <w:marRight w:val="0"/>
      <w:marTop w:val="0"/>
      <w:marBottom w:val="0"/>
      <w:divBdr>
        <w:top w:val="none" w:sz="0" w:space="0" w:color="auto"/>
        <w:left w:val="none" w:sz="0" w:space="0" w:color="auto"/>
        <w:bottom w:val="none" w:sz="0" w:space="0" w:color="auto"/>
        <w:right w:val="none" w:sz="0" w:space="0" w:color="auto"/>
      </w:divBdr>
      <w:divsChild>
        <w:div w:id="451676548">
          <w:marLeft w:val="0"/>
          <w:marRight w:val="0"/>
          <w:marTop w:val="0"/>
          <w:marBottom w:val="0"/>
          <w:divBdr>
            <w:top w:val="none" w:sz="0" w:space="0" w:color="auto"/>
            <w:left w:val="none" w:sz="0" w:space="0" w:color="auto"/>
            <w:bottom w:val="none" w:sz="0" w:space="0" w:color="auto"/>
            <w:right w:val="none" w:sz="0" w:space="0" w:color="auto"/>
          </w:divBdr>
        </w:div>
      </w:divsChild>
    </w:div>
    <w:div w:id="494031551">
      <w:bodyDiv w:val="1"/>
      <w:marLeft w:val="0"/>
      <w:marRight w:val="0"/>
      <w:marTop w:val="0"/>
      <w:marBottom w:val="0"/>
      <w:divBdr>
        <w:top w:val="none" w:sz="0" w:space="0" w:color="auto"/>
        <w:left w:val="none" w:sz="0" w:space="0" w:color="auto"/>
        <w:bottom w:val="none" w:sz="0" w:space="0" w:color="auto"/>
        <w:right w:val="none" w:sz="0" w:space="0" w:color="auto"/>
      </w:divBdr>
      <w:divsChild>
        <w:div w:id="1343435056">
          <w:marLeft w:val="0"/>
          <w:marRight w:val="0"/>
          <w:marTop w:val="0"/>
          <w:marBottom w:val="0"/>
          <w:divBdr>
            <w:top w:val="none" w:sz="0" w:space="0" w:color="auto"/>
            <w:left w:val="none" w:sz="0" w:space="0" w:color="auto"/>
            <w:bottom w:val="none" w:sz="0" w:space="0" w:color="auto"/>
            <w:right w:val="none" w:sz="0" w:space="0" w:color="auto"/>
          </w:divBdr>
        </w:div>
      </w:divsChild>
    </w:div>
    <w:div w:id="519663898">
      <w:bodyDiv w:val="1"/>
      <w:marLeft w:val="0"/>
      <w:marRight w:val="0"/>
      <w:marTop w:val="0"/>
      <w:marBottom w:val="0"/>
      <w:divBdr>
        <w:top w:val="none" w:sz="0" w:space="0" w:color="auto"/>
        <w:left w:val="none" w:sz="0" w:space="0" w:color="auto"/>
        <w:bottom w:val="none" w:sz="0" w:space="0" w:color="auto"/>
        <w:right w:val="none" w:sz="0" w:space="0" w:color="auto"/>
      </w:divBdr>
      <w:divsChild>
        <w:div w:id="977228239">
          <w:marLeft w:val="0"/>
          <w:marRight w:val="0"/>
          <w:marTop w:val="0"/>
          <w:marBottom w:val="0"/>
          <w:divBdr>
            <w:top w:val="none" w:sz="0" w:space="0" w:color="auto"/>
            <w:left w:val="none" w:sz="0" w:space="0" w:color="auto"/>
            <w:bottom w:val="none" w:sz="0" w:space="0" w:color="auto"/>
            <w:right w:val="none" w:sz="0" w:space="0" w:color="auto"/>
          </w:divBdr>
        </w:div>
      </w:divsChild>
    </w:div>
    <w:div w:id="520702770">
      <w:bodyDiv w:val="1"/>
      <w:marLeft w:val="0"/>
      <w:marRight w:val="0"/>
      <w:marTop w:val="0"/>
      <w:marBottom w:val="0"/>
      <w:divBdr>
        <w:top w:val="none" w:sz="0" w:space="0" w:color="auto"/>
        <w:left w:val="none" w:sz="0" w:space="0" w:color="auto"/>
        <w:bottom w:val="none" w:sz="0" w:space="0" w:color="auto"/>
        <w:right w:val="none" w:sz="0" w:space="0" w:color="auto"/>
      </w:divBdr>
    </w:div>
    <w:div w:id="569925595">
      <w:bodyDiv w:val="1"/>
      <w:marLeft w:val="0"/>
      <w:marRight w:val="0"/>
      <w:marTop w:val="0"/>
      <w:marBottom w:val="0"/>
      <w:divBdr>
        <w:top w:val="none" w:sz="0" w:space="0" w:color="auto"/>
        <w:left w:val="none" w:sz="0" w:space="0" w:color="auto"/>
        <w:bottom w:val="none" w:sz="0" w:space="0" w:color="auto"/>
        <w:right w:val="none" w:sz="0" w:space="0" w:color="auto"/>
      </w:divBdr>
      <w:divsChild>
        <w:div w:id="1494251239">
          <w:marLeft w:val="0"/>
          <w:marRight w:val="0"/>
          <w:marTop w:val="0"/>
          <w:marBottom w:val="0"/>
          <w:divBdr>
            <w:top w:val="none" w:sz="0" w:space="0" w:color="auto"/>
            <w:left w:val="none" w:sz="0" w:space="0" w:color="auto"/>
            <w:bottom w:val="none" w:sz="0" w:space="0" w:color="auto"/>
            <w:right w:val="none" w:sz="0" w:space="0" w:color="auto"/>
          </w:divBdr>
        </w:div>
      </w:divsChild>
    </w:div>
    <w:div w:id="576135297">
      <w:bodyDiv w:val="1"/>
      <w:marLeft w:val="0"/>
      <w:marRight w:val="0"/>
      <w:marTop w:val="0"/>
      <w:marBottom w:val="0"/>
      <w:divBdr>
        <w:top w:val="none" w:sz="0" w:space="0" w:color="auto"/>
        <w:left w:val="none" w:sz="0" w:space="0" w:color="auto"/>
        <w:bottom w:val="none" w:sz="0" w:space="0" w:color="auto"/>
        <w:right w:val="none" w:sz="0" w:space="0" w:color="auto"/>
      </w:divBdr>
      <w:divsChild>
        <w:div w:id="1738934443">
          <w:marLeft w:val="0"/>
          <w:marRight w:val="0"/>
          <w:marTop w:val="0"/>
          <w:marBottom w:val="0"/>
          <w:divBdr>
            <w:top w:val="none" w:sz="0" w:space="0" w:color="auto"/>
            <w:left w:val="none" w:sz="0" w:space="0" w:color="auto"/>
            <w:bottom w:val="none" w:sz="0" w:space="0" w:color="auto"/>
            <w:right w:val="none" w:sz="0" w:space="0" w:color="auto"/>
          </w:divBdr>
        </w:div>
      </w:divsChild>
    </w:div>
    <w:div w:id="596014389">
      <w:bodyDiv w:val="1"/>
      <w:marLeft w:val="0"/>
      <w:marRight w:val="0"/>
      <w:marTop w:val="0"/>
      <w:marBottom w:val="0"/>
      <w:divBdr>
        <w:top w:val="none" w:sz="0" w:space="0" w:color="auto"/>
        <w:left w:val="none" w:sz="0" w:space="0" w:color="auto"/>
        <w:bottom w:val="none" w:sz="0" w:space="0" w:color="auto"/>
        <w:right w:val="none" w:sz="0" w:space="0" w:color="auto"/>
      </w:divBdr>
      <w:divsChild>
        <w:div w:id="917906846">
          <w:marLeft w:val="0"/>
          <w:marRight w:val="0"/>
          <w:marTop w:val="0"/>
          <w:marBottom w:val="0"/>
          <w:divBdr>
            <w:top w:val="none" w:sz="0" w:space="0" w:color="auto"/>
            <w:left w:val="none" w:sz="0" w:space="0" w:color="auto"/>
            <w:bottom w:val="none" w:sz="0" w:space="0" w:color="auto"/>
            <w:right w:val="none" w:sz="0" w:space="0" w:color="auto"/>
          </w:divBdr>
        </w:div>
      </w:divsChild>
    </w:div>
    <w:div w:id="804736918">
      <w:bodyDiv w:val="1"/>
      <w:marLeft w:val="0"/>
      <w:marRight w:val="0"/>
      <w:marTop w:val="0"/>
      <w:marBottom w:val="0"/>
      <w:divBdr>
        <w:top w:val="none" w:sz="0" w:space="0" w:color="auto"/>
        <w:left w:val="none" w:sz="0" w:space="0" w:color="auto"/>
        <w:bottom w:val="none" w:sz="0" w:space="0" w:color="auto"/>
        <w:right w:val="none" w:sz="0" w:space="0" w:color="auto"/>
      </w:divBdr>
      <w:divsChild>
        <w:div w:id="560018383">
          <w:marLeft w:val="0"/>
          <w:marRight w:val="0"/>
          <w:marTop w:val="0"/>
          <w:marBottom w:val="0"/>
          <w:divBdr>
            <w:top w:val="none" w:sz="0" w:space="0" w:color="auto"/>
            <w:left w:val="none" w:sz="0" w:space="0" w:color="auto"/>
            <w:bottom w:val="none" w:sz="0" w:space="0" w:color="auto"/>
            <w:right w:val="none" w:sz="0" w:space="0" w:color="auto"/>
          </w:divBdr>
        </w:div>
      </w:divsChild>
    </w:div>
    <w:div w:id="847250876">
      <w:bodyDiv w:val="1"/>
      <w:marLeft w:val="0"/>
      <w:marRight w:val="0"/>
      <w:marTop w:val="0"/>
      <w:marBottom w:val="0"/>
      <w:divBdr>
        <w:top w:val="none" w:sz="0" w:space="0" w:color="auto"/>
        <w:left w:val="none" w:sz="0" w:space="0" w:color="auto"/>
        <w:bottom w:val="none" w:sz="0" w:space="0" w:color="auto"/>
        <w:right w:val="none" w:sz="0" w:space="0" w:color="auto"/>
      </w:divBdr>
      <w:divsChild>
        <w:div w:id="201745440">
          <w:marLeft w:val="0"/>
          <w:marRight w:val="0"/>
          <w:marTop w:val="0"/>
          <w:marBottom w:val="0"/>
          <w:divBdr>
            <w:top w:val="none" w:sz="0" w:space="0" w:color="auto"/>
            <w:left w:val="none" w:sz="0" w:space="0" w:color="auto"/>
            <w:bottom w:val="none" w:sz="0" w:space="0" w:color="auto"/>
            <w:right w:val="none" w:sz="0" w:space="0" w:color="auto"/>
          </w:divBdr>
        </w:div>
      </w:divsChild>
    </w:div>
    <w:div w:id="858471732">
      <w:bodyDiv w:val="1"/>
      <w:marLeft w:val="0"/>
      <w:marRight w:val="0"/>
      <w:marTop w:val="0"/>
      <w:marBottom w:val="0"/>
      <w:divBdr>
        <w:top w:val="none" w:sz="0" w:space="0" w:color="auto"/>
        <w:left w:val="none" w:sz="0" w:space="0" w:color="auto"/>
        <w:bottom w:val="none" w:sz="0" w:space="0" w:color="auto"/>
        <w:right w:val="none" w:sz="0" w:space="0" w:color="auto"/>
      </w:divBdr>
      <w:divsChild>
        <w:div w:id="1065642586">
          <w:marLeft w:val="0"/>
          <w:marRight w:val="0"/>
          <w:marTop w:val="0"/>
          <w:marBottom w:val="0"/>
          <w:divBdr>
            <w:top w:val="none" w:sz="0" w:space="0" w:color="auto"/>
            <w:left w:val="none" w:sz="0" w:space="0" w:color="auto"/>
            <w:bottom w:val="none" w:sz="0" w:space="0" w:color="auto"/>
            <w:right w:val="none" w:sz="0" w:space="0" w:color="auto"/>
          </w:divBdr>
        </w:div>
      </w:divsChild>
    </w:div>
    <w:div w:id="905065953">
      <w:bodyDiv w:val="1"/>
      <w:marLeft w:val="0"/>
      <w:marRight w:val="0"/>
      <w:marTop w:val="0"/>
      <w:marBottom w:val="0"/>
      <w:divBdr>
        <w:top w:val="none" w:sz="0" w:space="0" w:color="auto"/>
        <w:left w:val="none" w:sz="0" w:space="0" w:color="auto"/>
        <w:bottom w:val="none" w:sz="0" w:space="0" w:color="auto"/>
        <w:right w:val="none" w:sz="0" w:space="0" w:color="auto"/>
      </w:divBdr>
      <w:divsChild>
        <w:div w:id="2004241892">
          <w:marLeft w:val="0"/>
          <w:marRight w:val="0"/>
          <w:marTop w:val="0"/>
          <w:marBottom w:val="0"/>
          <w:divBdr>
            <w:top w:val="none" w:sz="0" w:space="0" w:color="auto"/>
            <w:left w:val="none" w:sz="0" w:space="0" w:color="auto"/>
            <w:bottom w:val="none" w:sz="0" w:space="0" w:color="auto"/>
            <w:right w:val="none" w:sz="0" w:space="0" w:color="auto"/>
          </w:divBdr>
        </w:div>
      </w:divsChild>
    </w:div>
    <w:div w:id="905380752">
      <w:bodyDiv w:val="1"/>
      <w:marLeft w:val="0"/>
      <w:marRight w:val="0"/>
      <w:marTop w:val="0"/>
      <w:marBottom w:val="0"/>
      <w:divBdr>
        <w:top w:val="none" w:sz="0" w:space="0" w:color="auto"/>
        <w:left w:val="none" w:sz="0" w:space="0" w:color="auto"/>
        <w:bottom w:val="none" w:sz="0" w:space="0" w:color="auto"/>
        <w:right w:val="none" w:sz="0" w:space="0" w:color="auto"/>
      </w:divBdr>
      <w:divsChild>
        <w:div w:id="1269389593">
          <w:marLeft w:val="0"/>
          <w:marRight w:val="0"/>
          <w:marTop w:val="0"/>
          <w:marBottom w:val="0"/>
          <w:divBdr>
            <w:top w:val="none" w:sz="0" w:space="0" w:color="auto"/>
            <w:left w:val="none" w:sz="0" w:space="0" w:color="auto"/>
            <w:bottom w:val="none" w:sz="0" w:space="0" w:color="auto"/>
            <w:right w:val="none" w:sz="0" w:space="0" w:color="auto"/>
          </w:divBdr>
        </w:div>
      </w:divsChild>
    </w:div>
    <w:div w:id="932544088">
      <w:bodyDiv w:val="1"/>
      <w:marLeft w:val="0"/>
      <w:marRight w:val="0"/>
      <w:marTop w:val="0"/>
      <w:marBottom w:val="0"/>
      <w:divBdr>
        <w:top w:val="none" w:sz="0" w:space="0" w:color="auto"/>
        <w:left w:val="none" w:sz="0" w:space="0" w:color="auto"/>
        <w:bottom w:val="none" w:sz="0" w:space="0" w:color="auto"/>
        <w:right w:val="none" w:sz="0" w:space="0" w:color="auto"/>
      </w:divBdr>
    </w:div>
    <w:div w:id="953710621">
      <w:bodyDiv w:val="1"/>
      <w:marLeft w:val="0"/>
      <w:marRight w:val="0"/>
      <w:marTop w:val="0"/>
      <w:marBottom w:val="0"/>
      <w:divBdr>
        <w:top w:val="none" w:sz="0" w:space="0" w:color="auto"/>
        <w:left w:val="none" w:sz="0" w:space="0" w:color="auto"/>
        <w:bottom w:val="none" w:sz="0" w:space="0" w:color="auto"/>
        <w:right w:val="none" w:sz="0" w:space="0" w:color="auto"/>
      </w:divBdr>
      <w:divsChild>
        <w:div w:id="331222362">
          <w:marLeft w:val="0"/>
          <w:marRight w:val="0"/>
          <w:marTop w:val="0"/>
          <w:marBottom w:val="0"/>
          <w:divBdr>
            <w:top w:val="none" w:sz="0" w:space="0" w:color="auto"/>
            <w:left w:val="none" w:sz="0" w:space="0" w:color="auto"/>
            <w:bottom w:val="none" w:sz="0" w:space="0" w:color="auto"/>
            <w:right w:val="none" w:sz="0" w:space="0" w:color="auto"/>
          </w:divBdr>
        </w:div>
      </w:divsChild>
    </w:div>
    <w:div w:id="989097321">
      <w:bodyDiv w:val="1"/>
      <w:marLeft w:val="0"/>
      <w:marRight w:val="0"/>
      <w:marTop w:val="0"/>
      <w:marBottom w:val="0"/>
      <w:divBdr>
        <w:top w:val="none" w:sz="0" w:space="0" w:color="auto"/>
        <w:left w:val="none" w:sz="0" w:space="0" w:color="auto"/>
        <w:bottom w:val="none" w:sz="0" w:space="0" w:color="auto"/>
        <w:right w:val="none" w:sz="0" w:space="0" w:color="auto"/>
      </w:divBdr>
      <w:divsChild>
        <w:div w:id="1237469491">
          <w:marLeft w:val="0"/>
          <w:marRight w:val="0"/>
          <w:marTop w:val="0"/>
          <w:marBottom w:val="0"/>
          <w:divBdr>
            <w:top w:val="none" w:sz="0" w:space="0" w:color="auto"/>
            <w:left w:val="none" w:sz="0" w:space="0" w:color="auto"/>
            <w:bottom w:val="none" w:sz="0" w:space="0" w:color="auto"/>
            <w:right w:val="none" w:sz="0" w:space="0" w:color="auto"/>
          </w:divBdr>
        </w:div>
      </w:divsChild>
    </w:div>
    <w:div w:id="1028794178">
      <w:bodyDiv w:val="1"/>
      <w:marLeft w:val="0"/>
      <w:marRight w:val="0"/>
      <w:marTop w:val="0"/>
      <w:marBottom w:val="0"/>
      <w:divBdr>
        <w:top w:val="none" w:sz="0" w:space="0" w:color="auto"/>
        <w:left w:val="none" w:sz="0" w:space="0" w:color="auto"/>
        <w:bottom w:val="none" w:sz="0" w:space="0" w:color="auto"/>
        <w:right w:val="none" w:sz="0" w:space="0" w:color="auto"/>
      </w:divBdr>
      <w:divsChild>
        <w:div w:id="1530609553">
          <w:marLeft w:val="0"/>
          <w:marRight w:val="0"/>
          <w:marTop w:val="0"/>
          <w:marBottom w:val="0"/>
          <w:divBdr>
            <w:top w:val="none" w:sz="0" w:space="0" w:color="auto"/>
            <w:left w:val="none" w:sz="0" w:space="0" w:color="auto"/>
            <w:bottom w:val="none" w:sz="0" w:space="0" w:color="auto"/>
            <w:right w:val="none" w:sz="0" w:space="0" w:color="auto"/>
          </w:divBdr>
        </w:div>
      </w:divsChild>
    </w:div>
    <w:div w:id="1155149643">
      <w:bodyDiv w:val="1"/>
      <w:marLeft w:val="0"/>
      <w:marRight w:val="0"/>
      <w:marTop w:val="0"/>
      <w:marBottom w:val="0"/>
      <w:divBdr>
        <w:top w:val="none" w:sz="0" w:space="0" w:color="auto"/>
        <w:left w:val="none" w:sz="0" w:space="0" w:color="auto"/>
        <w:bottom w:val="none" w:sz="0" w:space="0" w:color="auto"/>
        <w:right w:val="none" w:sz="0" w:space="0" w:color="auto"/>
      </w:divBdr>
      <w:divsChild>
        <w:div w:id="202449173">
          <w:marLeft w:val="0"/>
          <w:marRight w:val="0"/>
          <w:marTop w:val="0"/>
          <w:marBottom w:val="0"/>
          <w:divBdr>
            <w:top w:val="none" w:sz="0" w:space="0" w:color="auto"/>
            <w:left w:val="none" w:sz="0" w:space="0" w:color="auto"/>
            <w:bottom w:val="none" w:sz="0" w:space="0" w:color="auto"/>
            <w:right w:val="none" w:sz="0" w:space="0" w:color="auto"/>
          </w:divBdr>
        </w:div>
      </w:divsChild>
    </w:div>
    <w:div w:id="1157457418">
      <w:bodyDiv w:val="1"/>
      <w:marLeft w:val="0"/>
      <w:marRight w:val="0"/>
      <w:marTop w:val="0"/>
      <w:marBottom w:val="0"/>
      <w:divBdr>
        <w:top w:val="none" w:sz="0" w:space="0" w:color="auto"/>
        <w:left w:val="none" w:sz="0" w:space="0" w:color="auto"/>
        <w:bottom w:val="none" w:sz="0" w:space="0" w:color="auto"/>
        <w:right w:val="none" w:sz="0" w:space="0" w:color="auto"/>
      </w:divBdr>
    </w:div>
    <w:div w:id="1350525056">
      <w:bodyDiv w:val="1"/>
      <w:marLeft w:val="0"/>
      <w:marRight w:val="0"/>
      <w:marTop w:val="0"/>
      <w:marBottom w:val="0"/>
      <w:divBdr>
        <w:top w:val="none" w:sz="0" w:space="0" w:color="auto"/>
        <w:left w:val="none" w:sz="0" w:space="0" w:color="auto"/>
        <w:bottom w:val="none" w:sz="0" w:space="0" w:color="auto"/>
        <w:right w:val="none" w:sz="0" w:space="0" w:color="auto"/>
      </w:divBdr>
      <w:divsChild>
        <w:div w:id="1279724256">
          <w:marLeft w:val="0"/>
          <w:marRight w:val="0"/>
          <w:marTop w:val="0"/>
          <w:marBottom w:val="0"/>
          <w:divBdr>
            <w:top w:val="none" w:sz="0" w:space="0" w:color="auto"/>
            <w:left w:val="none" w:sz="0" w:space="0" w:color="auto"/>
            <w:bottom w:val="none" w:sz="0" w:space="0" w:color="auto"/>
            <w:right w:val="none" w:sz="0" w:space="0" w:color="auto"/>
          </w:divBdr>
        </w:div>
      </w:divsChild>
    </w:div>
    <w:div w:id="1380858127">
      <w:bodyDiv w:val="1"/>
      <w:marLeft w:val="0"/>
      <w:marRight w:val="0"/>
      <w:marTop w:val="0"/>
      <w:marBottom w:val="0"/>
      <w:divBdr>
        <w:top w:val="none" w:sz="0" w:space="0" w:color="auto"/>
        <w:left w:val="none" w:sz="0" w:space="0" w:color="auto"/>
        <w:bottom w:val="none" w:sz="0" w:space="0" w:color="auto"/>
        <w:right w:val="none" w:sz="0" w:space="0" w:color="auto"/>
      </w:divBdr>
      <w:divsChild>
        <w:div w:id="1813787060">
          <w:marLeft w:val="0"/>
          <w:marRight w:val="0"/>
          <w:marTop w:val="0"/>
          <w:marBottom w:val="0"/>
          <w:divBdr>
            <w:top w:val="none" w:sz="0" w:space="0" w:color="auto"/>
            <w:left w:val="none" w:sz="0" w:space="0" w:color="auto"/>
            <w:bottom w:val="none" w:sz="0" w:space="0" w:color="auto"/>
            <w:right w:val="none" w:sz="0" w:space="0" w:color="auto"/>
          </w:divBdr>
        </w:div>
      </w:divsChild>
    </w:div>
    <w:div w:id="1381056514">
      <w:bodyDiv w:val="1"/>
      <w:marLeft w:val="0"/>
      <w:marRight w:val="0"/>
      <w:marTop w:val="0"/>
      <w:marBottom w:val="0"/>
      <w:divBdr>
        <w:top w:val="none" w:sz="0" w:space="0" w:color="auto"/>
        <w:left w:val="none" w:sz="0" w:space="0" w:color="auto"/>
        <w:bottom w:val="none" w:sz="0" w:space="0" w:color="auto"/>
        <w:right w:val="none" w:sz="0" w:space="0" w:color="auto"/>
      </w:divBdr>
      <w:divsChild>
        <w:div w:id="1845319721">
          <w:marLeft w:val="0"/>
          <w:marRight w:val="0"/>
          <w:marTop w:val="0"/>
          <w:marBottom w:val="0"/>
          <w:divBdr>
            <w:top w:val="none" w:sz="0" w:space="0" w:color="auto"/>
            <w:left w:val="none" w:sz="0" w:space="0" w:color="auto"/>
            <w:bottom w:val="none" w:sz="0" w:space="0" w:color="auto"/>
            <w:right w:val="none" w:sz="0" w:space="0" w:color="auto"/>
          </w:divBdr>
        </w:div>
      </w:divsChild>
    </w:div>
    <w:div w:id="1384938455">
      <w:bodyDiv w:val="1"/>
      <w:marLeft w:val="0"/>
      <w:marRight w:val="0"/>
      <w:marTop w:val="0"/>
      <w:marBottom w:val="0"/>
      <w:divBdr>
        <w:top w:val="none" w:sz="0" w:space="0" w:color="auto"/>
        <w:left w:val="none" w:sz="0" w:space="0" w:color="auto"/>
        <w:bottom w:val="none" w:sz="0" w:space="0" w:color="auto"/>
        <w:right w:val="none" w:sz="0" w:space="0" w:color="auto"/>
      </w:divBdr>
      <w:divsChild>
        <w:div w:id="559444151">
          <w:marLeft w:val="0"/>
          <w:marRight w:val="0"/>
          <w:marTop w:val="0"/>
          <w:marBottom w:val="0"/>
          <w:divBdr>
            <w:top w:val="none" w:sz="0" w:space="0" w:color="auto"/>
            <w:left w:val="none" w:sz="0" w:space="0" w:color="auto"/>
            <w:bottom w:val="none" w:sz="0" w:space="0" w:color="auto"/>
            <w:right w:val="none" w:sz="0" w:space="0" w:color="auto"/>
          </w:divBdr>
        </w:div>
      </w:divsChild>
    </w:div>
    <w:div w:id="1455514121">
      <w:bodyDiv w:val="1"/>
      <w:marLeft w:val="0"/>
      <w:marRight w:val="0"/>
      <w:marTop w:val="0"/>
      <w:marBottom w:val="0"/>
      <w:divBdr>
        <w:top w:val="none" w:sz="0" w:space="0" w:color="auto"/>
        <w:left w:val="none" w:sz="0" w:space="0" w:color="auto"/>
        <w:bottom w:val="none" w:sz="0" w:space="0" w:color="auto"/>
        <w:right w:val="none" w:sz="0" w:space="0" w:color="auto"/>
      </w:divBdr>
    </w:div>
    <w:div w:id="1467115514">
      <w:bodyDiv w:val="1"/>
      <w:marLeft w:val="0"/>
      <w:marRight w:val="0"/>
      <w:marTop w:val="0"/>
      <w:marBottom w:val="0"/>
      <w:divBdr>
        <w:top w:val="none" w:sz="0" w:space="0" w:color="auto"/>
        <w:left w:val="none" w:sz="0" w:space="0" w:color="auto"/>
        <w:bottom w:val="none" w:sz="0" w:space="0" w:color="auto"/>
        <w:right w:val="none" w:sz="0" w:space="0" w:color="auto"/>
      </w:divBdr>
      <w:divsChild>
        <w:div w:id="1514369701">
          <w:marLeft w:val="0"/>
          <w:marRight w:val="0"/>
          <w:marTop w:val="0"/>
          <w:marBottom w:val="0"/>
          <w:divBdr>
            <w:top w:val="none" w:sz="0" w:space="0" w:color="auto"/>
            <w:left w:val="none" w:sz="0" w:space="0" w:color="auto"/>
            <w:bottom w:val="none" w:sz="0" w:space="0" w:color="auto"/>
            <w:right w:val="none" w:sz="0" w:space="0" w:color="auto"/>
          </w:divBdr>
        </w:div>
      </w:divsChild>
    </w:div>
    <w:div w:id="1502040532">
      <w:bodyDiv w:val="1"/>
      <w:marLeft w:val="0"/>
      <w:marRight w:val="0"/>
      <w:marTop w:val="0"/>
      <w:marBottom w:val="0"/>
      <w:divBdr>
        <w:top w:val="none" w:sz="0" w:space="0" w:color="auto"/>
        <w:left w:val="none" w:sz="0" w:space="0" w:color="auto"/>
        <w:bottom w:val="none" w:sz="0" w:space="0" w:color="auto"/>
        <w:right w:val="none" w:sz="0" w:space="0" w:color="auto"/>
      </w:divBdr>
      <w:divsChild>
        <w:div w:id="1611084866">
          <w:marLeft w:val="0"/>
          <w:marRight w:val="0"/>
          <w:marTop w:val="0"/>
          <w:marBottom w:val="0"/>
          <w:divBdr>
            <w:top w:val="none" w:sz="0" w:space="0" w:color="auto"/>
            <w:left w:val="none" w:sz="0" w:space="0" w:color="auto"/>
            <w:bottom w:val="none" w:sz="0" w:space="0" w:color="auto"/>
            <w:right w:val="none" w:sz="0" w:space="0" w:color="auto"/>
          </w:divBdr>
        </w:div>
      </w:divsChild>
    </w:div>
    <w:div w:id="1522738329">
      <w:bodyDiv w:val="1"/>
      <w:marLeft w:val="0"/>
      <w:marRight w:val="0"/>
      <w:marTop w:val="0"/>
      <w:marBottom w:val="0"/>
      <w:divBdr>
        <w:top w:val="none" w:sz="0" w:space="0" w:color="auto"/>
        <w:left w:val="none" w:sz="0" w:space="0" w:color="auto"/>
        <w:bottom w:val="none" w:sz="0" w:space="0" w:color="auto"/>
        <w:right w:val="none" w:sz="0" w:space="0" w:color="auto"/>
      </w:divBdr>
      <w:divsChild>
        <w:div w:id="1347631337">
          <w:marLeft w:val="0"/>
          <w:marRight w:val="0"/>
          <w:marTop w:val="0"/>
          <w:marBottom w:val="0"/>
          <w:divBdr>
            <w:top w:val="none" w:sz="0" w:space="0" w:color="auto"/>
            <w:left w:val="none" w:sz="0" w:space="0" w:color="auto"/>
            <w:bottom w:val="none" w:sz="0" w:space="0" w:color="auto"/>
            <w:right w:val="none" w:sz="0" w:space="0" w:color="auto"/>
          </w:divBdr>
        </w:div>
      </w:divsChild>
    </w:div>
    <w:div w:id="1573735751">
      <w:bodyDiv w:val="1"/>
      <w:marLeft w:val="0"/>
      <w:marRight w:val="0"/>
      <w:marTop w:val="0"/>
      <w:marBottom w:val="0"/>
      <w:divBdr>
        <w:top w:val="none" w:sz="0" w:space="0" w:color="auto"/>
        <w:left w:val="none" w:sz="0" w:space="0" w:color="auto"/>
        <w:bottom w:val="none" w:sz="0" w:space="0" w:color="auto"/>
        <w:right w:val="none" w:sz="0" w:space="0" w:color="auto"/>
      </w:divBdr>
      <w:divsChild>
        <w:div w:id="1784761048">
          <w:marLeft w:val="0"/>
          <w:marRight w:val="0"/>
          <w:marTop w:val="0"/>
          <w:marBottom w:val="0"/>
          <w:divBdr>
            <w:top w:val="none" w:sz="0" w:space="0" w:color="auto"/>
            <w:left w:val="none" w:sz="0" w:space="0" w:color="auto"/>
            <w:bottom w:val="none" w:sz="0" w:space="0" w:color="auto"/>
            <w:right w:val="none" w:sz="0" w:space="0" w:color="auto"/>
          </w:divBdr>
        </w:div>
      </w:divsChild>
    </w:div>
    <w:div w:id="1732801613">
      <w:bodyDiv w:val="1"/>
      <w:marLeft w:val="0"/>
      <w:marRight w:val="0"/>
      <w:marTop w:val="0"/>
      <w:marBottom w:val="0"/>
      <w:divBdr>
        <w:top w:val="none" w:sz="0" w:space="0" w:color="auto"/>
        <w:left w:val="none" w:sz="0" w:space="0" w:color="auto"/>
        <w:bottom w:val="none" w:sz="0" w:space="0" w:color="auto"/>
        <w:right w:val="none" w:sz="0" w:space="0" w:color="auto"/>
      </w:divBdr>
      <w:divsChild>
        <w:div w:id="215900353">
          <w:marLeft w:val="0"/>
          <w:marRight w:val="0"/>
          <w:marTop w:val="0"/>
          <w:marBottom w:val="0"/>
          <w:divBdr>
            <w:top w:val="none" w:sz="0" w:space="0" w:color="auto"/>
            <w:left w:val="none" w:sz="0" w:space="0" w:color="auto"/>
            <w:bottom w:val="none" w:sz="0" w:space="0" w:color="auto"/>
            <w:right w:val="none" w:sz="0" w:space="0" w:color="auto"/>
          </w:divBdr>
        </w:div>
      </w:divsChild>
    </w:div>
    <w:div w:id="1743792390">
      <w:bodyDiv w:val="1"/>
      <w:marLeft w:val="0"/>
      <w:marRight w:val="0"/>
      <w:marTop w:val="0"/>
      <w:marBottom w:val="0"/>
      <w:divBdr>
        <w:top w:val="none" w:sz="0" w:space="0" w:color="auto"/>
        <w:left w:val="none" w:sz="0" w:space="0" w:color="auto"/>
        <w:bottom w:val="none" w:sz="0" w:space="0" w:color="auto"/>
        <w:right w:val="none" w:sz="0" w:space="0" w:color="auto"/>
      </w:divBdr>
      <w:divsChild>
        <w:div w:id="1305281732">
          <w:marLeft w:val="0"/>
          <w:marRight w:val="0"/>
          <w:marTop w:val="0"/>
          <w:marBottom w:val="0"/>
          <w:divBdr>
            <w:top w:val="none" w:sz="0" w:space="0" w:color="auto"/>
            <w:left w:val="none" w:sz="0" w:space="0" w:color="auto"/>
            <w:bottom w:val="none" w:sz="0" w:space="0" w:color="auto"/>
            <w:right w:val="none" w:sz="0" w:space="0" w:color="auto"/>
          </w:divBdr>
        </w:div>
      </w:divsChild>
    </w:div>
    <w:div w:id="1948921409">
      <w:bodyDiv w:val="1"/>
      <w:marLeft w:val="0"/>
      <w:marRight w:val="0"/>
      <w:marTop w:val="0"/>
      <w:marBottom w:val="0"/>
      <w:divBdr>
        <w:top w:val="none" w:sz="0" w:space="0" w:color="auto"/>
        <w:left w:val="none" w:sz="0" w:space="0" w:color="auto"/>
        <w:bottom w:val="none" w:sz="0" w:space="0" w:color="auto"/>
        <w:right w:val="none" w:sz="0" w:space="0" w:color="auto"/>
      </w:divBdr>
      <w:divsChild>
        <w:div w:id="681132837">
          <w:marLeft w:val="0"/>
          <w:marRight w:val="0"/>
          <w:marTop w:val="0"/>
          <w:marBottom w:val="0"/>
          <w:divBdr>
            <w:top w:val="none" w:sz="0" w:space="0" w:color="auto"/>
            <w:left w:val="none" w:sz="0" w:space="0" w:color="auto"/>
            <w:bottom w:val="none" w:sz="0" w:space="0" w:color="auto"/>
            <w:right w:val="none" w:sz="0" w:space="0" w:color="auto"/>
          </w:divBdr>
        </w:div>
      </w:divsChild>
    </w:div>
    <w:div w:id="1977251099">
      <w:bodyDiv w:val="1"/>
      <w:marLeft w:val="0"/>
      <w:marRight w:val="0"/>
      <w:marTop w:val="0"/>
      <w:marBottom w:val="0"/>
      <w:divBdr>
        <w:top w:val="none" w:sz="0" w:space="0" w:color="auto"/>
        <w:left w:val="none" w:sz="0" w:space="0" w:color="auto"/>
        <w:bottom w:val="none" w:sz="0" w:space="0" w:color="auto"/>
        <w:right w:val="none" w:sz="0" w:space="0" w:color="auto"/>
      </w:divBdr>
      <w:divsChild>
        <w:div w:id="979458668">
          <w:marLeft w:val="0"/>
          <w:marRight w:val="0"/>
          <w:marTop w:val="0"/>
          <w:marBottom w:val="0"/>
          <w:divBdr>
            <w:top w:val="none" w:sz="0" w:space="0" w:color="auto"/>
            <w:left w:val="none" w:sz="0" w:space="0" w:color="auto"/>
            <w:bottom w:val="none" w:sz="0" w:space="0" w:color="auto"/>
            <w:right w:val="none" w:sz="0" w:space="0" w:color="auto"/>
          </w:divBdr>
        </w:div>
      </w:divsChild>
    </w:div>
    <w:div w:id="1998337854">
      <w:bodyDiv w:val="1"/>
      <w:marLeft w:val="0"/>
      <w:marRight w:val="0"/>
      <w:marTop w:val="0"/>
      <w:marBottom w:val="0"/>
      <w:divBdr>
        <w:top w:val="none" w:sz="0" w:space="0" w:color="auto"/>
        <w:left w:val="none" w:sz="0" w:space="0" w:color="auto"/>
        <w:bottom w:val="none" w:sz="0" w:space="0" w:color="auto"/>
        <w:right w:val="none" w:sz="0" w:space="0" w:color="auto"/>
      </w:divBdr>
      <w:divsChild>
        <w:div w:id="1108113369">
          <w:marLeft w:val="0"/>
          <w:marRight w:val="0"/>
          <w:marTop w:val="0"/>
          <w:marBottom w:val="0"/>
          <w:divBdr>
            <w:top w:val="none" w:sz="0" w:space="0" w:color="auto"/>
            <w:left w:val="none" w:sz="0" w:space="0" w:color="auto"/>
            <w:bottom w:val="none" w:sz="0" w:space="0" w:color="auto"/>
            <w:right w:val="none" w:sz="0" w:space="0" w:color="auto"/>
          </w:divBdr>
        </w:div>
      </w:divsChild>
    </w:div>
    <w:div w:id="2010911950">
      <w:bodyDiv w:val="1"/>
      <w:marLeft w:val="0"/>
      <w:marRight w:val="0"/>
      <w:marTop w:val="0"/>
      <w:marBottom w:val="0"/>
      <w:divBdr>
        <w:top w:val="none" w:sz="0" w:space="0" w:color="auto"/>
        <w:left w:val="none" w:sz="0" w:space="0" w:color="auto"/>
        <w:bottom w:val="none" w:sz="0" w:space="0" w:color="auto"/>
        <w:right w:val="none" w:sz="0" w:space="0" w:color="auto"/>
      </w:divBdr>
      <w:divsChild>
        <w:div w:id="8174987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 Type="http://schemas.openxmlformats.org/officeDocument/2006/relationships/styles" Target="styles.xml"/><Relationship Id="rId3" Type="http://schemas.openxmlformats.org/officeDocument/2006/relationships/settings" Target="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4" Type="http://schemas.openxmlformats.org/officeDocument/2006/relationships/webSettings" Target="webSettings.xml"/></Relationships>
</file>

<file path=word/_rels/endnotes.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A1256A-386C-4EE5-8D56-442E181CEB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2553</Words>
  <Characters>14556</Characters>
  <Application>Microsoft Office Word</Application>
  <DocSecurity>0</DocSecurity>
  <Lines>121</Lines>
  <Paragraphs>34</Paragraphs>
  <ScaleCrop>false</ScaleCrop>
  <Company/>
  <LinksUpToDate>false</LinksUpToDate>
  <CharactersWithSpaces>17075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Vasile Pitirici</dc:creator>
  <cp:lastModifiedBy>Vasile Pitirici</cp:lastModifiedBy>
</cp:coreProperties>
</file>