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335F6" w14:textId="0F4CF6E5" w:rsidR="00C47D20" w:rsidRDefault="00C47D20" w:rsidP="000E1815">
      <w:pPr>
        <w:jc w:val="center"/>
        <w:rPr>
          <w:sz w:val="28"/>
          <w:szCs w:val="28"/>
          <w:u w:val="single"/>
        </w:rPr>
      </w:pPr>
      <w:r>
        <w:rPr>
          <w:sz w:val="28"/>
          <w:szCs w:val="28"/>
          <w:u w:val="single"/>
        </w:rPr>
        <w:t xml:space="preserve">Reference Works Assignment 1: </w:t>
      </w:r>
      <w:r w:rsidR="00071B60">
        <w:rPr>
          <w:sz w:val="28"/>
          <w:szCs w:val="28"/>
          <w:u w:val="single"/>
        </w:rPr>
        <w:t xml:space="preserve">The </w:t>
      </w:r>
      <w:r w:rsidR="00F203D9">
        <w:rPr>
          <w:sz w:val="28"/>
          <w:szCs w:val="28"/>
          <w:u w:val="single"/>
        </w:rPr>
        <w:t>Ring of Iron</w:t>
      </w:r>
    </w:p>
    <w:p w14:paraId="1C00F047" w14:textId="1D218117" w:rsidR="00CC73F5" w:rsidRDefault="00CC73F5" w:rsidP="00C47D20">
      <w:pPr>
        <w:rPr>
          <w:sz w:val="28"/>
          <w:szCs w:val="28"/>
        </w:rPr>
      </w:pPr>
    </w:p>
    <w:p w14:paraId="7538CE2B" w14:textId="2B897BB8" w:rsidR="005F5167" w:rsidRPr="007775CC" w:rsidRDefault="007775CC" w:rsidP="007775CC">
      <w:pPr>
        <w:jc w:val="center"/>
        <w:rPr>
          <w:b/>
          <w:bCs/>
          <w:sz w:val="28"/>
          <w:szCs w:val="28"/>
        </w:rPr>
      </w:pPr>
      <w:r>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4916460C" w14:textId="53A009A4" w:rsidR="007775CC" w:rsidRDefault="00071B60" w:rsidP="00C47D20">
      <w:pPr>
        <w:rPr>
          <w:sz w:val="28"/>
          <w:szCs w:val="28"/>
        </w:rPr>
      </w:pPr>
      <w:r>
        <w:rPr>
          <w:noProof/>
          <w:sz w:val="28"/>
          <w:szCs w:val="28"/>
        </w:rPr>
        <w:drawing>
          <wp:anchor distT="0" distB="0" distL="114300" distR="114300" simplePos="0" relativeHeight="251658240" behindDoc="0" locked="0" layoutInCell="1" allowOverlap="1" wp14:anchorId="7AB3576A" wp14:editId="30D81717">
            <wp:simplePos x="0" y="0"/>
            <wp:positionH relativeFrom="column">
              <wp:posOffset>574964</wp:posOffset>
            </wp:positionH>
            <wp:positionV relativeFrom="paragraph">
              <wp:posOffset>277033</wp:posOffset>
            </wp:positionV>
            <wp:extent cx="4495165" cy="3048000"/>
            <wp:effectExtent l="0" t="0" r="635" b="0"/>
            <wp:wrapNone/>
            <wp:docPr id="325709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2620" t="1308" r="2620" b="50709"/>
                    <a:stretch>
                      <a:fillRect/>
                    </a:stretch>
                  </pic:blipFill>
                  <pic:spPr bwMode="auto">
                    <a:xfrm>
                      <a:off x="0" y="0"/>
                      <a:ext cx="4495165" cy="3048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CC9FD7" w14:textId="1FEA9617" w:rsidR="00071B60" w:rsidRDefault="00071B60" w:rsidP="00C47D20">
      <w:pPr>
        <w:rPr>
          <w:sz w:val="28"/>
          <w:szCs w:val="28"/>
        </w:rPr>
      </w:pPr>
    </w:p>
    <w:p w14:paraId="50A6AAA8" w14:textId="4B5144FC" w:rsidR="00071B60" w:rsidRDefault="00071B60" w:rsidP="00C47D20">
      <w:pPr>
        <w:rPr>
          <w:sz w:val="28"/>
          <w:szCs w:val="28"/>
        </w:rPr>
      </w:pPr>
    </w:p>
    <w:p w14:paraId="52371990" w14:textId="77777777" w:rsidR="00071B60" w:rsidRDefault="00071B60" w:rsidP="00C47D20">
      <w:pPr>
        <w:rPr>
          <w:sz w:val="28"/>
          <w:szCs w:val="28"/>
        </w:rPr>
      </w:pPr>
    </w:p>
    <w:p w14:paraId="73305164" w14:textId="77777777" w:rsidR="00071B60" w:rsidRDefault="00071B60" w:rsidP="00C47D20">
      <w:pPr>
        <w:rPr>
          <w:sz w:val="28"/>
          <w:szCs w:val="28"/>
        </w:rPr>
      </w:pPr>
    </w:p>
    <w:p w14:paraId="41B135D0" w14:textId="5C9331AB" w:rsidR="00071B60" w:rsidRDefault="00071B60" w:rsidP="00AF38B9">
      <w:pPr>
        <w:rPr>
          <w:sz w:val="28"/>
          <w:szCs w:val="28"/>
        </w:rPr>
      </w:pPr>
    </w:p>
    <w:p w14:paraId="760A6FDD" w14:textId="77777777" w:rsidR="00071B60" w:rsidRDefault="00071B60" w:rsidP="00AF38B9">
      <w:pPr>
        <w:rPr>
          <w:sz w:val="28"/>
          <w:szCs w:val="28"/>
        </w:rPr>
      </w:pPr>
    </w:p>
    <w:p w14:paraId="045C3279" w14:textId="77777777" w:rsidR="00071B60" w:rsidRDefault="00071B60" w:rsidP="00AF38B9">
      <w:pPr>
        <w:rPr>
          <w:sz w:val="28"/>
          <w:szCs w:val="28"/>
        </w:rPr>
      </w:pPr>
    </w:p>
    <w:p w14:paraId="56559ED0" w14:textId="77777777" w:rsidR="00071B60" w:rsidRDefault="00071B60" w:rsidP="00AF38B9">
      <w:pPr>
        <w:rPr>
          <w:sz w:val="28"/>
          <w:szCs w:val="28"/>
        </w:rPr>
      </w:pPr>
    </w:p>
    <w:p w14:paraId="070208D0" w14:textId="3D9ECC91" w:rsidR="00071B60" w:rsidRDefault="00EE2144" w:rsidP="00AF38B9">
      <w:pPr>
        <w:rPr>
          <w:sz w:val="28"/>
          <w:szCs w:val="28"/>
        </w:rPr>
      </w:pPr>
      <w:r>
        <w:rPr>
          <w:noProof/>
        </w:rPr>
        <mc:AlternateContent>
          <mc:Choice Requires="wps">
            <w:drawing>
              <wp:anchor distT="0" distB="0" distL="114300" distR="114300" simplePos="0" relativeHeight="251660288" behindDoc="0" locked="0" layoutInCell="1" allowOverlap="1" wp14:anchorId="15209AB9" wp14:editId="49D522AA">
                <wp:simplePos x="0" y="0"/>
                <wp:positionH relativeFrom="column">
                  <wp:posOffset>1087294</wp:posOffset>
                </wp:positionH>
                <wp:positionV relativeFrom="paragraph">
                  <wp:posOffset>183688</wp:posOffset>
                </wp:positionV>
                <wp:extent cx="4495165" cy="635"/>
                <wp:effectExtent l="0" t="0" r="0" b="0"/>
                <wp:wrapNone/>
                <wp:docPr id="808117594" name="Text Box 1"/>
                <wp:cNvGraphicFramePr/>
                <a:graphic xmlns:a="http://schemas.openxmlformats.org/drawingml/2006/main">
                  <a:graphicData uri="http://schemas.microsoft.com/office/word/2010/wordprocessingShape">
                    <wps:wsp>
                      <wps:cNvSpPr txBox="1"/>
                      <wps:spPr>
                        <a:xfrm>
                          <a:off x="0" y="0"/>
                          <a:ext cx="4495165" cy="635"/>
                        </a:xfrm>
                        <a:prstGeom prst="rect">
                          <a:avLst/>
                        </a:prstGeom>
                        <a:solidFill>
                          <a:prstClr val="white"/>
                        </a:solidFill>
                        <a:ln>
                          <a:noFill/>
                        </a:ln>
                      </wps:spPr>
                      <wps:txbx>
                        <w:txbxContent>
                          <w:p w14:paraId="615D3329" w14:textId="228616D5" w:rsidR="00071B60" w:rsidRPr="00707117" w:rsidRDefault="00071B60" w:rsidP="00071B60">
                            <w:pPr>
                              <w:pStyle w:val="Caption"/>
                              <w:rPr>
                                <w:noProof/>
                                <w:sz w:val="28"/>
                                <w:szCs w:val="28"/>
                              </w:rPr>
                            </w:pPr>
                            <w:r>
                              <w:t xml:space="preserve">Figure </w:t>
                            </w:r>
                            <w:r>
                              <w:fldChar w:fldCharType="begin"/>
                            </w:r>
                            <w:r>
                              <w:instrText xml:space="preserve"> SEQ Figure \* ARABIC </w:instrText>
                            </w:r>
                            <w:r>
                              <w:fldChar w:fldCharType="separate"/>
                            </w:r>
                            <w:r>
                              <w:rPr>
                                <w:noProof/>
                              </w:rPr>
                              <w:t>1</w:t>
                            </w:r>
                            <w:r>
                              <w:fldChar w:fldCharType="end"/>
                            </w:r>
                            <w:r>
                              <w:t>The Iron Ring of Wales, (Gareth Williams,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209AB9" id="_x0000_t202" coordsize="21600,21600" o:spt="202" path="m,l,21600r21600,l21600,xe">
                <v:stroke joinstyle="miter"/>
                <v:path gradientshapeok="t" o:connecttype="rect"/>
              </v:shapetype>
              <v:shape id="Text Box 1" o:spid="_x0000_s1026" type="#_x0000_t202" style="position:absolute;margin-left:85.6pt;margin-top:14.45pt;width:353.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" stroked="f">
                <v:textbox style="mso-fit-shape-to-text:t" inset="0,0,0,0">
                  <w:txbxContent>
                    <w:p w14:paraId="615D3329" w14:textId="228616D5" w:rsidR="00071B60" w:rsidRPr="00707117" w:rsidRDefault="00071B60" w:rsidP="00071B60">
                      <w:pPr>
                        <w:pStyle w:val="Caption"/>
                        <w:rPr>
                          <w:noProof/>
                          <w:sz w:val="28"/>
                          <w:szCs w:val="28"/>
                        </w:rPr>
                      </w:pPr>
                      <w:r>
                        <w:t xml:space="preserve">Figure </w:t>
                      </w:r>
                      <w:r>
                        <w:fldChar w:fldCharType="begin"/>
                      </w:r>
                      <w:r>
                        <w:instrText xml:space="preserve"> SEQ Figure \* ARABIC </w:instrText>
                      </w:r>
                      <w:r>
                        <w:fldChar w:fldCharType="separate"/>
                      </w:r>
                      <w:r>
                        <w:rPr>
                          <w:noProof/>
                        </w:rPr>
                        <w:t>1</w:t>
                      </w:r>
                      <w:r>
                        <w:fldChar w:fldCharType="end"/>
                      </w:r>
                      <w:r>
                        <w:t>The Iron Ring of Wales, (Gareth Williams, 2011)</w:t>
                      </w:r>
                    </w:p>
                  </w:txbxContent>
                </v:textbox>
              </v:shape>
            </w:pict>
          </mc:Fallback>
        </mc:AlternateContent>
      </w:r>
    </w:p>
    <w:p w14:paraId="7473697E" w14:textId="77777777" w:rsidR="00071B60" w:rsidRDefault="00071B60" w:rsidP="00AF38B9">
      <w:pPr>
        <w:rPr>
          <w:sz w:val="28"/>
          <w:szCs w:val="28"/>
        </w:rPr>
      </w:pPr>
    </w:p>
    <w:p w14:paraId="049B2BC1" w14:textId="77777777" w:rsidR="00071B60" w:rsidRDefault="00071B60" w:rsidP="00AF38B9">
      <w:pPr>
        <w:rPr>
          <w:sz w:val="28"/>
          <w:szCs w:val="28"/>
        </w:rPr>
      </w:pPr>
    </w:p>
    <w:p w14:paraId="68834388" w14:textId="308A7D89" w:rsidR="00071B60" w:rsidRDefault="00071B60" w:rsidP="00AF38B9">
      <w:pPr>
        <w:rPr>
          <w:sz w:val="28"/>
          <w:szCs w:val="28"/>
        </w:rPr>
      </w:pPr>
      <w:r>
        <w:rPr>
          <w:sz w:val="28"/>
          <w:szCs w:val="28"/>
        </w:rPr>
        <w:t>The Ring of Iron refers to a series of castles in constructed during the occupation of Wales</w:t>
      </w:r>
      <w:r w:rsidR="00B764CD">
        <w:rPr>
          <w:sz w:val="28"/>
          <w:szCs w:val="28"/>
        </w:rPr>
        <w:t xml:space="preserve"> on the orders of King Edward the 1</w:t>
      </w:r>
      <w:r w:rsidR="00B764CD" w:rsidRPr="00B764CD">
        <w:rPr>
          <w:sz w:val="28"/>
          <w:szCs w:val="28"/>
          <w:vertAlign w:val="superscript"/>
        </w:rPr>
        <w:t>st</w:t>
      </w:r>
      <w:r w:rsidR="00B764CD">
        <w:rPr>
          <w:sz w:val="28"/>
          <w:szCs w:val="28"/>
        </w:rPr>
        <w:t>. They include Beaumaris, Caernarfon, Conwy,</w:t>
      </w:r>
      <w:r w:rsidR="00627BE8">
        <w:rPr>
          <w:sz w:val="28"/>
          <w:szCs w:val="28"/>
        </w:rPr>
        <w:t xml:space="preserve"> Hawarden old Castle, Builth Castle,</w:t>
      </w:r>
      <w:r w:rsidR="00B764CD" w:rsidRPr="00B764CD">
        <w:rPr>
          <w:sz w:val="28"/>
          <w:szCs w:val="28"/>
        </w:rPr>
        <w:t> Rhuddlan Castle, Aberystwyth Castle, Flint Castle, and Builth Castle</w:t>
      </w:r>
      <w:r w:rsidR="00B764CD">
        <w:rPr>
          <w:sz w:val="28"/>
          <w:szCs w:val="28"/>
        </w:rPr>
        <w:t xml:space="preserve"> and Harlech.</w:t>
      </w:r>
      <w:r w:rsidR="00627BE8">
        <w:rPr>
          <w:sz w:val="28"/>
          <w:szCs w:val="28"/>
        </w:rPr>
        <w:t xml:space="preserve"> The castles were built in stages during conflicts between the king of Gwynedd and Edward I during the periods of 1277 to 1282 with final construction ending in 1295.</w:t>
      </w:r>
      <w:r w:rsidR="00627BE8">
        <w:rPr>
          <w:rStyle w:val="FootnoteReference"/>
          <w:sz w:val="28"/>
          <w:szCs w:val="28"/>
        </w:rPr>
        <w:footnoteReference w:id="1"/>
      </w:r>
      <w:r w:rsidR="008017EA">
        <w:rPr>
          <w:sz w:val="28"/>
          <w:szCs w:val="28"/>
        </w:rPr>
        <w:t xml:space="preserve"> This period of defensive construction was a continuation of forms of defensive architecture from </w:t>
      </w:r>
      <w:r w:rsidR="008017EA">
        <w:rPr>
          <w:sz w:val="28"/>
          <w:szCs w:val="28"/>
        </w:rPr>
        <w:lastRenderedPageBreak/>
        <w:t>previous points of conflict. Some of the previous castle sites were further developed by Edward I during his period of construction.</w:t>
      </w:r>
      <w:r w:rsidR="008E2064">
        <w:rPr>
          <w:sz w:val="28"/>
          <w:szCs w:val="28"/>
        </w:rPr>
        <w:t xml:space="preserve"> Author </w:t>
      </w:r>
      <w:r w:rsidR="00F203D9" w:rsidRPr="00F203D9">
        <w:rPr>
          <w:sz w:val="28"/>
          <w:szCs w:val="28"/>
        </w:rPr>
        <w:t>Gold-Pambianchi</w:t>
      </w:r>
      <w:r w:rsidR="008E2064">
        <w:rPr>
          <w:sz w:val="28"/>
          <w:szCs w:val="28"/>
        </w:rPr>
        <w:t xml:space="preserve"> notes:</w:t>
      </w:r>
    </w:p>
    <w:p w14:paraId="3EF77971" w14:textId="055D13AC" w:rsidR="008E2064" w:rsidRDefault="008E2064" w:rsidP="008E2064">
      <w:pPr>
        <w:ind w:left="283" w:right="283"/>
        <w:rPr>
          <w:sz w:val="28"/>
          <w:szCs w:val="28"/>
        </w:rPr>
      </w:pPr>
      <w:r w:rsidRPr="008E2064">
        <w:rPr>
          <w:sz w:val="28"/>
          <w:szCs w:val="28"/>
        </w:rPr>
        <w:t>Situated on the shores of the River Seiont, Caernarfon was pragmatically erected at the site of a previous Roman fort and motte and bailey (77 A.D. and 1090 A.D.)</w:t>
      </w:r>
      <w:r>
        <w:rPr>
          <w:sz w:val="28"/>
          <w:szCs w:val="28"/>
        </w:rPr>
        <w:t>.</w:t>
      </w:r>
      <w:r w:rsidR="00F203D9">
        <w:rPr>
          <w:sz w:val="28"/>
          <w:szCs w:val="28"/>
        </w:rPr>
        <w:t xml:space="preserve"> </w:t>
      </w:r>
      <w:r w:rsidR="00F203D9">
        <w:rPr>
          <w:rStyle w:val="FootnoteReference"/>
          <w:sz w:val="28"/>
          <w:szCs w:val="28"/>
        </w:rPr>
        <w:footnoteReference w:id="2"/>
      </w:r>
    </w:p>
    <w:p w14:paraId="042EF3B5" w14:textId="73A08407" w:rsidR="00F203D9" w:rsidRDefault="00F203D9" w:rsidP="00F203D9">
      <w:pPr>
        <w:ind w:right="283"/>
        <w:rPr>
          <w:sz w:val="28"/>
          <w:szCs w:val="28"/>
        </w:rPr>
      </w:pPr>
      <w:r>
        <w:rPr>
          <w:sz w:val="28"/>
          <w:szCs w:val="28"/>
        </w:rPr>
        <w:t>Caernarfon Castle is only one example of the many structures the Edwardians had repurposed from the Normans and other groups.</w:t>
      </w:r>
    </w:p>
    <w:p w14:paraId="13A556CC" w14:textId="3E08F1D3" w:rsidR="0083354B" w:rsidRDefault="00CC73F5" w:rsidP="00C47D20">
      <w:pPr>
        <w:rPr>
          <w:sz w:val="28"/>
          <w:szCs w:val="28"/>
        </w:rPr>
      </w:pPr>
      <w:r>
        <w:rPr>
          <w:sz w:val="28"/>
          <w:szCs w:val="28"/>
        </w:rPr>
        <w:t>Following the conquest of England in 1066, Norman forces launched several military campaigns into the Welsh Kingdoms. The</w:t>
      </w:r>
      <w:r w:rsidR="00EA60F2">
        <w:rPr>
          <w:sz w:val="28"/>
          <w:szCs w:val="28"/>
        </w:rPr>
        <w:t>se</w:t>
      </w:r>
      <w:r>
        <w:rPr>
          <w:sz w:val="28"/>
          <w:szCs w:val="28"/>
        </w:rPr>
        <w:t xml:space="preserve"> campaigns </w:t>
      </w:r>
      <w:r w:rsidR="00B62756">
        <w:rPr>
          <w:sz w:val="28"/>
          <w:szCs w:val="28"/>
        </w:rPr>
        <w:t xml:space="preserve">introduced the motte-and-bailey style of castle to Wales </w:t>
      </w:r>
      <w:r w:rsidR="0083354B">
        <w:rPr>
          <w:sz w:val="28"/>
          <w:szCs w:val="28"/>
        </w:rPr>
        <w:t xml:space="preserve">which </w:t>
      </w:r>
      <w:r w:rsidR="00436727">
        <w:rPr>
          <w:sz w:val="28"/>
          <w:szCs w:val="28"/>
        </w:rPr>
        <w:t>were implemented</w:t>
      </w:r>
      <w:r w:rsidR="0083354B">
        <w:rPr>
          <w:sz w:val="28"/>
          <w:szCs w:val="28"/>
        </w:rPr>
        <w:t xml:space="preserve"> by both sides during the various conflicts</w:t>
      </w:r>
      <w:r w:rsidR="0056519F">
        <w:rPr>
          <w:sz w:val="28"/>
          <w:szCs w:val="28"/>
        </w:rPr>
        <w:t>.</w:t>
      </w:r>
      <w:r w:rsidR="00BB1F7E">
        <w:rPr>
          <w:sz w:val="28"/>
          <w:szCs w:val="28"/>
        </w:rPr>
        <w:t xml:space="preserve"> </w:t>
      </w:r>
      <w:r w:rsidR="0056519F">
        <w:rPr>
          <w:sz w:val="28"/>
          <w:szCs w:val="28"/>
        </w:rPr>
        <w:t xml:space="preserve"> The purpose of these Castles shifted throughout th</w:t>
      </w:r>
      <w:r w:rsidR="0083354B">
        <w:rPr>
          <w:sz w:val="28"/>
          <w:szCs w:val="28"/>
        </w:rPr>
        <w:t>is</w:t>
      </w:r>
      <w:r w:rsidR="0056519F">
        <w:rPr>
          <w:sz w:val="28"/>
          <w:szCs w:val="28"/>
        </w:rPr>
        <w:t xml:space="preserve"> </w:t>
      </w:r>
      <w:r w:rsidR="0083354B">
        <w:rPr>
          <w:sz w:val="28"/>
          <w:szCs w:val="28"/>
        </w:rPr>
        <w:t>period</w:t>
      </w:r>
      <w:r w:rsidR="0056519F">
        <w:rPr>
          <w:sz w:val="28"/>
          <w:szCs w:val="28"/>
        </w:rPr>
        <w:t xml:space="preserve"> while initially</w:t>
      </w:r>
      <w:r w:rsidR="0083354B">
        <w:rPr>
          <w:sz w:val="28"/>
          <w:szCs w:val="28"/>
        </w:rPr>
        <w:t>,</w:t>
      </w:r>
      <w:r w:rsidR="0056519F">
        <w:rPr>
          <w:sz w:val="28"/>
          <w:szCs w:val="28"/>
        </w:rPr>
        <w:t xml:space="preserve"> early castles such as Chepstow served as a barrier to prevent Welsh incursions into Gloucestershire</w:t>
      </w:r>
      <w:r w:rsidR="006815C8">
        <w:rPr>
          <w:sz w:val="28"/>
          <w:szCs w:val="28"/>
        </w:rPr>
        <w:t>.</w:t>
      </w:r>
      <w:r w:rsidR="007775CC">
        <w:rPr>
          <w:rStyle w:val="FootnoteReference"/>
          <w:sz w:val="28"/>
          <w:szCs w:val="28"/>
        </w:rPr>
        <w:footnoteReference w:id="3"/>
      </w:r>
      <w:r w:rsidR="006815C8">
        <w:rPr>
          <w:sz w:val="28"/>
          <w:szCs w:val="28"/>
        </w:rPr>
        <w:t xml:space="preserve"> </w:t>
      </w:r>
      <w:r w:rsidR="0083354B">
        <w:rPr>
          <w:sz w:val="28"/>
          <w:szCs w:val="28"/>
        </w:rPr>
        <w:t>L</w:t>
      </w:r>
      <w:r w:rsidR="004F616F">
        <w:rPr>
          <w:sz w:val="28"/>
          <w:szCs w:val="28"/>
        </w:rPr>
        <w:t xml:space="preserve">ater castles served </w:t>
      </w:r>
      <w:r w:rsidR="007F6D16">
        <w:rPr>
          <w:sz w:val="28"/>
          <w:szCs w:val="28"/>
        </w:rPr>
        <w:t>as defensive strongholds maintaining control over newly conquered land</w:t>
      </w:r>
      <w:r w:rsidR="0083354B">
        <w:rPr>
          <w:sz w:val="28"/>
          <w:szCs w:val="28"/>
        </w:rPr>
        <w:t>.</w:t>
      </w:r>
      <w:r w:rsidR="002471CF">
        <w:rPr>
          <w:sz w:val="28"/>
          <w:szCs w:val="28"/>
        </w:rPr>
        <w:t xml:space="preserve"> Norman castles followed </w:t>
      </w:r>
      <w:r w:rsidR="00204B1A">
        <w:rPr>
          <w:sz w:val="28"/>
          <w:szCs w:val="28"/>
        </w:rPr>
        <w:t>the motte-and-bailey structure</w:t>
      </w:r>
      <w:r w:rsidR="002471CF">
        <w:rPr>
          <w:sz w:val="28"/>
          <w:szCs w:val="28"/>
        </w:rPr>
        <w:t xml:space="preserve"> pattern</w:t>
      </w:r>
      <w:r w:rsidR="00AC6A59">
        <w:rPr>
          <w:sz w:val="28"/>
          <w:szCs w:val="28"/>
        </w:rPr>
        <w:t xml:space="preserve">. The motte refers to the central keep built on raised ground and the bailey </w:t>
      </w:r>
      <w:r w:rsidR="00EF5CC9">
        <w:rPr>
          <w:sz w:val="28"/>
          <w:szCs w:val="28"/>
        </w:rPr>
        <w:t>is the walled courtyard surrounding the motte.</w:t>
      </w:r>
      <w:r w:rsidR="00EF5CC9">
        <w:rPr>
          <w:rStyle w:val="FootnoteReference"/>
          <w:sz w:val="28"/>
          <w:szCs w:val="28"/>
        </w:rPr>
        <w:footnoteReference w:id="4"/>
      </w:r>
      <w:r w:rsidR="002471CF">
        <w:rPr>
          <w:sz w:val="28"/>
          <w:szCs w:val="28"/>
        </w:rPr>
        <w:t xml:space="preserve"> </w:t>
      </w:r>
      <w:r w:rsidR="00EF5CC9">
        <w:rPr>
          <w:sz w:val="28"/>
          <w:szCs w:val="28"/>
        </w:rPr>
        <w:t xml:space="preserve">This style of castle </w:t>
      </w:r>
      <w:r w:rsidR="00025292">
        <w:rPr>
          <w:sz w:val="28"/>
          <w:szCs w:val="28"/>
        </w:rPr>
        <w:t>was</w:t>
      </w:r>
      <w:r w:rsidR="00EF5CC9">
        <w:rPr>
          <w:sz w:val="28"/>
          <w:szCs w:val="28"/>
        </w:rPr>
        <w:t xml:space="preserve"> quick to build with</w:t>
      </w:r>
      <w:r w:rsidR="002471CF">
        <w:rPr>
          <w:sz w:val="28"/>
          <w:szCs w:val="28"/>
        </w:rPr>
        <w:t xml:space="preserve"> the foundations and early structures</w:t>
      </w:r>
      <w:r w:rsidR="00EF5CC9">
        <w:rPr>
          <w:sz w:val="28"/>
          <w:szCs w:val="28"/>
        </w:rPr>
        <w:t xml:space="preserve"> built</w:t>
      </w:r>
      <w:r w:rsidR="002471CF">
        <w:rPr>
          <w:sz w:val="28"/>
          <w:szCs w:val="28"/>
        </w:rPr>
        <w:t xml:space="preserve"> with earthen ramparts and wooden palisades before replacing the materials with stone as the site became more secure. </w:t>
      </w:r>
      <w:r w:rsidR="002471CF">
        <w:rPr>
          <w:rStyle w:val="FootnoteReference"/>
          <w:sz w:val="28"/>
          <w:szCs w:val="28"/>
        </w:rPr>
        <w:footnoteReference w:id="5"/>
      </w:r>
      <w:r w:rsidR="002471CF">
        <w:rPr>
          <w:sz w:val="28"/>
          <w:szCs w:val="28"/>
        </w:rPr>
        <w:t xml:space="preserve"> </w:t>
      </w:r>
    </w:p>
    <w:p w14:paraId="33047255" w14:textId="19CACD04" w:rsidR="0056519F" w:rsidRDefault="0083354B" w:rsidP="00C47D20">
      <w:pPr>
        <w:rPr>
          <w:sz w:val="28"/>
          <w:szCs w:val="28"/>
        </w:rPr>
      </w:pPr>
      <w:r>
        <w:rPr>
          <w:sz w:val="28"/>
          <w:szCs w:val="28"/>
        </w:rPr>
        <w:t>After the conquest of Wales</w:t>
      </w:r>
      <w:r w:rsidR="003568C9">
        <w:rPr>
          <w:sz w:val="28"/>
          <w:szCs w:val="28"/>
        </w:rPr>
        <w:t xml:space="preserve"> in rare instances</w:t>
      </w:r>
      <w:r w:rsidR="007F6D16">
        <w:rPr>
          <w:sz w:val="28"/>
          <w:szCs w:val="28"/>
        </w:rPr>
        <w:t xml:space="preserve"> </w:t>
      </w:r>
      <w:r>
        <w:rPr>
          <w:sz w:val="28"/>
          <w:szCs w:val="28"/>
        </w:rPr>
        <w:t>the castles constructed in the Norman expansions would be repurposed to</w:t>
      </w:r>
      <w:r w:rsidR="007F6D16">
        <w:rPr>
          <w:sz w:val="28"/>
          <w:szCs w:val="28"/>
        </w:rPr>
        <w:t xml:space="preserve"> serv</w:t>
      </w:r>
      <w:r w:rsidR="003568C9">
        <w:rPr>
          <w:sz w:val="28"/>
          <w:szCs w:val="28"/>
        </w:rPr>
        <w:t>e</w:t>
      </w:r>
      <w:r w:rsidR="007F6D16">
        <w:rPr>
          <w:sz w:val="28"/>
          <w:szCs w:val="28"/>
        </w:rPr>
        <w:t xml:space="preserve"> as estate manors for the </w:t>
      </w:r>
      <w:r w:rsidR="007F6D16">
        <w:rPr>
          <w:sz w:val="28"/>
          <w:szCs w:val="28"/>
        </w:rPr>
        <w:lastRenderedPageBreak/>
        <w:t>ruling elites</w:t>
      </w:r>
      <w:r w:rsidR="003568C9">
        <w:rPr>
          <w:sz w:val="28"/>
          <w:szCs w:val="28"/>
        </w:rPr>
        <w:t xml:space="preserve"> in the later Edwardian Era</w:t>
      </w:r>
      <w:r w:rsidR="007F6D16">
        <w:rPr>
          <w:sz w:val="28"/>
          <w:szCs w:val="28"/>
        </w:rPr>
        <w:t>.</w:t>
      </w:r>
      <w:r w:rsidR="003568C9">
        <w:rPr>
          <w:sz w:val="28"/>
          <w:szCs w:val="28"/>
        </w:rPr>
        <w:t xml:space="preserve"> Carew Castle in Pembrokeshire is one example of this shift in purpose</w:t>
      </w:r>
      <w:r w:rsidR="007775CC">
        <w:rPr>
          <w:sz w:val="28"/>
          <w:szCs w:val="28"/>
        </w:rPr>
        <w:t>.</w:t>
      </w:r>
      <w:r w:rsidR="003568C9">
        <w:rPr>
          <w:sz w:val="28"/>
          <w:szCs w:val="28"/>
        </w:rPr>
        <w:t xml:space="preserve"> </w:t>
      </w:r>
      <w:r w:rsidR="00B93BFE">
        <w:rPr>
          <w:rStyle w:val="FootnoteReference"/>
          <w:sz w:val="28"/>
          <w:szCs w:val="28"/>
        </w:rPr>
        <w:footnoteReference w:id="6"/>
      </w:r>
      <w:r w:rsidR="00B62756">
        <w:rPr>
          <w:sz w:val="28"/>
          <w:szCs w:val="28"/>
        </w:rPr>
        <w:t xml:space="preserve"> </w:t>
      </w:r>
    </w:p>
    <w:p w14:paraId="669B4B2F" w14:textId="4E29A5C0" w:rsidR="008E2064" w:rsidRDefault="007C3B80">
      <w:pPr>
        <w:rPr>
          <w:sz w:val="28"/>
          <w:szCs w:val="28"/>
        </w:rPr>
      </w:pPr>
      <w:r>
        <w:rPr>
          <w:sz w:val="28"/>
          <w:szCs w:val="28"/>
        </w:rPr>
        <w:t xml:space="preserve"> </w:t>
      </w:r>
      <w:r w:rsidR="00561E98">
        <w:rPr>
          <w:sz w:val="28"/>
          <w:szCs w:val="28"/>
        </w:rPr>
        <w:t>Following the defeat of the last</w:t>
      </w:r>
      <w:r w:rsidR="008E2064">
        <w:rPr>
          <w:sz w:val="28"/>
          <w:szCs w:val="28"/>
        </w:rPr>
        <w:t xml:space="preserve"> native</w:t>
      </w:r>
      <w:r w:rsidR="00561E98">
        <w:rPr>
          <w:sz w:val="28"/>
          <w:szCs w:val="28"/>
        </w:rPr>
        <w:t xml:space="preserve"> Welsh rulers, the English King Edward </w:t>
      </w:r>
      <w:r w:rsidR="008E2064">
        <w:rPr>
          <w:sz w:val="28"/>
          <w:szCs w:val="28"/>
        </w:rPr>
        <w:t>I</w:t>
      </w:r>
      <w:r w:rsidR="00561E98">
        <w:rPr>
          <w:sz w:val="28"/>
          <w:szCs w:val="28"/>
        </w:rPr>
        <w:t xml:space="preserve"> ordered several new castles to be built in central and north Wales to solidify his occupation which is known as The Ring of Iron. </w:t>
      </w:r>
      <w:r w:rsidR="00074A5E">
        <w:rPr>
          <w:sz w:val="28"/>
          <w:szCs w:val="28"/>
        </w:rPr>
        <w:t>Most of the castles from this period were built as a type of fortified town or bastide.</w:t>
      </w:r>
      <w:r w:rsidR="00074A5E">
        <w:rPr>
          <w:rStyle w:val="FootnoteReference"/>
          <w:sz w:val="28"/>
          <w:szCs w:val="28"/>
        </w:rPr>
        <w:footnoteReference w:id="7"/>
      </w:r>
      <w:r w:rsidR="00074A5E">
        <w:rPr>
          <w:sz w:val="28"/>
          <w:szCs w:val="28"/>
        </w:rPr>
        <w:t xml:space="preserve"> </w:t>
      </w:r>
      <w:r w:rsidR="008E2064">
        <w:rPr>
          <w:sz w:val="28"/>
          <w:szCs w:val="28"/>
        </w:rPr>
        <w:t xml:space="preserve"> </w:t>
      </w:r>
    </w:p>
    <w:p w14:paraId="264DB17C" w14:textId="321EE747" w:rsidR="006815C8" w:rsidRDefault="00F151EB">
      <w:pPr>
        <w:rPr>
          <w:sz w:val="28"/>
          <w:szCs w:val="28"/>
        </w:rPr>
      </w:pPr>
      <w:r>
        <w:rPr>
          <w:sz w:val="28"/>
          <w:szCs w:val="28"/>
        </w:rPr>
        <w:t xml:space="preserve">Several stone castles built to form the Iron Ring include Beaumaris, Caernarfon, Conwy and Harlech </w:t>
      </w:r>
      <w:r w:rsidR="00A26631">
        <w:rPr>
          <w:sz w:val="28"/>
          <w:szCs w:val="28"/>
        </w:rPr>
        <w:t>and they</w:t>
      </w:r>
      <w:r>
        <w:rPr>
          <w:sz w:val="28"/>
          <w:szCs w:val="28"/>
        </w:rPr>
        <w:t xml:space="preserve"> are formally recognised by UNESCO as World Heritage Sites</w:t>
      </w:r>
      <w:r w:rsidR="00436727">
        <w:rPr>
          <w:sz w:val="28"/>
          <w:szCs w:val="28"/>
        </w:rPr>
        <w:t>.</w:t>
      </w:r>
      <w:r>
        <w:rPr>
          <w:sz w:val="28"/>
          <w:szCs w:val="28"/>
        </w:rPr>
        <w:t xml:space="preserve"> </w:t>
      </w:r>
      <w:r w:rsidR="00436727">
        <w:rPr>
          <w:sz w:val="28"/>
          <w:szCs w:val="28"/>
        </w:rPr>
        <w:t>T</w:t>
      </w:r>
      <w:r w:rsidR="00B068E2">
        <w:rPr>
          <w:sz w:val="28"/>
          <w:szCs w:val="28"/>
        </w:rPr>
        <w:t>he</w:t>
      </w:r>
      <w:r w:rsidR="00A26631">
        <w:rPr>
          <w:sz w:val="28"/>
          <w:szCs w:val="28"/>
        </w:rPr>
        <w:t xml:space="preserve"> o</w:t>
      </w:r>
      <w:r w:rsidR="00A26631" w:rsidRPr="00A26631">
        <w:rPr>
          <w:sz w:val="28"/>
          <w:szCs w:val="28"/>
        </w:rPr>
        <w:t>rganization</w:t>
      </w:r>
      <w:r w:rsidR="00B068E2">
        <w:rPr>
          <w:sz w:val="28"/>
          <w:szCs w:val="28"/>
        </w:rPr>
        <w:t xml:space="preserve"> describe them as:</w:t>
      </w:r>
    </w:p>
    <w:p w14:paraId="073E1049" w14:textId="7882FDD0" w:rsidR="00B068E2" w:rsidRDefault="00B068E2" w:rsidP="00B068E2">
      <w:pPr>
        <w:ind w:left="624" w:right="567"/>
        <w:rPr>
          <w:sz w:val="28"/>
          <w:szCs w:val="28"/>
        </w:rPr>
      </w:pPr>
      <w:r w:rsidRPr="00B068E2">
        <w:rPr>
          <w:sz w:val="28"/>
          <w:szCs w:val="28"/>
        </w:rPr>
        <w:t>The four castles of Beaumaris, Conwy, Caernarfon, Harlech and the attendant fortified towns at Conwy and Caernarfon in Gwynedd, North Wales, are the finest examples of late 13th century and early 14th century military architecture in Europe, as demonstrated through their completeness, pristine state, evidence for organized domestic space, and extraordinary repertory of their medieval architectural form.</w:t>
      </w:r>
      <w:r>
        <w:rPr>
          <w:sz w:val="28"/>
          <w:szCs w:val="28"/>
        </w:rPr>
        <w:t xml:space="preserve"> </w:t>
      </w:r>
      <w:r>
        <w:rPr>
          <w:rStyle w:val="FootnoteReference"/>
          <w:sz w:val="28"/>
          <w:szCs w:val="28"/>
        </w:rPr>
        <w:footnoteReference w:id="8"/>
      </w:r>
    </w:p>
    <w:p w14:paraId="2B57554D" w14:textId="1ABE4C19" w:rsidR="004711D9" w:rsidRDefault="00B068E2">
      <w:pPr>
        <w:rPr>
          <w:sz w:val="28"/>
          <w:szCs w:val="28"/>
        </w:rPr>
      </w:pPr>
      <w:r>
        <w:rPr>
          <w:sz w:val="28"/>
          <w:szCs w:val="28"/>
        </w:rPr>
        <w:t>To this day, these castles remain a cornerstone to Welsh history and Wales’ modern identity.</w:t>
      </w:r>
    </w:p>
    <w:p w14:paraId="7BF8E928" w14:textId="77777777" w:rsidR="004711D9" w:rsidRDefault="004711D9">
      <w:pPr>
        <w:rPr>
          <w:sz w:val="28"/>
          <w:szCs w:val="28"/>
        </w:rPr>
      </w:pPr>
    </w:p>
    <w:p w14:paraId="336B1E27" w14:textId="77777777" w:rsidR="004711D9" w:rsidRDefault="004711D9">
      <w:pPr>
        <w:rPr>
          <w:sz w:val="28"/>
          <w:szCs w:val="28"/>
        </w:rPr>
      </w:pPr>
    </w:p>
    <w:p w14:paraId="0B4E0FE1" w14:textId="77777777" w:rsidR="004711D9" w:rsidRDefault="004711D9">
      <w:pPr>
        <w:rPr>
          <w:sz w:val="28"/>
          <w:szCs w:val="28"/>
        </w:rPr>
      </w:pPr>
    </w:p>
    <w:p w14:paraId="120E0BB3" w14:textId="77777777" w:rsidR="004711D9" w:rsidRDefault="004711D9">
      <w:pPr>
        <w:rPr>
          <w:sz w:val="28"/>
          <w:szCs w:val="28"/>
        </w:rPr>
      </w:pPr>
    </w:p>
    <w:p w14:paraId="14E4AA4A" w14:textId="77777777" w:rsidR="004711D9" w:rsidRDefault="004711D9">
      <w:pPr>
        <w:rPr>
          <w:sz w:val="28"/>
          <w:szCs w:val="28"/>
        </w:rPr>
      </w:pPr>
    </w:p>
    <w:p w14:paraId="0D0531B9" w14:textId="77777777" w:rsidR="004711D9" w:rsidRDefault="004711D9">
      <w:pPr>
        <w:rPr>
          <w:sz w:val="28"/>
          <w:szCs w:val="28"/>
        </w:rPr>
      </w:pPr>
    </w:p>
    <w:p w14:paraId="15CB6400" w14:textId="77777777" w:rsidR="004711D9" w:rsidRDefault="004711D9">
      <w:pPr>
        <w:rPr>
          <w:sz w:val="28"/>
          <w:szCs w:val="28"/>
        </w:rPr>
      </w:pPr>
    </w:p>
    <w:p w14:paraId="336BFE24" w14:textId="77777777" w:rsidR="004711D9" w:rsidRDefault="004711D9">
      <w:pPr>
        <w:rPr>
          <w:sz w:val="28"/>
          <w:szCs w:val="28"/>
        </w:rPr>
      </w:pPr>
    </w:p>
    <w:p w14:paraId="20B968E9" w14:textId="77777777" w:rsidR="00B068E2" w:rsidRDefault="00B068E2">
      <w:pPr>
        <w:rPr>
          <w:sz w:val="28"/>
          <w:szCs w:val="28"/>
        </w:rPr>
      </w:pPr>
    </w:p>
    <w:p w14:paraId="5995960D" w14:textId="77777777" w:rsidR="00B068E2" w:rsidRDefault="00B068E2">
      <w:pPr>
        <w:rPr>
          <w:sz w:val="28"/>
          <w:szCs w:val="28"/>
        </w:rPr>
      </w:pPr>
    </w:p>
    <w:p w14:paraId="2D6777DA" w14:textId="268AD93A" w:rsidR="006815C8" w:rsidRDefault="006815C8" w:rsidP="006815C8">
      <w:pPr>
        <w:jc w:val="center"/>
        <w:rPr>
          <w:sz w:val="28"/>
          <w:szCs w:val="28"/>
          <w:u w:val="single"/>
        </w:rPr>
      </w:pPr>
      <w:r w:rsidRPr="006815C8">
        <w:rPr>
          <w:sz w:val="28"/>
          <w:szCs w:val="28"/>
          <w:u w:val="single"/>
        </w:rPr>
        <w:t>Bibliography</w:t>
      </w:r>
    </w:p>
    <w:p w14:paraId="09B2C164" w14:textId="77777777" w:rsidR="006815C8" w:rsidRDefault="006815C8" w:rsidP="006815C8">
      <w:pPr>
        <w:pStyle w:val="Bibliography"/>
        <w:rPr>
          <w:sz w:val="28"/>
          <w:szCs w:val="28"/>
          <w:u w:val="single"/>
        </w:rPr>
      </w:pPr>
    </w:p>
    <w:p w14:paraId="05A78C71" w14:textId="77777777" w:rsidR="00F203D9" w:rsidRPr="00F203D9" w:rsidRDefault="006815C8" w:rsidP="00F203D9">
      <w:pPr>
        <w:pStyle w:val="Bibliography"/>
        <w:rPr>
          <w:rFonts w:ascii="Aptos" w:hAnsi="Aptos"/>
          <w:sz w:val="28"/>
        </w:rPr>
      </w:pPr>
      <w:r>
        <w:rPr>
          <w:sz w:val="28"/>
          <w:szCs w:val="28"/>
          <w:u w:val="single"/>
        </w:rPr>
        <w:fldChar w:fldCharType="begin"/>
      </w:r>
      <w:r>
        <w:rPr>
          <w:sz w:val="28"/>
          <w:szCs w:val="28"/>
          <w:u w:val="single"/>
        </w:rPr>
        <w:instrText xml:space="preserve"> ADDIN ZOTERO_BIBL {"uncited":[],"omitted":[],"custom":[]} CSL_BIBLIOGRAPHY </w:instrText>
      </w:r>
      <w:r>
        <w:rPr>
          <w:sz w:val="28"/>
          <w:szCs w:val="28"/>
          <w:u w:val="single"/>
        </w:rPr>
        <w:fldChar w:fldCharType="separate"/>
      </w:r>
      <w:r w:rsidR="00F203D9" w:rsidRPr="00F203D9">
        <w:rPr>
          <w:rFonts w:ascii="Aptos" w:hAnsi="Aptos"/>
          <w:sz w:val="28"/>
        </w:rPr>
        <w:t xml:space="preserve">Aldhouse-Green, Miranda, and Ray Howell (eds), ‘The Gwent County History’, in </w:t>
      </w:r>
      <w:r w:rsidR="00F203D9" w:rsidRPr="00F203D9">
        <w:rPr>
          <w:rFonts w:ascii="Aptos" w:hAnsi="Aptos"/>
          <w:i/>
          <w:iCs/>
          <w:sz w:val="28"/>
        </w:rPr>
        <w:t>Vol. 1 Gwent in Prehistory and Early History</w:t>
      </w:r>
      <w:r w:rsidR="00F203D9" w:rsidRPr="00F203D9">
        <w:rPr>
          <w:rFonts w:ascii="Aptos" w:hAnsi="Aptos"/>
          <w:sz w:val="28"/>
        </w:rPr>
        <w:t xml:space="preserve">, 5 vols (University of Wales Press, 2004), </w:t>
      </w:r>
      <w:proofErr w:type="spellStart"/>
      <w:r w:rsidR="00F203D9" w:rsidRPr="00F203D9">
        <w:rPr>
          <w:rFonts w:ascii="Aptos" w:hAnsi="Aptos"/>
          <w:smallCaps/>
          <w:sz w:val="28"/>
        </w:rPr>
        <w:t>i</w:t>
      </w:r>
      <w:proofErr w:type="spellEnd"/>
      <w:r w:rsidR="00F203D9" w:rsidRPr="00F203D9">
        <w:rPr>
          <w:rFonts w:ascii="Aptos" w:hAnsi="Aptos"/>
          <w:sz w:val="28"/>
        </w:rPr>
        <w:t>, p. 280</w:t>
      </w:r>
    </w:p>
    <w:p w14:paraId="07C381E7" w14:textId="77777777" w:rsidR="00F203D9" w:rsidRPr="00F203D9" w:rsidRDefault="00F203D9" w:rsidP="00F203D9">
      <w:pPr>
        <w:pStyle w:val="Bibliography"/>
        <w:rPr>
          <w:rFonts w:ascii="Aptos" w:hAnsi="Aptos"/>
          <w:sz w:val="28"/>
        </w:rPr>
      </w:pPr>
      <w:r w:rsidRPr="00F203D9">
        <w:rPr>
          <w:rFonts w:ascii="Aptos" w:hAnsi="Aptos"/>
          <w:sz w:val="28"/>
        </w:rPr>
        <w:t xml:space="preserve">Arnold Joseph Taylor, </w:t>
      </w:r>
      <w:r w:rsidRPr="00F203D9">
        <w:rPr>
          <w:rFonts w:ascii="Aptos" w:hAnsi="Aptos"/>
          <w:i/>
          <w:iCs/>
          <w:sz w:val="28"/>
        </w:rPr>
        <w:t>Caernarfon Castle and Town Walls</w:t>
      </w:r>
      <w:r w:rsidRPr="00F203D9">
        <w:rPr>
          <w:rFonts w:ascii="Aptos" w:hAnsi="Aptos"/>
          <w:sz w:val="28"/>
        </w:rPr>
        <w:t>, Welsh Historic Monuments, 4th edn (Cadw Welsh Historic Monuments, 2004) &lt;http://archive.org/details/caernarfon-castle&gt; [accessed 2 November 2025]</w:t>
      </w:r>
    </w:p>
    <w:p w14:paraId="725B2CE4" w14:textId="77777777" w:rsidR="00F203D9" w:rsidRPr="00F203D9" w:rsidRDefault="00F203D9" w:rsidP="00F203D9">
      <w:pPr>
        <w:pStyle w:val="Bibliography"/>
        <w:rPr>
          <w:rFonts w:ascii="Aptos" w:hAnsi="Aptos"/>
          <w:sz w:val="28"/>
        </w:rPr>
      </w:pPr>
      <w:r w:rsidRPr="00F203D9">
        <w:rPr>
          <w:rFonts w:ascii="Aptos" w:hAnsi="Aptos"/>
          <w:sz w:val="28"/>
        </w:rPr>
        <w:t>Centre, UNESCO World Heritage, ‘Castles and Town Walls of King Edward in Gwynedd’, UNESCO World Heritage Centre, n.d. &lt;https://whc.unesco.org/en/list/374/&gt; [accessed 11 November 2025]</w:t>
      </w:r>
    </w:p>
    <w:p w14:paraId="2ED62CF3" w14:textId="77777777" w:rsidR="00F203D9" w:rsidRPr="00F203D9" w:rsidRDefault="00F203D9" w:rsidP="00F203D9">
      <w:pPr>
        <w:pStyle w:val="Bibliography"/>
        <w:rPr>
          <w:rFonts w:ascii="Aptos" w:hAnsi="Aptos"/>
          <w:sz w:val="28"/>
        </w:rPr>
      </w:pPr>
      <w:r w:rsidRPr="00F203D9">
        <w:rPr>
          <w:rFonts w:ascii="Aptos" w:hAnsi="Aptos"/>
          <w:sz w:val="28"/>
        </w:rPr>
        <w:t xml:space="preserve">Gold-Pambianchi, Jayson Daniel, ‘Chapter 4: King Edward “Longshanks” and the Conquest of Wales’, in </w:t>
      </w:r>
      <w:r w:rsidRPr="00F203D9">
        <w:rPr>
          <w:rFonts w:ascii="Aptos" w:hAnsi="Aptos"/>
          <w:i/>
          <w:iCs/>
          <w:sz w:val="28"/>
        </w:rPr>
        <w:t>The Impetus of Castle Construction: To Fortify or Aggrandize?</w:t>
      </w:r>
      <w:r w:rsidRPr="00F203D9">
        <w:rPr>
          <w:rFonts w:ascii="Aptos" w:hAnsi="Aptos"/>
          <w:sz w:val="28"/>
        </w:rPr>
        <w:t xml:space="preserve"> (</w:t>
      </w:r>
      <w:proofErr w:type="spellStart"/>
      <w:r w:rsidRPr="00F203D9">
        <w:rPr>
          <w:rFonts w:ascii="Aptos" w:hAnsi="Aptos"/>
          <w:sz w:val="28"/>
        </w:rPr>
        <w:t>Proquest</w:t>
      </w:r>
      <w:proofErr w:type="spellEnd"/>
      <w:r w:rsidRPr="00F203D9">
        <w:rPr>
          <w:rFonts w:ascii="Aptos" w:hAnsi="Aptos"/>
          <w:sz w:val="28"/>
        </w:rPr>
        <w:t>, 2019), pp. 50–51 &lt;https://www.proquest.com/openview/e944dc27021114d59908101b21c25363/1?pq-origsite=gscholar&amp;cbl=18750&amp;diss=y&gt; [accessed 11 November 2025]</w:t>
      </w:r>
    </w:p>
    <w:p w14:paraId="69874582" w14:textId="77777777" w:rsidR="00F203D9" w:rsidRPr="00F203D9" w:rsidRDefault="00F203D9" w:rsidP="00F203D9">
      <w:pPr>
        <w:pStyle w:val="Bibliography"/>
        <w:rPr>
          <w:rFonts w:ascii="Aptos" w:hAnsi="Aptos"/>
          <w:sz w:val="28"/>
        </w:rPr>
      </w:pPr>
      <w:r w:rsidRPr="00F203D9">
        <w:rPr>
          <w:rFonts w:ascii="Aptos" w:hAnsi="Aptos"/>
          <w:sz w:val="28"/>
        </w:rPr>
        <w:t xml:space="preserve">Hull, Lise, </w:t>
      </w:r>
      <w:r w:rsidRPr="00F203D9">
        <w:rPr>
          <w:rFonts w:ascii="Aptos" w:hAnsi="Aptos"/>
          <w:i/>
          <w:iCs/>
          <w:sz w:val="28"/>
        </w:rPr>
        <w:t>Understanding the Castle Ruins of England and Wales: How to Interpret the History and Meaning of Masonry and Earthworks</w:t>
      </w:r>
      <w:r w:rsidRPr="00F203D9">
        <w:rPr>
          <w:rFonts w:ascii="Aptos" w:hAnsi="Aptos"/>
          <w:sz w:val="28"/>
        </w:rPr>
        <w:t xml:space="preserve"> (McFarland, 2009)</w:t>
      </w:r>
    </w:p>
    <w:p w14:paraId="05828743" w14:textId="77777777" w:rsidR="00F203D9" w:rsidRPr="00F203D9" w:rsidRDefault="00F203D9" w:rsidP="00F203D9">
      <w:pPr>
        <w:pStyle w:val="Bibliography"/>
        <w:rPr>
          <w:rFonts w:ascii="Aptos" w:hAnsi="Aptos"/>
          <w:sz w:val="28"/>
        </w:rPr>
      </w:pPr>
      <w:r w:rsidRPr="00F203D9">
        <w:rPr>
          <w:rFonts w:ascii="Aptos" w:hAnsi="Aptos"/>
          <w:sz w:val="28"/>
        </w:rPr>
        <w:t xml:space="preserve">Liddiard, Robert, and Nicola Coldstream (eds), ‘Architects, Advisors and Design at Edward I’s Castles in Wales’, in </w:t>
      </w:r>
      <w:r w:rsidRPr="00F203D9">
        <w:rPr>
          <w:rFonts w:ascii="Aptos" w:hAnsi="Aptos"/>
          <w:i/>
          <w:iCs/>
          <w:sz w:val="28"/>
        </w:rPr>
        <w:t>Late Medieval Castles</w:t>
      </w:r>
      <w:r w:rsidRPr="00F203D9">
        <w:rPr>
          <w:rFonts w:ascii="Aptos" w:hAnsi="Aptos"/>
          <w:sz w:val="28"/>
        </w:rPr>
        <w:t xml:space="preserve"> (Boydell &amp; Brewer, 2016), pp. 41–60</w:t>
      </w:r>
    </w:p>
    <w:p w14:paraId="7B8BD28E" w14:textId="77777777" w:rsidR="00F203D9" w:rsidRPr="00F203D9" w:rsidRDefault="00F203D9" w:rsidP="00F203D9">
      <w:pPr>
        <w:pStyle w:val="Bibliography"/>
        <w:rPr>
          <w:rFonts w:ascii="Aptos" w:hAnsi="Aptos"/>
          <w:sz w:val="28"/>
        </w:rPr>
      </w:pPr>
      <w:r w:rsidRPr="00F203D9">
        <w:rPr>
          <w:rFonts w:ascii="Aptos" w:hAnsi="Aptos"/>
          <w:sz w:val="28"/>
        </w:rPr>
        <w:t xml:space="preserve">Pettifer, Adrian, </w:t>
      </w:r>
      <w:r w:rsidRPr="00F203D9">
        <w:rPr>
          <w:rFonts w:ascii="Aptos" w:hAnsi="Aptos"/>
          <w:i/>
          <w:iCs/>
          <w:sz w:val="28"/>
        </w:rPr>
        <w:t>Welsh Castles: A Guide by Counties</w:t>
      </w:r>
      <w:r w:rsidRPr="00F203D9">
        <w:rPr>
          <w:rFonts w:ascii="Aptos" w:hAnsi="Aptos"/>
          <w:sz w:val="28"/>
        </w:rPr>
        <w:t xml:space="preserve"> (Boydell &amp; Brewer, 2000)</w:t>
      </w:r>
    </w:p>
    <w:p w14:paraId="3E197AC9" w14:textId="77777777" w:rsidR="00F203D9" w:rsidRPr="00F203D9" w:rsidRDefault="00F203D9" w:rsidP="00F203D9">
      <w:pPr>
        <w:pStyle w:val="Bibliography"/>
        <w:rPr>
          <w:rFonts w:ascii="Aptos" w:hAnsi="Aptos"/>
          <w:sz w:val="28"/>
        </w:rPr>
      </w:pPr>
      <w:r w:rsidRPr="00F203D9">
        <w:rPr>
          <w:rFonts w:ascii="Aptos" w:hAnsi="Aptos"/>
          <w:sz w:val="28"/>
        </w:rPr>
        <w:t>Thomas, Jeffrey, ‘Edwardian Castles’, Archive, CastleWales.Com, 2009 &lt;https://www.castlewales.com/edwrdcas.html&gt; [accessed 11 November 2025]</w:t>
      </w:r>
    </w:p>
    <w:p w14:paraId="38932507" w14:textId="338CB672" w:rsidR="00C47D20" w:rsidRPr="00C47D20" w:rsidRDefault="006815C8" w:rsidP="00C47D20">
      <w:pPr>
        <w:rPr>
          <w:sz w:val="28"/>
          <w:szCs w:val="28"/>
          <w:u w:val="single"/>
        </w:rPr>
      </w:pPr>
      <w:r>
        <w:rPr>
          <w:sz w:val="28"/>
          <w:szCs w:val="28"/>
          <w:u w:val="single"/>
        </w:rPr>
        <w:fldChar w:fldCharType="end"/>
      </w:r>
    </w:p>
    <w:sectPr w:rsidR="00C47D20" w:rsidRPr="00C47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B3567" w14:textId="77777777" w:rsidR="00CF5BEC" w:rsidRDefault="00CF5BEC" w:rsidP="006815C8">
      <w:pPr>
        <w:spacing w:after="0" w:line="240" w:lineRule="auto"/>
      </w:pPr>
      <w:r>
        <w:separator/>
      </w:r>
    </w:p>
  </w:endnote>
  <w:endnote w:type="continuationSeparator" w:id="0">
    <w:p w14:paraId="6351BB99" w14:textId="77777777" w:rsidR="00CF5BEC" w:rsidRDefault="00CF5BEC" w:rsidP="00681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E0235" w14:textId="77777777" w:rsidR="00CF5BEC" w:rsidRDefault="00CF5BEC" w:rsidP="006815C8">
      <w:pPr>
        <w:spacing w:after="0" w:line="240" w:lineRule="auto"/>
      </w:pPr>
      <w:r>
        <w:separator/>
      </w:r>
    </w:p>
  </w:footnote>
  <w:footnote w:type="continuationSeparator" w:id="0">
    <w:p w14:paraId="626323FF" w14:textId="77777777" w:rsidR="00CF5BEC" w:rsidRDefault="00CF5BEC" w:rsidP="006815C8">
      <w:pPr>
        <w:spacing w:after="0" w:line="240" w:lineRule="auto"/>
      </w:pPr>
      <w:r>
        <w:continuationSeparator/>
      </w:r>
    </w:p>
  </w:footnote>
  <w:footnote w:id="1">
    <w:p w14:paraId="786E3B5D" w14:textId="119FA4F0" w:rsidR="00627BE8" w:rsidRDefault="00627BE8">
      <w:pPr>
        <w:pStyle w:val="FootnoteText"/>
      </w:pPr>
      <w:r>
        <w:rPr>
          <w:rStyle w:val="FootnoteReference"/>
        </w:rPr>
        <w:footnoteRef/>
      </w:r>
      <w:r>
        <w:t xml:space="preserve"> </w:t>
      </w:r>
      <w:r>
        <w:fldChar w:fldCharType="begin"/>
      </w:r>
      <w:r>
        <w:instrText xml:space="preserve"> ADDIN ZOTERO_ITEM CSL_CITATION {"citationID":"mtbNRVsZ","properties":{"formattedCitation":"\\uc0\\u8216{}Architects, Advisors and Design at Edward I\\uc0\\u8217{}s Castles in Wales\\uc0\\u8217{}, in {\\i{}Late Medieval Castles}, ed. by Robert Liddiard and Nicola Coldstream (Boydell &amp; Brewer, 2016), pp. 41\\uc0\\u8211{}60 (p. 41).","plainCitation":"‘Architects, Advisors and Design at Edward I’s Castles in Wales’, in Late Medieval Castles, ed. by Robert Liddiard and Nicola Coldstream (Boydell &amp; Brewer, 2016), pp. 41–60 (p. 41).","noteIndex":1},"citationItems":[{"id":233,"uris":["http://zotero.org/users/16334958/items/NSHMDQ83"],"itemData":{"id":233,"type":"chapter","abstract":"A collection of the most significant articles in castle studies, with contributions from scholars in history, archaeology, historic buildings and landscape archaeology. The castles of the late medieval period represent some of the finest medieval monuments in Britain, with an almost infinite capacity to fascinate and draw controversy. They are also a source of considerable academic debate. The contents of this volume represent key works in castle scholarship. Topics discussed include castle warfare, fortress customs, architectural design and symbolism, spatial planning and the depiction of castles in medieval romance. The contributions also serve to highlight the diversity of approaches to the medieval castle, ranging from the study of documentary and literary sources, analysis of fragmentary architectural remains and the recording of field archaeology. The result is a survey that offers an in-depth analysis of castle building from the thirteenth to the fifteenth centuries, and places castles within their broader social, architectural and political contexts. Robert Liddiard is Professor of History, University of East Anglia.  Contributors: Nicola Coldstream, Charles Coulson, Philip Dixon, Graham Fairclough, P.A. Faulkner, John Goodall, Beryl Lott, Charles McKean, T.E. McNeill, Richard K. Morris, Michael Prestwich, Christopher Taylor, Muriel A. Whitaker.","container-title":"Late Medieval Castles","event-place":"Martlesham","ISBN":"978-1-78327-033-0","language":"en","note":"Google-Books-ID: tYbgDQAAQBAJ","page":"41 -60","publisher":"Boydell &amp; Brewer","publisher-place":"Martlesham","source":"Google Books","title":"Architects, Advisors and Design at Edward I's Castles in Wales","editor":[{"family":"Liddiard","given":"Robert"},{"family":"Coldstream","given":"Nicola"}],"issued":{"date-parts":[["2016"]]}},"locator":"41","label":"page"}],"schema":"https://github.com/citation-style-language/schema/raw/master/csl-citation.json"} </w:instrText>
      </w:r>
      <w:r>
        <w:fldChar w:fldCharType="separate"/>
      </w:r>
      <w:r w:rsidRPr="00627BE8">
        <w:rPr>
          <w:rFonts w:ascii="Aptos" w:hAnsi="Aptos" w:cs="Times New Roman"/>
          <w:kern w:val="0"/>
        </w:rPr>
        <w:t xml:space="preserve">‘Architects, Advisors and Design at Edward I’s Castles in Wales’, in </w:t>
      </w:r>
      <w:r w:rsidRPr="00627BE8">
        <w:rPr>
          <w:rFonts w:ascii="Aptos" w:hAnsi="Aptos" w:cs="Times New Roman"/>
          <w:i/>
          <w:iCs/>
          <w:kern w:val="0"/>
        </w:rPr>
        <w:t>Late Medieval Castles</w:t>
      </w:r>
      <w:r w:rsidRPr="00627BE8">
        <w:rPr>
          <w:rFonts w:ascii="Aptos" w:hAnsi="Aptos" w:cs="Times New Roman"/>
          <w:kern w:val="0"/>
        </w:rPr>
        <w:t>, ed. by Robert Liddiard and Nicola Coldstream (Boydell &amp; Brewer, 2016), pp. 41–60 (p. 41).</w:t>
      </w:r>
      <w:r>
        <w:fldChar w:fldCharType="end"/>
      </w:r>
    </w:p>
  </w:footnote>
  <w:footnote w:id="2">
    <w:p w14:paraId="5EC8653B" w14:textId="7B015E42" w:rsidR="00F203D9" w:rsidRDefault="00F203D9">
      <w:pPr>
        <w:pStyle w:val="FootnoteText"/>
      </w:pPr>
      <w:r>
        <w:rPr>
          <w:rStyle w:val="FootnoteReference"/>
        </w:rPr>
        <w:footnoteRef/>
      </w:r>
      <w:r>
        <w:t xml:space="preserve"> </w:t>
      </w:r>
      <w:r>
        <w:fldChar w:fldCharType="begin"/>
      </w:r>
      <w:r>
        <w:instrText xml:space="preserve"> ADDIN ZOTERO_ITEM CSL_CITATION {"citationID":"2ccl5ozx","properties":{"formattedCitation":"Jayson Daniel Gold-Pambianchi, \\uc0\\u8216{}Chapter 4: King Edward \\uc0\\u8220{}Longshanks\\uc0\\u8221{} and the Conquest of Wales\\uc0\\u8217{}, in {\\i{}The Impetus of Castle Construction: To Fortify or Aggrandize?} (Proquest, 2019), pp. 50\\uc0\\u8211{}51 (p. 50) &lt;https://www.proquest.com/openview/e944dc27021114d59908101b21c25363/1?pq-origsite=gscholar&amp;cbl=18750&amp;diss=y&gt; [accessed 11 November 2025].","plainCitation":"Jayson Daniel Gold-Pambianchi, ‘Chapter 4: King Edward “Longshanks” and the Conquest of Wales’, in The Impetus of Castle Construction: To Fortify or Aggrandize? (Proquest, 2019), pp. 50–51 (p. 50) &lt;https://www.proquest.com/openview/e944dc27021114d59908101b21c25363/1?pq-origsite=gscholar&amp;cbl=18750&amp;diss=y&gt; [accessed 11 November 2025].","noteIndex":2},"citationItems":[{"id":235,"uris":["http://zotero.org/users/16334958/items/7LKU8A8W"],"itemData":{"id":235,"type":"chapter","abstract":"Explore millions of resources from scholarly journals, books, newspapers, videos and more, on the ProQuest Platform.","container-title":"The Impetus of Castle Construction: To Fortify or Aggrandize?","event-place":"New York","language":"en","page":"50 - 51","publisher":"Proquest","publisher-place":"New York","title":"Chapter 4: King Edward ‘Longshanks’ and the Conquest of Wales","title-short":"The Impetus of Castle Construction","URL":"https://www.proquest.com/openview/e944dc27021114d59908101b21c25363/1?pq-origsite=gscholar&amp;cbl=18750&amp;diss=y","author":[{"family":"Gold-Pambianchi","given":"Jayson Daniel"}],"accessed":{"date-parts":[["2025",11,11]]},"issued":{"date-parts":[["2019"]]}},"locator":"50","label":"page"}],"schema":"https://github.com/citation-style-language/schema/raw/master/csl-citation.json"} </w:instrText>
      </w:r>
      <w:r>
        <w:fldChar w:fldCharType="separate"/>
      </w:r>
      <w:r w:rsidRPr="00F203D9">
        <w:rPr>
          <w:rFonts w:ascii="Aptos" w:hAnsi="Aptos" w:cs="Times New Roman"/>
          <w:kern w:val="0"/>
        </w:rPr>
        <w:t xml:space="preserve">Jayson Daniel Gold-Pambianchi, ‘Chapter 4: King Edward “Longshanks” and the Conquest of Wales’, in </w:t>
      </w:r>
      <w:r w:rsidRPr="00F203D9">
        <w:rPr>
          <w:rFonts w:ascii="Aptos" w:hAnsi="Aptos" w:cs="Times New Roman"/>
          <w:i/>
          <w:iCs/>
          <w:kern w:val="0"/>
        </w:rPr>
        <w:t>The Impetus of Castle Construction: To Fortify or Aggrandize?</w:t>
      </w:r>
      <w:r w:rsidRPr="00F203D9">
        <w:rPr>
          <w:rFonts w:ascii="Aptos" w:hAnsi="Aptos" w:cs="Times New Roman"/>
          <w:kern w:val="0"/>
        </w:rPr>
        <w:t xml:space="preserve"> (</w:t>
      </w:r>
      <w:proofErr w:type="spellStart"/>
      <w:r w:rsidRPr="00F203D9">
        <w:rPr>
          <w:rFonts w:ascii="Aptos" w:hAnsi="Aptos" w:cs="Times New Roman"/>
          <w:kern w:val="0"/>
        </w:rPr>
        <w:t>Proquest</w:t>
      </w:r>
      <w:proofErr w:type="spellEnd"/>
      <w:r w:rsidRPr="00F203D9">
        <w:rPr>
          <w:rFonts w:ascii="Aptos" w:hAnsi="Aptos" w:cs="Times New Roman"/>
          <w:kern w:val="0"/>
        </w:rPr>
        <w:t>, 2019), pp. 50–51 (p. 50) &lt;https://www.proquest.com/openview/e944dc27021114d59908101b21c25363/1?pq-origsite=gscholar&amp;cbl=18750&amp;diss=y&gt; [accessed 11 November 2025].</w:t>
      </w:r>
      <w:r>
        <w:fldChar w:fldCharType="end"/>
      </w:r>
    </w:p>
  </w:footnote>
  <w:footnote w:id="3">
    <w:p w14:paraId="63034E89" w14:textId="5E9E5696" w:rsidR="007775CC" w:rsidRDefault="007775CC">
      <w:pPr>
        <w:pStyle w:val="FootnoteText"/>
      </w:pPr>
      <w:r>
        <w:rPr>
          <w:rStyle w:val="FootnoteReference"/>
        </w:rPr>
        <w:footnoteRef/>
      </w:r>
      <w:r>
        <w:t xml:space="preserve"> </w:t>
      </w:r>
      <w:r>
        <w:fldChar w:fldCharType="begin"/>
      </w:r>
      <w:r w:rsidR="00627BE8">
        <w:instrText xml:space="preserve"> ADDIN ZOTERO_ITEM CSL_CITATION {"citationID":"3qjy5rhj","properties":{"formattedCitation":"\\uc0\\u8216{}The Gwent County History\\uc0\\u8217{}, in {\\i{}Vol. 1 Gwent in Prehistory and Early History}, ed. by Miranda Aldhouse-Green and Ray Howell, 5 vols (University of Wales Press, 2004), {\\scaps i}, p. 280.","plainCitation":"‘The Gwent County History’, in Vol. 1 Gwent in Prehistory and Early History, ed. by Miranda Aldhouse-Green and Ray Howell, 5 vols (University of Wales Press, 2004), i, p. 280.","dontUpdate":true,"noteIndex":5},"citationItems":[{"id":216,"uris":["http://zotero.org/users/16334958/items/ZHJXHG3A"],"itemData":{"id":216,"type":"chapter","container-title":"Vol. 1 Gwent in prehistory and early history","event-place":"Cardiff","language":"English","number-of-volumes":"5","page":"280","publisher":"University of Wales Press","publisher-place":"Cardiff","title":"The Gwent County History","volume":"1","editor":[{"family":"Aldhouse-Green","given":"Miranda"},{"family":"Howell","given":"Ray"}],"issued":{"date-parts":[["2004"]]}}}],"schema":"https://github.com/citation-style-language/schema/raw/master/csl-citation.json"} </w:instrText>
      </w:r>
      <w:r>
        <w:fldChar w:fldCharType="separate"/>
      </w:r>
      <w:r w:rsidRPr="007775CC">
        <w:rPr>
          <w:rFonts w:ascii="Aptos" w:hAnsi="Aptos" w:cs="Times New Roman"/>
          <w:kern w:val="0"/>
        </w:rPr>
        <w:t xml:space="preserve">‘The Gwent County History’, in </w:t>
      </w:r>
      <w:r w:rsidRPr="007775CC">
        <w:rPr>
          <w:rFonts w:ascii="Aptos" w:hAnsi="Aptos" w:cs="Times New Roman"/>
          <w:i/>
          <w:iCs/>
          <w:kern w:val="0"/>
        </w:rPr>
        <w:t>Vol. 1 Gwent in Prehistory and Early History</w:t>
      </w:r>
      <w:r w:rsidRPr="007775CC">
        <w:rPr>
          <w:rFonts w:ascii="Aptos" w:hAnsi="Aptos" w:cs="Times New Roman"/>
          <w:kern w:val="0"/>
        </w:rPr>
        <w:t xml:space="preserve">, ed. by Miranda Aldhouse-Green and Ray Howell, 5 vols (University of Wales Press, 2004), </w:t>
      </w:r>
      <w:r w:rsidRPr="007775CC">
        <w:rPr>
          <w:rFonts w:ascii="Aptos" w:hAnsi="Aptos" w:cs="Times New Roman"/>
          <w:smallCaps/>
          <w:kern w:val="0"/>
        </w:rPr>
        <w:t>i</w:t>
      </w:r>
      <w:r w:rsidRPr="007775CC">
        <w:rPr>
          <w:rFonts w:ascii="Aptos" w:hAnsi="Aptos" w:cs="Times New Roman"/>
          <w:kern w:val="0"/>
        </w:rPr>
        <w:t>, p. 2</w:t>
      </w:r>
      <w:r>
        <w:rPr>
          <w:rFonts w:ascii="Aptos" w:hAnsi="Aptos" w:cs="Times New Roman"/>
          <w:kern w:val="0"/>
        </w:rPr>
        <w:t>75</w:t>
      </w:r>
      <w:r w:rsidRPr="007775CC">
        <w:rPr>
          <w:rFonts w:ascii="Aptos" w:hAnsi="Aptos" w:cs="Times New Roman"/>
          <w:kern w:val="0"/>
        </w:rPr>
        <w:t>.</w:t>
      </w:r>
      <w:r>
        <w:fldChar w:fldCharType="end"/>
      </w:r>
    </w:p>
  </w:footnote>
  <w:footnote w:id="4">
    <w:p w14:paraId="34ECFA3C" w14:textId="55E2C1BB" w:rsidR="00EF5CC9" w:rsidRDefault="00EF5CC9">
      <w:pPr>
        <w:pStyle w:val="FootnoteText"/>
      </w:pPr>
      <w:r>
        <w:rPr>
          <w:rStyle w:val="FootnoteReference"/>
        </w:rPr>
        <w:footnoteRef/>
      </w:r>
      <w:r>
        <w:t xml:space="preserve"> </w:t>
      </w:r>
      <w:r>
        <w:fldChar w:fldCharType="begin"/>
      </w:r>
      <w:r w:rsidR="00627BE8">
        <w:instrText xml:space="preserve"> ADDIN ZOTERO_ITEM CSL_CITATION {"citationID":"pNE9vIYp","properties":{"formattedCitation":"Lise Hull, {\\i{}Understanding the Castle Ruins of England and Wales: How to Interpret the History and Meaning of Masonry and Earthworks} (McFarland, 2009), p. 37.","plainCitation":"Lise Hull, Understanding the Castle Ruins of England and Wales: How to Interpret the History and Meaning of Masonry and Earthworks (McFarland, 2009), p. 37.","noteIndex":6},"citationItems":[{"id":227,"uris":["http://zotero.org/users/16334958/items/RKNJ54B8"],"itemData":{"id":227,"type":"book","abstract":"Medieval castles were not just showcases for the royal and powerful, they were also the centerpieces of many people's daily lives. A travel guide as well as a historical text, this volume looks at castles not just as ruined buildings, but as part of the cultural and scenic landscape. The 88 photographs illustrate the different architectural concepts and castle features discussed in the text. The book includes glossaries of terminology, an appendix listing all the castles mentioned and their locations, notes, bibliography and index.","event-place":"Jefferson","ISBN":"978-0-7864-5276-7","language":"en","note":"Google-Books-ID: p_S0DVi3vBEC","number-of-pages":"229","publisher":"McFarland","publisher-place":"Jefferson","source":"Google Books","title":"Understanding the Castle Ruins of England and Wales: How to Interpret the History and Meaning of Masonry and Earthworks","title-short":"Understanding the Castle Ruins of England and Wales","author":[{"family":"Hull","given":"Lise"}],"issued":{"date-parts":[["2009",3,23]]}},"locator":"37","label":"page"}],"schema":"https://github.com/citation-style-language/schema/raw/master/csl-citation.json"} </w:instrText>
      </w:r>
      <w:r>
        <w:fldChar w:fldCharType="separate"/>
      </w:r>
      <w:r w:rsidRPr="00EF5CC9">
        <w:rPr>
          <w:rFonts w:ascii="Aptos" w:hAnsi="Aptos" w:cs="Times New Roman"/>
          <w:kern w:val="0"/>
        </w:rPr>
        <w:t xml:space="preserve">Lise Hull, </w:t>
      </w:r>
      <w:r w:rsidRPr="00EF5CC9">
        <w:rPr>
          <w:rFonts w:ascii="Aptos" w:hAnsi="Aptos" w:cs="Times New Roman"/>
          <w:i/>
          <w:iCs/>
          <w:kern w:val="0"/>
        </w:rPr>
        <w:t>Understanding the Castle Ruins of England and Wales: How to Interpret the History and Meaning of Masonry and Earthworks</w:t>
      </w:r>
      <w:r w:rsidRPr="00EF5CC9">
        <w:rPr>
          <w:rFonts w:ascii="Aptos" w:hAnsi="Aptos" w:cs="Times New Roman"/>
          <w:kern w:val="0"/>
        </w:rPr>
        <w:t xml:space="preserve"> (McFarland, 2009), p. 37.</w:t>
      </w:r>
      <w:r>
        <w:fldChar w:fldCharType="end"/>
      </w:r>
    </w:p>
  </w:footnote>
  <w:footnote w:id="5">
    <w:p w14:paraId="308E8A86" w14:textId="43D0D14C" w:rsidR="002471CF" w:rsidRDefault="002471CF" w:rsidP="002471CF">
      <w:pPr>
        <w:pStyle w:val="FootnoteText"/>
      </w:pPr>
      <w:r>
        <w:rPr>
          <w:rStyle w:val="FootnoteReference"/>
        </w:rPr>
        <w:footnoteRef/>
      </w:r>
      <w:r>
        <w:t xml:space="preserve"> </w:t>
      </w:r>
      <w:r>
        <w:fldChar w:fldCharType="begin"/>
      </w:r>
      <w:r w:rsidR="00627BE8">
        <w:instrText xml:space="preserve"> ADDIN ZOTERO_ITEM CSL_CITATION {"citationID":"WObySm2K","properties":{"formattedCitation":"Arnold Joseph Taylor, {\\i{}Caernarfon Castle and Town Walls}, Welsh Historic Monuments, 4th edn (Cadw Welsh Historic Monuments, 2004) &lt;http://archive.org/details/caernarfon-castle&gt; [accessed 2 November 2025].","plainCitation":"Arnold Joseph Taylor, Caernarfon Castle and Town Walls, Welsh Historic Monuments, 4th edn (Cadw Welsh Historic Monuments, 2004) &lt;http://archive.org/details/caernarfon-castle&gt; [accessed 2 November 2025].","noteIndex":7},"citationItems":[{"id":219,"uris":["http://zotero.org/users/16334958/items/Q278YYYA"],"itemData":{"id":219,"type":"book","abstract":"A guidebook for Caernarfon Castle and Town Walls. The town and its castle play an important part in the history of Wales because of their historical, strategic, military, symbolic and mythological significance. We are guided from the construction period in 1283 by King Edward I as a stone symbol of the conquest, as well as the establishment of the Principality of Wales.","collection-title":"Welsh Historic Monuments","edition":"4","event-place":"Online","number-of-pages":"9 - 10","publisher":"Cadw Welsh Historic Monuments","publisher-place":"Online","source":"Internet Archive","title":"Caernarfon Castle and Town Walls","URL":"http://archive.org/details/caernarfon-castle","author":[{"literal":"Arnold Joseph Taylor"}],"accessed":{"date-parts":[["2025",11,2]]},"issued":{"date-parts":[["2004",1,1]]}}}],"schema":"https://github.com/citation-style-language/schema/raw/master/csl-citation.json"} </w:instrText>
      </w:r>
      <w:r>
        <w:fldChar w:fldCharType="separate"/>
      </w:r>
      <w:r w:rsidRPr="004F479A">
        <w:rPr>
          <w:rFonts w:ascii="Aptos" w:hAnsi="Aptos" w:cs="Times New Roman"/>
          <w:kern w:val="0"/>
        </w:rPr>
        <w:t xml:space="preserve">Arnold Joseph Taylor, </w:t>
      </w:r>
      <w:r w:rsidRPr="004F479A">
        <w:rPr>
          <w:rFonts w:ascii="Aptos" w:hAnsi="Aptos" w:cs="Times New Roman"/>
          <w:i/>
          <w:iCs/>
          <w:kern w:val="0"/>
        </w:rPr>
        <w:t>Caernarfon Castle and Town Walls</w:t>
      </w:r>
      <w:r w:rsidRPr="004F479A">
        <w:rPr>
          <w:rFonts w:ascii="Aptos" w:hAnsi="Aptos" w:cs="Times New Roman"/>
          <w:kern w:val="0"/>
        </w:rPr>
        <w:t>, Welsh Historic Monuments, 4th edn (Cadw Welsh Historic Monuments, 2004) &lt;http://archive.org/details/caernarfon-castle&gt; [accessed 2 November 2025].</w:t>
      </w:r>
      <w:r>
        <w:fldChar w:fldCharType="end"/>
      </w:r>
    </w:p>
  </w:footnote>
  <w:footnote w:id="6">
    <w:p w14:paraId="75A8BA3C" w14:textId="02A3F911" w:rsidR="00B93BFE" w:rsidRDefault="00B93BFE">
      <w:pPr>
        <w:pStyle w:val="FootnoteText"/>
      </w:pPr>
      <w:r>
        <w:rPr>
          <w:rStyle w:val="FootnoteReference"/>
        </w:rPr>
        <w:footnoteRef/>
      </w:r>
      <w:r>
        <w:t xml:space="preserve"> </w:t>
      </w:r>
      <w:r>
        <w:fldChar w:fldCharType="begin"/>
      </w:r>
      <w:r w:rsidR="00627BE8">
        <w:instrText xml:space="preserve"> ADDIN ZOTERO_ITEM CSL_CITATION {"citationID":"HzpaCM1u","properties":{"formattedCitation":"Adrian Pettifer, {\\i{}Welsh Castles: A Guide by Counties} (Boydell &amp; Brewer, 2000), p. 155.","plainCitation":"Adrian Pettifer, Welsh Castles: A Guide by Counties (Boydell &amp; Brewer, 2000), p. 155.","noteIndex":8},"citationItems":[{"id":217,"uris":["http://zotero.org/users/16334958/items/BPEHLFB3"],"itemData":{"id":217,"type":"book","abstract":"History of and gazetteer to all surviving Welsh castles - the majority 13c - arranged by county, with full OS details.The medieval castles of Wales are an imposing group of monuments. Although there are examples from the Norman period, the vast majority of the surviving castles date from the thirteenth century, a dramatic and turbulent period when Wales was nearly united under native rule before succumbing to Edward I's conquest: Caernarfon, Conway, Harlech and Beaumaris are justly famous, but equally fine examples can be found elsewhere, including Pembroke, Kidwelly andChepstow in south Wales; native Welsh castles feature prominently. This book provides a brief account and complete gazetteer of every surviving castle in Wales, from the impressive earthworks raised by the Norman invaders to the castle-palaces of the later middle ages, and including the remarkable town fortifications of Wales; it is arranged by county for convenience of reference, and offers full Ordnance Survey details. Lavishly illustrated. ADRIAN PETTIFER gained his degree in ancient and medieval history from Birmingham University.","ISBN":"978-0-85115-778-8","language":"en","note":"Google-Books-ID: Hs5DnKUSu9gC","number-of-pages":"266","publisher":"Boydell &amp; Brewer","source":"Google Books","title":"Welsh Castles: A Guide by Counties","title-short":"Welsh Castles","author":[{"family":"Pettifer","given":"Adrian"}],"issued":{"date-parts":[["2000"]]}},"locator":"155","label":"page"}],"schema":"https://github.com/citation-style-language/schema/raw/master/csl-citation.json"} </w:instrText>
      </w:r>
      <w:r>
        <w:fldChar w:fldCharType="separate"/>
      </w:r>
      <w:r w:rsidRPr="00B93BFE">
        <w:rPr>
          <w:rFonts w:ascii="Aptos" w:hAnsi="Aptos" w:cs="Times New Roman"/>
          <w:kern w:val="0"/>
        </w:rPr>
        <w:t xml:space="preserve">Adrian Pettifer, </w:t>
      </w:r>
      <w:r w:rsidRPr="00B93BFE">
        <w:rPr>
          <w:rFonts w:ascii="Aptos" w:hAnsi="Aptos" w:cs="Times New Roman"/>
          <w:i/>
          <w:iCs/>
          <w:kern w:val="0"/>
        </w:rPr>
        <w:t>Welsh Castles: A Guide by Counties</w:t>
      </w:r>
      <w:r w:rsidRPr="00B93BFE">
        <w:rPr>
          <w:rFonts w:ascii="Aptos" w:hAnsi="Aptos" w:cs="Times New Roman"/>
          <w:kern w:val="0"/>
        </w:rPr>
        <w:t xml:space="preserve"> (Boydell &amp; Brewer, 2000), p. 155.</w:t>
      </w:r>
      <w:r>
        <w:fldChar w:fldCharType="end"/>
      </w:r>
    </w:p>
  </w:footnote>
  <w:footnote w:id="7">
    <w:p w14:paraId="0799202D" w14:textId="3219B743" w:rsidR="00074A5E" w:rsidRDefault="00074A5E">
      <w:pPr>
        <w:pStyle w:val="FootnoteText"/>
      </w:pPr>
      <w:r>
        <w:rPr>
          <w:rStyle w:val="FootnoteReference"/>
        </w:rPr>
        <w:footnoteRef/>
      </w:r>
      <w:r>
        <w:t xml:space="preserve"> </w:t>
      </w:r>
      <w:r>
        <w:fldChar w:fldCharType="begin"/>
      </w:r>
      <w:r w:rsidR="00627BE8">
        <w:instrText xml:space="preserve"> ADDIN ZOTERO_ITEM CSL_CITATION {"citationID":"fdsRHCXL","properties":{"formattedCitation":"Jeffrey Thomas, \\uc0\\u8216{}Edwardian Castles\\uc0\\u8217{}, Archive, CastleWales.Com, 2009 &lt;https://www.castlewales.com/edwrdcas.html&gt; [accessed 11 November 2025].","plainCitation":"Jeffrey Thomas, ‘Edwardian Castles’, Archive, CastleWales.Com, 2009 &lt;https://www.castlewales.com/edwrdcas.html&gt; [accessed 11 November 2025].","noteIndex":9},"citationItems":[{"id":229,"uris":["http://zotero.org/users/16334958/items/2HDKW3KJ"],"itemData":{"id":229,"type":"webpage","container-title":"CastleWales.com","genre":"Archive","title":"Edwardian Castles","URL":"https://www.castlewales.com/edwrdcas.html","author":[{"family":"Thomas","given":"Jeffrey"}],"accessed":{"date-parts":[["2025",11,11]]},"issued":{"date-parts":[["2009"]]}}}],"schema":"https://github.com/citation-style-language/schema/raw/master/csl-citation.json"} </w:instrText>
      </w:r>
      <w:r>
        <w:fldChar w:fldCharType="separate"/>
      </w:r>
      <w:r w:rsidRPr="00074A5E">
        <w:rPr>
          <w:rFonts w:ascii="Aptos" w:hAnsi="Aptos" w:cs="Times New Roman"/>
          <w:kern w:val="0"/>
        </w:rPr>
        <w:t>Jeffrey Thomas, ‘Edwardian Castles’, Archive, CastleWales.Com, 2009 &lt;https://www.castlewales.com/edwrdcas.html&gt; [accessed 11 November 2025].</w:t>
      </w:r>
      <w:r>
        <w:fldChar w:fldCharType="end"/>
      </w:r>
    </w:p>
  </w:footnote>
  <w:footnote w:id="8">
    <w:p w14:paraId="5450143D" w14:textId="7A96AD1C" w:rsidR="00B068E2" w:rsidRDefault="00B068E2">
      <w:pPr>
        <w:pStyle w:val="FootnoteText"/>
      </w:pPr>
      <w:r>
        <w:rPr>
          <w:rStyle w:val="FootnoteReference"/>
        </w:rPr>
        <w:footnoteRef/>
      </w:r>
      <w:r>
        <w:t xml:space="preserve"> </w:t>
      </w:r>
      <w:r>
        <w:fldChar w:fldCharType="begin"/>
      </w:r>
      <w:r w:rsidR="00627BE8">
        <w:instrText xml:space="preserve"> ADDIN ZOTERO_ITEM CSL_CITATION {"citationID":"rBvJZJ4D","properties":{"formattedCitation":"UNESCO World Heritage Centre, \\uc0\\u8216{}Castles and Town Walls of King Edward in Gwynedd\\uc0\\u8217{}, UNESCO World Heritage Centre, n.d. &lt;https://whc.unesco.org/en/list/374/&gt; [accessed 11 November 2025].","plainCitation":"UNESCO World Heritage Centre, ‘Castles and Town Walls of King Edward in Gwynedd’, UNESCO World Heritage Centre, n.d. &lt;https://whc.unesco.org/en/list/374/&gt; [accessed 11 November 2025].","noteIndex":10},"citationItems":[{"id":231,"uris":["http://zotero.org/users/16334958/items/ISWJQQRB"],"itemData":{"id":231,"type":"webpage","abstract":"The castles of Beaumaris and Harlech (largely the work of the greatest military engineer of the time, James of St George) and the fortified complexes of Caernarfon and Conwy are located in the former principality of  ...","container-title":"UNESCO World Heritage Centre","language":"en","title":"Castles and Town Walls of King Edward in Gwynedd","URL":"https://whc.unesco.org/en/list/374/","author":[{"family":"Centre","given":"UNESCO World Heritage"}],"accessed":{"date-parts":[["2025",11,11]]}}}],"schema":"https://github.com/citation-style-language/schema/raw/master/csl-citation.json"} </w:instrText>
      </w:r>
      <w:r>
        <w:fldChar w:fldCharType="separate"/>
      </w:r>
      <w:r w:rsidRPr="00B068E2">
        <w:rPr>
          <w:rFonts w:ascii="Aptos" w:hAnsi="Aptos" w:cs="Times New Roman"/>
          <w:kern w:val="0"/>
        </w:rPr>
        <w:t>UNESCO World Heritage Centre, ‘Castles and Town Walls of King Edward in Gwynedd’, UNESCO World Heritage Centre, n.d. &lt;https://whc.unesco.org/en/list/374/&gt; [accessed 11 November 2025].</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D20"/>
    <w:rsid w:val="00006434"/>
    <w:rsid w:val="00021EDC"/>
    <w:rsid w:val="00025292"/>
    <w:rsid w:val="00071B60"/>
    <w:rsid w:val="00074A5E"/>
    <w:rsid w:val="000770F4"/>
    <w:rsid w:val="000E1815"/>
    <w:rsid w:val="00144B39"/>
    <w:rsid w:val="001D4351"/>
    <w:rsid w:val="00204B1A"/>
    <w:rsid w:val="00235278"/>
    <w:rsid w:val="002471CF"/>
    <w:rsid w:val="002801A1"/>
    <w:rsid w:val="002E70C1"/>
    <w:rsid w:val="002F0DCE"/>
    <w:rsid w:val="003568C9"/>
    <w:rsid w:val="003D74CE"/>
    <w:rsid w:val="004308CD"/>
    <w:rsid w:val="00436727"/>
    <w:rsid w:val="004711D9"/>
    <w:rsid w:val="004F479A"/>
    <w:rsid w:val="004F616F"/>
    <w:rsid w:val="0053650E"/>
    <w:rsid w:val="00561E98"/>
    <w:rsid w:val="0056519F"/>
    <w:rsid w:val="005918CD"/>
    <w:rsid w:val="005B0349"/>
    <w:rsid w:val="005F5167"/>
    <w:rsid w:val="00627BE8"/>
    <w:rsid w:val="00665F4E"/>
    <w:rsid w:val="006815C8"/>
    <w:rsid w:val="006945E5"/>
    <w:rsid w:val="006C403B"/>
    <w:rsid w:val="007775CC"/>
    <w:rsid w:val="007C1C97"/>
    <w:rsid w:val="007C3B80"/>
    <w:rsid w:val="007F6D16"/>
    <w:rsid w:val="008017EA"/>
    <w:rsid w:val="0083354B"/>
    <w:rsid w:val="008E2064"/>
    <w:rsid w:val="008F4822"/>
    <w:rsid w:val="009564B1"/>
    <w:rsid w:val="00A04626"/>
    <w:rsid w:val="00A26631"/>
    <w:rsid w:val="00A33193"/>
    <w:rsid w:val="00AC6A59"/>
    <w:rsid w:val="00AF38B9"/>
    <w:rsid w:val="00B068E2"/>
    <w:rsid w:val="00B62756"/>
    <w:rsid w:val="00B764CD"/>
    <w:rsid w:val="00B93BFE"/>
    <w:rsid w:val="00BB1F7E"/>
    <w:rsid w:val="00BF38C3"/>
    <w:rsid w:val="00C47D20"/>
    <w:rsid w:val="00C9584A"/>
    <w:rsid w:val="00CC73F5"/>
    <w:rsid w:val="00CF5BEC"/>
    <w:rsid w:val="00D25836"/>
    <w:rsid w:val="00D63050"/>
    <w:rsid w:val="00D760BE"/>
    <w:rsid w:val="00DA0C47"/>
    <w:rsid w:val="00E10C42"/>
    <w:rsid w:val="00E17043"/>
    <w:rsid w:val="00E36269"/>
    <w:rsid w:val="00EA60F2"/>
    <w:rsid w:val="00EB1CB0"/>
    <w:rsid w:val="00EE2144"/>
    <w:rsid w:val="00EF5CC9"/>
    <w:rsid w:val="00F151EB"/>
    <w:rsid w:val="00F203D9"/>
    <w:rsid w:val="00F417EB"/>
    <w:rsid w:val="00FB4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B4590"/>
  <w15:chartTrackingRefBased/>
  <w15:docId w15:val="{D43604D4-3DCA-465D-9ADD-E4E68C74D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D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D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D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D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D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D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D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D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D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D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D20"/>
    <w:rPr>
      <w:rFonts w:eastAsiaTheme="majorEastAsia" w:cstheme="majorBidi"/>
      <w:color w:val="272727" w:themeColor="text1" w:themeTint="D8"/>
    </w:rPr>
  </w:style>
  <w:style w:type="paragraph" w:styleId="Title">
    <w:name w:val="Title"/>
    <w:basedOn w:val="Normal"/>
    <w:next w:val="Normal"/>
    <w:link w:val="TitleChar"/>
    <w:uiPriority w:val="10"/>
    <w:qFormat/>
    <w:rsid w:val="00C47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D20"/>
    <w:pPr>
      <w:spacing w:before="160"/>
      <w:jc w:val="center"/>
    </w:pPr>
    <w:rPr>
      <w:i/>
      <w:iCs/>
      <w:color w:val="404040" w:themeColor="text1" w:themeTint="BF"/>
    </w:rPr>
  </w:style>
  <w:style w:type="character" w:customStyle="1" w:styleId="QuoteChar">
    <w:name w:val="Quote Char"/>
    <w:basedOn w:val="DefaultParagraphFont"/>
    <w:link w:val="Quote"/>
    <w:uiPriority w:val="29"/>
    <w:rsid w:val="00C47D20"/>
    <w:rPr>
      <w:i/>
      <w:iCs/>
      <w:color w:val="404040" w:themeColor="text1" w:themeTint="BF"/>
    </w:rPr>
  </w:style>
  <w:style w:type="paragraph" w:styleId="ListParagraph">
    <w:name w:val="List Paragraph"/>
    <w:basedOn w:val="Normal"/>
    <w:uiPriority w:val="34"/>
    <w:qFormat/>
    <w:rsid w:val="00C47D20"/>
    <w:pPr>
      <w:ind w:left="720"/>
      <w:contextualSpacing/>
    </w:pPr>
  </w:style>
  <w:style w:type="character" w:styleId="IntenseEmphasis">
    <w:name w:val="Intense Emphasis"/>
    <w:basedOn w:val="DefaultParagraphFont"/>
    <w:uiPriority w:val="21"/>
    <w:qFormat/>
    <w:rsid w:val="00C47D20"/>
    <w:rPr>
      <w:i/>
      <w:iCs/>
      <w:color w:val="0F4761" w:themeColor="accent1" w:themeShade="BF"/>
    </w:rPr>
  </w:style>
  <w:style w:type="paragraph" w:styleId="IntenseQuote">
    <w:name w:val="Intense Quote"/>
    <w:basedOn w:val="Normal"/>
    <w:next w:val="Normal"/>
    <w:link w:val="IntenseQuoteChar"/>
    <w:uiPriority w:val="30"/>
    <w:qFormat/>
    <w:rsid w:val="00C47D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D20"/>
    <w:rPr>
      <w:i/>
      <w:iCs/>
      <w:color w:val="0F4761" w:themeColor="accent1" w:themeShade="BF"/>
    </w:rPr>
  </w:style>
  <w:style w:type="character" w:styleId="IntenseReference">
    <w:name w:val="Intense Reference"/>
    <w:basedOn w:val="DefaultParagraphFont"/>
    <w:uiPriority w:val="32"/>
    <w:qFormat/>
    <w:rsid w:val="00C47D20"/>
    <w:rPr>
      <w:b/>
      <w:bCs/>
      <w:smallCaps/>
      <w:color w:val="0F4761" w:themeColor="accent1" w:themeShade="BF"/>
      <w:spacing w:val="5"/>
    </w:rPr>
  </w:style>
  <w:style w:type="paragraph" w:styleId="FootnoteText">
    <w:name w:val="footnote text"/>
    <w:basedOn w:val="Normal"/>
    <w:link w:val="FootnoteTextChar"/>
    <w:uiPriority w:val="99"/>
    <w:semiHidden/>
    <w:unhideWhenUsed/>
    <w:rsid w:val="006815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15C8"/>
    <w:rPr>
      <w:sz w:val="20"/>
      <w:szCs w:val="20"/>
    </w:rPr>
  </w:style>
  <w:style w:type="character" w:styleId="FootnoteReference">
    <w:name w:val="footnote reference"/>
    <w:basedOn w:val="DefaultParagraphFont"/>
    <w:uiPriority w:val="99"/>
    <w:semiHidden/>
    <w:unhideWhenUsed/>
    <w:rsid w:val="006815C8"/>
    <w:rPr>
      <w:vertAlign w:val="superscript"/>
    </w:rPr>
  </w:style>
  <w:style w:type="paragraph" w:styleId="Bibliography">
    <w:name w:val="Bibliography"/>
    <w:basedOn w:val="Normal"/>
    <w:next w:val="Normal"/>
    <w:uiPriority w:val="37"/>
    <w:unhideWhenUsed/>
    <w:rsid w:val="006815C8"/>
    <w:pPr>
      <w:spacing w:after="240" w:line="240" w:lineRule="auto"/>
      <w:ind w:left="720" w:hanging="720"/>
    </w:pPr>
  </w:style>
  <w:style w:type="paragraph" w:styleId="Header">
    <w:name w:val="header"/>
    <w:basedOn w:val="Normal"/>
    <w:link w:val="HeaderChar"/>
    <w:uiPriority w:val="99"/>
    <w:unhideWhenUsed/>
    <w:rsid w:val="00777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5CC"/>
  </w:style>
  <w:style w:type="paragraph" w:styleId="Footer">
    <w:name w:val="footer"/>
    <w:basedOn w:val="Normal"/>
    <w:link w:val="FooterChar"/>
    <w:uiPriority w:val="99"/>
    <w:unhideWhenUsed/>
    <w:rsid w:val="00777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5CC"/>
  </w:style>
  <w:style w:type="paragraph" w:styleId="Caption">
    <w:name w:val="caption"/>
    <w:basedOn w:val="Normal"/>
    <w:next w:val="Normal"/>
    <w:uiPriority w:val="35"/>
    <w:unhideWhenUsed/>
    <w:qFormat/>
    <w:rsid w:val="00071B60"/>
    <w:pPr>
      <w:spacing w:after="200" w:line="240" w:lineRule="auto"/>
    </w:pPr>
    <w:rPr>
      <w:i/>
      <w:iCs/>
      <w:color w:val="0E2841" w:themeColor="text2"/>
      <w:sz w:val="18"/>
      <w:szCs w:val="18"/>
    </w:rPr>
  </w:style>
  <w:style w:type="character" w:styleId="Hyperlink">
    <w:name w:val="Hyperlink"/>
    <w:basedOn w:val="DefaultParagraphFont"/>
    <w:uiPriority w:val="99"/>
    <w:unhideWhenUsed/>
    <w:rsid w:val="00B764CD"/>
    <w:rPr>
      <w:color w:val="467886" w:themeColor="hyperlink"/>
      <w:u w:val="single"/>
    </w:rPr>
  </w:style>
  <w:style w:type="character" w:styleId="UnresolvedMention">
    <w:name w:val="Unresolved Mention"/>
    <w:basedOn w:val="DefaultParagraphFont"/>
    <w:uiPriority w:val="99"/>
    <w:semiHidden/>
    <w:unhideWhenUsed/>
    <w:rsid w:val="00B764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A55FB-7063-4C05-96C4-67ED6E384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4</Pages>
  <Words>759</Words>
  <Characters>4332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9</cp:revision>
  <dcterms:created xsi:type="dcterms:W3CDTF">2025-11-11T07:45:00Z</dcterms:created>
  <dcterms:modified xsi:type="dcterms:W3CDTF">2025-11-11T13:20:00Z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id="7eVX4UFU"/&gt;&lt;style id="http://www.zotero.org/styles/modern-humanities-research-association-notes" hasBibliography="1" bibliographyStyleHasBeenSet="1"/&gt;&lt;prefs&gt;&lt;pref name="fieldType" value="Field"/&gt;</vt:lpwstr>
  </property>
  <property fmtid="{D5CDD505-2E9C-101B-9397-08002B2CF9AE}" pid="3" name="ZOTERO_PREF_2">
    <vt:lpwstr>&lt;pref name="automaticJournalAbbreviations" value="true"/&gt;&lt;pref name="noteType" value="1"/&gt;&lt;/prefs&gt;&lt;/data&gt;</vt:lpwstr>
  </property>
</Properties>
</file>