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C51D2" w14:textId="77777777" w:rsidR="00041AC9" w:rsidRDefault="00041AC9" w:rsidP="00041AC9">
      <w:pPr>
        <w:rPr>
          <w:rFonts w:ascii="Arial" w:hAnsi="Arial" w:cs="Arial"/>
        </w:rPr>
      </w:pPr>
      <w:r>
        <w:rPr>
          <w:rFonts w:ascii="Arial" w:hAnsi="Arial" w:cs="Arial"/>
        </w:rPr>
        <w:t xml:space="preserve">IAS 38 </w:t>
      </w:r>
      <w:r w:rsidRPr="00DC0EA8">
        <w:rPr>
          <w:rFonts w:ascii="Arial" w:hAnsi="Arial" w:cs="Arial"/>
          <w:i/>
        </w:rPr>
        <w:t>Intangible assets</w:t>
      </w:r>
      <w:r>
        <w:rPr>
          <w:rFonts w:ascii="Arial" w:hAnsi="Arial" w:cs="Arial"/>
        </w:rPr>
        <w:t xml:space="preserve"> requires an entity to recognise an intangible asset where it is probable that future economic benefits will flow to the entity and the asset can be measured reliably. Consequently, the costs incurred in acquiring players' registrations should be capitalised at the fair value of the consideration payable. In this respect, costs would include the transfer fees, league levy fees and players' agent fees incurred by Vici. Costs would also include the fair value of any contingent consideration payable to players' previous </w:t>
      </w:r>
      <w:proofErr w:type="gramStart"/>
      <w:r>
        <w:rPr>
          <w:rFonts w:ascii="Arial" w:hAnsi="Arial" w:cs="Arial"/>
        </w:rPr>
        <w:t>clubs, once</w:t>
      </w:r>
      <w:proofErr w:type="gramEnd"/>
      <w:r>
        <w:rPr>
          <w:rFonts w:ascii="Arial" w:hAnsi="Arial" w:cs="Arial"/>
        </w:rPr>
        <w:t xml:space="preserve"> payment becomes probable. The contingent consideration may be subject to reassessment in the light of reviewing the probability of payments at periodic intervals. The assessment should be undertaken on a player by player basis. Contingent consideration potentially payable should be disclosed in the financial statements. The intangible costs capitalised should be </w:t>
      </w:r>
      <w:r w:rsidRPr="006C58B1">
        <w:rPr>
          <w:rFonts w:ascii="Arial" w:hAnsi="Arial" w:cs="Arial"/>
          <w:b/>
        </w:rPr>
        <w:t>amortised</w:t>
      </w:r>
      <w:r>
        <w:rPr>
          <w:rFonts w:ascii="Arial" w:hAnsi="Arial" w:cs="Arial"/>
        </w:rPr>
        <w:t xml:space="preserve"> over the period covered by the players' contracts.</w:t>
      </w:r>
    </w:p>
    <w:p w14:paraId="559BDC33" w14:textId="77777777" w:rsidR="00041AC9" w:rsidRDefault="00041AC9" w:rsidP="00041AC9">
      <w:pPr>
        <w:rPr>
          <w:rFonts w:ascii="Arial" w:hAnsi="Arial" w:cs="Arial"/>
        </w:rPr>
      </w:pPr>
      <w:r>
        <w:rPr>
          <w:rFonts w:ascii="Arial" w:hAnsi="Arial" w:cs="Arial"/>
        </w:rPr>
        <w:t>When players' contracts are extended, any costs incurred should be added to the unamortised balance on the existing contract and the revised book value amortised over the remaining contract period.</w:t>
      </w:r>
    </w:p>
    <w:p w14:paraId="04000674" w14:textId="77777777" w:rsidR="00643B72" w:rsidRDefault="00041AC9" w:rsidP="00041AC9">
      <w:pPr>
        <w:rPr>
          <w:rFonts w:ascii="Arial" w:hAnsi="Arial" w:cs="Arial"/>
        </w:rPr>
      </w:pPr>
      <w:r>
        <w:rPr>
          <w:rFonts w:ascii="Arial" w:hAnsi="Arial" w:cs="Arial"/>
        </w:rPr>
        <w:t xml:space="preserve">The annual review of its playing staff is likely to result in a reclassification of certain players' registrations as </w:t>
      </w:r>
      <w:r w:rsidRPr="006C58B1">
        <w:rPr>
          <w:rFonts w:ascii="Arial" w:hAnsi="Arial" w:cs="Arial"/>
          <w:i/>
        </w:rPr>
        <w:t>Non-current assets held for sale</w:t>
      </w:r>
      <w:r>
        <w:rPr>
          <w:rFonts w:ascii="Arial" w:hAnsi="Arial" w:cs="Arial"/>
        </w:rPr>
        <w:t xml:space="preserve"> under IFRS 5. This applies where the carrying value of an asset is to be realised principally through a sale transaction rather than through continued use, and where the sale is considered highly probable. </w:t>
      </w:r>
    </w:p>
    <w:p w14:paraId="107A40DD" w14:textId="77777777" w:rsidR="00643B72" w:rsidRDefault="00041AC9" w:rsidP="00041AC9">
      <w:pPr>
        <w:rPr>
          <w:rFonts w:ascii="Arial" w:hAnsi="Arial" w:cs="Arial"/>
        </w:rPr>
      </w:pPr>
      <w:r>
        <w:rPr>
          <w:rFonts w:ascii="Arial" w:hAnsi="Arial" w:cs="Arial"/>
        </w:rPr>
        <w:t xml:space="preserve">There are certain criteria to be met to satisfy the conditions for classification under IFRS 5 including </w:t>
      </w:r>
    </w:p>
    <w:p w14:paraId="3B335EF1" w14:textId="77777777" w:rsidR="00643B72" w:rsidRDefault="00041AC9" w:rsidP="00041AC9">
      <w:pPr>
        <w:rPr>
          <w:rFonts w:ascii="Arial" w:hAnsi="Arial" w:cs="Arial"/>
        </w:rPr>
      </w:pPr>
      <w:r>
        <w:rPr>
          <w:rFonts w:ascii="Arial" w:hAnsi="Arial" w:cs="Arial"/>
        </w:rPr>
        <w:t xml:space="preserve">(a) asset must be available for immediate sale, </w:t>
      </w:r>
    </w:p>
    <w:p w14:paraId="47DD72EF" w14:textId="77777777" w:rsidR="00643B72" w:rsidRDefault="00041AC9" w:rsidP="00041AC9">
      <w:pPr>
        <w:rPr>
          <w:rFonts w:ascii="Arial" w:hAnsi="Arial" w:cs="Arial"/>
        </w:rPr>
      </w:pPr>
      <w:r>
        <w:rPr>
          <w:rFonts w:ascii="Arial" w:hAnsi="Arial" w:cs="Arial"/>
        </w:rPr>
        <w:t xml:space="preserve">(b) management should be committed to a sale, </w:t>
      </w:r>
    </w:p>
    <w:p w14:paraId="2E3242C2" w14:textId="77777777" w:rsidR="00643B72" w:rsidRDefault="00041AC9" w:rsidP="00041AC9">
      <w:pPr>
        <w:rPr>
          <w:rFonts w:ascii="Arial" w:hAnsi="Arial" w:cs="Arial"/>
        </w:rPr>
      </w:pPr>
      <w:r>
        <w:rPr>
          <w:rFonts w:ascii="Arial" w:hAnsi="Arial" w:cs="Arial"/>
        </w:rPr>
        <w:t xml:space="preserve">(c) there should be an active programme to find a buyer, </w:t>
      </w:r>
    </w:p>
    <w:p w14:paraId="4D7226CB" w14:textId="77777777" w:rsidR="00643B72" w:rsidRDefault="00041AC9" w:rsidP="00041AC9">
      <w:pPr>
        <w:rPr>
          <w:rFonts w:ascii="Arial" w:hAnsi="Arial" w:cs="Arial"/>
        </w:rPr>
      </w:pPr>
      <w:r>
        <w:rPr>
          <w:rFonts w:ascii="Arial" w:hAnsi="Arial" w:cs="Arial"/>
        </w:rPr>
        <w:t>(d) the price at which the asset is marketed should be realistic,</w:t>
      </w:r>
    </w:p>
    <w:p w14:paraId="52B08B38" w14:textId="77777777" w:rsidR="00643B72" w:rsidRDefault="00041AC9" w:rsidP="00041AC9">
      <w:pPr>
        <w:rPr>
          <w:rFonts w:ascii="Arial" w:hAnsi="Arial" w:cs="Arial"/>
        </w:rPr>
      </w:pPr>
      <w:r>
        <w:rPr>
          <w:rFonts w:ascii="Arial" w:hAnsi="Arial" w:cs="Arial"/>
        </w:rPr>
        <w:t xml:space="preserve"> (e) sale should be expected within one year and </w:t>
      </w:r>
    </w:p>
    <w:p w14:paraId="110D87D2" w14:textId="77777777" w:rsidR="00643B72" w:rsidRDefault="00041AC9" w:rsidP="00041AC9">
      <w:pPr>
        <w:rPr>
          <w:rFonts w:ascii="Arial" w:hAnsi="Arial" w:cs="Arial"/>
        </w:rPr>
      </w:pPr>
      <w:r>
        <w:rPr>
          <w:rFonts w:ascii="Arial" w:hAnsi="Arial" w:cs="Arial"/>
        </w:rPr>
        <w:t xml:space="preserve">(f) it is unlikely significant changes would be made to the plan or the plan would be withdrawn. </w:t>
      </w:r>
    </w:p>
    <w:p w14:paraId="575B747B" w14:textId="59D9BBFC" w:rsidR="00041AC9" w:rsidRDefault="00041AC9" w:rsidP="00041AC9">
      <w:pPr>
        <w:rPr>
          <w:rFonts w:ascii="Arial" w:hAnsi="Arial" w:cs="Arial"/>
        </w:rPr>
      </w:pPr>
      <w:r>
        <w:rPr>
          <w:rFonts w:ascii="Arial" w:hAnsi="Arial" w:cs="Arial"/>
        </w:rPr>
        <w:t>Vici appears to be committed to the sale of certain players' registrations, as it has circulated details to clubs together with indicative selling prices. On reclassification under IFRS 5, the players' registrations would be stated at the lower of their carrying value and their fair value (less costs to sell).</w:t>
      </w:r>
    </w:p>
    <w:p w14:paraId="6A90785C" w14:textId="77777777" w:rsidR="00041AC9" w:rsidRDefault="00041AC9" w:rsidP="00041AC9">
      <w:pPr>
        <w:rPr>
          <w:rFonts w:ascii="Arial" w:hAnsi="Arial" w:cs="Arial"/>
        </w:rPr>
      </w:pPr>
      <w:r>
        <w:rPr>
          <w:rFonts w:ascii="Arial" w:hAnsi="Arial" w:cs="Arial"/>
        </w:rPr>
        <w:t xml:space="preserve">Under IAS 36 </w:t>
      </w:r>
      <w:r w:rsidRPr="007417FD">
        <w:rPr>
          <w:rFonts w:ascii="Arial" w:hAnsi="Arial" w:cs="Arial"/>
          <w:i/>
        </w:rPr>
        <w:t>Impairment of Assets</w:t>
      </w:r>
      <w:r>
        <w:rPr>
          <w:rFonts w:ascii="Arial" w:hAnsi="Arial" w:cs="Arial"/>
        </w:rPr>
        <w:t xml:space="preserve"> entities should review the carrying value of assets annually for impairment. An asset is impaired if </w:t>
      </w:r>
      <w:proofErr w:type="gramStart"/>
      <w:r>
        <w:rPr>
          <w:rFonts w:ascii="Arial" w:hAnsi="Arial" w:cs="Arial"/>
        </w:rPr>
        <w:t>its</w:t>
      </w:r>
      <w:proofErr w:type="gramEnd"/>
      <w:r>
        <w:rPr>
          <w:rFonts w:ascii="Arial" w:hAnsi="Arial" w:cs="Arial"/>
        </w:rPr>
        <w:t xml:space="preserve"> carrying value is higher than its recoverable amount, which in turn is measured at the higher of its fair value (less costs to sell) and its value in use. In the situation of a career-threatening injury or a breach of contractual conditions by a player, it is likely that the carrying value of the player's registration exceeds its recoverable amount and an impairment charge would, therefore, arise. The recoverable amount is likely to be the fair value as it would be difficult to determine the value in use for a single player.</w:t>
      </w:r>
    </w:p>
    <w:p w14:paraId="43664DEB" w14:textId="77777777" w:rsidR="00041AC9" w:rsidRDefault="00041AC9" w:rsidP="00041AC9">
      <w:pPr>
        <w:rPr>
          <w:rFonts w:ascii="Arial" w:hAnsi="Arial" w:cs="Arial"/>
        </w:rPr>
      </w:pPr>
      <w:r>
        <w:rPr>
          <w:rFonts w:ascii="Arial" w:hAnsi="Arial" w:cs="Arial"/>
        </w:rPr>
        <w:lastRenderedPageBreak/>
        <w:t>The players' registrations sold at a profit after the period end would be disclosed in the financial statement as a non-adjusting event after the reporting period under IAS 10 Events after the Reporting period.</w:t>
      </w:r>
    </w:p>
    <w:p w14:paraId="4B44D678"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AC9"/>
    <w:rsid w:val="00041AC9"/>
    <w:rsid w:val="00643B72"/>
    <w:rsid w:val="0087716B"/>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9A83F"/>
  <w15:chartTrackingRefBased/>
  <w15:docId w15:val="{D9B7F801-785B-4A29-A076-52ABA79ED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AC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478</Words>
  <Characters>2731</Characters>
  <Application>Microsoft Office Word</Application>
  <DocSecurity>0</DocSecurity>
  <Lines>22</Lines>
  <Paragraphs>6</Paragraphs>
  <ScaleCrop>false</ScaleCrop>
  <Company/>
  <LinksUpToDate>false</LinksUpToDate>
  <CharactersWithSpaces>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3</cp:revision>
  <dcterms:created xsi:type="dcterms:W3CDTF">2021-03-11T11:07:00Z</dcterms:created>
  <dcterms:modified xsi:type="dcterms:W3CDTF">2021-03-23T11:25:00Z</dcterms:modified>
</cp:coreProperties>
</file>