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26EAB" w14:textId="77777777" w:rsidR="00801EBE" w:rsidRPr="00871EE8" w:rsidRDefault="00801EBE" w:rsidP="00801EBE">
      <w:pPr>
        <w:spacing w:line="360" w:lineRule="auto"/>
        <w:jc w:val="both"/>
        <w:rPr>
          <w:rFonts w:ascii="Arial" w:hAnsi="Arial" w:cs="Arial"/>
          <w:b/>
          <w:bCs/>
          <w:spacing w:val="-2"/>
        </w:rPr>
      </w:pPr>
      <w:r w:rsidRPr="00871EE8">
        <w:rPr>
          <w:rFonts w:ascii="Calibri" w:eastAsia="Calibri" w:hAnsi="Calibri" w:cs="Calibri"/>
          <w:noProof/>
          <w:spacing w:val="-2"/>
          <w:sz w:val="22"/>
        </w:rPr>
        <mc:AlternateContent>
          <mc:Choice Requires="wpg">
            <w:drawing>
              <wp:anchor distT="0" distB="0" distL="114300" distR="114300" simplePos="0" relativeHeight="251659264" behindDoc="1" locked="0" layoutInCell="1" allowOverlap="1" wp14:anchorId="0D781329" wp14:editId="5283C896">
                <wp:simplePos x="0" y="0"/>
                <wp:positionH relativeFrom="column">
                  <wp:posOffset>741045</wp:posOffset>
                </wp:positionH>
                <wp:positionV relativeFrom="paragraph">
                  <wp:posOffset>0</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6E732327" w14:textId="77777777" w:rsidR="00801EBE" w:rsidRDefault="00801EBE" w:rsidP="00801EBE">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11699679" w14:textId="77777777" w:rsidR="00801EBE" w:rsidRDefault="00801EBE" w:rsidP="00801EBE">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115A4919" w14:textId="77777777" w:rsidR="00801EBE" w:rsidRDefault="00801EBE" w:rsidP="00801EBE">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0" y="6278"/>
                            <a:ext cx="5438775" cy="1328420"/>
                          </a:xfrm>
                          <a:prstGeom prst="rect">
                            <a:avLst/>
                          </a:prstGeom>
                        </pic:spPr>
                      </pic:pic>
                    </wpg:wgp>
                  </a:graphicData>
                </a:graphic>
              </wp:anchor>
            </w:drawing>
          </mc:Choice>
          <mc:Fallback>
            <w:pict>
              <v:group w14:anchorId="0D781329" id="Group 23547" o:spid="_x0000_s1026" style="position:absolute;left:0;text-align:left;margin-left:58.35pt;margin-top:0;width:428.25pt;height:119.1pt;z-index:-251657216"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6E732327" w14:textId="77777777" w:rsidR="00801EBE" w:rsidRDefault="00801EBE" w:rsidP="00801EBE">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1699679" w14:textId="77777777" w:rsidR="00801EBE" w:rsidRDefault="00801EBE" w:rsidP="00801EBE">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115A4919" w14:textId="77777777" w:rsidR="00801EBE" w:rsidRDefault="00801EBE" w:rsidP="00801EBE">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wrap type="tight"/>
              </v:group>
            </w:pict>
          </mc:Fallback>
        </mc:AlternateContent>
      </w:r>
    </w:p>
    <w:p w14:paraId="442C6219" w14:textId="77777777" w:rsidR="00801EBE" w:rsidRPr="00871EE8" w:rsidRDefault="00801EBE" w:rsidP="00801EBE">
      <w:pPr>
        <w:spacing w:line="360" w:lineRule="auto"/>
        <w:jc w:val="center"/>
        <w:rPr>
          <w:rFonts w:ascii="Arial" w:hAnsi="Arial" w:cs="Arial"/>
          <w:b/>
          <w:bCs/>
          <w:spacing w:val="-2"/>
        </w:rPr>
      </w:pPr>
    </w:p>
    <w:p w14:paraId="75BC39F6" w14:textId="77777777" w:rsidR="00801EBE" w:rsidRPr="00871EE8" w:rsidRDefault="00801EBE" w:rsidP="00801EBE">
      <w:pPr>
        <w:spacing w:line="360" w:lineRule="auto"/>
        <w:jc w:val="center"/>
        <w:rPr>
          <w:rFonts w:ascii="Arial" w:hAnsi="Arial" w:cs="Arial"/>
          <w:b/>
          <w:bCs/>
          <w:spacing w:val="-2"/>
        </w:rPr>
      </w:pPr>
    </w:p>
    <w:p w14:paraId="51088D40" w14:textId="77777777" w:rsidR="00801EBE" w:rsidRPr="00871EE8" w:rsidRDefault="00801EBE" w:rsidP="00801EBE">
      <w:pPr>
        <w:spacing w:line="360" w:lineRule="auto"/>
        <w:jc w:val="center"/>
        <w:rPr>
          <w:rFonts w:ascii="Arial" w:hAnsi="Arial" w:cs="Arial"/>
          <w:b/>
          <w:bCs/>
          <w:spacing w:val="-2"/>
        </w:rPr>
      </w:pPr>
    </w:p>
    <w:p w14:paraId="501FA5E4" w14:textId="690E24C3"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Module:</w:t>
      </w:r>
      <w:r w:rsidRPr="00871EE8">
        <w:rPr>
          <w:rFonts w:ascii="Arial" w:hAnsi="Arial" w:cs="Arial"/>
          <w:spacing w:val="-2"/>
        </w:rPr>
        <w:t xml:space="preserve"> </w:t>
      </w:r>
      <w:r>
        <w:rPr>
          <w:rFonts w:ascii="Arial" w:hAnsi="Arial" w:cs="Arial"/>
          <w:spacing w:val="-2"/>
        </w:rPr>
        <w:t>Strategic Management</w:t>
      </w:r>
    </w:p>
    <w:p w14:paraId="692C0D44" w14:textId="019E6951"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Module Code:</w:t>
      </w:r>
      <w:r w:rsidRPr="00871EE8">
        <w:rPr>
          <w:rFonts w:ascii="Arial" w:hAnsi="Arial" w:cs="Arial"/>
          <w:spacing w:val="-2"/>
        </w:rPr>
        <w:t xml:space="preserve"> LCMB70</w:t>
      </w:r>
      <w:r>
        <w:rPr>
          <w:rFonts w:ascii="Arial" w:hAnsi="Arial" w:cs="Arial"/>
          <w:spacing w:val="-2"/>
        </w:rPr>
        <w:t>0</w:t>
      </w:r>
      <w:r w:rsidRPr="00871EE8">
        <w:rPr>
          <w:rFonts w:ascii="Arial" w:hAnsi="Arial" w:cs="Arial"/>
          <w:spacing w:val="-2"/>
        </w:rPr>
        <w:t>3</w:t>
      </w:r>
    </w:p>
    <w:p w14:paraId="5A05EA0E" w14:textId="45196060"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Assignment Title:</w:t>
      </w:r>
      <w:r w:rsidRPr="00871EE8">
        <w:rPr>
          <w:rFonts w:ascii="Arial" w:hAnsi="Arial" w:cs="Arial"/>
          <w:spacing w:val="-2"/>
        </w:rPr>
        <w:t xml:space="preserve"> </w:t>
      </w:r>
      <w:r w:rsidR="00487309" w:rsidRPr="00487309">
        <w:rPr>
          <w:rFonts w:ascii="Arial" w:hAnsi="Arial" w:cs="Arial"/>
          <w:spacing w:val="-2"/>
        </w:rPr>
        <w:t>Strategic Management Report: Tesla, Inc.</w:t>
      </w:r>
    </w:p>
    <w:p w14:paraId="4ACE4FD0" w14:textId="62E798DA"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Word Count</w:t>
      </w:r>
      <w:r w:rsidRPr="00871EE8">
        <w:rPr>
          <w:rFonts w:ascii="Arial" w:hAnsi="Arial" w:cs="Arial"/>
          <w:spacing w:val="-2"/>
        </w:rPr>
        <w:t xml:space="preserve">: </w:t>
      </w:r>
      <w:r>
        <w:rPr>
          <w:rFonts w:ascii="Arial" w:hAnsi="Arial" w:cs="Arial"/>
          <w:spacing w:val="-2"/>
        </w:rPr>
        <w:t>5112</w:t>
      </w:r>
    </w:p>
    <w:p w14:paraId="526C69AD" w14:textId="553E0F7F" w:rsidR="00487309" w:rsidRDefault="00801EBE" w:rsidP="00801EBE">
      <w:pPr>
        <w:spacing w:line="360" w:lineRule="auto"/>
        <w:jc w:val="center"/>
        <w:rPr>
          <w:rFonts w:ascii="Arial" w:hAnsi="Arial" w:cs="Arial"/>
          <w:spacing w:val="-2"/>
        </w:rPr>
      </w:pPr>
      <w:r w:rsidRPr="00871EE8">
        <w:rPr>
          <w:rFonts w:ascii="Arial" w:hAnsi="Arial" w:cs="Arial"/>
          <w:b/>
          <w:bCs/>
          <w:spacing w:val="-2"/>
        </w:rPr>
        <w:t>Submission D</w:t>
      </w:r>
      <w:r w:rsidR="00132372">
        <w:rPr>
          <w:rFonts w:ascii="Arial" w:hAnsi="Arial" w:cs="Arial"/>
          <w:b/>
          <w:bCs/>
          <w:spacing w:val="-2"/>
        </w:rPr>
        <w:t>eadline</w:t>
      </w:r>
      <w:r w:rsidRPr="00871EE8">
        <w:rPr>
          <w:rFonts w:ascii="Arial" w:hAnsi="Arial" w:cs="Arial"/>
          <w:b/>
          <w:bCs/>
          <w:spacing w:val="-2"/>
        </w:rPr>
        <w:t>:</w:t>
      </w:r>
      <w:r w:rsidRPr="00871EE8">
        <w:rPr>
          <w:rFonts w:ascii="Arial" w:hAnsi="Arial" w:cs="Arial"/>
          <w:spacing w:val="-2"/>
        </w:rPr>
        <w:t xml:space="preserve"> </w:t>
      </w:r>
      <w:r w:rsidR="00D949CD" w:rsidRPr="00D949CD">
        <w:rPr>
          <w:rFonts w:ascii="Arial" w:hAnsi="Arial" w:cs="Arial"/>
          <w:spacing w:val="-2"/>
        </w:rPr>
        <w:t>1</w:t>
      </w:r>
      <w:r w:rsidR="00D949CD" w:rsidRPr="00D949CD">
        <w:rPr>
          <w:rFonts w:ascii="Arial" w:hAnsi="Arial" w:cs="Arial"/>
          <w:spacing w:val="-2"/>
          <w:vertAlign w:val="superscript"/>
        </w:rPr>
        <w:t>st</w:t>
      </w:r>
      <w:r w:rsidR="00D949CD">
        <w:rPr>
          <w:rFonts w:ascii="Arial" w:hAnsi="Arial" w:cs="Arial"/>
          <w:spacing w:val="-2"/>
        </w:rPr>
        <w:t xml:space="preserve"> of</w:t>
      </w:r>
      <w:r w:rsidR="00D949CD" w:rsidRPr="00D949CD">
        <w:rPr>
          <w:rFonts w:ascii="Arial" w:hAnsi="Arial" w:cs="Arial"/>
          <w:spacing w:val="-2"/>
        </w:rPr>
        <w:t xml:space="preserve"> April 2026, 14:00</w:t>
      </w:r>
    </w:p>
    <w:p w14:paraId="7E864BD7" w14:textId="2E998412"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Lecturer:</w:t>
      </w:r>
      <w:r w:rsidRPr="00871EE8">
        <w:rPr>
          <w:rFonts w:ascii="Arial" w:hAnsi="Arial" w:cs="Arial"/>
          <w:spacing w:val="-2"/>
        </w:rPr>
        <w:t xml:space="preserve"> Ejike </w:t>
      </w:r>
      <w:proofErr w:type="spellStart"/>
      <w:r w:rsidRPr="00871EE8">
        <w:rPr>
          <w:rFonts w:ascii="Arial" w:hAnsi="Arial" w:cs="Arial"/>
          <w:spacing w:val="-2"/>
        </w:rPr>
        <w:t>Udeogu</w:t>
      </w:r>
      <w:proofErr w:type="spellEnd"/>
    </w:p>
    <w:p w14:paraId="0118669A" w14:textId="77777777"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Student Name:</w:t>
      </w:r>
      <w:r w:rsidRPr="00871EE8">
        <w:rPr>
          <w:rFonts w:ascii="Arial" w:hAnsi="Arial" w:cs="Arial"/>
          <w:spacing w:val="-2"/>
        </w:rPr>
        <w:t xml:space="preserve"> Dragos Rosu</w:t>
      </w:r>
    </w:p>
    <w:p w14:paraId="2024E037" w14:textId="77777777" w:rsidR="00801EBE" w:rsidRPr="00871EE8" w:rsidRDefault="00801EBE" w:rsidP="00801EBE">
      <w:pPr>
        <w:spacing w:line="360" w:lineRule="auto"/>
        <w:jc w:val="center"/>
        <w:rPr>
          <w:rFonts w:ascii="Arial" w:hAnsi="Arial" w:cs="Arial"/>
          <w:spacing w:val="-2"/>
        </w:rPr>
      </w:pPr>
      <w:r w:rsidRPr="00871EE8">
        <w:rPr>
          <w:rFonts w:ascii="Arial" w:hAnsi="Arial" w:cs="Arial"/>
          <w:b/>
          <w:bCs/>
          <w:spacing w:val="-2"/>
        </w:rPr>
        <w:t>Student ID:</w:t>
      </w:r>
      <w:r w:rsidRPr="00871EE8">
        <w:rPr>
          <w:rFonts w:ascii="Arial" w:hAnsi="Arial" w:cs="Arial"/>
          <w:spacing w:val="-2"/>
        </w:rPr>
        <w:t xml:space="preserve"> 2210549</w:t>
      </w:r>
    </w:p>
    <w:p w14:paraId="41BA4F49" w14:textId="77777777" w:rsidR="00801EBE" w:rsidRPr="00871EE8" w:rsidRDefault="00801EBE" w:rsidP="00801EBE">
      <w:pPr>
        <w:spacing w:line="360" w:lineRule="auto"/>
        <w:rPr>
          <w:rFonts w:ascii="Arial" w:hAnsi="Arial" w:cs="Arial"/>
          <w:spacing w:val="-2"/>
        </w:rPr>
      </w:pPr>
    </w:p>
    <w:p w14:paraId="2380766E" w14:textId="77777777" w:rsidR="00801EBE" w:rsidRPr="00871EE8" w:rsidRDefault="00801EBE" w:rsidP="00801EBE">
      <w:pPr>
        <w:spacing w:line="360" w:lineRule="auto"/>
        <w:rPr>
          <w:rFonts w:ascii="Arial" w:hAnsi="Arial" w:cs="Arial"/>
          <w:b/>
          <w:bCs/>
          <w:spacing w:val="-2"/>
        </w:rPr>
      </w:pPr>
    </w:p>
    <w:p w14:paraId="124C2019" w14:textId="77777777" w:rsidR="00801EBE" w:rsidRPr="00871EE8" w:rsidRDefault="00801EBE" w:rsidP="00801EBE">
      <w:pPr>
        <w:spacing w:line="360" w:lineRule="auto"/>
        <w:rPr>
          <w:rFonts w:ascii="Arial" w:hAnsi="Arial" w:cs="Arial"/>
          <w:spacing w:val="-2"/>
        </w:rPr>
      </w:pPr>
      <w:r w:rsidRPr="00871EE8">
        <w:rPr>
          <w:rFonts w:ascii="Arial" w:hAnsi="Arial" w:cs="Arial"/>
          <w:spacing w:val="-2"/>
        </w:rPr>
        <w:t>Submitted in partial fulfilment of the requirements for the award of the Master of Business Administration (MBA).</w:t>
      </w:r>
    </w:p>
    <w:p w14:paraId="139FE8DD" w14:textId="77777777" w:rsidR="00775F47" w:rsidRPr="00CF6FE9" w:rsidRDefault="00775F47" w:rsidP="00CF6FE9">
      <w:pPr>
        <w:spacing w:line="360" w:lineRule="auto"/>
        <w:rPr>
          <w:rFonts w:ascii="Arial" w:hAnsi="Arial" w:cs="Arial"/>
        </w:rPr>
      </w:pPr>
    </w:p>
    <w:p w14:paraId="38F1DB4B" w14:textId="77777777" w:rsidR="007D2E95" w:rsidRPr="00CF6FE9" w:rsidRDefault="007D2E95" w:rsidP="00CF6FE9">
      <w:pPr>
        <w:spacing w:line="360" w:lineRule="auto"/>
        <w:rPr>
          <w:rFonts w:ascii="Arial" w:hAnsi="Arial" w:cs="Arial"/>
        </w:rPr>
      </w:pPr>
    </w:p>
    <w:p w14:paraId="2FEB2A5F" w14:textId="77777777" w:rsidR="007D2E95" w:rsidRPr="00CF6FE9" w:rsidRDefault="007D2E95" w:rsidP="00CF6FE9">
      <w:pPr>
        <w:spacing w:line="360" w:lineRule="auto"/>
        <w:rPr>
          <w:rFonts w:ascii="Arial" w:hAnsi="Arial" w:cs="Arial"/>
        </w:rPr>
      </w:pPr>
    </w:p>
    <w:p w14:paraId="0C5CCC10" w14:textId="77777777" w:rsidR="007D2E95" w:rsidRPr="00CF6FE9" w:rsidRDefault="007D2E95" w:rsidP="00CF6FE9">
      <w:pPr>
        <w:spacing w:line="360" w:lineRule="auto"/>
        <w:rPr>
          <w:rFonts w:ascii="Arial" w:hAnsi="Arial" w:cs="Arial"/>
        </w:rPr>
      </w:pPr>
    </w:p>
    <w:p w14:paraId="17243C2E" w14:textId="77777777" w:rsidR="007D2E95" w:rsidRPr="00CF6FE9" w:rsidRDefault="007D2E95" w:rsidP="00CF6FE9">
      <w:pPr>
        <w:spacing w:line="360" w:lineRule="auto"/>
        <w:rPr>
          <w:rFonts w:ascii="Arial" w:hAnsi="Arial" w:cs="Arial"/>
        </w:rPr>
      </w:pPr>
    </w:p>
    <w:p w14:paraId="0C21F8DA" w14:textId="77777777" w:rsidR="007D2E95" w:rsidRPr="00CF6FE9" w:rsidRDefault="007D2E95" w:rsidP="00CF6FE9">
      <w:pPr>
        <w:spacing w:line="360" w:lineRule="auto"/>
        <w:rPr>
          <w:rFonts w:ascii="Arial" w:hAnsi="Arial" w:cs="Arial"/>
        </w:rPr>
      </w:pPr>
    </w:p>
    <w:p w14:paraId="587EFFFC" w14:textId="77777777" w:rsidR="007D2E95" w:rsidRPr="00CF6FE9" w:rsidRDefault="007D2E95" w:rsidP="00CF6FE9">
      <w:pPr>
        <w:spacing w:line="360" w:lineRule="auto"/>
        <w:rPr>
          <w:rFonts w:ascii="Arial" w:hAnsi="Arial" w:cs="Arial"/>
        </w:rPr>
      </w:pPr>
    </w:p>
    <w:p w14:paraId="69477C26" w14:textId="77777777" w:rsidR="0019692A" w:rsidRPr="00CF6FE9" w:rsidRDefault="0019692A" w:rsidP="00CF6FE9">
      <w:pPr>
        <w:spacing w:line="360" w:lineRule="auto"/>
        <w:rPr>
          <w:rFonts w:ascii="Arial" w:hAnsi="Arial" w:cs="Arial"/>
        </w:rPr>
      </w:pPr>
    </w:p>
    <w:sdt>
      <w:sdtPr>
        <w:rPr>
          <w:rFonts w:ascii="Arial" w:eastAsiaTheme="minorHAnsi" w:hAnsi="Arial" w:cs="Arial"/>
          <w:color w:val="auto"/>
          <w:kern w:val="2"/>
          <w:sz w:val="24"/>
          <w:szCs w:val="24"/>
          <w:lang w:val="en-GB"/>
          <w14:ligatures w14:val="standardContextual"/>
        </w:rPr>
        <w:id w:val="-1590683002"/>
        <w:docPartObj>
          <w:docPartGallery w:val="Table of Contents"/>
          <w:docPartUnique/>
        </w:docPartObj>
      </w:sdtPr>
      <w:sdtEndPr>
        <w:rPr>
          <w:b/>
          <w:bCs/>
          <w:noProof/>
        </w:rPr>
      </w:sdtEndPr>
      <w:sdtContent>
        <w:p w14:paraId="75B125A1" w14:textId="5FEB2D4F" w:rsidR="007D2E95" w:rsidRPr="00CF6FE9" w:rsidRDefault="00CF6FE9" w:rsidP="00CF6FE9">
          <w:pPr>
            <w:pStyle w:val="TOCHeading"/>
            <w:rPr>
              <w:rFonts w:ascii="Arial" w:hAnsi="Arial" w:cs="Arial"/>
              <w:b/>
              <w:bCs/>
              <w:sz w:val="24"/>
              <w:szCs w:val="24"/>
            </w:rPr>
          </w:pPr>
          <w:r w:rsidRPr="00CF6FE9">
            <w:rPr>
              <w:rFonts w:ascii="Arial" w:hAnsi="Arial" w:cs="Arial"/>
              <w:b/>
              <w:bCs/>
              <w:sz w:val="24"/>
              <w:szCs w:val="24"/>
            </w:rPr>
            <w:t xml:space="preserve">Table of </w:t>
          </w:r>
          <w:r w:rsidR="007D2E95" w:rsidRPr="00CF6FE9">
            <w:rPr>
              <w:rFonts w:ascii="Arial" w:hAnsi="Arial" w:cs="Arial"/>
              <w:b/>
              <w:bCs/>
              <w:sz w:val="24"/>
              <w:szCs w:val="24"/>
            </w:rPr>
            <w:t>Contents</w:t>
          </w:r>
        </w:p>
        <w:p w14:paraId="19E90DDC" w14:textId="435FDCE6" w:rsidR="00CC7F7F" w:rsidRPr="00CC7F7F" w:rsidRDefault="007D2E95">
          <w:pPr>
            <w:pStyle w:val="TOC1"/>
            <w:tabs>
              <w:tab w:val="right" w:leader="dot" w:pos="9016"/>
            </w:tabs>
            <w:rPr>
              <w:rFonts w:eastAsiaTheme="minorEastAsia"/>
              <w:noProof/>
              <w:lang w:eastAsia="en-GB"/>
            </w:rPr>
          </w:pPr>
          <w:r w:rsidRPr="00CF6FE9">
            <w:rPr>
              <w:rFonts w:ascii="Arial" w:hAnsi="Arial" w:cs="Arial"/>
            </w:rPr>
            <w:fldChar w:fldCharType="begin"/>
          </w:r>
          <w:r w:rsidRPr="00CF6FE9">
            <w:rPr>
              <w:rFonts w:ascii="Arial" w:hAnsi="Arial" w:cs="Arial"/>
            </w:rPr>
            <w:instrText xml:space="preserve"> TOC \o "1-3" \h \z \u </w:instrText>
          </w:r>
          <w:r w:rsidRPr="00CF6FE9">
            <w:rPr>
              <w:rFonts w:ascii="Arial" w:hAnsi="Arial" w:cs="Arial"/>
            </w:rPr>
            <w:fldChar w:fldCharType="separate"/>
          </w:r>
          <w:hyperlink w:anchor="_Toc223435289" w:history="1">
            <w:r w:rsidR="00CC7F7F" w:rsidRPr="00CC7F7F">
              <w:rPr>
                <w:rStyle w:val="Hyperlink"/>
                <w:rFonts w:ascii="Arial" w:hAnsi="Arial" w:cs="Arial"/>
                <w:noProof/>
              </w:rPr>
              <w:t>1. Organisational Context and Overview</w:t>
            </w:r>
            <w:r w:rsidR="00CC7F7F" w:rsidRPr="00CC7F7F">
              <w:rPr>
                <w:noProof/>
                <w:webHidden/>
              </w:rPr>
              <w:tab/>
            </w:r>
            <w:r w:rsidR="00CC7F7F" w:rsidRPr="00CC7F7F">
              <w:rPr>
                <w:noProof/>
                <w:webHidden/>
              </w:rPr>
              <w:fldChar w:fldCharType="begin"/>
            </w:r>
            <w:r w:rsidR="00CC7F7F" w:rsidRPr="00CC7F7F">
              <w:rPr>
                <w:noProof/>
                <w:webHidden/>
              </w:rPr>
              <w:instrText xml:space="preserve"> PAGEREF _Toc223435289 \h </w:instrText>
            </w:r>
            <w:r w:rsidR="00CC7F7F" w:rsidRPr="00CC7F7F">
              <w:rPr>
                <w:noProof/>
                <w:webHidden/>
              </w:rPr>
            </w:r>
            <w:r w:rsidR="00CC7F7F" w:rsidRPr="00CC7F7F">
              <w:rPr>
                <w:noProof/>
                <w:webHidden/>
              </w:rPr>
              <w:fldChar w:fldCharType="separate"/>
            </w:r>
            <w:r w:rsidR="00CC7F7F" w:rsidRPr="00CC7F7F">
              <w:rPr>
                <w:noProof/>
                <w:webHidden/>
              </w:rPr>
              <w:t>4</w:t>
            </w:r>
            <w:r w:rsidR="00CC7F7F" w:rsidRPr="00CC7F7F">
              <w:rPr>
                <w:noProof/>
                <w:webHidden/>
              </w:rPr>
              <w:fldChar w:fldCharType="end"/>
            </w:r>
          </w:hyperlink>
        </w:p>
        <w:p w14:paraId="1CC572B6" w14:textId="52412F02" w:rsidR="00CC7F7F" w:rsidRPr="00CC7F7F" w:rsidRDefault="00CC7F7F">
          <w:pPr>
            <w:pStyle w:val="TOC1"/>
            <w:tabs>
              <w:tab w:val="right" w:leader="dot" w:pos="9016"/>
            </w:tabs>
            <w:rPr>
              <w:rFonts w:eastAsiaTheme="minorEastAsia"/>
              <w:noProof/>
              <w:lang w:eastAsia="en-GB"/>
            </w:rPr>
          </w:pPr>
          <w:hyperlink w:anchor="_Toc223435290" w:history="1">
            <w:r w:rsidRPr="00CC7F7F">
              <w:rPr>
                <w:rStyle w:val="Hyperlink"/>
                <w:rFonts w:ascii="Arial" w:hAnsi="Arial" w:cs="Arial"/>
                <w:noProof/>
              </w:rPr>
              <w:t>2. External and Internal Environment Analysis</w:t>
            </w:r>
            <w:r w:rsidRPr="00CC7F7F">
              <w:rPr>
                <w:noProof/>
                <w:webHidden/>
              </w:rPr>
              <w:tab/>
            </w:r>
            <w:r w:rsidRPr="00CC7F7F">
              <w:rPr>
                <w:noProof/>
                <w:webHidden/>
              </w:rPr>
              <w:fldChar w:fldCharType="begin"/>
            </w:r>
            <w:r w:rsidRPr="00CC7F7F">
              <w:rPr>
                <w:noProof/>
                <w:webHidden/>
              </w:rPr>
              <w:instrText xml:space="preserve"> PAGEREF _Toc223435290 \h </w:instrText>
            </w:r>
            <w:r w:rsidRPr="00CC7F7F">
              <w:rPr>
                <w:noProof/>
                <w:webHidden/>
              </w:rPr>
            </w:r>
            <w:r w:rsidRPr="00CC7F7F">
              <w:rPr>
                <w:noProof/>
                <w:webHidden/>
              </w:rPr>
              <w:fldChar w:fldCharType="separate"/>
            </w:r>
            <w:r w:rsidRPr="00CC7F7F">
              <w:rPr>
                <w:noProof/>
                <w:webHidden/>
              </w:rPr>
              <w:t>5</w:t>
            </w:r>
            <w:r w:rsidRPr="00CC7F7F">
              <w:rPr>
                <w:noProof/>
                <w:webHidden/>
              </w:rPr>
              <w:fldChar w:fldCharType="end"/>
            </w:r>
          </w:hyperlink>
        </w:p>
        <w:p w14:paraId="5DCE7606" w14:textId="28CD1D15" w:rsidR="00CC7F7F" w:rsidRPr="00CC7F7F" w:rsidRDefault="00CC7F7F">
          <w:pPr>
            <w:pStyle w:val="TOC2"/>
            <w:tabs>
              <w:tab w:val="right" w:leader="dot" w:pos="9016"/>
            </w:tabs>
            <w:rPr>
              <w:rFonts w:eastAsiaTheme="minorEastAsia"/>
              <w:noProof/>
              <w:lang w:eastAsia="en-GB"/>
            </w:rPr>
          </w:pPr>
          <w:hyperlink w:anchor="_Toc223435291" w:history="1">
            <w:r w:rsidRPr="00CC7F7F">
              <w:rPr>
                <w:rStyle w:val="Hyperlink"/>
                <w:rFonts w:ascii="Arial" w:hAnsi="Arial" w:cs="Arial"/>
                <w:noProof/>
              </w:rPr>
              <w:t>2.1 External Environment: PESTEL Analysis</w:t>
            </w:r>
            <w:r w:rsidRPr="00CC7F7F">
              <w:rPr>
                <w:noProof/>
                <w:webHidden/>
              </w:rPr>
              <w:tab/>
            </w:r>
            <w:r w:rsidRPr="00CC7F7F">
              <w:rPr>
                <w:noProof/>
                <w:webHidden/>
              </w:rPr>
              <w:fldChar w:fldCharType="begin"/>
            </w:r>
            <w:r w:rsidRPr="00CC7F7F">
              <w:rPr>
                <w:noProof/>
                <w:webHidden/>
              </w:rPr>
              <w:instrText xml:space="preserve"> PAGEREF _Toc223435291 \h </w:instrText>
            </w:r>
            <w:r w:rsidRPr="00CC7F7F">
              <w:rPr>
                <w:noProof/>
                <w:webHidden/>
              </w:rPr>
            </w:r>
            <w:r w:rsidRPr="00CC7F7F">
              <w:rPr>
                <w:noProof/>
                <w:webHidden/>
              </w:rPr>
              <w:fldChar w:fldCharType="separate"/>
            </w:r>
            <w:r w:rsidRPr="00CC7F7F">
              <w:rPr>
                <w:noProof/>
                <w:webHidden/>
              </w:rPr>
              <w:t>5</w:t>
            </w:r>
            <w:r w:rsidRPr="00CC7F7F">
              <w:rPr>
                <w:noProof/>
                <w:webHidden/>
              </w:rPr>
              <w:fldChar w:fldCharType="end"/>
            </w:r>
          </w:hyperlink>
        </w:p>
        <w:p w14:paraId="5492B013" w14:textId="6709FA1F" w:rsidR="00CC7F7F" w:rsidRPr="00CC7F7F" w:rsidRDefault="00CC7F7F">
          <w:pPr>
            <w:pStyle w:val="TOC2"/>
            <w:tabs>
              <w:tab w:val="right" w:leader="dot" w:pos="9016"/>
            </w:tabs>
            <w:rPr>
              <w:rFonts w:eastAsiaTheme="minorEastAsia"/>
              <w:noProof/>
              <w:lang w:eastAsia="en-GB"/>
            </w:rPr>
          </w:pPr>
          <w:hyperlink w:anchor="_Toc223435292" w:history="1">
            <w:r w:rsidRPr="00CC7F7F">
              <w:rPr>
                <w:rStyle w:val="Hyperlink"/>
                <w:rFonts w:ascii="Arial" w:hAnsi="Arial" w:cs="Arial"/>
                <w:noProof/>
              </w:rPr>
              <w:t>2.2 Internal Environment: Resources, Capabilities and Core Competencies</w:t>
            </w:r>
            <w:r w:rsidRPr="00CC7F7F">
              <w:rPr>
                <w:noProof/>
                <w:webHidden/>
              </w:rPr>
              <w:tab/>
            </w:r>
            <w:r w:rsidRPr="00CC7F7F">
              <w:rPr>
                <w:noProof/>
                <w:webHidden/>
              </w:rPr>
              <w:fldChar w:fldCharType="begin"/>
            </w:r>
            <w:r w:rsidRPr="00CC7F7F">
              <w:rPr>
                <w:noProof/>
                <w:webHidden/>
              </w:rPr>
              <w:instrText xml:space="preserve"> PAGEREF _Toc223435292 \h </w:instrText>
            </w:r>
            <w:r w:rsidRPr="00CC7F7F">
              <w:rPr>
                <w:noProof/>
                <w:webHidden/>
              </w:rPr>
            </w:r>
            <w:r w:rsidRPr="00CC7F7F">
              <w:rPr>
                <w:noProof/>
                <w:webHidden/>
              </w:rPr>
              <w:fldChar w:fldCharType="separate"/>
            </w:r>
            <w:r w:rsidRPr="00CC7F7F">
              <w:rPr>
                <w:noProof/>
                <w:webHidden/>
              </w:rPr>
              <w:t>10</w:t>
            </w:r>
            <w:r w:rsidRPr="00CC7F7F">
              <w:rPr>
                <w:noProof/>
                <w:webHidden/>
              </w:rPr>
              <w:fldChar w:fldCharType="end"/>
            </w:r>
          </w:hyperlink>
        </w:p>
        <w:p w14:paraId="1A79B853" w14:textId="57255C28" w:rsidR="00CC7F7F" w:rsidRPr="00CC7F7F" w:rsidRDefault="00CC7F7F">
          <w:pPr>
            <w:pStyle w:val="TOC2"/>
            <w:tabs>
              <w:tab w:val="right" w:leader="dot" w:pos="9016"/>
            </w:tabs>
            <w:rPr>
              <w:rFonts w:eastAsiaTheme="minorEastAsia"/>
              <w:noProof/>
              <w:lang w:eastAsia="en-GB"/>
            </w:rPr>
          </w:pPr>
          <w:hyperlink w:anchor="_Toc223435293" w:history="1">
            <w:r w:rsidRPr="00CC7F7F">
              <w:rPr>
                <w:rStyle w:val="Hyperlink"/>
                <w:rFonts w:ascii="Arial" w:hAnsi="Arial" w:cs="Arial"/>
                <w:noProof/>
              </w:rPr>
              <w:t>2.3 VRIO Analysis</w:t>
            </w:r>
            <w:r w:rsidRPr="00CC7F7F">
              <w:rPr>
                <w:noProof/>
                <w:webHidden/>
              </w:rPr>
              <w:tab/>
            </w:r>
            <w:r w:rsidRPr="00CC7F7F">
              <w:rPr>
                <w:noProof/>
                <w:webHidden/>
              </w:rPr>
              <w:fldChar w:fldCharType="begin"/>
            </w:r>
            <w:r w:rsidRPr="00CC7F7F">
              <w:rPr>
                <w:noProof/>
                <w:webHidden/>
              </w:rPr>
              <w:instrText xml:space="preserve"> PAGEREF _Toc223435293 \h </w:instrText>
            </w:r>
            <w:r w:rsidRPr="00CC7F7F">
              <w:rPr>
                <w:noProof/>
                <w:webHidden/>
              </w:rPr>
            </w:r>
            <w:r w:rsidRPr="00CC7F7F">
              <w:rPr>
                <w:noProof/>
                <w:webHidden/>
              </w:rPr>
              <w:fldChar w:fldCharType="separate"/>
            </w:r>
            <w:r w:rsidRPr="00CC7F7F">
              <w:rPr>
                <w:noProof/>
                <w:webHidden/>
              </w:rPr>
              <w:t>12</w:t>
            </w:r>
            <w:r w:rsidRPr="00CC7F7F">
              <w:rPr>
                <w:noProof/>
                <w:webHidden/>
              </w:rPr>
              <w:fldChar w:fldCharType="end"/>
            </w:r>
          </w:hyperlink>
        </w:p>
        <w:p w14:paraId="4AA0FF73" w14:textId="6116EFC3" w:rsidR="00CC7F7F" w:rsidRPr="00CC7F7F" w:rsidRDefault="00CC7F7F">
          <w:pPr>
            <w:pStyle w:val="TOC1"/>
            <w:tabs>
              <w:tab w:val="right" w:leader="dot" w:pos="9016"/>
            </w:tabs>
            <w:rPr>
              <w:rFonts w:eastAsiaTheme="minorEastAsia"/>
              <w:noProof/>
              <w:lang w:eastAsia="en-GB"/>
            </w:rPr>
          </w:pPr>
          <w:hyperlink w:anchor="_Toc223435294" w:history="1">
            <w:r w:rsidRPr="00CC7F7F">
              <w:rPr>
                <w:rStyle w:val="Hyperlink"/>
                <w:rFonts w:ascii="Arial" w:hAnsi="Arial" w:cs="Arial"/>
                <w:noProof/>
              </w:rPr>
              <w:t>3. CSR and Sustainability Objectives</w:t>
            </w:r>
            <w:r w:rsidRPr="00CC7F7F">
              <w:rPr>
                <w:noProof/>
                <w:webHidden/>
              </w:rPr>
              <w:tab/>
            </w:r>
            <w:r w:rsidRPr="00CC7F7F">
              <w:rPr>
                <w:noProof/>
                <w:webHidden/>
              </w:rPr>
              <w:fldChar w:fldCharType="begin"/>
            </w:r>
            <w:r w:rsidRPr="00CC7F7F">
              <w:rPr>
                <w:noProof/>
                <w:webHidden/>
              </w:rPr>
              <w:instrText xml:space="preserve"> PAGEREF _Toc223435294 \h </w:instrText>
            </w:r>
            <w:r w:rsidRPr="00CC7F7F">
              <w:rPr>
                <w:noProof/>
                <w:webHidden/>
              </w:rPr>
            </w:r>
            <w:r w:rsidRPr="00CC7F7F">
              <w:rPr>
                <w:noProof/>
                <w:webHidden/>
              </w:rPr>
              <w:fldChar w:fldCharType="separate"/>
            </w:r>
            <w:r w:rsidRPr="00CC7F7F">
              <w:rPr>
                <w:noProof/>
                <w:webHidden/>
              </w:rPr>
              <w:t>13</w:t>
            </w:r>
            <w:r w:rsidRPr="00CC7F7F">
              <w:rPr>
                <w:noProof/>
                <w:webHidden/>
              </w:rPr>
              <w:fldChar w:fldCharType="end"/>
            </w:r>
          </w:hyperlink>
        </w:p>
        <w:p w14:paraId="1D74BA91" w14:textId="3419E42B" w:rsidR="00CC7F7F" w:rsidRPr="00CC7F7F" w:rsidRDefault="00CC7F7F">
          <w:pPr>
            <w:pStyle w:val="TOC1"/>
            <w:tabs>
              <w:tab w:val="right" w:leader="dot" w:pos="9016"/>
            </w:tabs>
            <w:rPr>
              <w:rFonts w:eastAsiaTheme="minorEastAsia"/>
              <w:noProof/>
              <w:lang w:eastAsia="en-GB"/>
            </w:rPr>
          </w:pPr>
          <w:hyperlink w:anchor="_Toc223435295" w:history="1">
            <w:r w:rsidRPr="00CC7F7F">
              <w:rPr>
                <w:rStyle w:val="Hyperlink"/>
                <w:rFonts w:ascii="Arial" w:hAnsi="Arial" w:cs="Arial"/>
                <w:noProof/>
              </w:rPr>
              <w:t>4. Comprehensive and Holistic View: Balanced Scorecard</w:t>
            </w:r>
            <w:r w:rsidRPr="00CC7F7F">
              <w:rPr>
                <w:noProof/>
                <w:webHidden/>
              </w:rPr>
              <w:tab/>
            </w:r>
            <w:r w:rsidRPr="00CC7F7F">
              <w:rPr>
                <w:noProof/>
                <w:webHidden/>
              </w:rPr>
              <w:fldChar w:fldCharType="begin"/>
            </w:r>
            <w:r w:rsidRPr="00CC7F7F">
              <w:rPr>
                <w:noProof/>
                <w:webHidden/>
              </w:rPr>
              <w:instrText xml:space="preserve"> PAGEREF _Toc223435295 \h </w:instrText>
            </w:r>
            <w:r w:rsidRPr="00CC7F7F">
              <w:rPr>
                <w:noProof/>
                <w:webHidden/>
              </w:rPr>
            </w:r>
            <w:r w:rsidRPr="00CC7F7F">
              <w:rPr>
                <w:noProof/>
                <w:webHidden/>
              </w:rPr>
              <w:fldChar w:fldCharType="separate"/>
            </w:r>
            <w:r w:rsidRPr="00CC7F7F">
              <w:rPr>
                <w:noProof/>
                <w:webHidden/>
              </w:rPr>
              <w:t>14</w:t>
            </w:r>
            <w:r w:rsidRPr="00CC7F7F">
              <w:rPr>
                <w:noProof/>
                <w:webHidden/>
              </w:rPr>
              <w:fldChar w:fldCharType="end"/>
            </w:r>
          </w:hyperlink>
        </w:p>
        <w:p w14:paraId="222613B6" w14:textId="6BBA93C6" w:rsidR="00CC7F7F" w:rsidRPr="00CC7F7F" w:rsidRDefault="00CC7F7F">
          <w:pPr>
            <w:pStyle w:val="TOC2"/>
            <w:tabs>
              <w:tab w:val="right" w:leader="dot" w:pos="9016"/>
            </w:tabs>
            <w:rPr>
              <w:rFonts w:eastAsiaTheme="minorEastAsia"/>
              <w:noProof/>
              <w:lang w:eastAsia="en-GB"/>
            </w:rPr>
          </w:pPr>
          <w:hyperlink w:anchor="_Toc223435296" w:history="1">
            <w:r w:rsidRPr="00CC7F7F">
              <w:rPr>
                <w:rStyle w:val="Hyperlink"/>
                <w:rFonts w:ascii="Arial" w:hAnsi="Arial" w:cs="Arial"/>
                <w:noProof/>
              </w:rPr>
              <w:t>4.1 Financial Perspective</w:t>
            </w:r>
            <w:r w:rsidRPr="00CC7F7F">
              <w:rPr>
                <w:noProof/>
                <w:webHidden/>
              </w:rPr>
              <w:tab/>
            </w:r>
            <w:r w:rsidRPr="00CC7F7F">
              <w:rPr>
                <w:noProof/>
                <w:webHidden/>
              </w:rPr>
              <w:fldChar w:fldCharType="begin"/>
            </w:r>
            <w:r w:rsidRPr="00CC7F7F">
              <w:rPr>
                <w:noProof/>
                <w:webHidden/>
              </w:rPr>
              <w:instrText xml:space="preserve"> PAGEREF _Toc223435296 \h </w:instrText>
            </w:r>
            <w:r w:rsidRPr="00CC7F7F">
              <w:rPr>
                <w:noProof/>
                <w:webHidden/>
              </w:rPr>
            </w:r>
            <w:r w:rsidRPr="00CC7F7F">
              <w:rPr>
                <w:noProof/>
                <w:webHidden/>
              </w:rPr>
              <w:fldChar w:fldCharType="separate"/>
            </w:r>
            <w:r w:rsidRPr="00CC7F7F">
              <w:rPr>
                <w:noProof/>
                <w:webHidden/>
              </w:rPr>
              <w:t>15</w:t>
            </w:r>
            <w:r w:rsidRPr="00CC7F7F">
              <w:rPr>
                <w:noProof/>
                <w:webHidden/>
              </w:rPr>
              <w:fldChar w:fldCharType="end"/>
            </w:r>
          </w:hyperlink>
        </w:p>
        <w:p w14:paraId="29CEE816" w14:textId="50722D46" w:rsidR="00CC7F7F" w:rsidRPr="00CC7F7F" w:rsidRDefault="00CC7F7F">
          <w:pPr>
            <w:pStyle w:val="TOC2"/>
            <w:tabs>
              <w:tab w:val="right" w:leader="dot" w:pos="9016"/>
            </w:tabs>
            <w:rPr>
              <w:rFonts w:eastAsiaTheme="minorEastAsia"/>
              <w:noProof/>
              <w:lang w:eastAsia="en-GB"/>
            </w:rPr>
          </w:pPr>
          <w:hyperlink w:anchor="_Toc223435297" w:history="1">
            <w:r w:rsidRPr="00CC7F7F">
              <w:rPr>
                <w:rStyle w:val="Hyperlink"/>
                <w:rFonts w:ascii="Arial" w:hAnsi="Arial" w:cs="Arial"/>
                <w:noProof/>
              </w:rPr>
              <w:t>4.2 Customer Perspective</w:t>
            </w:r>
            <w:r w:rsidRPr="00CC7F7F">
              <w:rPr>
                <w:noProof/>
                <w:webHidden/>
              </w:rPr>
              <w:tab/>
            </w:r>
            <w:r w:rsidRPr="00CC7F7F">
              <w:rPr>
                <w:noProof/>
                <w:webHidden/>
              </w:rPr>
              <w:fldChar w:fldCharType="begin"/>
            </w:r>
            <w:r w:rsidRPr="00CC7F7F">
              <w:rPr>
                <w:noProof/>
                <w:webHidden/>
              </w:rPr>
              <w:instrText xml:space="preserve"> PAGEREF _Toc223435297 \h </w:instrText>
            </w:r>
            <w:r w:rsidRPr="00CC7F7F">
              <w:rPr>
                <w:noProof/>
                <w:webHidden/>
              </w:rPr>
            </w:r>
            <w:r w:rsidRPr="00CC7F7F">
              <w:rPr>
                <w:noProof/>
                <w:webHidden/>
              </w:rPr>
              <w:fldChar w:fldCharType="separate"/>
            </w:r>
            <w:r w:rsidRPr="00CC7F7F">
              <w:rPr>
                <w:noProof/>
                <w:webHidden/>
              </w:rPr>
              <w:t>15</w:t>
            </w:r>
            <w:r w:rsidRPr="00CC7F7F">
              <w:rPr>
                <w:noProof/>
                <w:webHidden/>
              </w:rPr>
              <w:fldChar w:fldCharType="end"/>
            </w:r>
          </w:hyperlink>
        </w:p>
        <w:p w14:paraId="01AA6BF6" w14:textId="70A22103" w:rsidR="00CC7F7F" w:rsidRPr="00CC7F7F" w:rsidRDefault="00CC7F7F">
          <w:pPr>
            <w:pStyle w:val="TOC2"/>
            <w:tabs>
              <w:tab w:val="right" w:leader="dot" w:pos="9016"/>
            </w:tabs>
            <w:rPr>
              <w:rFonts w:eastAsiaTheme="minorEastAsia"/>
              <w:noProof/>
              <w:lang w:eastAsia="en-GB"/>
            </w:rPr>
          </w:pPr>
          <w:hyperlink w:anchor="_Toc223435298" w:history="1">
            <w:r w:rsidRPr="00CC7F7F">
              <w:rPr>
                <w:rStyle w:val="Hyperlink"/>
                <w:rFonts w:ascii="Arial" w:hAnsi="Arial" w:cs="Arial"/>
                <w:noProof/>
              </w:rPr>
              <w:t>4.3 Internal Business Process Perspective</w:t>
            </w:r>
            <w:r w:rsidRPr="00CC7F7F">
              <w:rPr>
                <w:noProof/>
                <w:webHidden/>
              </w:rPr>
              <w:tab/>
            </w:r>
            <w:r w:rsidRPr="00CC7F7F">
              <w:rPr>
                <w:noProof/>
                <w:webHidden/>
              </w:rPr>
              <w:fldChar w:fldCharType="begin"/>
            </w:r>
            <w:r w:rsidRPr="00CC7F7F">
              <w:rPr>
                <w:noProof/>
                <w:webHidden/>
              </w:rPr>
              <w:instrText xml:space="preserve"> PAGEREF _Toc223435298 \h </w:instrText>
            </w:r>
            <w:r w:rsidRPr="00CC7F7F">
              <w:rPr>
                <w:noProof/>
                <w:webHidden/>
              </w:rPr>
            </w:r>
            <w:r w:rsidRPr="00CC7F7F">
              <w:rPr>
                <w:noProof/>
                <w:webHidden/>
              </w:rPr>
              <w:fldChar w:fldCharType="separate"/>
            </w:r>
            <w:r w:rsidRPr="00CC7F7F">
              <w:rPr>
                <w:noProof/>
                <w:webHidden/>
              </w:rPr>
              <w:t>16</w:t>
            </w:r>
            <w:r w:rsidRPr="00CC7F7F">
              <w:rPr>
                <w:noProof/>
                <w:webHidden/>
              </w:rPr>
              <w:fldChar w:fldCharType="end"/>
            </w:r>
          </w:hyperlink>
        </w:p>
        <w:p w14:paraId="01FC794A" w14:textId="2DEC880C" w:rsidR="00CC7F7F" w:rsidRPr="00CC7F7F" w:rsidRDefault="00CC7F7F">
          <w:pPr>
            <w:pStyle w:val="TOC2"/>
            <w:tabs>
              <w:tab w:val="right" w:leader="dot" w:pos="9016"/>
            </w:tabs>
            <w:rPr>
              <w:rFonts w:eastAsiaTheme="minorEastAsia"/>
              <w:noProof/>
              <w:lang w:eastAsia="en-GB"/>
            </w:rPr>
          </w:pPr>
          <w:hyperlink w:anchor="_Toc223435299" w:history="1">
            <w:r w:rsidRPr="00CC7F7F">
              <w:rPr>
                <w:rStyle w:val="Hyperlink"/>
                <w:rFonts w:ascii="Arial" w:hAnsi="Arial" w:cs="Arial"/>
                <w:noProof/>
              </w:rPr>
              <w:t>4.4 Learning and Growth Perspective</w:t>
            </w:r>
            <w:r w:rsidRPr="00CC7F7F">
              <w:rPr>
                <w:noProof/>
                <w:webHidden/>
              </w:rPr>
              <w:tab/>
            </w:r>
            <w:r w:rsidRPr="00CC7F7F">
              <w:rPr>
                <w:noProof/>
                <w:webHidden/>
              </w:rPr>
              <w:fldChar w:fldCharType="begin"/>
            </w:r>
            <w:r w:rsidRPr="00CC7F7F">
              <w:rPr>
                <w:noProof/>
                <w:webHidden/>
              </w:rPr>
              <w:instrText xml:space="preserve"> PAGEREF _Toc223435299 \h </w:instrText>
            </w:r>
            <w:r w:rsidRPr="00CC7F7F">
              <w:rPr>
                <w:noProof/>
                <w:webHidden/>
              </w:rPr>
            </w:r>
            <w:r w:rsidRPr="00CC7F7F">
              <w:rPr>
                <w:noProof/>
                <w:webHidden/>
              </w:rPr>
              <w:fldChar w:fldCharType="separate"/>
            </w:r>
            <w:r w:rsidRPr="00CC7F7F">
              <w:rPr>
                <w:noProof/>
                <w:webHidden/>
              </w:rPr>
              <w:t>16</w:t>
            </w:r>
            <w:r w:rsidRPr="00CC7F7F">
              <w:rPr>
                <w:noProof/>
                <w:webHidden/>
              </w:rPr>
              <w:fldChar w:fldCharType="end"/>
            </w:r>
          </w:hyperlink>
        </w:p>
        <w:p w14:paraId="4DC5B2D9" w14:textId="416080C3" w:rsidR="00CC7F7F" w:rsidRPr="00CC7F7F" w:rsidRDefault="00CC7F7F">
          <w:pPr>
            <w:pStyle w:val="TOC1"/>
            <w:tabs>
              <w:tab w:val="right" w:leader="dot" w:pos="9016"/>
            </w:tabs>
            <w:rPr>
              <w:rFonts w:eastAsiaTheme="minorEastAsia"/>
              <w:noProof/>
              <w:lang w:eastAsia="en-GB"/>
            </w:rPr>
          </w:pPr>
          <w:hyperlink w:anchor="_Toc223435300" w:history="1">
            <w:r w:rsidRPr="00CC7F7F">
              <w:rPr>
                <w:rStyle w:val="Hyperlink"/>
                <w:rFonts w:ascii="Arial" w:hAnsi="Arial" w:cs="Arial"/>
                <w:noProof/>
              </w:rPr>
              <w:t>5. Strategic Choices and Implementation</w:t>
            </w:r>
            <w:r w:rsidRPr="00CC7F7F">
              <w:rPr>
                <w:noProof/>
                <w:webHidden/>
              </w:rPr>
              <w:tab/>
            </w:r>
            <w:r w:rsidRPr="00CC7F7F">
              <w:rPr>
                <w:noProof/>
                <w:webHidden/>
              </w:rPr>
              <w:fldChar w:fldCharType="begin"/>
            </w:r>
            <w:r w:rsidRPr="00CC7F7F">
              <w:rPr>
                <w:noProof/>
                <w:webHidden/>
              </w:rPr>
              <w:instrText xml:space="preserve"> PAGEREF _Toc223435300 \h </w:instrText>
            </w:r>
            <w:r w:rsidRPr="00CC7F7F">
              <w:rPr>
                <w:noProof/>
                <w:webHidden/>
              </w:rPr>
            </w:r>
            <w:r w:rsidRPr="00CC7F7F">
              <w:rPr>
                <w:noProof/>
                <w:webHidden/>
              </w:rPr>
              <w:fldChar w:fldCharType="separate"/>
            </w:r>
            <w:r w:rsidRPr="00CC7F7F">
              <w:rPr>
                <w:noProof/>
                <w:webHidden/>
              </w:rPr>
              <w:t>17</w:t>
            </w:r>
            <w:r w:rsidRPr="00CC7F7F">
              <w:rPr>
                <w:noProof/>
                <w:webHidden/>
              </w:rPr>
              <w:fldChar w:fldCharType="end"/>
            </w:r>
          </w:hyperlink>
        </w:p>
        <w:p w14:paraId="346B0AB1" w14:textId="4BC48A5B" w:rsidR="00CC7F7F" w:rsidRPr="00CC7F7F" w:rsidRDefault="00CC7F7F">
          <w:pPr>
            <w:pStyle w:val="TOC1"/>
            <w:tabs>
              <w:tab w:val="right" w:leader="dot" w:pos="9016"/>
            </w:tabs>
            <w:rPr>
              <w:rFonts w:eastAsiaTheme="minorEastAsia"/>
              <w:noProof/>
              <w:lang w:eastAsia="en-GB"/>
            </w:rPr>
          </w:pPr>
          <w:hyperlink w:anchor="_Toc223435301" w:history="1">
            <w:r w:rsidRPr="00CC7F7F">
              <w:rPr>
                <w:rStyle w:val="Hyperlink"/>
                <w:rFonts w:ascii="Arial" w:hAnsi="Arial" w:cs="Arial"/>
                <w:noProof/>
              </w:rPr>
              <w:t>6. Strategic Evaluation and Recommendations</w:t>
            </w:r>
            <w:r w:rsidRPr="00CC7F7F">
              <w:rPr>
                <w:noProof/>
                <w:webHidden/>
              </w:rPr>
              <w:tab/>
            </w:r>
            <w:r w:rsidRPr="00CC7F7F">
              <w:rPr>
                <w:noProof/>
                <w:webHidden/>
              </w:rPr>
              <w:fldChar w:fldCharType="begin"/>
            </w:r>
            <w:r w:rsidRPr="00CC7F7F">
              <w:rPr>
                <w:noProof/>
                <w:webHidden/>
              </w:rPr>
              <w:instrText xml:space="preserve"> PAGEREF _Toc223435301 \h </w:instrText>
            </w:r>
            <w:r w:rsidRPr="00CC7F7F">
              <w:rPr>
                <w:noProof/>
                <w:webHidden/>
              </w:rPr>
            </w:r>
            <w:r w:rsidRPr="00CC7F7F">
              <w:rPr>
                <w:noProof/>
                <w:webHidden/>
              </w:rPr>
              <w:fldChar w:fldCharType="separate"/>
            </w:r>
            <w:r w:rsidRPr="00CC7F7F">
              <w:rPr>
                <w:noProof/>
                <w:webHidden/>
              </w:rPr>
              <w:t>18</w:t>
            </w:r>
            <w:r w:rsidRPr="00CC7F7F">
              <w:rPr>
                <w:noProof/>
                <w:webHidden/>
              </w:rPr>
              <w:fldChar w:fldCharType="end"/>
            </w:r>
          </w:hyperlink>
        </w:p>
        <w:p w14:paraId="0985EEA9" w14:textId="70B90018" w:rsidR="00CC7F7F" w:rsidRPr="00CC7F7F" w:rsidRDefault="00CC7F7F">
          <w:pPr>
            <w:pStyle w:val="TOC1"/>
            <w:tabs>
              <w:tab w:val="right" w:leader="dot" w:pos="9016"/>
            </w:tabs>
            <w:rPr>
              <w:rFonts w:eastAsiaTheme="minorEastAsia"/>
              <w:noProof/>
              <w:lang w:eastAsia="en-GB"/>
            </w:rPr>
          </w:pPr>
          <w:hyperlink w:anchor="_Toc223435302" w:history="1">
            <w:r w:rsidRPr="00CC7F7F">
              <w:rPr>
                <w:rStyle w:val="Hyperlink"/>
                <w:rFonts w:ascii="Arial" w:hAnsi="Arial" w:cs="Arial"/>
                <w:noProof/>
              </w:rPr>
              <w:t>7. Reflective Account Using Gibbs’ Reflective Cycle</w:t>
            </w:r>
            <w:r w:rsidRPr="00CC7F7F">
              <w:rPr>
                <w:noProof/>
                <w:webHidden/>
              </w:rPr>
              <w:tab/>
            </w:r>
            <w:r w:rsidRPr="00CC7F7F">
              <w:rPr>
                <w:noProof/>
                <w:webHidden/>
              </w:rPr>
              <w:fldChar w:fldCharType="begin"/>
            </w:r>
            <w:r w:rsidRPr="00CC7F7F">
              <w:rPr>
                <w:noProof/>
                <w:webHidden/>
              </w:rPr>
              <w:instrText xml:space="preserve"> PAGEREF _Toc223435302 \h </w:instrText>
            </w:r>
            <w:r w:rsidRPr="00CC7F7F">
              <w:rPr>
                <w:noProof/>
                <w:webHidden/>
              </w:rPr>
            </w:r>
            <w:r w:rsidRPr="00CC7F7F">
              <w:rPr>
                <w:noProof/>
                <w:webHidden/>
              </w:rPr>
              <w:fldChar w:fldCharType="separate"/>
            </w:r>
            <w:r w:rsidRPr="00CC7F7F">
              <w:rPr>
                <w:noProof/>
                <w:webHidden/>
              </w:rPr>
              <w:t>21</w:t>
            </w:r>
            <w:r w:rsidRPr="00CC7F7F">
              <w:rPr>
                <w:noProof/>
                <w:webHidden/>
              </w:rPr>
              <w:fldChar w:fldCharType="end"/>
            </w:r>
          </w:hyperlink>
        </w:p>
        <w:p w14:paraId="7221925F" w14:textId="79B2ADF6" w:rsidR="00CC7F7F" w:rsidRPr="00CC7F7F" w:rsidRDefault="00CC7F7F">
          <w:pPr>
            <w:pStyle w:val="TOC1"/>
            <w:tabs>
              <w:tab w:val="right" w:leader="dot" w:pos="9016"/>
            </w:tabs>
            <w:rPr>
              <w:rFonts w:eastAsiaTheme="minorEastAsia"/>
              <w:noProof/>
              <w:lang w:eastAsia="en-GB"/>
            </w:rPr>
          </w:pPr>
          <w:hyperlink w:anchor="_Toc223435303" w:history="1">
            <w:r w:rsidRPr="00CC7F7F">
              <w:rPr>
                <w:rStyle w:val="Hyperlink"/>
                <w:rFonts w:ascii="Arial" w:hAnsi="Arial" w:cs="Arial"/>
                <w:noProof/>
              </w:rPr>
              <w:t>Reference list</w:t>
            </w:r>
            <w:r w:rsidRPr="00CC7F7F">
              <w:rPr>
                <w:noProof/>
                <w:webHidden/>
              </w:rPr>
              <w:tab/>
            </w:r>
            <w:r w:rsidRPr="00CC7F7F">
              <w:rPr>
                <w:noProof/>
                <w:webHidden/>
              </w:rPr>
              <w:fldChar w:fldCharType="begin"/>
            </w:r>
            <w:r w:rsidRPr="00CC7F7F">
              <w:rPr>
                <w:noProof/>
                <w:webHidden/>
              </w:rPr>
              <w:instrText xml:space="preserve"> PAGEREF _Toc223435303 \h </w:instrText>
            </w:r>
            <w:r w:rsidRPr="00CC7F7F">
              <w:rPr>
                <w:noProof/>
                <w:webHidden/>
              </w:rPr>
            </w:r>
            <w:r w:rsidRPr="00CC7F7F">
              <w:rPr>
                <w:noProof/>
                <w:webHidden/>
              </w:rPr>
              <w:fldChar w:fldCharType="separate"/>
            </w:r>
            <w:r w:rsidRPr="00CC7F7F">
              <w:rPr>
                <w:noProof/>
                <w:webHidden/>
              </w:rPr>
              <w:t>25</w:t>
            </w:r>
            <w:r w:rsidRPr="00CC7F7F">
              <w:rPr>
                <w:noProof/>
                <w:webHidden/>
              </w:rPr>
              <w:fldChar w:fldCharType="end"/>
            </w:r>
          </w:hyperlink>
        </w:p>
        <w:p w14:paraId="27FD995F" w14:textId="0CF94392" w:rsidR="007D2E95" w:rsidRPr="00CF6FE9" w:rsidRDefault="007D2E95" w:rsidP="00CF6FE9">
          <w:pPr>
            <w:rPr>
              <w:rFonts w:ascii="Arial" w:hAnsi="Arial" w:cs="Arial"/>
            </w:rPr>
          </w:pPr>
          <w:r w:rsidRPr="00CF6FE9">
            <w:rPr>
              <w:rFonts w:ascii="Arial" w:hAnsi="Arial" w:cs="Arial"/>
              <w:b/>
              <w:bCs/>
              <w:noProof/>
            </w:rPr>
            <w:fldChar w:fldCharType="end"/>
          </w:r>
        </w:p>
      </w:sdtContent>
    </w:sdt>
    <w:p w14:paraId="2BD71799" w14:textId="77777777" w:rsidR="007D2E95" w:rsidRPr="00CF6FE9" w:rsidRDefault="007D2E95" w:rsidP="00CF6FE9">
      <w:pPr>
        <w:spacing w:line="360" w:lineRule="auto"/>
        <w:rPr>
          <w:rFonts w:ascii="Arial" w:hAnsi="Arial" w:cs="Arial"/>
        </w:rPr>
      </w:pPr>
    </w:p>
    <w:p w14:paraId="0864F3B1" w14:textId="77777777" w:rsidR="0088156E" w:rsidRPr="00CF6FE9" w:rsidRDefault="0088156E" w:rsidP="00CF6FE9">
      <w:pPr>
        <w:spacing w:line="360" w:lineRule="auto"/>
        <w:rPr>
          <w:rFonts w:ascii="Arial" w:hAnsi="Arial" w:cs="Arial"/>
        </w:rPr>
      </w:pPr>
    </w:p>
    <w:p w14:paraId="364806F1" w14:textId="77777777" w:rsidR="0088156E" w:rsidRPr="00CF6FE9" w:rsidRDefault="0088156E" w:rsidP="00CF6FE9">
      <w:pPr>
        <w:spacing w:line="360" w:lineRule="auto"/>
        <w:rPr>
          <w:rFonts w:ascii="Arial" w:hAnsi="Arial" w:cs="Arial"/>
        </w:rPr>
      </w:pPr>
    </w:p>
    <w:p w14:paraId="026E02D4" w14:textId="77777777" w:rsidR="0088156E" w:rsidRPr="00CF6FE9" w:rsidRDefault="0088156E" w:rsidP="00CF6FE9">
      <w:pPr>
        <w:spacing w:line="360" w:lineRule="auto"/>
        <w:rPr>
          <w:rFonts w:ascii="Arial" w:hAnsi="Arial" w:cs="Arial"/>
        </w:rPr>
      </w:pPr>
    </w:p>
    <w:p w14:paraId="30784E64" w14:textId="77777777" w:rsidR="0088156E" w:rsidRPr="00CF6FE9" w:rsidRDefault="0088156E" w:rsidP="00CF6FE9">
      <w:pPr>
        <w:spacing w:line="360" w:lineRule="auto"/>
        <w:rPr>
          <w:rFonts w:ascii="Arial" w:hAnsi="Arial" w:cs="Arial"/>
        </w:rPr>
      </w:pPr>
    </w:p>
    <w:p w14:paraId="260B15CC" w14:textId="77777777" w:rsidR="0088156E" w:rsidRPr="00CF6FE9" w:rsidRDefault="0088156E" w:rsidP="00CF6FE9">
      <w:pPr>
        <w:spacing w:line="360" w:lineRule="auto"/>
        <w:rPr>
          <w:rFonts w:ascii="Arial" w:hAnsi="Arial" w:cs="Arial"/>
        </w:rPr>
      </w:pPr>
    </w:p>
    <w:p w14:paraId="22362D29" w14:textId="77777777" w:rsidR="0088156E" w:rsidRPr="00CF6FE9" w:rsidRDefault="0088156E" w:rsidP="00CF6FE9">
      <w:pPr>
        <w:spacing w:line="360" w:lineRule="auto"/>
        <w:rPr>
          <w:rFonts w:ascii="Arial" w:hAnsi="Arial" w:cs="Arial"/>
        </w:rPr>
      </w:pPr>
    </w:p>
    <w:p w14:paraId="2F40F318" w14:textId="77777777" w:rsidR="0088156E" w:rsidRPr="00CF6FE9" w:rsidRDefault="0088156E" w:rsidP="00CF6FE9">
      <w:pPr>
        <w:spacing w:line="360" w:lineRule="auto"/>
        <w:rPr>
          <w:rFonts w:ascii="Arial" w:hAnsi="Arial" w:cs="Arial"/>
        </w:rPr>
      </w:pPr>
    </w:p>
    <w:p w14:paraId="14415B32" w14:textId="77777777" w:rsidR="00096A11" w:rsidRDefault="00096A11" w:rsidP="00EB1417">
      <w:pPr>
        <w:pStyle w:val="Heading1"/>
        <w:spacing w:line="360" w:lineRule="auto"/>
        <w:rPr>
          <w:rFonts w:ascii="Arial" w:hAnsi="Arial" w:cs="Arial"/>
          <w:b/>
          <w:bCs/>
          <w:sz w:val="24"/>
          <w:szCs w:val="24"/>
        </w:rPr>
      </w:pPr>
    </w:p>
    <w:p w14:paraId="68AA99F6" w14:textId="77777777" w:rsidR="00096A11" w:rsidRDefault="00096A11" w:rsidP="00096A11"/>
    <w:p w14:paraId="38348353" w14:textId="4AC78493" w:rsidR="00CF6FE9" w:rsidRPr="00096A11" w:rsidRDefault="00096A11" w:rsidP="00096A11">
      <w:pPr>
        <w:pStyle w:val="Heading1"/>
        <w:rPr>
          <w:rFonts w:ascii="Arial" w:hAnsi="Arial" w:cs="Arial"/>
          <w:b/>
          <w:bCs/>
          <w:sz w:val="24"/>
          <w:szCs w:val="24"/>
        </w:rPr>
      </w:pPr>
      <w:bookmarkStart w:id="0" w:name="_Toc223435289"/>
      <w:r w:rsidRPr="00096A11">
        <w:rPr>
          <w:rFonts w:ascii="Arial" w:hAnsi="Arial" w:cs="Arial"/>
          <w:b/>
          <w:bCs/>
          <w:sz w:val="24"/>
          <w:szCs w:val="24"/>
        </w:rPr>
        <w:lastRenderedPageBreak/>
        <w:t>1.</w:t>
      </w:r>
      <w:r>
        <w:rPr>
          <w:rFonts w:ascii="Arial" w:hAnsi="Arial" w:cs="Arial"/>
          <w:b/>
          <w:bCs/>
          <w:sz w:val="24"/>
          <w:szCs w:val="24"/>
        </w:rPr>
        <w:t xml:space="preserve"> </w:t>
      </w:r>
      <w:r w:rsidR="0088156E" w:rsidRPr="00096A11">
        <w:rPr>
          <w:rFonts w:ascii="Arial" w:hAnsi="Arial" w:cs="Arial"/>
          <w:b/>
          <w:bCs/>
          <w:sz w:val="24"/>
          <w:szCs w:val="24"/>
        </w:rPr>
        <w:t>Organisational Context and Overview</w:t>
      </w:r>
      <w:bookmarkEnd w:id="0"/>
    </w:p>
    <w:p w14:paraId="33DDE490" w14:textId="112AA6BF" w:rsidR="0088156E" w:rsidRPr="00CF6FE9" w:rsidRDefault="0088156E" w:rsidP="00CF6FE9">
      <w:pPr>
        <w:spacing w:line="360" w:lineRule="auto"/>
        <w:rPr>
          <w:rFonts w:ascii="Arial" w:hAnsi="Arial" w:cs="Arial"/>
        </w:rPr>
      </w:pPr>
      <w:r w:rsidRPr="00CF6FE9">
        <w:rPr>
          <w:rFonts w:ascii="Arial" w:hAnsi="Arial" w:cs="Arial"/>
        </w:rPr>
        <w:t>Tesla, Inc. was founded in 2003 with the strategic objective of accelerating the world’s transition to sustainable energy. Initially positioned as a niche electric vehicle (EV) manufacturer, the company evolved into a vertically integrated technology and energy enterprise. Tesla’s mission, “to accelerate the world’s transition to sustainable energy,” reflects a broader strategic ambition extending beyond automotive manufacturing into battery storage, artificial intelligence and renewable energy systems (Tesla, 2024a).</w:t>
      </w:r>
    </w:p>
    <w:p w14:paraId="39D37F93" w14:textId="02A25D2B" w:rsidR="0088156E" w:rsidRPr="00CF6FE9" w:rsidRDefault="0088156E" w:rsidP="00CF6FE9">
      <w:pPr>
        <w:spacing w:line="360" w:lineRule="auto"/>
        <w:rPr>
          <w:rFonts w:ascii="Arial" w:hAnsi="Arial" w:cs="Arial"/>
        </w:rPr>
      </w:pPr>
      <w:r w:rsidRPr="00CF6FE9">
        <w:rPr>
          <w:rFonts w:ascii="Arial" w:hAnsi="Arial" w:cs="Arial"/>
        </w:rPr>
        <w:t xml:space="preserve">Historically, Tesla entered an industry dominated by established internal combustion engine manufacturers with significant economies of scale and supply chain advantages. Mangram (2012) argues that Tesla’s early strategic positioning focused on premium market penetration, using high-performance vehicles such as the Roadster to build brand legitimacy. </w:t>
      </w:r>
      <w:r w:rsidR="007D2E95" w:rsidRPr="00CF6FE9">
        <w:rPr>
          <w:rFonts w:ascii="Arial" w:hAnsi="Arial" w:cs="Arial"/>
        </w:rPr>
        <w:t>This aligns with the analysis by Stringham et al. (2015) that Tesla overcame traditional automotive barriers to entry through innovation-led differentiation and direct-to-consumer sales.</w:t>
      </w:r>
    </w:p>
    <w:p w14:paraId="6DC6550D" w14:textId="7AED3442" w:rsidR="0088156E" w:rsidRPr="00CF6FE9" w:rsidRDefault="0088156E" w:rsidP="00CF6FE9">
      <w:pPr>
        <w:spacing w:line="360" w:lineRule="auto"/>
        <w:rPr>
          <w:rFonts w:ascii="Arial" w:hAnsi="Arial" w:cs="Arial"/>
        </w:rPr>
      </w:pPr>
      <w:r w:rsidRPr="00CF6FE9">
        <w:rPr>
          <w:rFonts w:ascii="Arial" w:hAnsi="Arial" w:cs="Arial"/>
        </w:rPr>
        <w:t>Today, Tesla operates within the global automotive and clean energy industries, both of which are undergoing structural transformation driven by decarbonisation policies, technological disruption and regulatory pressures. According to the International Energy Agency (IEA, 2024), global EV sales continue to expand rapidly, intensifying competition among established manufacturers such as Volkswagen, Toyota and emerging Chinese firms.</w:t>
      </w:r>
    </w:p>
    <w:p w14:paraId="2DBC8E1A" w14:textId="78FACE9F" w:rsidR="0088156E" w:rsidRPr="00CF6FE9" w:rsidRDefault="0088156E" w:rsidP="00CF6FE9">
      <w:pPr>
        <w:spacing w:line="360" w:lineRule="auto"/>
        <w:rPr>
          <w:rFonts w:ascii="Arial" w:hAnsi="Arial" w:cs="Arial"/>
        </w:rPr>
      </w:pPr>
      <w:r w:rsidRPr="00CF6FE9">
        <w:rPr>
          <w:rFonts w:ascii="Arial" w:hAnsi="Arial" w:cs="Arial"/>
        </w:rPr>
        <w:t>Tesla’s business model is characterised by vertical integration, in-house battery development, proprietary charging infrastructure and over-the-air software updates. This integrated ecosystem differentiates Tesla from traditional automotive firms that rely heavily on suppliers and franchised dealerships. The company maintains a strong market position within the EV segment, frequently ranking among global leaders in EV sales and market capitalisation (Tesla, 2024b).</w:t>
      </w:r>
    </w:p>
    <w:p w14:paraId="42E46639" w14:textId="59B7ECF2" w:rsidR="00CF6FE9" w:rsidRPr="00CF6FE9" w:rsidRDefault="0088156E" w:rsidP="00CF6FE9">
      <w:pPr>
        <w:spacing w:line="360" w:lineRule="auto"/>
        <w:rPr>
          <w:rFonts w:ascii="Arial" w:hAnsi="Arial" w:cs="Arial"/>
        </w:rPr>
      </w:pPr>
      <w:r w:rsidRPr="00CF6FE9">
        <w:rPr>
          <w:rFonts w:ascii="Arial" w:hAnsi="Arial" w:cs="Arial"/>
        </w:rPr>
        <w:t xml:space="preserve">However, Tesla’s strategic context is increasingly complex. Competitive imitation, regulatory uncertainty and global supply chain risks require continuous strategic adaptation. </w:t>
      </w:r>
      <w:r w:rsidR="007D2E95" w:rsidRPr="00CF6FE9">
        <w:rPr>
          <w:rFonts w:ascii="Arial" w:hAnsi="Arial" w:cs="Arial"/>
        </w:rPr>
        <w:t>The central strategic question is therefore not whether Tesla can innovate, but whether it can institutionalise defensible advantage in an increasingly convergent and competitive EV industry.</w:t>
      </w:r>
    </w:p>
    <w:p w14:paraId="3A81E283" w14:textId="532CA466" w:rsidR="00CF6FE9" w:rsidRPr="00CF6FE9" w:rsidRDefault="0088156E" w:rsidP="00CF6FE9">
      <w:pPr>
        <w:pStyle w:val="Heading1"/>
        <w:rPr>
          <w:rFonts w:ascii="Arial" w:hAnsi="Arial" w:cs="Arial"/>
          <w:b/>
          <w:bCs/>
          <w:sz w:val="24"/>
          <w:szCs w:val="24"/>
        </w:rPr>
      </w:pPr>
      <w:bookmarkStart w:id="1" w:name="_Toc223435290"/>
      <w:r w:rsidRPr="00CF6FE9">
        <w:rPr>
          <w:rFonts w:ascii="Arial" w:hAnsi="Arial" w:cs="Arial"/>
          <w:b/>
          <w:bCs/>
          <w:sz w:val="24"/>
          <w:szCs w:val="24"/>
        </w:rPr>
        <w:lastRenderedPageBreak/>
        <w:t>2. External and Internal Environment Analysis</w:t>
      </w:r>
      <w:bookmarkEnd w:id="1"/>
    </w:p>
    <w:p w14:paraId="007E1A48" w14:textId="29C95179" w:rsidR="0088156E" w:rsidRPr="0019692A" w:rsidRDefault="0088156E" w:rsidP="00CF6FE9">
      <w:pPr>
        <w:pStyle w:val="Heading2"/>
        <w:spacing w:line="360" w:lineRule="auto"/>
        <w:rPr>
          <w:rFonts w:ascii="Arial" w:hAnsi="Arial" w:cs="Arial"/>
          <w:b/>
          <w:bCs/>
          <w:sz w:val="24"/>
          <w:szCs w:val="24"/>
        </w:rPr>
      </w:pPr>
      <w:bookmarkStart w:id="2" w:name="_Toc223435291"/>
      <w:r w:rsidRPr="0019692A">
        <w:rPr>
          <w:rFonts w:ascii="Arial" w:hAnsi="Arial" w:cs="Arial"/>
          <w:b/>
          <w:bCs/>
          <w:sz w:val="24"/>
          <w:szCs w:val="24"/>
        </w:rPr>
        <w:t>2.1 External Environment: PESTEL Analysis</w:t>
      </w:r>
      <w:bookmarkEnd w:id="2"/>
    </w:p>
    <w:p w14:paraId="51E2E65A" w14:textId="44E1D2D8" w:rsidR="0088156E" w:rsidRPr="00CF6FE9" w:rsidRDefault="0088156E" w:rsidP="00CF6FE9">
      <w:pPr>
        <w:spacing w:line="360" w:lineRule="auto"/>
        <w:rPr>
          <w:rFonts w:ascii="Arial" w:hAnsi="Arial" w:cs="Arial"/>
        </w:rPr>
      </w:pPr>
      <w:r w:rsidRPr="00CF6FE9">
        <w:rPr>
          <w:rFonts w:ascii="Arial" w:hAnsi="Arial" w:cs="Arial"/>
        </w:rPr>
        <w:t xml:space="preserve">Tesla operates within a highly volatile and structurally transforming macro-environment. </w:t>
      </w:r>
      <w:r w:rsidR="00CF6FE9" w:rsidRPr="00CF6FE9">
        <w:rPr>
          <w:rFonts w:ascii="Arial" w:hAnsi="Arial" w:cs="Arial"/>
        </w:rPr>
        <w:t>A PESTEL analysis illustrates how political, economic, social, technological, environmental and legal forces collectively shape strategic positioning.</w:t>
      </w:r>
    </w:p>
    <w:p w14:paraId="455E270F" w14:textId="3514266C" w:rsidR="0088156E" w:rsidRPr="00CF6FE9" w:rsidRDefault="0088156E" w:rsidP="00CF6FE9">
      <w:pPr>
        <w:spacing w:line="360" w:lineRule="auto"/>
        <w:rPr>
          <w:rFonts w:ascii="Arial" w:hAnsi="Arial" w:cs="Arial"/>
          <w:b/>
          <w:bCs/>
        </w:rPr>
      </w:pPr>
      <w:r w:rsidRPr="00CF6FE9">
        <w:rPr>
          <w:rFonts w:ascii="Arial" w:hAnsi="Arial" w:cs="Arial"/>
          <w:b/>
          <w:bCs/>
        </w:rPr>
        <w:t>Political Factors</w:t>
      </w:r>
    </w:p>
    <w:p w14:paraId="3ED989E0" w14:textId="29D6EB78" w:rsidR="0088156E" w:rsidRPr="00CF6FE9" w:rsidRDefault="0088156E" w:rsidP="00CF6FE9">
      <w:pPr>
        <w:spacing w:line="360" w:lineRule="auto"/>
        <w:rPr>
          <w:rFonts w:ascii="Arial" w:hAnsi="Arial" w:cs="Arial"/>
        </w:rPr>
      </w:pPr>
      <w:r w:rsidRPr="00CF6FE9">
        <w:rPr>
          <w:rFonts w:ascii="Arial" w:hAnsi="Arial" w:cs="Arial"/>
        </w:rPr>
        <w:t>Government policy remains one of the most influential determinants of EV market growth. The International Energy Agency (IEA, 2023b) emphasises that subsidies, emissions regulations and net-zero commitments are critical drivers of EV adoption. For Tesla, this creates both opportunity and dependency. While supportive policies accelerate demand, reliance on regulatory incentives introduces strategic vulnerability. Changes in subsidy regimes or trade tensions, particularly between the US, EU and China, could materially affect revenue streams.</w:t>
      </w:r>
    </w:p>
    <w:p w14:paraId="09131C2A" w14:textId="13547345" w:rsidR="0088156E" w:rsidRPr="00CF6FE9" w:rsidRDefault="0088156E" w:rsidP="00CF6FE9">
      <w:pPr>
        <w:spacing w:line="360" w:lineRule="auto"/>
        <w:rPr>
          <w:rFonts w:ascii="Arial" w:hAnsi="Arial" w:cs="Arial"/>
        </w:rPr>
      </w:pPr>
      <w:proofErr w:type="spellStart"/>
      <w:r w:rsidRPr="00CF6FE9">
        <w:rPr>
          <w:rFonts w:ascii="Arial" w:hAnsi="Arial" w:cs="Arial"/>
        </w:rPr>
        <w:t>Ragonnaud</w:t>
      </w:r>
      <w:proofErr w:type="spellEnd"/>
      <w:r w:rsidRPr="00CF6FE9">
        <w:rPr>
          <w:rFonts w:ascii="Arial" w:hAnsi="Arial" w:cs="Arial"/>
        </w:rPr>
        <w:t xml:space="preserve"> (2024) further highlights that the EU automotive industry faces structural challenges linked to regulatory tightening and global competition. Tesla’s European expansion strategy must therefore navigate protectionist tendencies and political pressures favouring domestic manufacturers. Political volatility increases strategic risk, reinforcing the need for geographic diversification and adaptive capabilities.</w:t>
      </w:r>
    </w:p>
    <w:p w14:paraId="62F19A26" w14:textId="744121BB" w:rsidR="0088156E" w:rsidRPr="00CF6FE9" w:rsidRDefault="0088156E" w:rsidP="00CF6FE9">
      <w:pPr>
        <w:spacing w:line="360" w:lineRule="auto"/>
        <w:rPr>
          <w:rFonts w:ascii="Arial" w:hAnsi="Arial" w:cs="Arial"/>
          <w:b/>
          <w:bCs/>
        </w:rPr>
      </w:pPr>
      <w:r w:rsidRPr="00CF6FE9">
        <w:rPr>
          <w:rFonts w:ascii="Arial" w:hAnsi="Arial" w:cs="Arial"/>
          <w:b/>
          <w:bCs/>
        </w:rPr>
        <w:t>Economic Factors</w:t>
      </w:r>
    </w:p>
    <w:p w14:paraId="26CB0A66" w14:textId="6D79C9D7" w:rsidR="0088156E" w:rsidRPr="00CF6FE9" w:rsidRDefault="0088156E" w:rsidP="00CF6FE9">
      <w:pPr>
        <w:spacing w:line="360" w:lineRule="auto"/>
        <w:rPr>
          <w:rFonts w:ascii="Arial" w:hAnsi="Arial" w:cs="Arial"/>
        </w:rPr>
      </w:pPr>
      <w:r w:rsidRPr="00CF6FE9">
        <w:rPr>
          <w:rFonts w:ascii="Arial" w:hAnsi="Arial" w:cs="Arial"/>
        </w:rPr>
        <w:t xml:space="preserve">Economic conditions directly affect consumer purchasing power and capital-intensive manufacturing operations. </w:t>
      </w:r>
      <w:proofErr w:type="spellStart"/>
      <w:r w:rsidRPr="00CF6FE9">
        <w:rPr>
          <w:rFonts w:ascii="Arial" w:hAnsi="Arial" w:cs="Arial"/>
        </w:rPr>
        <w:t>BloombergNEF</w:t>
      </w:r>
      <w:proofErr w:type="spellEnd"/>
      <w:r w:rsidRPr="00CF6FE9">
        <w:rPr>
          <w:rFonts w:ascii="Arial" w:hAnsi="Arial" w:cs="Arial"/>
        </w:rPr>
        <w:t xml:space="preserve"> (2023) reports that lithium-ion battery pack prices have fallen significantly, improving cost competitiveness of EVs. This economic trend supports Tesla’s long-term cost leadership ambitions. However, declining battery costs also reduce technological exclusivity, enabling competitors to narrow the cost gap.</w:t>
      </w:r>
    </w:p>
    <w:p w14:paraId="706357D7" w14:textId="01B8010B" w:rsidR="0088156E" w:rsidRPr="00CF6FE9" w:rsidRDefault="0088156E" w:rsidP="00CF6FE9">
      <w:pPr>
        <w:spacing w:line="360" w:lineRule="auto"/>
        <w:rPr>
          <w:rFonts w:ascii="Arial" w:hAnsi="Arial" w:cs="Arial"/>
        </w:rPr>
      </w:pPr>
      <w:r w:rsidRPr="00CF6FE9">
        <w:rPr>
          <w:rFonts w:ascii="Arial" w:hAnsi="Arial" w:cs="Arial"/>
        </w:rPr>
        <w:t>Simultaneously, the World Economic Forum (2024) identifies global economic instability, supply chain fragility and inflation as major systemic risks. Tesla’s vertically integrated model partially mitigates supplier dependency but does not eliminate macroeconomic exposure. High interest rates may suppress consumer demand for premium vehicles, pressuring Tesla’s pricing strategy.</w:t>
      </w:r>
    </w:p>
    <w:p w14:paraId="2B811885" w14:textId="1DE4CC2E" w:rsidR="0088156E" w:rsidRPr="00CF6FE9" w:rsidRDefault="0088156E" w:rsidP="00CF6FE9">
      <w:pPr>
        <w:spacing w:line="360" w:lineRule="auto"/>
        <w:rPr>
          <w:rFonts w:ascii="Arial" w:hAnsi="Arial" w:cs="Arial"/>
        </w:rPr>
      </w:pPr>
      <w:r w:rsidRPr="00CF6FE9">
        <w:rPr>
          <w:rFonts w:ascii="Arial" w:hAnsi="Arial" w:cs="Arial"/>
        </w:rPr>
        <w:lastRenderedPageBreak/>
        <w:t>Thus, economic forces simultaneously support scale expansion while intensifying margin pressure.</w:t>
      </w:r>
    </w:p>
    <w:p w14:paraId="2F5297A6" w14:textId="2FA9BDD8" w:rsidR="0088156E" w:rsidRPr="00CF6FE9" w:rsidRDefault="0088156E" w:rsidP="00CF6FE9">
      <w:pPr>
        <w:spacing w:line="360" w:lineRule="auto"/>
        <w:rPr>
          <w:rFonts w:ascii="Arial" w:hAnsi="Arial" w:cs="Arial"/>
          <w:b/>
          <w:bCs/>
        </w:rPr>
      </w:pPr>
      <w:r w:rsidRPr="00CF6FE9">
        <w:rPr>
          <w:rFonts w:ascii="Arial" w:hAnsi="Arial" w:cs="Arial"/>
          <w:b/>
          <w:bCs/>
        </w:rPr>
        <w:t>Social Factors</w:t>
      </w:r>
    </w:p>
    <w:p w14:paraId="5A496E89" w14:textId="1F844076" w:rsidR="0088156E" w:rsidRPr="00CF6FE9" w:rsidRDefault="0088156E" w:rsidP="00CF6FE9">
      <w:pPr>
        <w:spacing w:line="360" w:lineRule="auto"/>
        <w:rPr>
          <w:rFonts w:ascii="Arial" w:hAnsi="Arial" w:cs="Arial"/>
        </w:rPr>
      </w:pPr>
      <w:r w:rsidRPr="00CF6FE9">
        <w:rPr>
          <w:rFonts w:ascii="Arial" w:hAnsi="Arial" w:cs="Arial"/>
        </w:rPr>
        <w:t>Consumer perception of sustainability increasingly influences purchasing decisions. Deloitte (2024) notes that environmental consciousness is growing among automotive consumers, yet price sensitivity remains a dominant purchasing factor. Venus, Schaufuss and Möller (2024) similarly find that while European consumers express positive attitudes toward EVs, concerns around cost, charging infrastructure and resale value persist.</w:t>
      </w:r>
    </w:p>
    <w:p w14:paraId="1A284393" w14:textId="26B59790" w:rsidR="0088156E" w:rsidRPr="00CF6FE9" w:rsidRDefault="0088156E" w:rsidP="00CF6FE9">
      <w:pPr>
        <w:spacing w:line="360" w:lineRule="auto"/>
        <w:rPr>
          <w:rFonts w:ascii="Arial" w:hAnsi="Arial" w:cs="Arial"/>
        </w:rPr>
      </w:pPr>
      <w:r w:rsidRPr="00CF6FE9">
        <w:rPr>
          <w:rFonts w:ascii="Arial" w:hAnsi="Arial" w:cs="Arial"/>
        </w:rPr>
        <w:t>For Tesla, brand reputation and perceived technological superiority serve as social capital. However, as EVs become mainstream, sustainability transitions from differentiator to industry expectation. The social environment therefore erodes early-mover advantage and requires continuous brand reinforcement.</w:t>
      </w:r>
    </w:p>
    <w:p w14:paraId="60280324" w14:textId="758FBF94" w:rsidR="0088156E" w:rsidRPr="00CF6FE9" w:rsidRDefault="0088156E" w:rsidP="00CF6FE9">
      <w:pPr>
        <w:spacing w:line="360" w:lineRule="auto"/>
        <w:rPr>
          <w:rFonts w:ascii="Arial" w:hAnsi="Arial" w:cs="Arial"/>
          <w:b/>
          <w:bCs/>
        </w:rPr>
      </w:pPr>
      <w:r w:rsidRPr="00CF6FE9">
        <w:rPr>
          <w:rFonts w:ascii="Arial" w:hAnsi="Arial" w:cs="Arial"/>
          <w:b/>
          <w:bCs/>
        </w:rPr>
        <w:t>Technological Factors</w:t>
      </w:r>
    </w:p>
    <w:p w14:paraId="6C8C0B34" w14:textId="6E8B6ADE" w:rsidR="0088156E" w:rsidRPr="00CF6FE9" w:rsidRDefault="0088156E" w:rsidP="00CF6FE9">
      <w:pPr>
        <w:spacing w:line="360" w:lineRule="auto"/>
        <w:rPr>
          <w:rFonts w:ascii="Arial" w:hAnsi="Arial" w:cs="Arial"/>
        </w:rPr>
      </w:pPr>
      <w:r w:rsidRPr="00CF6FE9">
        <w:rPr>
          <w:rFonts w:ascii="Arial" w:hAnsi="Arial" w:cs="Arial"/>
        </w:rPr>
        <w:t>Technological disruption represents both Tesla’s greatest strength and its most dynamic external pressure. The rapid advancement of battery chemistry, artificial intelligence and autonomous driving systems defines competitive positioning.</w:t>
      </w:r>
    </w:p>
    <w:p w14:paraId="5A948F4F" w14:textId="6153FFDB" w:rsidR="0088156E" w:rsidRPr="00CF6FE9" w:rsidRDefault="0088156E" w:rsidP="00CF6FE9">
      <w:pPr>
        <w:spacing w:line="360" w:lineRule="auto"/>
        <w:rPr>
          <w:rFonts w:ascii="Arial" w:hAnsi="Arial" w:cs="Arial"/>
        </w:rPr>
      </w:pPr>
      <w:r w:rsidRPr="00CF6FE9">
        <w:rPr>
          <w:rFonts w:ascii="Arial" w:hAnsi="Arial" w:cs="Arial"/>
        </w:rPr>
        <w:t>The IEA (2024) highlights accelerating innovation cycles within the EV ecosystem. Teece (2018) argues that firms must develop dynamic capabilities to sense and seize technological shifts. Tesla’s strategy reflects this logic through heavy R&amp;D investment and software-driven product updates.</w:t>
      </w:r>
    </w:p>
    <w:p w14:paraId="1D817380" w14:textId="0E8A0E51" w:rsidR="0088156E" w:rsidRPr="00CF6FE9" w:rsidRDefault="0088156E" w:rsidP="00CF6FE9">
      <w:pPr>
        <w:spacing w:line="360" w:lineRule="auto"/>
        <w:rPr>
          <w:rFonts w:ascii="Arial" w:hAnsi="Arial" w:cs="Arial"/>
        </w:rPr>
      </w:pPr>
      <w:r w:rsidRPr="00CF6FE9">
        <w:rPr>
          <w:rFonts w:ascii="Arial" w:hAnsi="Arial" w:cs="Arial"/>
        </w:rPr>
        <w:t>However, technological diffusion reduces uniqueness over time. As competitors replicate EV architectures and battery supply chains mature, Tesla’s innovation advantage may narrow. Sustained competitive advantage therefore depends on maintaining proprietary knowledge and ecosystem integration rather than isolated product innovation.</w:t>
      </w:r>
    </w:p>
    <w:p w14:paraId="3E85C4A7" w14:textId="2FC75EBC" w:rsidR="0088156E" w:rsidRPr="00CF6FE9" w:rsidRDefault="0088156E" w:rsidP="00CF6FE9">
      <w:pPr>
        <w:spacing w:line="360" w:lineRule="auto"/>
        <w:rPr>
          <w:rFonts w:ascii="Arial" w:hAnsi="Arial" w:cs="Arial"/>
          <w:b/>
          <w:bCs/>
        </w:rPr>
      </w:pPr>
      <w:r w:rsidRPr="00CF6FE9">
        <w:rPr>
          <w:rFonts w:ascii="Arial" w:hAnsi="Arial" w:cs="Arial"/>
          <w:b/>
          <w:bCs/>
        </w:rPr>
        <w:t>Environmental Factors</w:t>
      </w:r>
    </w:p>
    <w:p w14:paraId="29680D39" w14:textId="3526E260" w:rsidR="0088156E" w:rsidRPr="00CF6FE9" w:rsidRDefault="0088156E" w:rsidP="00CF6FE9">
      <w:pPr>
        <w:spacing w:line="360" w:lineRule="auto"/>
        <w:rPr>
          <w:rFonts w:ascii="Arial" w:hAnsi="Arial" w:cs="Arial"/>
        </w:rPr>
      </w:pPr>
      <w:r w:rsidRPr="00CF6FE9">
        <w:rPr>
          <w:rFonts w:ascii="Arial" w:hAnsi="Arial" w:cs="Arial"/>
        </w:rPr>
        <w:t xml:space="preserve">Environmental regulation forms the structural backbone of Tesla’s market expansion. The United Nations (2023) emphasises the urgency of decarbonisation to meet </w:t>
      </w:r>
      <w:r w:rsidRPr="00CF6FE9">
        <w:rPr>
          <w:rFonts w:ascii="Arial" w:hAnsi="Arial" w:cs="Arial"/>
        </w:rPr>
        <w:lastRenderedPageBreak/>
        <w:t>Sustainable Development Goals. Tesla’s strategic positioning aligns directly with global climate policy trends.</w:t>
      </w:r>
    </w:p>
    <w:p w14:paraId="233E95BC" w14:textId="0B14B9C1" w:rsidR="0088156E" w:rsidRPr="00CF6FE9" w:rsidRDefault="0088156E" w:rsidP="00CF6FE9">
      <w:pPr>
        <w:spacing w:line="360" w:lineRule="auto"/>
        <w:rPr>
          <w:rFonts w:ascii="Arial" w:hAnsi="Arial" w:cs="Arial"/>
        </w:rPr>
      </w:pPr>
      <w:r w:rsidRPr="00CF6FE9">
        <w:rPr>
          <w:rFonts w:ascii="Arial" w:hAnsi="Arial" w:cs="Arial"/>
        </w:rPr>
        <w:t>Yet alignment with sustainability objectives does not guarantee immunity from scrutiny. Eccles and Klimenko (2019) argue that investors increasingly demand measurable ESG performance rather than symbolic sustainability narratives. Tesla must therefore demonstrate operational environmental integrity, including supply chain transparency and lifecycle emissions accountability.</w:t>
      </w:r>
    </w:p>
    <w:p w14:paraId="197D2CD9" w14:textId="76753F92" w:rsidR="0088156E" w:rsidRPr="00CF6FE9" w:rsidRDefault="0088156E" w:rsidP="00CF6FE9">
      <w:pPr>
        <w:spacing w:line="360" w:lineRule="auto"/>
        <w:rPr>
          <w:rFonts w:ascii="Arial" w:hAnsi="Arial" w:cs="Arial"/>
          <w:b/>
          <w:bCs/>
        </w:rPr>
      </w:pPr>
      <w:r w:rsidRPr="00CF6FE9">
        <w:rPr>
          <w:rFonts w:ascii="Arial" w:hAnsi="Arial" w:cs="Arial"/>
          <w:b/>
          <w:bCs/>
        </w:rPr>
        <w:t>Legal Factors</w:t>
      </w:r>
    </w:p>
    <w:p w14:paraId="746B0BE8" w14:textId="36E47BFC" w:rsidR="0088156E" w:rsidRPr="00CF6FE9" w:rsidRDefault="0088156E" w:rsidP="00CF6FE9">
      <w:pPr>
        <w:spacing w:line="360" w:lineRule="auto"/>
        <w:rPr>
          <w:rFonts w:ascii="Arial" w:hAnsi="Arial" w:cs="Arial"/>
        </w:rPr>
      </w:pPr>
      <w:r w:rsidRPr="00CF6FE9">
        <w:rPr>
          <w:rFonts w:ascii="Arial" w:hAnsi="Arial" w:cs="Arial"/>
        </w:rPr>
        <w:t>Legal frameworks governing safety standards, autonomous driving liability and trade compliance create operational complexity. As regulatory bodies refine EV and AI governance, Tesla faces compliance uncertainty.</w:t>
      </w:r>
    </w:p>
    <w:p w14:paraId="39173008" w14:textId="49B4C488" w:rsidR="0088156E" w:rsidRPr="00CF6FE9" w:rsidRDefault="0088156E" w:rsidP="00CF6FE9">
      <w:pPr>
        <w:spacing w:line="360" w:lineRule="auto"/>
        <w:rPr>
          <w:rFonts w:ascii="Arial" w:hAnsi="Arial" w:cs="Arial"/>
        </w:rPr>
      </w:pPr>
      <w:r w:rsidRPr="00CF6FE9">
        <w:rPr>
          <w:rFonts w:ascii="Arial" w:hAnsi="Arial" w:cs="Arial"/>
        </w:rPr>
        <w:t>Legal risk is particularly salient in autonomous vehicle development. Regulatory ambiguity may delay commercial deployment of full self-driving systems, affecting revenue projections tied to software-based business models.</w:t>
      </w:r>
    </w:p>
    <w:p w14:paraId="02B9BA29" w14:textId="77777777" w:rsidR="005114DE" w:rsidRPr="00CF6FE9" w:rsidRDefault="005114DE" w:rsidP="00CF6FE9">
      <w:pPr>
        <w:spacing w:line="360" w:lineRule="auto"/>
        <w:rPr>
          <w:rFonts w:ascii="Arial" w:hAnsi="Arial" w:cs="Arial"/>
        </w:rPr>
      </w:pPr>
      <w:r w:rsidRPr="00CF6FE9">
        <w:rPr>
          <w:rFonts w:ascii="Arial" w:hAnsi="Arial" w:cs="Arial"/>
        </w:rPr>
        <w:t>Macro-Environmental Interdependencies and Strategic Implications</w:t>
      </w:r>
    </w:p>
    <w:p w14:paraId="02E591B3" w14:textId="2A275E3C" w:rsidR="005114DE" w:rsidRPr="00CF6FE9" w:rsidRDefault="005114DE" w:rsidP="00CF6FE9">
      <w:pPr>
        <w:spacing w:line="360" w:lineRule="auto"/>
        <w:rPr>
          <w:rFonts w:ascii="Arial" w:hAnsi="Arial" w:cs="Arial"/>
        </w:rPr>
      </w:pPr>
      <w:r w:rsidRPr="00CF6FE9">
        <w:rPr>
          <w:rFonts w:ascii="Arial" w:hAnsi="Arial" w:cs="Arial"/>
        </w:rPr>
        <w:t xml:space="preserve">Although each PESTEL factor influences Tesla independently, the interaction between these forces intensifies strategic complexity. Political decarbonisation policies drive EV adoption, yet economic pressures such as inflation and high interest rates constrain consumer affordability, creating simultaneous demand stimulation and margin compression. Technological advancement in battery chemistry supports cost </w:t>
      </w:r>
      <w:proofErr w:type="gramStart"/>
      <w:r w:rsidRPr="00CF6FE9">
        <w:rPr>
          <w:rFonts w:ascii="Arial" w:hAnsi="Arial" w:cs="Arial"/>
        </w:rPr>
        <w:t>reduction, but</w:t>
      </w:r>
      <w:proofErr w:type="gramEnd"/>
      <w:r w:rsidRPr="00CF6FE9">
        <w:rPr>
          <w:rFonts w:ascii="Arial" w:hAnsi="Arial" w:cs="Arial"/>
        </w:rPr>
        <w:t xml:space="preserve"> evolving legal frameworks governing autonomous driving introduce regulatory uncertainty that may delay monetisation of AI capabilities. Furthermore, environmental legitimacy is closely tied to social perception; as sustainability expectations become normalised, reputational scrutiny increases, heightening governance pressure (Eccles and Klimenko, 2019). These interdependencies illustrate that Tesla’s strategic environment is not merely volatile but systemically interconnected. Consequently, sustainable competitive advantage requires dynamic capabilities capable of continuous sensing, seizing and reconfiguring in response to multi-dimensional external shifts (Teece, Pisano and </w:t>
      </w:r>
      <w:proofErr w:type="spellStart"/>
      <w:r w:rsidRPr="00CF6FE9">
        <w:rPr>
          <w:rFonts w:ascii="Arial" w:hAnsi="Arial" w:cs="Arial"/>
        </w:rPr>
        <w:t>Shuen</w:t>
      </w:r>
      <w:proofErr w:type="spellEnd"/>
      <w:r w:rsidRPr="00CF6FE9">
        <w:rPr>
          <w:rFonts w:ascii="Arial" w:hAnsi="Arial" w:cs="Arial"/>
        </w:rPr>
        <w:t>, 1997). The macro-environment therefore reinforces the necessity of organisational agility rather than static positioning.</w:t>
      </w:r>
    </w:p>
    <w:p w14:paraId="2F3CA6E0" w14:textId="6C050C28" w:rsidR="0088156E" w:rsidRPr="00CF6FE9" w:rsidRDefault="0088156E" w:rsidP="00CF6FE9">
      <w:pPr>
        <w:rPr>
          <w:rFonts w:ascii="Arial" w:hAnsi="Arial" w:cs="Arial"/>
        </w:rPr>
      </w:pPr>
      <w:r w:rsidRPr="00CF6FE9">
        <w:rPr>
          <w:rFonts w:ascii="Arial" w:hAnsi="Arial" w:cs="Arial"/>
        </w:rPr>
        <w:lastRenderedPageBreak/>
        <w:t>Critical Success Factors and Strategic Challenges</w:t>
      </w:r>
    </w:p>
    <w:p w14:paraId="169B7DAC" w14:textId="4122B84C" w:rsidR="0088156E" w:rsidRPr="00CF6FE9" w:rsidRDefault="0088156E" w:rsidP="00CF6FE9">
      <w:pPr>
        <w:spacing w:line="360" w:lineRule="auto"/>
        <w:rPr>
          <w:rFonts w:ascii="Arial" w:hAnsi="Arial" w:cs="Arial"/>
        </w:rPr>
      </w:pPr>
      <w:r w:rsidRPr="00CF6FE9">
        <w:rPr>
          <w:rFonts w:ascii="Arial" w:hAnsi="Arial" w:cs="Arial"/>
        </w:rPr>
        <w:t>From the PESTEL analysis, several critical success factors emerge:</w:t>
      </w:r>
    </w:p>
    <w:p w14:paraId="7D93BC9F" w14:textId="101BBD6D" w:rsidR="0088156E" w:rsidRPr="00CF6FE9" w:rsidRDefault="0088156E" w:rsidP="00CF6FE9">
      <w:pPr>
        <w:pStyle w:val="ListParagraph"/>
        <w:numPr>
          <w:ilvl w:val="0"/>
          <w:numId w:val="6"/>
        </w:numPr>
        <w:spacing w:line="360" w:lineRule="auto"/>
        <w:rPr>
          <w:rFonts w:ascii="Arial" w:hAnsi="Arial" w:cs="Arial"/>
        </w:rPr>
      </w:pPr>
      <w:r w:rsidRPr="00CF6FE9">
        <w:rPr>
          <w:rFonts w:ascii="Arial" w:hAnsi="Arial" w:cs="Arial"/>
        </w:rPr>
        <w:t>Cost efficiency at scale</w:t>
      </w:r>
    </w:p>
    <w:p w14:paraId="5BD1EDF2" w14:textId="166FAF53" w:rsidR="0088156E" w:rsidRPr="00CF6FE9" w:rsidRDefault="0088156E" w:rsidP="00CF6FE9">
      <w:pPr>
        <w:pStyle w:val="ListParagraph"/>
        <w:numPr>
          <w:ilvl w:val="0"/>
          <w:numId w:val="6"/>
        </w:numPr>
        <w:spacing w:line="360" w:lineRule="auto"/>
        <w:rPr>
          <w:rFonts w:ascii="Arial" w:hAnsi="Arial" w:cs="Arial"/>
        </w:rPr>
      </w:pPr>
      <w:r w:rsidRPr="00CF6FE9">
        <w:rPr>
          <w:rFonts w:ascii="Arial" w:hAnsi="Arial" w:cs="Arial"/>
        </w:rPr>
        <w:t>Continuous technological innovation</w:t>
      </w:r>
    </w:p>
    <w:p w14:paraId="2D1E3BA8" w14:textId="11191902" w:rsidR="0088156E" w:rsidRPr="00CF6FE9" w:rsidRDefault="0088156E" w:rsidP="00CF6FE9">
      <w:pPr>
        <w:pStyle w:val="ListParagraph"/>
        <w:numPr>
          <w:ilvl w:val="0"/>
          <w:numId w:val="6"/>
        </w:numPr>
        <w:spacing w:line="360" w:lineRule="auto"/>
        <w:rPr>
          <w:rFonts w:ascii="Arial" w:hAnsi="Arial" w:cs="Arial"/>
        </w:rPr>
      </w:pPr>
      <w:r w:rsidRPr="00CF6FE9">
        <w:rPr>
          <w:rFonts w:ascii="Arial" w:hAnsi="Arial" w:cs="Arial"/>
        </w:rPr>
        <w:t>Regulatory alignment</w:t>
      </w:r>
    </w:p>
    <w:p w14:paraId="5F7E6592" w14:textId="6ACBEBE0" w:rsidR="0088156E" w:rsidRPr="00CF6FE9" w:rsidRDefault="0088156E" w:rsidP="00CF6FE9">
      <w:pPr>
        <w:pStyle w:val="ListParagraph"/>
        <w:numPr>
          <w:ilvl w:val="0"/>
          <w:numId w:val="6"/>
        </w:numPr>
        <w:spacing w:line="360" w:lineRule="auto"/>
        <w:rPr>
          <w:rFonts w:ascii="Arial" w:hAnsi="Arial" w:cs="Arial"/>
        </w:rPr>
      </w:pPr>
      <w:r w:rsidRPr="00CF6FE9">
        <w:rPr>
          <w:rFonts w:ascii="Arial" w:hAnsi="Arial" w:cs="Arial"/>
        </w:rPr>
        <w:t>Brand trust and ecosystem loyalty</w:t>
      </w:r>
    </w:p>
    <w:p w14:paraId="47558475" w14:textId="08F59ADD" w:rsidR="0088156E" w:rsidRPr="00CF6FE9" w:rsidRDefault="0088156E" w:rsidP="00CF6FE9">
      <w:pPr>
        <w:pStyle w:val="ListParagraph"/>
        <w:numPr>
          <w:ilvl w:val="0"/>
          <w:numId w:val="6"/>
        </w:numPr>
        <w:spacing w:line="360" w:lineRule="auto"/>
        <w:rPr>
          <w:rFonts w:ascii="Arial" w:hAnsi="Arial" w:cs="Arial"/>
        </w:rPr>
      </w:pPr>
      <w:r w:rsidRPr="00CF6FE9">
        <w:rPr>
          <w:rFonts w:ascii="Arial" w:hAnsi="Arial" w:cs="Arial"/>
        </w:rPr>
        <w:t>Supply chain resilience</w:t>
      </w:r>
    </w:p>
    <w:p w14:paraId="1900375E" w14:textId="11B32C11" w:rsidR="0088156E" w:rsidRPr="00CF6FE9" w:rsidRDefault="0088156E" w:rsidP="00CF6FE9">
      <w:pPr>
        <w:spacing w:line="360" w:lineRule="auto"/>
        <w:rPr>
          <w:rFonts w:ascii="Arial" w:hAnsi="Arial" w:cs="Arial"/>
        </w:rPr>
      </w:pPr>
      <w:r w:rsidRPr="00CF6FE9">
        <w:rPr>
          <w:rFonts w:ascii="Arial" w:hAnsi="Arial" w:cs="Arial"/>
        </w:rPr>
        <w:t>Tesla’s strategic challenge lies in sustaining technological leadership while managing cost compression and competitive convergence.</w:t>
      </w:r>
    </w:p>
    <w:p w14:paraId="7863A90F" w14:textId="3858C8F9" w:rsidR="0088156E" w:rsidRPr="00CF6FE9" w:rsidRDefault="0088156E" w:rsidP="00CF6FE9">
      <w:pPr>
        <w:spacing w:line="360" w:lineRule="auto"/>
        <w:rPr>
          <w:rFonts w:ascii="Arial" w:hAnsi="Arial" w:cs="Arial"/>
        </w:rPr>
      </w:pPr>
      <w:r w:rsidRPr="00CF6FE9">
        <w:rPr>
          <w:rFonts w:ascii="Arial" w:hAnsi="Arial" w:cs="Arial"/>
        </w:rPr>
        <w:t>Porter (2008) argues that industry profitability depends on structural forces rather than firm-level ambition alone. As EV markets mature, rivalry intensifies and buyer power increases. Tesla must therefore shift from pioneering advantage to structural defensibility.</w:t>
      </w:r>
    </w:p>
    <w:p w14:paraId="53A3D723" w14:textId="2BD64B2B" w:rsidR="0015780C" w:rsidRPr="00CF6FE9" w:rsidRDefault="0015780C" w:rsidP="00CF6FE9">
      <w:pPr>
        <w:spacing w:line="360" w:lineRule="auto"/>
        <w:rPr>
          <w:rFonts w:ascii="Arial" w:hAnsi="Arial" w:cs="Arial"/>
        </w:rPr>
      </w:pPr>
      <w:r w:rsidRPr="00CF6FE9">
        <w:rPr>
          <w:rFonts w:ascii="Arial" w:hAnsi="Arial" w:cs="Arial"/>
        </w:rPr>
        <w:t>Porter’s Five Forces Analysis</w:t>
      </w:r>
    </w:p>
    <w:p w14:paraId="292DF112" w14:textId="4FCDF900" w:rsidR="0015780C" w:rsidRPr="00CF6FE9" w:rsidRDefault="0015780C" w:rsidP="00CF6FE9">
      <w:pPr>
        <w:spacing w:line="360" w:lineRule="auto"/>
        <w:rPr>
          <w:rFonts w:ascii="Arial" w:hAnsi="Arial" w:cs="Arial"/>
        </w:rPr>
      </w:pPr>
      <w:r w:rsidRPr="00CF6FE9">
        <w:rPr>
          <w:rFonts w:ascii="Arial" w:hAnsi="Arial" w:cs="Arial"/>
        </w:rPr>
        <w:t>While PESTEL identifies macro-environmental pressures, Porter’s (2008) Five Forces framework allows deeper examination of the structural attractiveness of the global EV industry and Tesla’s competitive positioning within it.</w:t>
      </w:r>
    </w:p>
    <w:p w14:paraId="62861794" w14:textId="77777777" w:rsidR="0015780C" w:rsidRPr="00CF6FE9" w:rsidRDefault="0015780C" w:rsidP="00CF6FE9">
      <w:pPr>
        <w:spacing w:line="360" w:lineRule="auto"/>
        <w:rPr>
          <w:rFonts w:ascii="Arial" w:hAnsi="Arial" w:cs="Arial"/>
        </w:rPr>
      </w:pPr>
      <w:r w:rsidRPr="00CF6FE9">
        <w:rPr>
          <w:rFonts w:ascii="Arial" w:hAnsi="Arial" w:cs="Arial"/>
        </w:rPr>
        <w:t>Threat of New Entrants</w:t>
      </w:r>
    </w:p>
    <w:p w14:paraId="2FA029A9" w14:textId="66F631BC" w:rsidR="0015780C" w:rsidRPr="00CF6FE9" w:rsidRDefault="0015780C" w:rsidP="00CF6FE9">
      <w:pPr>
        <w:spacing w:line="360" w:lineRule="auto"/>
        <w:rPr>
          <w:rFonts w:ascii="Arial" w:hAnsi="Arial" w:cs="Arial"/>
        </w:rPr>
      </w:pPr>
      <w:r w:rsidRPr="00CF6FE9">
        <w:rPr>
          <w:rFonts w:ascii="Arial" w:hAnsi="Arial" w:cs="Arial"/>
        </w:rPr>
        <w:t xml:space="preserve">Historically, the automotive industry exhibited high entry barriers due to capital intensity, scale economies and established distribution networks. However, the transition to electric mobility has partially reset these structural barriers. </w:t>
      </w:r>
      <w:r w:rsidR="00D5416B" w:rsidRPr="00CF6FE9">
        <w:rPr>
          <w:rFonts w:ascii="Arial" w:hAnsi="Arial" w:cs="Arial"/>
        </w:rPr>
        <w:t xml:space="preserve">Stringham et al. (2015) </w:t>
      </w:r>
      <w:r w:rsidRPr="00CF6FE9">
        <w:rPr>
          <w:rFonts w:ascii="Arial" w:hAnsi="Arial" w:cs="Arial"/>
        </w:rPr>
        <w:t>argue that Tesla itself disrupted traditional entry constraints by bypassing dealer networks and vertically integrating battery production. This demonstrates that technological discontinuity can lower certain industry barriers.</w:t>
      </w:r>
    </w:p>
    <w:p w14:paraId="5990DD08" w14:textId="3AA40F0A" w:rsidR="0015780C" w:rsidRPr="00CF6FE9" w:rsidRDefault="0015780C" w:rsidP="00CF6FE9">
      <w:pPr>
        <w:spacing w:line="360" w:lineRule="auto"/>
        <w:rPr>
          <w:rFonts w:ascii="Arial" w:hAnsi="Arial" w:cs="Arial"/>
        </w:rPr>
      </w:pPr>
      <w:r w:rsidRPr="00CF6FE9">
        <w:rPr>
          <w:rFonts w:ascii="Arial" w:hAnsi="Arial" w:cs="Arial"/>
        </w:rPr>
        <w:t xml:space="preserve">Nevertheless, entry into EV manufacturing remains capital intensive, requiring large-scale battery sourcing, regulatory compliance and supply chain integration. While start-ups such as Rivian and Lucid have entered the market, sustained scalability remains difficult. Thus, although technological transition reduced legacy advantages, the industry still retains moderate to high entry barriers. Tesla benefits from scale </w:t>
      </w:r>
      <w:r w:rsidRPr="00CF6FE9">
        <w:rPr>
          <w:rFonts w:ascii="Arial" w:hAnsi="Arial" w:cs="Arial"/>
        </w:rPr>
        <w:lastRenderedPageBreak/>
        <w:t xml:space="preserve">economies and brand </w:t>
      </w:r>
      <w:proofErr w:type="gramStart"/>
      <w:r w:rsidRPr="00CF6FE9">
        <w:rPr>
          <w:rFonts w:ascii="Arial" w:hAnsi="Arial" w:cs="Arial"/>
        </w:rPr>
        <w:t>recognition, but</w:t>
      </w:r>
      <w:proofErr w:type="gramEnd"/>
      <w:r w:rsidRPr="00CF6FE9">
        <w:rPr>
          <w:rFonts w:ascii="Arial" w:hAnsi="Arial" w:cs="Arial"/>
        </w:rPr>
        <w:t xml:space="preserve"> cannot rely on entry barriers alone to protect its position.</w:t>
      </w:r>
    </w:p>
    <w:p w14:paraId="257C6A0E" w14:textId="77777777" w:rsidR="0015780C" w:rsidRPr="00CF6FE9" w:rsidRDefault="0015780C" w:rsidP="00CF6FE9">
      <w:pPr>
        <w:spacing w:line="360" w:lineRule="auto"/>
        <w:rPr>
          <w:rFonts w:ascii="Arial" w:hAnsi="Arial" w:cs="Arial"/>
        </w:rPr>
      </w:pPr>
      <w:r w:rsidRPr="00CF6FE9">
        <w:rPr>
          <w:rFonts w:ascii="Arial" w:hAnsi="Arial" w:cs="Arial"/>
        </w:rPr>
        <w:t>Bargaining Power of Suppliers</w:t>
      </w:r>
    </w:p>
    <w:p w14:paraId="00CCFB36" w14:textId="50467930" w:rsidR="0015780C" w:rsidRPr="00CF6FE9" w:rsidRDefault="0015780C" w:rsidP="00CF6FE9">
      <w:pPr>
        <w:spacing w:line="360" w:lineRule="auto"/>
        <w:rPr>
          <w:rFonts w:ascii="Arial" w:hAnsi="Arial" w:cs="Arial"/>
        </w:rPr>
      </w:pPr>
      <w:r w:rsidRPr="00CF6FE9">
        <w:rPr>
          <w:rFonts w:ascii="Arial" w:hAnsi="Arial" w:cs="Arial"/>
        </w:rPr>
        <w:t>Battery raw materials, including lithium and cobalt, remain concentrated in specific geographic regions. This concentration increases supplier bargaining power and exposes manufacturers to price volatility and geopolitical risk. Tesla’s vertical integration strategy mitigates some dependency by investing in battery production capacity (Tesla, 2024b). However, complete insulation from raw material markets is unrealistic.</w:t>
      </w:r>
    </w:p>
    <w:p w14:paraId="44FA25A1" w14:textId="1F1052D5" w:rsidR="0015780C" w:rsidRPr="00CF6FE9" w:rsidRDefault="0015780C" w:rsidP="00CF6FE9">
      <w:pPr>
        <w:spacing w:line="360" w:lineRule="auto"/>
        <w:rPr>
          <w:rFonts w:ascii="Arial" w:hAnsi="Arial" w:cs="Arial"/>
        </w:rPr>
      </w:pPr>
      <w:r w:rsidRPr="00CF6FE9">
        <w:rPr>
          <w:rFonts w:ascii="Arial" w:hAnsi="Arial" w:cs="Arial"/>
        </w:rPr>
        <w:t>As EV demand increases globally (IEA, 2024), competition for battery inputs intensifies, potentially strengthening supplier power. Tesla’s scale and long-term contracts partially reduce this risk, yet supplier influence remains structurally significant.</w:t>
      </w:r>
    </w:p>
    <w:p w14:paraId="4B8279F0" w14:textId="77777777" w:rsidR="0015780C" w:rsidRPr="00CF6FE9" w:rsidRDefault="0015780C" w:rsidP="00CF6FE9">
      <w:pPr>
        <w:spacing w:line="360" w:lineRule="auto"/>
        <w:rPr>
          <w:rFonts w:ascii="Arial" w:hAnsi="Arial" w:cs="Arial"/>
        </w:rPr>
      </w:pPr>
      <w:r w:rsidRPr="00CF6FE9">
        <w:rPr>
          <w:rFonts w:ascii="Arial" w:hAnsi="Arial" w:cs="Arial"/>
        </w:rPr>
        <w:t>Bargaining Power of Buyers</w:t>
      </w:r>
    </w:p>
    <w:p w14:paraId="1FC67E82" w14:textId="1EB4F464" w:rsidR="0015780C" w:rsidRPr="00CF6FE9" w:rsidRDefault="0015780C" w:rsidP="00CF6FE9">
      <w:pPr>
        <w:spacing w:line="360" w:lineRule="auto"/>
        <w:rPr>
          <w:rFonts w:ascii="Arial" w:hAnsi="Arial" w:cs="Arial"/>
        </w:rPr>
      </w:pPr>
      <w:r w:rsidRPr="00CF6FE9">
        <w:rPr>
          <w:rFonts w:ascii="Arial" w:hAnsi="Arial" w:cs="Arial"/>
        </w:rPr>
        <w:t>As EV adoption expands and more competitors enter the market, buyer choice increases. Deloitte (2024) and Venus, Schaufuss and Möller (2024) highlight that consumers are increasingly price-sensitive and compare EV offerings across multiple brands. This enhances buyer bargaining power.</w:t>
      </w:r>
    </w:p>
    <w:p w14:paraId="4000C73B" w14:textId="07929D9B" w:rsidR="0015780C" w:rsidRPr="00CF6FE9" w:rsidRDefault="0015780C" w:rsidP="00CF6FE9">
      <w:pPr>
        <w:spacing w:line="360" w:lineRule="auto"/>
        <w:rPr>
          <w:rFonts w:ascii="Arial" w:hAnsi="Arial" w:cs="Arial"/>
        </w:rPr>
      </w:pPr>
      <w:r w:rsidRPr="00CF6FE9">
        <w:rPr>
          <w:rFonts w:ascii="Arial" w:hAnsi="Arial" w:cs="Arial"/>
        </w:rPr>
        <w:t>Tesla previously benefited from limited competition and strong brand loyalty. However, as technological parity improves across manufacturers, switching costs may decline. Buyer power is therefore increasing, exerting downward pressure on margins and requiring stronger ecosystem lock-in strategies.</w:t>
      </w:r>
    </w:p>
    <w:p w14:paraId="78E7F886" w14:textId="77777777" w:rsidR="0015780C" w:rsidRPr="00CF6FE9" w:rsidRDefault="0015780C" w:rsidP="00CF6FE9">
      <w:pPr>
        <w:spacing w:line="360" w:lineRule="auto"/>
        <w:rPr>
          <w:rFonts w:ascii="Arial" w:hAnsi="Arial" w:cs="Arial"/>
        </w:rPr>
      </w:pPr>
      <w:r w:rsidRPr="00CF6FE9">
        <w:rPr>
          <w:rFonts w:ascii="Arial" w:hAnsi="Arial" w:cs="Arial"/>
        </w:rPr>
        <w:t>Threat of Substitutes</w:t>
      </w:r>
    </w:p>
    <w:p w14:paraId="15B29F4E" w14:textId="31042881" w:rsidR="0015780C" w:rsidRPr="00CF6FE9" w:rsidRDefault="0015780C" w:rsidP="00CF6FE9">
      <w:pPr>
        <w:spacing w:line="360" w:lineRule="auto"/>
        <w:rPr>
          <w:rFonts w:ascii="Arial" w:hAnsi="Arial" w:cs="Arial"/>
        </w:rPr>
      </w:pPr>
      <w:r w:rsidRPr="00CF6FE9">
        <w:rPr>
          <w:rFonts w:ascii="Arial" w:hAnsi="Arial" w:cs="Arial"/>
        </w:rPr>
        <w:t>Substitutes in the automotive industry include traditional internal combustion vehicles, hybrid vehicles and alternative mobility solutions such as public transport. As regulatory pressure accelerates decarbonisation (United Nations, 2023), the attractiveness of internal combustion vehicles declines structurally.</w:t>
      </w:r>
    </w:p>
    <w:p w14:paraId="1C923D45" w14:textId="3AFA57B9" w:rsidR="0015780C" w:rsidRPr="00CF6FE9" w:rsidRDefault="0015780C" w:rsidP="00CF6FE9">
      <w:pPr>
        <w:spacing w:line="360" w:lineRule="auto"/>
        <w:rPr>
          <w:rFonts w:ascii="Arial" w:hAnsi="Arial" w:cs="Arial"/>
        </w:rPr>
      </w:pPr>
      <w:r w:rsidRPr="00CF6FE9">
        <w:rPr>
          <w:rFonts w:ascii="Arial" w:hAnsi="Arial" w:cs="Arial"/>
        </w:rPr>
        <w:t xml:space="preserve">However, in price-sensitive markets, traditional vehicles remain cost-competitive substitutes. Additionally, improvements in hybrid technology maintain partial </w:t>
      </w:r>
      <w:r w:rsidRPr="00CF6FE9">
        <w:rPr>
          <w:rFonts w:ascii="Arial" w:hAnsi="Arial" w:cs="Arial"/>
        </w:rPr>
        <w:lastRenderedPageBreak/>
        <w:t>substitution pressure. While long-term substitution risk may decline as electrification becomes dominant, short- to medium-term competitive pressure persists.</w:t>
      </w:r>
    </w:p>
    <w:p w14:paraId="31454261" w14:textId="77777777" w:rsidR="0015780C" w:rsidRPr="00CF6FE9" w:rsidRDefault="0015780C" w:rsidP="00CF6FE9">
      <w:pPr>
        <w:spacing w:line="360" w:lineRule="auto"/>
        <w:rPr>
          <w:rFonts w:ascii="Arial" w:hAnsi="Arial" w:cs="Arial"/>
        </w:rPr>
      </w:pPr>
      <w:r w:rsidRPr="00CF6FE9">
        <w:rPr>
          <w:rFonts w:ascii="Arial" w:hAnsi="Arial" w:cs="Arial"/>
        </w:rPr>
        <w:t>Competitive Rivalry</w:t>
      </w:r>
    </w:p>
    <w:p w14:paraId="141BC683" w14:textId="4C5383F6" w:rsidR="0015780C" w:rsidRPr="00CF6FE9" w:rsidRDefault="0015780C" w:rsidP="00CF6FE9">
      <w:pPr>
        <w:spacing w:line="360" w:lineRule="auto"/>
        <w:rPr>
          <w:rFonts w:ascii="Arial" w:hAnsi="Arial" w:cs="Arial"/>
        </w:rPr>
      </w:pPr>
      <w:r w:rsidRPr="00CF6FE9">
        <w:rPr>
          <w:rFonts w:ascii="Arial" w:hAnsi="Arial" w:cs="Arial"/>
        </w:rPr>
        <w:t>Rivalry within the EV industry is intensifying significantly. Established manufacturers such as Volkswagen, Toyota and emerging Chinese producers have accelerated EV investment in response to regulatory mandates and market opportunity (IEA, 2024). As battery costs decline (</w:t>
      </w:r>
      <w:proofErr w:type="spellStart"/>
      <w:r w:rsidRPr="00CF6FE9">
        <w:rPr>
          <w:rFonts w:ascii="Arial" w:hAnsi="Arial" w:cs="Arial"/>
        </w:rPr>
        <w:t>BloombergNEF</w:t>
      </w:r>
      <w:proofErr w:type="spellEnd"/>
      <w:r w:rsidRPr="00CF6FE9">
        <w:rPr>
          <w:rFonts w:ascii="Arial" w:hAnsi="Arial" w:cs="Arial"/>
        </w:rPr>
        <w:t>, 2023), technological differentiation narrows.</w:t>
      </w:r>
    </w:p>
    <w:p w14:paraId="4B1A6A4D" w14:textId="2666AEFA" w:rsidR="0015780C" w:rsidRPr="00CF6FE9" w:rsidRDefault="0015780C" w:rsidP="00CF6FE9">
      <w:pPr>
        <w:spacing w:line="360" w:lineRule="auto"/>
        <w:rPr>
          <w:rFonts w:ascii="Arial" w:hAnsi="Arial" w:cs="Arial"/>
        </w:rPr>
      </w:pPr>
      <w:r w:rsidRPr="00CF6FE9">
        <w:rPr>
          <w:rFonts w:ascii="Arial" w:hAnsi="Arial" w:cs="Arial"/>
        </w:rPr>
        <w:t>Porter (2008) argues that high rivalry reduces industry profitability through price competition and increased innovation expenditure. Tesla’s recent pricing adjustments reflect intensifying rivalry and strategic positioning battles.</w:t>
      </w:r>
    </w:p>
    <w:p w14:paraId="4F6CD840" w14:textId="77777777" w:rsidR="0015780C" w:rsidRPr="00CF6FE9" w:rsidRDefault="0015780C" w:rsidP="00CF6FE9">
      <w:pPr>
        <w:spacing w:line="360" w:lineRule="auto"/>
        <w:rPr>
          <w:rFonts w:ascii="Arial" w:hAnsi="Arial" w:cs="Arial"/>
        </w:rPr>
      </w:pPr>
      <w:r w:rsidRPr="00CF6FE9">
        <w:rPr>
          <w:rFonts w:ascii="Arial" w:hAnsi="Arial" w:cs="Arial"/>
        </w:rPr>
        <w:t>Overall Industry Attractiveness</w:t>
      </w:r>
    </w:p>
    <w:p w14:paraId="48D7E3BA" w14:textId="1DB0E5A5" w:rsidR="0015780C" w:rsidRPr="00CF6FE9" w:rsidRDefault="0015780C" w:rsidP="00CF6FE9">
      <w:pPr>
        <w:spacing w:line="360" w:lineRule="auto"/>
        <w:rPr>
          <w:rFonts w:ascii="Arial" w:hAnsi="Arial" w:cs="Arial"/>
        </w:rPr>
      </w:pPr>
      <w:r w:rsidRPr="00CF6FE9">
        <w:rPr>
          <w:rFonts w:ascii="Arial" w:hAnsi="Arial" w:cs="Arial"/>
        </w:rPr>
        <w:t>The Five Forces analysis indicates that while structural growth opportunities remain strong, competitive pressures are intensifying across buyer power and rivalry dimensions. Tesla operates in a growing but increasingly competitive industry where sustained advantage cannot rely solely on first-mover status. Structural defensibility must increasingly derive from ecosystem integration, brand loyalty and dynamic capability renewal rather than hardware superiority alone.</w:t>
      </w:r>
    </w:p>
    <w:p w14:paraId="6DD8A376" w14:textId="69CC2510" w:rsidR="0088156E" w:rsidRPr="0019692A" w:rsidRDefault="0088156E" w:rsidP="00CF6FE9">
      <w:pPr>
        <w:pStyle w:val="Heading2"/>
        <w:spacing w:line="360" w:lineRule="auto"/>
        <w:rPr>
          <w:rFonts w:ascii="Arial" w:hAnsi="Arial" w:cs="Arial"/>
          <w:b/>
          <w:bCs/>
          <w:sz w:val="24"/>
          <w:szCs w:val="24"/>
        </w:rPr>
      </w:pPr>
      <w:bookmarkStart w:id="3" w:name="_Toc223435292"/>
      <w:r w:rsidRPr="0019692A">
        <w:rPr>
          <w:rFonts w:ascii="Arial" w:hAnsi="Arial" w:cs="Arial"/>
          <w:b/>
          <w:bCs/>
          <w:sz w:val="24"/>
          <w:szCs w:val="24"/>
        </w:rPr>
        <w:t>2.2 Internal Environment: Resources, Capabilities and Core Competencies</w:t>
      </w:r>
      <w:bookmarkEnd w:id="3"/>
    </w:p>
    <w:p w14:paraId="50224C56" w14:textId="6323A70A" w:rsidR="0088156E" w:rsidRPr="00CF6FE9" w:rsidRDefault="0088156E" w:rsidP="00CF6FE9">
      <w:pPr>
        <w:spacing w:line="360" w:lineRule="auto"/>
        <w:rPr>
          <w:rFonts w:ascii="Arial" w:hAnsi="Arial" w:cs="Arial"/>
        </w:rPr>
      </w:pPr>
      <w:r w:rsidRPr="00CF6FE9">
        <w:rPr>
          <w:rFonts w:ascii="Arial" w:hAnsi="Arial" w:cs="Arial"/>
        </w:rPr>
        <w:t>The Resource-Based View (Barney, 1991) provides a framework for analysing Tesla’s internal strategic position. Competitive advantage is sustained when resources are valuable, rare, inimitable and organisationally embedded.</w:t>
      </w:r>
    </w:p>
    <w:p w14:paraId="37D19D2C" w14:textId="48EA64A3" w:rsidR="0088156E" w:rsidRPr="00CF6FE9" w:rsidRDefault="0088156E" w:rsidP="00CF6FE9">
      <w:pPr>
        <w:spacing w:line="360" w:lineRule="auto"/>
        <w:rPr>
          <w:rFonts w:ascii="Arial" w:hAnsi="Arial" w:cs="Arial"/>
        </w:rPr>
      </w:pPr>
      <w:r w:rsidRPr="00CF6FE9">
        <w:rPr>
          <w:rFonts w:ascii="Arial" w:hAnsi="Arial" w:cs="Arial"/>
        </w:rPr>
        <w:t>Key Resources</w:t>
      </w:r>
    </w:p>
    <w:p w14:paraId="7F876491" w14:textId="77777777" w:rsidR="0088156E" w:rsidRPr="00CF6FE9" w:rsidRDefault="0088156E" w:rsidP="00CF6FE9">
      <w:pPr>
        <w:spacing w:line="360" w:lineRule="auto"/>
        <w:rPr>
          <w:rFonts w:ascii="Arial" w:hAnsi="Arial" w:cs="Arial"/>
        </w:rPr>
      </w:pPr>
      <w:r w:rsidRPr="00CF6FE9">
        <w:rPr>
          <w:rFonts w:ascii="Arial" w:hAnsi="Arial" w:cs="Arial"/>
        </w:rPr>
        <w:t>• Proprietary battery technology</w:t>
      </w:r>
    </w:p>
    <w:p w14:paraId="082A08BD" w14:textId="77777777" w:rsidR="0088156E" w:rsidRPr="00CF6FE9" w:rsidRDefault="0088156E" w:rsidP="00CF6FE9">
      <w:pPr>
        <w:spacing w:line="360" w:lineRule="auto"/>
        <w:rPr>
          <w:rFonts w:ascii="Arial" w:hAnsi="Arial" w:cs="Arial"/>
        </w:rPr>
      </w:pPr>
      <w:r w:rsidRPr="00CF6FE9">
        <w:rPr>
          <w:rFonts w:ascii="Arial" w:hAnsi="Arial" w:cs="Arial"/>
        </w:rPr>
        <w:t>• Supercharger network infrastructure</w:t>
      </w:r>
    </w:p>
    <w:p w14:paraId="4F9DEA17" w14:textId="77777777" w:rsidR="0088156E" w:rsidRPr="00CF6FE9" w:rsidRDefault="0088156E" w:rsidP="00CF6FE9">
      <w:pPr>
        <w:spacing w:line="360" w:lineRule="auto"/>
        <w:rPr>
          <w:rFonts w:ascii="Arial" w:hAnsi="Arial" w:cs="Arial"/>
        </w:rPr>
      </w:pPr>
      <w:r w:rsidRPr="00CF6FE9">
        <w:rPr>
          <w:rFonts w:ascii="Arial" w:hAnsi="Arial" w:cs="Arial"/>
        </w:rPr>
        <w:t>• Brand equity</w:t>
      </w:r>
    </w:p>
    <w:p w14:paraId="782A4D5E" w14:textId="77777777" w:rsidR="0088156E" w:rsidRPr="00CF6FE9" w:rsidRDefault="0088156E" w:rsidP="00CF6FE9">
      <w:pPr>
        <w:spacing w:line="360" w:lineRule="auto"/>
        <w:rPr>
          <w:rFonts w:ascii="Arial" w:hAnsi="Arial" w:cs="Arial"/>
        </w:rPr>
      </w:pPr>
      <w:r w:rsidRPr="00CF6FE9">
        <w:rPr>
          <w:rFonts w:ascii="Arial" w:hAnsi="Arial" w:cs="Arial"/>
        </w:rPr>
        <w:t>• Software ecosystem and data accumulation</w:t>
      </w:r>
    </w:p>
    <w:p w14:paraId="7F0E4F68" w14:textId="73E23A7B" w:rsidR="0088156E" w:rsidRPr="00CF6FE9" w:rsidRDefault="0088156E" w:rsidP="00CF6FE9">
      <w:pPr>
        <w:spacing w:line="360" w:lineRule="auto"/>
        <w:rPr>
          <w:rFonts w:ascii="Arial" w:hAnsi="Arial" w:cs="Arial"/>
        </w:rPr>
      </w:pPr>
      <w:r w:rsidRPr="00CF6FE9">
        <w:rPr>
          <w:rFonts w:ascii="Arial" w:hAnsi="Arial" w:cs="Arial"/>
        </w:rPr>
        <w:t>• Vertical integration across manufacturing</w:t>
      </w:r>
    </w:p>
    <w:p w14:paraId="74F16C7F" w14:textId="58C0B4BA" w:rsidR="0088156E" w:rsidRPr="00CF6FE9" w:rsidRDefault="0088156E" w:rsidP="00CF6FE9">
      <w:pPr>
        <w:spacing w:line="360" w:lineRule="auto"/>
        <w:rPr>
          <w:rFonts w:ascii="Arial" w:hAnsi="Arial" w:cs="Arial"/>
        </w:rPr>
      </w:pPr>
      <w:r w:rsidRPr="00CF6FE9">
        <w:rPr>
          <w:rFonts w:ascii="Arial" w:hAnsi="Arial" w:cs="Arial"/>
        </w:rPr>
        <w:lastRenderedPageBreak/>
        <w:t>Stringham et al. (2015) highlight that Tesla’s vertical integration strategy reduced reliance on traditional supplier networks, enabling greater control over cost and innovation cycles.</w:t>
      </w:r>
    </w:p>
    <w:p w14:paraId="327B7B21" w14:textId="6CDC4144" w:rsidR="0088156E" w:rsidRPr="00CF6FE9" w:rsidRDefault="0088156E" w:rsidP="00CF6FE9">
      <w:pPr>
        <w:spacing w:line="360" w:lineRule="auto"/>
        <w:rPr>
          <w:rFonts w:ascii="Arial" w:hAnsi="Arial" w:cs="Arial"/>
        </w:rPr>
      </w:pPr>
      <w:r w:rsidRPr="00CF6FE9">
        <w:rPr>
          <w:rFonts w:ascii="Arial" w:hAnsi="Arial" w:cs="Arial"/>
        </w:rPr>
        <w:t xml:space="preserve">However, Teece, Pisano and </w:t>
      </w:r>
      <w:proofErr w:type="spellStart"/>
      <w:r w:rsidRPr="00CF6FE9">
        <w:rPr>
          <w:rFonts w:ascii="Arial" w:hAnsi="Arial" w:cs="Arial"/>
        </w:rPr>
        <w:t>Shuen</w:t>
      </w:r>
      <w:proofErr w:type="spellEnd"/>
      <w:r w:rsidRPr="00CF6FE9">
        <w:rPr>
          <w:rFonts w:ascii="Arial" w:hAnsi="Arial" w:cs="Arial"/>
        </w:rPr>
        <w:t xml:space="preserve"> (1997) argue that resources alone are insufficient; firms require dynamic capabilities to reconfigure assets in changing environments. Tesla demonstrates such capabilities through rapid scaling of gigafactories and continuous product iteration.</w:t>
      </w:r>
    </w:p>
    <w:p w14:paraId="65EFF351" w14:textId="77777777" w:rsidR="005114DE" w:rsidRPr="00CF6FE9" w:rsidRDefault="005114DE" w:rsidP="00CF6FE9">
      <w:pPr>
        <w:spacing w:line="360" w:lineRule="auto"/>
        <w:rPr>
          <w:rFonts w:ascii="Arial" w:hAnsi="Arial" w:cs="Arial"/>
        </w:rPr>
      </w:pPr>
      <w:r w:rsidRPr="00CF6FE9">
        <w:rPr>
          <w:rFonts w:ascii="Arial" w:hAnsi="Arial" w:cs="Arial"/>
        </w:rPr>
        <w:t>Deepened Internal Strategic Capability Analysis</w:t>
      </w:r>
    </w:p>
    <w:p w14:paraId="280F5926" w14:textId="5F9C7EC0" w:rsidR="005114DE" w:rsidRPr="00CF6FE9" w:rsidRDefault="005114DE" w:rsidP="00CF6FE9">
      <w:pPr>
        <w:spacing w:line="360" w:lineRule="auto"/>
        <w:rPr>
          <w:rFonts w:ascii="Arial" w:hAnsi="Arial" w:cs="Arial"/>
        </w:rPr>
      </w:pPr>
      <w:r w:rsidRPr="00CF6FE9">
        <w:rPr>
          <w:rFonts w:ascii="Arial" w:hAnsi="Arial" w:cs="Arial"/>
        </w:rPr>
        <w:t>Although Tesla possesses valuable technological and infrastructural assets, sustained competitive advantage requires that these resources remain rare and difficult to imitate (Barney, 1991). The erosion of rarity represents Tesla’s central strategic vulnerability. Battery technology, once a source of clear differentiation, is increasingly standardised as competitors secure comparable supply chains and scale efficiencies (</w:t>
      </w:r>
      <w:proofErr w:type="spellStart"/>
      <w:r w:rsidRPr="00CF6FE9">
        <w:rPr>
          <w:rFonts w:ascii="Arial" w:hAnsi="Arial" w:cs="Arial"/>
        </w:rPr>
        <w:t>BloombergNEF</w:t>
      </w:r>
      <w:proofErr w:type="spellEnd"/>
      <w:r w:rsidRPr="00CF6FE9">
        <w:rPr>
          <w:rFonts w:ascii="Arial" w:hAnsi="Arial" w:cs="Arial"/>
        </w:rPr>
        <w:t>, 2023). This suggests that hardware-based advantage risks commoditisation, reducing Tesla’s ability to defend premium positioning solely through product performance. As a result, the locus of sustainable advantage shifts toward intangible capabilities, particularly software integration, data accumulation and AI development. Teece (2018) argues that business model innovation strengthens resource defensibility when firms convert technological capability into recurring value capture mechanisms. Tesla’s over-the-air updates and subscription-based autonomous driving features exemplify this transition from product-centric to platform-oriented value creation.</w:t>
      </w:r>
    </w:p>
    <w:p w14:paraId="77A1492D" w14:textId="6FDBD58D" w:rsidR="005114DE" w:rsidRPr="00CF6FE9" w:rsidRDefault="005114DE" w:rsidP="00CF6FE9">
      <w:pPr>
        <w:spacing w:line="360" w:lineRule="auto"/>
        <w:rPr>
          <w:rFonts w:ascii="Arial" w:hAnsi="Arial" w:cs="Arial"/>
        </w:rPr>
      </w:pPr>
      <w:r w:rsidRPr="00CF6FE9">
        <w:rPr>
          <w:rFonts w:ascii="Arial" w:hAnsi="Arial" w:cs="Arial"/>
        </w:rPr>
        <w:t xml:space="preserve">However, dynamic capabilities are path dependent and rely on institutionalised processes rather than centralised decision-making (Teece, Pisano and </w:t>
      </w:r>
      <w:proofErr w:type="spellStart"/>
      <w:r w:rsidRPr="00CF6FE9">
        <w:rPr>
          <w:rFonts w:ascii="Arial" w:hAnsi="Arial" w:cs="Arial"/>
        </w:rPr>
        <w:t>Shuen</w:t>
      </w:r>
      <w:proofErr w:type="spellEnd"/>
      <w:r w:rsidRPr="00CF6FE9">
        <w:rPr>
          <w:rFonts w:ascii="Arial" w:hAnsi="Arial" w:cs="Arial"/>
        </w:rPr>
        <w:t xml:space="preserve">, 1997). Rapid global expansion through gigafactories introduces organisational strain, potentially challenging quality control, supply chain coordination and governance stability. Furthermore, high levels of vertical integration increase capital intensity, exposing Tesla to fixed-cost risk during economic downturns. Thus, while Tesla’s internal environment reflects strong innovative capacity, sustaining this advantage depends on balancing entrepreneurial speed with operational discipline and structural resilience. Competitive sustainability therefore derives not only from </w:t>
      </w:r>
      <w:r w:rsidRPr="00CF6FE9">
        <w:rPr>
          <w:rFonts w:ascii="Arial" w:hAnsi="Arial" w:cs="Arial"/>
        </w:rPr>
        <w:lastRenderedPageBreak/>
        <w:t>innovation, but from the organisation’s ability to govern and continuously reconfigure its capabilities in an increasingly competitive landscape.</w:t>
      </w:r>
    </w:p>
    <w:p w14:paraId="6012743A" w14:textId="3C31DAAA" w:rsidR="0088156E" w:rsidRPr="0019692A" w:rsidRDefault="0088156E" w:rsidP="00CF6FE9">
      <w:pPr>
        <w:pStyle w:val="Heading2"/>
        <w:spacing w:line="360" w:lineRule="auto"/>
        <w:rPr>
          <w:rFonts w:ascii="Arial" w:hAnsi="Arial" w:cs="Arial"/>
          <w:b/>
          <w:bCs/>
          <w:sz w:val="24"/>
          <w:szCs w:val="24"/>
        </w:rPr>
      </w:pPr>
      <w:bookmarkStart w:id="4" w:name="_Toc223435293"/>
      <w:r w:rsidRPr="0019692A">
        <w:rPr>
          <w:rFonts w:ascii="Arial" w:hAnsi="Arial" w:cs="Arial"/>
          <w:b/>
          <w:bCs/>
          <w:sz w:val="24"/>
          <w:szCs w:val="24"/>
        </w:rPr>
        <w:t>2.3 VRIO Analysis</w:t>
      </w:r>
      <w:bookmarkEnd w:id="4"/>
    </w:p>
    <w:p w14:paraId="43CFF691" w14:textId="0EA71DE0" w:rsidR="0088156E" w:rsidRPr="00CF6FE9" w:rsidRDefault="0088156E" w:rsidP="00CF6FE9">
      <w:pPr>
        <w:spacing w:line="360" w:lineRule="auto"/>
        <w:rPr>
          <w:rFonts w:ascii="Arial" w:hAnsi="Arial" w:cs="Arial"/>
        </w:rPr>
      </w:pPr>
      <w:r w:rsidRPr="00CF6FE9">
        <w:rPr>
          <w:rFonts w:ascii="Arial" w:hAnsi="Arial" w:cs="Arial"/>
        </w:rPr>
        <w:t>Applying the VRIO framework (Barney, 1991):</w:t>
      </w:r>
    </w:p>
    <w:p w14:paraId="6B9F6BD4" w14:textId="2845890A" w:rsidR="0088156E" w:rsidRPr="00C911E8" w:rsidRDefault="0088156E" w:rsidP="00CF6FE9">
      <w:pPr>
        <w:spacing w:line="360" w:lineRule="auto"/>
        <w:rPr>
          <w:rFonts w:ascii="Arial" w:hAnsi="Arial" w:cs="Arial"/>
          <w:b/>
          <w:bCs/>
        </w:rPr>
      </w:pPr>
      <w:r w:rsidRPr="00C911E8">
        <w:rPr>
          <w:rFonts w:ascii="Arial" w:hAnsi="Arial" w:cs="Arial"/>
          <w:b/>
          <w:bCs/>
        </w:rPr>
        <w:t>Battery Technology</w:t>
      </w:r>
    </w:p>
    <w:p w14:paraId="5DF88665" w14:textId="77777777" w:rsidR="0088156E" w:rsidRPr="00CF6FE9" w:rsidRDefault="0088156E" w:rsidP="00CF6FE9">
      <w:pPr>
        <w:spacing w:line="360" w:lineRule="auto"/>
        <w:rPr>
          <w:rFonts w:ascii="Arial" w:hAnsi="Arial" w:cs="Arial"/>
        </w:rPr>
      </w:pPr>
      <w:r w:rsidRPr="00CF6FE9">
        <w:rPr>
          <w:rFonts w:ascii="Arial" w:hAnsi="Arial" w:cs="Arial"/>
        </w:rPr>
        <w:t>Valuable: Yes</w:t>
      </w:r>
    </w:p>
    <w:p w14:paraId="2248BD90" w14:textId="77777777" w:rsidR="0088156E" w:rsidRPr="00CF6FE9" w:rsidRDefault="0088156E" w:rsidP="00CF6FE9">
      <w:pPr>
        <w:spacing w:line="360" w:lineRule="auto"/>
        <w:rPr>
          <w:rFonts w:ascii="Arial" w:hAnsi="Arial" w:cs="Arial"/>
        </w:rPr>
      </w:pPr>
      <w:r w:rsidRPr="00CF6FE9">
        <w:rPr>
          <w:rFonts w:ascii="Arial" w:hAnsi="Arial" w:cs="Arial"/>
        </w:rPr>
        <w:t>Rare: Increasingly less so</w:t>
      </w:r>
    </w:p>
    <w:p w14:paraId="5B9D143A" w14:textId="77777777" w:rsidR="0088156E" w:rsidRPr="00CF6FE9" w:rsidRDefault="0088156E" w:rsidP="00CF6FE9">
      <w:pPr>
        <w:spacing w:line="360" w:lineRule="auto"/>
        <w:rPr>
          <w:rFonts w:ascii="Arial" w:hAnsi="Arial" w:cs="Arial"/>
        </w:rPr>
      </w:pPr>
      <w:r w:rsidRPr="00CF6FE9">
        <w:rPr>
          <w:rFonts w:ascii="Arial" w:hAnsi="Arial" w:cs="Arial"/>
        </w:rPr>
        <w:t>Inimitable: Moderate</w:t>
      </w:r>
    </w:p>
    <w:p w14:paraId="7AA263C1" w14:textId="783F1CEC" w:rsidR="0088156E" w:rsidRPr="00CF6FE9" w:rsidRDefault="0088156E" w:rsidP="00CF6FE9">
      <w:pPr>
        <w:spacing w:line="360" w:lineRule="auto"/>
        <w:rPr>
          <w:rFonts w:ascii="Arial" w:hAnsi="Arial" w:cs="Arial"/>
        </w:rPr>
      </w:pPr>
      <w:r w:rsidRPr="00CF6FE9">
        <w:rPr>
          <w:rFonts w:ascii="Arial" w:hAnsi="Arial" w:cs="Arial"/>
        </w:rPr>
        <w:t>Organised: Yes</w:t>
      </w:r>
    </w:p>
    <w:p w14:paraId="3DC41739" w14:textId="003E7C9C" w:rsidR="0088156E" w:rsidRPr="00CF6FE9" w:rsidRDefault="0088156E" w:rsidP="00CF6FE9">
      <w:pPr>
        <w:spacing w:line="360" w:lineRule="auto"/>
        <w:rPr>
          <w:rFonts w:ascii="Arial" w:hAnsi="Arial" w:cs="Arial"/>
        </w:rPr>
      </w:pPr>
      <w:r w:rsidRPr="00CF6FE9">
        <w:rPr>
          <w:rFonts w:ascii="Arial" w:hAnsi="Arial" w:cs="Arial"/>
        </w:rPr>
        <w:t>As battery innovation diffuses globally, rarity declines. Tesla’s advantage depends on process optimisation rather than chemistry exclusivity.</w:t>
      </w:r>
    </w:p>
    <w:p w14:paraId="0A5A1EED" w14:textId="5D181730" w:rsidR="0088156E" w:rsidRPr="00C911E8" w:rsidRDefault="0088156E" w:rsidP="00CF6FE9">
      <w:pPr>
        <w:spacing w:line="360" w:lineRule="auto"/>
        <w:rPr>
          <w:rFonts w:ascii="Arial" w:hAnsi="Arial" w:cs="Arial"/>
          <w:b/>
          <w:bCs/>
        </w:rPr>
      </w:pPr>
      <w:r w:rsidRPr="00C911E8">
        <w:rPr>
          <w:rFonts w:ascii="Arial" w:hAnsi="Arial" w:cs="Arial"/>
          <w:b/>
          <w:bCs/>
        </w:rPr>
        <w:t>Supercharger Network</w:t>
      </w:r>
    </w:p>
    <w:p w14:paraId="3E6114CF" w14:textId="77777777" w:rsidR="0088156E" w:rsidRPr="00CF6FE9" w:rsidRDefault="0088156E" w:rsidP="00CF6FE9">
      <w:pPr>
        <w:spacing w:line="360" w:lineRule="auto"/>
        <w:rPr>
          <w:rFonts w:ascii="Arial" w:hAnsi="Arial" w:cs="Arial"/>
        </w:rPr>
      </w:pPr>
      <w:r w:rsidRPr="00CF6FE9">
        <w:rPr>
          <w:rFonts w:ascii="Arial" w:hAnsi="Arial" w:cs="Arial"/>
        </w:rPr>
        <w:t>Valuable: Yes</w:t>
      </w:r>
    </w:p>
    <w:p w14:paraId="2D681135" w14:textId="77777777" w:rsidR="0088156E" w:rsidRPr="00CF6FE9" w:rsidRDefault="0088156E" w:rsidP="00CF6FE9">
      <w:pPr>
        <w:spacing w:line="360" w:lineRule="auto"/>
        <w:rPr>
          <w:rFonts w:ascii="Arial" w:hAnsi="Arial" w:cs="Arial"/>
        </w:rPr>
      </w:pPr>
      <w:r w:rsidRPr="00CF6FE9">
        <w:rPr>
          <w:rFonts w:ascii="Arial" w:hAnsi="Arial" w:cs="Arial"/>
        </w:rPr>
        <w:t>Rare: Historically</w:t>
      </w:r>
    </w:p>
    <w:p w14:paraId="0C68E716" w14:textId="77777777" w:rsidR="0088156E" w:rsidRPr="00CF6FE9" w:rsidRDefault="0088156E" w:rsidP="00CF6FE9">
      <w:pPr>
        <w:spacing w:line="360" w:lineRule="auto"/>
        <w:rPr>
          <w:rFonts w:ascii="Arial" w:hAnsi="Arial" w:cs="Arial"/>
        </w:rPr>
      </w:pPr>
      <w:r w:rsidRPr="00CF6FE9">
        <w:rPr>
          <w:rFonts w:ascii="Arial" w:hAnsi="Arial" w:cs="Arial"/>
        </w:rPr>
        <w:t>Inimitable: Moderately high due to infrastructure cost</w:t>
      </w:r>
    </w:p>
    <w:p w14:paraId="5CE12A89" w14:textId="169E971E" w:rsidR="0088156E" w:rsidRPr="00CF6FE9" w:rsidRDefault="0088156E" w:rsidP="00CF6FE9">
      <w:pPr>
        <w:spacing w:line="360" w:lineRule="auto"/>
        <w:rPr>
          <w:rFonts w:ascii="Arial" w:hAnsi="Arial" w:cs="Arial"/>
        </w:rPr>
      </w:pPr>
      <w:r w:rsidRPr="00CF6FE9">
        <w:rPr>
          <w:rFonts w:ascii="Arial" w:hAnsi="Arial" w:cs="Arial"/>
        </w:rPr>
        <w:t>Organised: Yes</w:t>
      </w:r>
    </w:p>
    <w:p w14:paraId="6C398987" w14:textId="16B7720A" w:rsidR="0088156E" w:rsidRPr="00CF6FE9" w:rsidRDefault="0088156E" w:rsidP="00CF6FE9">
      <w:pPr>
        <w:spacing w:line="360" w:lineRule="auto"/>
        <w:rPr>
          <w:rFonts w:ascii="Arial" w:hAnsi="Arial" w:cs="Arial"/>
        </w:rPr>
      </w:pPr>
      <w:r w:rsidRPr="00CF6FE9">
        <w:rPr>
          <w:rFonts w:ascii="Arial" w:hAnsi="Arial" w:cs="Arial"/>
        </w:rPr>
        <w:t>This remains a defensible asset but is weakening as competitors collaborate on charging networks.</w:t>
      </w:r>
    </w:p>
    <w:p w14:paraId="0CB85F9B" w14:textId="0871008F" w:rsidR="0088156E" w:rsidRPr="00C911E8" w:rsidRDefault="0088156E" w:rsidP="00CF6FE9">
      <w:pPr>
        <w:spacing w:line="360" w:lineRule="auto"/>
        <w:rPr>
          <w:rFonts w:ascii="Arial" w:hAnsi="Arial" w:cs="Arial"/>
          <w:b/>
          <w:bCs/>
        </w:rPr>
      </w:pPr>
      <w:r w:rsidRPr="00C911E8">
        <w:rPr>
          <w:rFonts w:ascii="Arial" w:hAnsi="Arial" w:cs="Arial"/>
          <w:b/>
          <w:bCs/>
        </w:rPr>
        <w:t>Brand Equity</w:t>
      </w:r>
    </w:p>
    <w:p w14:paraId="183879C7" w14:textId="77777777" w:rsidR="0088156E" w:rsidRPr="00CF6FE9" w:rsidRDefault="0088156E" w:rsidP="00CF6FE9">
      <w:pPr>
        <w:spacing w:line="360" w:lineRule="auto"/>
        <w:rPr>
          <w:rFonts w:ascii="Arial" w:hAnsi="Arial" w:cs="Arial"/>
        </w:rPr>
      </w:pPr>
      <w:r w:rsidRPr="00CF6FE9">
        <w:rPr>
          <w:rFonts w:ascii="Arial" w:hAnsi="Arial" w:cs="Arial"/>
        </w:rPr>
        <w:t>Valuable: Yes</w:t>
      </w:r>
    </w:p>
    <w:p w14:paraId="49A4912C" w14:textId="77777777" w:rsidR="0088156E" w:rsidRPr="00CF6FE9" w:rsidRDefault="0088156E" w:rsidP="00CF6FE9">
      <w:pPr>
        <w:spacing w:line="360" w:lineRule="auto"/>
        <w:rPr>
          <w:rFonts w:ascii="Arial" w:hAnsi="Arial" w:cs="Arial"/>
        </w:rPr>
      </w:pPr>
      <w:r w:rsidRPr="00CF6FE9">
        <w:rPr>
          <w:rFonts w:ascii="Arial" w:hAnsi="Arial" w:cs="Arial"/>
        </w:rPr>
        <w:t>Rare: Strong within EV space</w:t>
      </w:r>
    </w:p>
    <w:p w14:paraId="49622292" w14:textId="77777777" w:rsidR="0088156E" w:rsidRPr="00CF6FE9" w:rsidRDefault="0088156E" w:rsidP="00CF6FE9">
      <w:pPr>
        <w:spacing w:line="360" w:lineRule="auto"/>
        <w:rPr>
          <w:rFonts w:ascii="Arial" w:hAnsi="Arial" w:cs="Arial"/>
        </w:rPr>
      </w:pPr>
      <w:r w:rsidRPr="00CF6FE9">
        <w:rPr>
          <w:rFonts w:ascii="Arial" w:hAnsi="Arial" w:cs="Arial"/>
        </w:rPr>
        <w:t>Inimitable: High due to accumulated reputation</w:t>
      </w:r>
    </w:p>
    <w:p w14:paraId="0CCE3614" w14:textId="59115183" w:rsidR="0088156E" w:rsidRPr="00CF6FE9" w:rsidRDefault="0088156E" w:rsidP="00CF6FE9">
      <w:pPr>
        <w:spacing w:line="360" w:lineRule="auto"/>
        <w:rPr>
          <w:rFonts w:ascii="Arial" w:hAnsi="Arial" w:cs="Arial"/>
        </w:rPr>
      </w:pPr>
      <w:r w:rsidRPr="00CF6FE9">
        <w:rPr>
          <w:rFonts w:ascii="Arial" w:hAnsi="Arial" w:cs="Arial"/>
        </w:rPr>
        <w:t>Organised: Yes</w:t>
      </w:r>
    </w:p>
    <w:p w14:paraId="5B206E68" w14:textId="5B5EA5F3" w:rsidR="0088156E" w:rsidRPr="00CF6FE9" w:rsidRDefault="0088156E" w:rsidP="00CF6FE9">
      <w:pPr>
        <w:spacing w:line="360" w:lineRule="auto"/>
        <w:rPr>
          <w:rFonts w:ascii="Arial" w:hAnsi="Arial" w:cs="Arial"/>
        </w:rPr>
      </w:pPr>
      <w:r w:rsidRPr="00CF6FE9">
        <w:rPr>
          <w:rFonts w:ascii="Arial" w:hAnsi="Arial" w:cs="Arial"/>
        </w:rPr>
        <w:t>Brand remains one of Tesla’s strongest VRIO assets.</w:t>
      </w:r>
    </w:p>
    <w:p w14:paraId="41200293" w14:textId="2C0BCA5A" w:rsidR="0088156E" w:rsidRPr="00C911E8" w:rsidRDefault="0088156E" w:rsidP="00CF6FE9">
      <w:pPr>
        <w:spacing w:line="360" w:lineRule="auto"/>
        <w:rPr>
          <w:rFonts w:ascii="Arial" w:hAnsi="Arial" w:cs="Arial"/>
          <w:b/>
          <w:bCs/>
        </w:rPr>
      </w:pPr>
      <w:r w:rsidRPr="00C911E8">
        <w:rPr>
          <w:rFonts w:ascii="Arial" w:hAnsi="Arial" w:cs="Arial"/>
          <w:b/>
          <w:bCs/>
        </w:rPr>
        <w:t>Software Integration &amp; AI</w:t>
      </w:r>
    </w:p>
    <w:p w14:paraId="040F97E0" w14:textId="77777777" w:rsidR="0088156E" w:rsidRPr="00CF6FE9" w:rsidRDefault="0088156E" w:rsidP="00CF6FE9">
      <w:pPr>
        <w:spacing w:line="360" w:lineRule="auto"/>
        <w:rPr>
          <w:rFonts w:ascii="Arial" w:hAnsi="Arial" w:cs="Arial"/>
        </w:rPr>
      </w:pPr>
      <w:r w:rsidRPr="00CF6FE9">
        <w:rPr>
          <w:rFonts w:ascii="Arial" w:hAnsi="Arial" w:cs="Arial"/>
        </w:rPr>
        <w:lastRenderedPageBreak/>
        <w:t>Valuable: Extremely</w:t>
      </w:r>
    </w:p>
    <w:p w14:paraId="65421103" w14:textId="77777777" w:rsidR="0088156E" w:rsidRPr="00CF6FE9" w:rsidRDefault="0088156E" w:rsidP="00CF6FE9">
      <w:pPr>
        <w:spacing w:line="360" w:lineRule="auto"/>
        <w:rPr>
          <w:rFonts w:ascii="Arial" w:hAnsi="Arial" w:cs="Arial"/>
        </w:rPr>
      </w:pPr>
      <w:r w:rsidRPr="00CF6FE9">
        <w:rPr>
          <w:rFonts w:ascii="Arial" w:hAnsi="Arial" w:cs="Arial"/>
        </w:rPr>
        <w:t>Rare: Currently</w:t>
      </w:r>
    </w:p>
    <w:p w14:paraId="3293997A" w14:textId="77777777" w:rsidR="0088156E" w:rsidRPr="00CF6FE9" w:rsidRDefault="0088156E" w:rsidP="00CF6FE9">
      <w:pPr>
        <w:spacing w:line="360" w:lineRule="auto"/>
        <w:rPr>
          <w:rFonts w:ascii="Arial" w:hAnsi="Arial" w:cs="Arial"/>
        </w:rPr>
      </w:pPr>
      <w:r w:rsidRPr="00CF6FE9">
        <w:rPr>
          <w:rFonts w:ascii="Arial" w:hAnsi="Arial" w:cs="Arial"/>
        </w:rPr>
        <w:t>Inimitable: Potentially high due to data accumulation</w:t>
      </w:r>
    </w:p>
    <w:p w14:paraId="650222B5" w14:textId="722F2BFD" w:rsidR="0088156E" w:rsidRPr="00CF6FE9" w:rsidRDefault="0088156E" w:rsidP="00CF6FE9">
      <w:pPr>
        <w:spacing w:line="360" w:lineRule="auto"/>
        <w:rPr>
          <w:rFonts w:ascii="Arial" w:hAnsi="Arial" w:cs="Arial"/>
        </w:rPr>
      </w:pPr>
      <w:r w:rsidRPr="00CF6FE9">
        <w:rPr>
          <w:rFonts w:ascii="Arial" w:hAnsi="Arial" w:cs="Arial"/>
        </w:rPr>
        <w:t>Organised: Yes</w:t>
      </w:r>
    </w:p>
    <w:p w14:paraId="1B3E5352" w14:textId="1DFA729E" w:rsidR="0088156E" w:rsidRPr="00CF6FE9" w:rsidRDefault="0088156E" w:rsidP="00CF6FE9">
      <w:pPr>
        <w:spacing w:line="360" w:lineRule="auto"/>
        <w:rPr>
          <w:rFonts w:ascii="Arial" w:hAnsi="Arial" w:cs="Arial"/>
        </w:rPr>
      </w:pPr>
      <w:r w:rsidRPr="00CF6FE9">
        <w:rPr>
          <w:rFonts w:ascii="Arial" w:hAnsi="Arial" w:cs="Arial"/>
        </w:rPr>
        <w:t>This represents Tesla’s most strategically defensible capability.</w:t>
      </w:r>
    </w:p>
    <w:p w14:paraId="06B12B21" w14:textId="0874CC44" w:rsidR="0088156E" w:rsidRPr="00CF6FE9" w:rsidRDefault="0088156E" w:rsidP="00CF6FE9">
      <w:pPr>
        <w:spacing w:line="360" w:lineRule="auto"/>
        <w:rPr>
          <w:rFonts w:ascii="Arial" w:hAnsi="Arial" w:cs="Arial"/>
        </w:rPr>
      </w:pPr>
      <w:r w:rsidRPr="00CF6FE9">
        <w:rPr>
          <w:rFonts w:ascii="Arial" w:hAnsi="Arial" w:cs="Arial"/>
        </w:rPr>
        <w:t>Internal Strengths and Competitive Advantage</w:t>
      </w:r>
    </w:p>
    <w:p w14:paraId="336C090E" w14:textId="03CD1443" w:rsidR="0088156E" w:rsidRPr="00CF6FE9" w:rsidRDefault="0088156E" w:rsidP="00CF6FE9">
      <w:pPr>
        <w:spacing w:line="360" w:lineRule="auto"/>
        <w:rPr>
          <w:rFonts w:ascii="Arial" w:hAnsi="Arial" w:cs="Arial"/>
        </w:rPr>
      </w:pPr>
      <w:r w:rsidRPr="00CF6FE9">
        <w:rPr>
          <w:rFonts w:ascii="Arial" w:hAnsi="Arial" w:cs="Arial"/>
        </w:rPr>
        <w:t>Tesla’s competitive advantage increasingly shifts from hardware manufacturing toward software-enabled ecosystem integration. Teece (2018) argues that business model innovation strengthens resource defensibility. Tesla’s direct-to-consumer model, over-the-air updates and subscription-based software offerings support this argument.</w:t>
      </w:r>
    </w:p>
    <w:p w14:paraId="01F3C5E9" w14:textId="6D8F13B9" w:rsidR="0088156E" w:rsidRPr="00CF6FE9" w:rsidRDefault="0088156E" w:rsidP="00CF6FE9">
      <w:pPr>
        <w:spacing w:line="360" w:lineRule="auto"/>
        <w:rPr>
          <w:rFonts w:ascii="Arial" w:hAnsi="Arial" w:cs="Arial"/>
        </w:rPr>
      </w:pPr>
      <w:r w:rsidRPr="00CF6FE9">
        <w:rPr>
          <w:rFonts w:ascii="Arial" w:hAnsi="Arial" w:cs="Arial"/>
        </w:rPr>
        <w:t>However, internal vulnerabilities exist. Heavy reliance on a narrow product portfolio and leadership centralisation may constrain organisational resilience.</w:t>
      </w:r>
    </w:p>
    <w:p w14:paraId="5E97DA57" w14:textId="7FFC2DC5" w:rsidR="0088156E" w:rsidRPr="00CF6FE9" w:rsidRDefault="0088156E" w:rsidP="00CF6FE9">
      <w:pPr>
        <w:spacing w:line="360" w:lineRule="auto"/>
        <w:rPr>
          <w:rFonts w:ascii="Arial" w:hAnsi="Arial" w:cs="Arial"/>
        </w:rPr>
      </w:pPr>
      <w:r w:rsidRPr="00CF6FE9">
        <w:rPr>
          <w:rFonts w:ascii="Arial" w:hAnsi="Arial" w:cs="Arial"/>
        </w:rPr>
        <w:t>Sustained advantage will depend on Tesla’s ability to convert technological capability into recurring value streams rather than relying solely on vehicle sales growth.</w:t>
      </w:r>
    </w:p>
    <w:p w14:paraId="6CD61FD9" w14:textId="77777777" w:rsidR="005114DE" w:rsidRPr="00CF6FE9" w:rsidRDefault="005114DE" w:rsidP="00CF6FE9">
      <w:pPr>
        <w:spacing w:line="360" w:lineRule="auto"/>
        <w:rPr>
          <w:rFonts w:ascii="Arial" w:hAnsi="Arial" w:cs="Arial"/>
        </w:rPr>
      </w:pPr>
      <w:r w:rsidRPr="00CF6FE9">
        <w:rPr>
          <w:rFonts w:ascii="Arial" w:hAnsi="Arial" w:cs="Arial"/>
        </w:rPr>
        <w:t>Comparative Capability Context</w:t>
      </w:r>
    </w:p>
    <w:p w14:paraId="48DFE88E" w14:textId="6D90B18E" w:rsidR="005114DE" w:rsidRPr="00CF6FE9" w:rsidRDefault="005114DE" w:rsidP="00CF6FE9">
      <w:pPr>
        <w:spacing w:line="360" w:lineRule="auto"/>
        <w:rPr>
          <w:rFonts w:ascii="Arial" w:hAnsi="Arial" w:cs="Arial"/>
        </w:rPr>
      </w:pPr>
      <w:r w:rsidRPr="00CF6FE9">
        <w:rPr>
          <w:rFonts w:ascii="Arial" w:hAnsi="Arial" w:cs="Arial"/>
        </w:rPr>
        <w:t xml:space="preserve">In comparison to legacy manufacturers such as Volkswagen, which benefit from global scale and diversified portfolios, Tesla’s competitive advantage is more concentrated within technological and ecosystem integration capabilities. Conversely, emerging competitors such as BYD demonstrate strong cost efficiencies through vertically integrated battery production and domestic market scale. This comparative context highlights that Tesla competes not only on innovation but increasingly on operational efficiency and ecosystem depth. As global </w:t>
      </w:r>
      <w:proofErr w:type="gramStart"/>
      <w:r w:rsidRPr="00CF6FE9">
        <w:rPr>
          <w:rFonts w:ascii="Arial" w:hAnsi="Arial" w:cs="Arial"/>
        </w:rPr>
        <w:t>competitors</w:t>
      </w:r>
      <w:proofErr w:type="gramEnd"/>
      <w:r w:rsidRPr="00CF6FE9">
        <w:rPr>
          <w:rFonts w:ascii="Arial" w:hAnsi="Arial" w:cs="Arial"/>
        </w:rPr>
        <w:t xml:space="preserve"> close technological gaps, Tesla’s differentiation must increasingly rely on platform-based advantages rather than product novelty alone.</w:t>
      </w:r>
    </w:p>
    <w:p w14:paraId="625072FB" w14:textId="251D6FA4" w:rsidR="0088156E" w:rsidRPr="00D57A7A" w:rsidRDefault="0088156E" w:rsidP="00CF6FE9">
      <w:pPr>
        <w:pStyle w:val="Heading1"/>
        <w:spacing w:line="360" w:lineRule="auto"/>
        <w:rPr>
          <w:rFonts w:ascii="Arial" w:hAnsi="Arial" w:cs="Arial"/>
          <w:b/>
          <w:bCs/>
          <w:sz w:val="24"/>
          <w:szCs w:val="24"/>
        </w:rPr>
      </w:pPr>
      <w:bookmarkStart w:id="5" w:name="_Toc223435294"/>
      <w:r w:rsidRPr="00D57A7A">
        <w:rPr>
          <w:rFonts w:ascii="Arial" w:hAnsi="Arial" w:cs="Arial"/>
          <w:b/>
          <w:bCs/>
          <w:sz w:val="24"/>
          <w:szCs w:val="24"/>
        </w:rPr>
        <w:t>3. CSR and Sustainability Objectives</w:t>
      </w:r>
      <w:bookmarkEnd w:id="5"/>
      <w:r w:rsidRPr="00D57A7A">
        <w:rPr>
          <w:rFonts w:ascii="Arial" w:hAnsi="Arial" w:cs="Arial"/>
          <w:b/>
          <w:bCs/>
          <w:sz w:val="24"/>
          <w:szCs w:val="24"/>
        </w:rPr>
        <w:t xml:space="preserve"> </w:t>
      </w:r>
    </w:p>
    <w:p w14:paraId="2193847C" w14:textId="4EDA9F26" w:rsidR="0088156E" w:rsidRPr="00CF6FE9" w:rsidRDefault="0088156E" w:rsidP="00CF6FE9">
      <w:pPr>
        <w:spacing w:line="360" w:lineRule="auto"/>
        <w:rPr>
          <w:rFonts w:ascii="Arial" w:hAnsi="Arial" w:cs="Arial"/>
        </w:rPr>
      </w:pPr>
      <w:r w:rsidRPr="00CF6FE9">
        <w:rPr>
          <w:rFonts w:ascii="Arial" w:hAnsi="Arial" w:cs="Arial"/>
        </w:rPr>
        <w:t xml:space="preserve">Tesla’s corporate social responsibility (CSR) strategy is intrinsically embedded within its core business model rather than positioned as a peripheral philanthropic initiative. The company’s mission to accelerate the transition to sustainable energy aligns </w:t>
      </w:r>
      <w:r w:rsidRPr="00CF6FE9">
        <w:rPr>
          <w:rFonts w:ascii="Arial" w:hAnsi="Arial" w:cs="Arial"/>
        </w:rPr>
        <w:lastRenderedPageBreak/>
        <w:t xml:space="preserve">directly with global decarbonisation objectives outlined by the United Nations (2023). Unlike traditional automotive firms that retroactively integrate sustainability into legacy operations, Tesla’s value proposition is fundamentally </w:t>
      </w:r>
      <w:proofErr w:type="gramStart"/>
      <w:r w:rsidRPr="00CF6FE9">
        <w:rPr>
          <w:rFonts w:ascii="Arial" w:hAnsi="Arial" w:cs="Arial"/>
        </w:rPr>
        <w:t>sustainability-driven</w:t>
      </w:r>
      <w:proofErr w:type="gramEnd"/>
      <w:r w:rsidRPr="00CF6FE9">
        <w:rPr>
          <w:rFonts w:ascii="Arial" w:hAnsi="Arial" w:cs="Arial"/>
        </w:rPr>
        <w:t>.</w:t>
      </w:r>
    </w:p>
    <w:p w14:paraId="60207C8D" w14:textId="4F536F1E" w:rsidR="0088156E" w:rsidRPr="00CF6FE9" w:rsidRDefault="0088156E" w:rsidP="00CF6FE9">
      <w:pPr>
        <w:spacing w:line="360" w:lineRule="auto"/>
        <w:rPr>
          <w:rFonts w:ascii="Arial" w:hAnsi="Arial" w:cs="Arial"/>
        </w:rPr>
      </w:pPr>
      <w:r w:rsidRPr="00CF6FE9">
        <w:rPr>
          <w:rFonts w:ascii="Arial" w:hAnsi="Arial" w:cs="Arial"/>
        </w:rPr>
        <w:t>The Tesla Impact Report (Tesla, 2024a) highlights reductions in lifecycle emissions, battery recycling initiatives and renewable energy generation as central pillars of its environmental strategy. However, from a critical perspective, CSR must be evaluated beyond narrative positioning. Eccles and Klimenko (2019) argue that investors increasingly scrutinise ESG performance through measurable financial and operational indicators. Tesla’s sustainability strategy therefore functions simultaneously as ethical positioning and strategic differentiation.</w:t>
      </w:r>
    </w:p>
    <w:p w14:paraId="7C716E91" w14:textId="1427A0E0" w:rsidR="0088156E" w:rsidRPr="00CF6FE9" w:rsidRDefault="0088156E" w:rsidP="00CF6FE9">
      <w:pPr>
        <w:spacing w:line="360" w:lineRule="auto"/>
        <w:rPr>
          <w:rFonts w:ascii="Arial" w:hAnsi="Arial" w:cs="Arial"/>
        </w:rPr>
      </w:pPr>
      <w:r w:rsidRPr="00CF6FE9">
        <w:rPr>
          <w:rFonts w:ascii="Arial" w:hAnsi="Arial" w:cs="Arial"/>
        </w:rPr>
        <w:t>Yet sustainability in the EV industry is becoming standardised. As global manufacturers electrify fleets in response to regulatory pressure (IEA, 2023a), environmental responsibility shifts from competitive advantage to industry expectation. This reduces CSR’s ability to differentiate unless supported by superior operational performance.</w:t>
      </w:r>
    </w:p>
    <w:p w14:paraId="207D1E37" w14:textId="54C7E84C" w:rsidR="0088156E" w:rsidRPr="00CF6FE9" w:rsidRDefault="0088156E" w:rsidP="00CF6FE9">
      <w:pPr>
        <w:spacing w:line="360" w:lineRule="auto"/>
        <w:rPr>
          <w:rFonts w:ascii="Arial" w:hAnsi="Arial" w:cs="Arial"/>
        </w:rPr>
      </w:pPr>
      <w:r w:rsidRPr="00CF6FE9">
        <w:rPr>
          <w:rFonts w:ascii="Arial" w:hAnsi="Arial" w:cs="Arial"/>
        </w:rPr>
        <w:t>Furthermore, Tesla faces scrutiny regarding supply chain transparency, particularly in battery raw material sourcing. The legitimacy of its sustainability claims depends on governance robustness and lifecycle accountability. Sustainable competitive advantage requires integration of environmental, social and governance factors into operational processes rather than reliance on mission rhetoric.</w:t>
      </w:r>
    </w:p>
    <w:p w14:paraId="532022EA" w14:textId="7AFCF174" w:rsidR="0088156E" w:rsidRPr="00CF6FE9" w:rsidRDefault="0088156E" w:rsidP="00CF6FE9">
      <w:pPr>
        <w:spacing w:line="360" w:lineRule="auto"/>
        <w:rPr>
          <w:rFonts w:ascii="Arial" w:hAnsi="Arial" w:cs="Arial"/>
        </w:rPr>
      </w:pPr>
      <w:r w:rsidRPr="00CF6FE9">
        <w:rPr>
          <w:rFonts w:ascii="Arial" w:hAnsi="Arial" w:cs="Arial"/>
        </w:rPr>
        <w:t>Strategically, Tesla’s CSR objectives align with long-term growth markets and regulatory trends. However, sustained legitimacy will depend on measurable performance outcomes and transparent reporting, reinforcing that CSR must remain operationally embedded rather than reputationally symbolic.</w:t>
      </w:r>
    </w:p>
    <w:p w14:paraId="40A08420" w14:textId="37228522" w:rsidR="0088156E" w:rsidRPr="00D57A7A" w:rsidRDefault="0088156E" w:rsidP="00CF6FE9">
      <w:pPr>
        <w:pStyle w:val="Heading1"/>
        <w:rPr>
          <w:rFonts w:ascii="Arial" w:hAnsi="Arial" w:cs="Arial"/>
          <w:b/>
          <w:bCs/>
          <w:sz w:val="24"/>
          <w:szCs w:val="24"/>
        </w:rPr>
      </w:pPr>
      <w:bookmarkStart w:id="6" w:name="_Toc223435295"/>
      <w:r w:rsidRPr="00D57A7A">
        <w:rPr>
          <w:rFonts w:ascii="Arial" w:hAnsi="Arial" w:cs="Arial"/>
          <w:b/>
          <w:bCs/>
          <w:sz w:val="24"/>
          <w:szCs w:val="24"/>
        </w:rPr>
        <w:t>4. Comprehensive and Holistic View: Balanced Scorecard</w:t>
      </w:r>
      <w:bookmarkEnd w:id="6"/>
    </w:p>
    <w:p w14:paraId="353F3F6A" w14:textId="77777777" w:rsidR="00D5416B" w:rsidRPr="00CF6FE9" w:rsidRDefault="00D5416B" w:rsidP="00CF6FE9">
      <w:pPr>
        <w:rPr>
          <w:rFonts w:ascii="Arial" w:hAnsi="Arial" w:cs="Arial"/>
        </w:rPr>
      </w:pPr>
      <w:r w:rsidRPr="00CF6FE9">
        <w:rPr>
          <w:rFonts w:ascii="Arial" w:hAnsi="Arial" w:cs="Arial"/>
        </w:rPr>
        <w:t>Kaplan and Norton’s (1992) Balanced Scorecard framework provides a multidimensional view of Tesla’s strategic performance, ensuring that strategy is translated into measurable priorities beyond short-term financial outputs. It is particularly suitable for Tesla because competitive advantage increasingly depends on intangible assets such as software capability, ecosystem integration and organisational learning (Teece, 2018).</w:t>
      </w:r>
    </w:p>
    <w:p w14:paraId="2C01E539" w14:textId="77B9FD81" w:rsidR="0088156E" w:rsidRPr="0019692A" w:rsidRDefault="0088156E" w:rsidP="00CF6FE9">
      <w:pPr>
        <w:pStyle w:val="Heading2"/>
        <w:spacing w:line="360" w:lineRule="auto"/>
        <w:rPr>
          <w:rFonts w:ascii="Arial" w:hAnsi="Arial" w:cs="Arial"/>
          <w:b/>
          <w:bCs/>
          <w:sz w:val="24"/>
          <w:szCs w:val="24"/>
        </w:rPr>
      </w:pPr>
      <w:bookmarkStart w:id="7" w:name="_Toc223435296"/>
      <w:r w:rsidRPr="0019692A">
        <w:rPr>
          <w:rFonts w:ascii="Arial" w:hAnsi="Arial" w:cs="Arial"/>
          <w:b/>
          <w:bCs/>
          <w:sz w:val="24"/>
          <w:szCs w:val="24"/>
        </w:rPr>
        <w:lastRenderedPageBreak/>
        <w:t>4.1 Financial Perspective</w:t>
      </w:r>
      <w:bookmarkEnd w:id="7"/>
    </w:p>
    <w:p w14:paraId="19CBCEFD" w14:textId="77777777" w:rsidR="00D5416B" w:rsidRPr="00CF6FE9" w:rsidRDefault="00D5416B" w:rsidP="00CF6FE9">
      <w:pPr>
        <w:spacing w:line="360" w:lineRule="auto"/>
        <w:rPr>
          <w:rFonts w:ascii="Arial" w:hAnsi="Arial" w:cs="Arial"/>
        </w:rPr>
      </w:pPr>
      <w:r w:rsidRPr="00CF6FE9">
        <w:rPr>
          <w:rFonts w:ascii="Arial" w:hAnsi="Arial" w:cs="Arial"/>
        </w:rPr>
        <w:t>Strategic Objective: Sustain profitability while scaling global production and diversifying revenue streams.</w:t>
      </w:r>
    </w:p>
    <w:p w14:paraId="3AD07689" w14:textId="77777777" w:rsidR="00D5416B" w:rsidRPr="00CF6FE9" w:rsidRDefault="00D5416B" w:rsidP="00CF6FE9">
      <w:pPr>
        <w:spacing w:line="360" w:lineRule="auto"/>
        <w:rPr>
          <w:rFonts w:ascii="Arial" w:hAnsi="Arial" w:cs="Arial"/>
        </w:rPr>
      </w:pPr>
      <w:r w:rsidRPr="00CF6FE9">
        <w:rPr>
          <w:rFonts w:ascii="Arial" w:hAnsi="Arial" w:cs="Arial"/>
        </w:rPr>
        <w:t>Tesla’s financial performance is driven by vehicle deliveries, energy storage expansion and software-enabled revenue streams (Tesla, 2024b). Growth opportunities remain strong as global EV adoption expands (IEA, 2024), yet competitive pricing pressure increases the risk of margin compression (Porter, 2008).</w:t>
      </w:r>
    </w:p>
    <w:p w14:paraId="6A602934" w14:textId="77777777" w:rsidR="00D5416B" w:rsidRPr="00CF6FE9" w:rsidRDefault="00D5416B" w:rsidP="00CF6FE9">
      <w:pPr>
        <w:spacing w:line="360" w:lineRule="auto"/>
        <w:rPr>
          <w:rFonts w:ascii="Arial" w:hAnsi="Arial" w:cs="Arial"/>
        </w:rPr>
      </w:pPr>
      <w:r w:rsidRPr="00CF6FE9">
        <w:rPr>
          <w:rFonts w:ascii="Arial" w:hAnsi="Arial" w:cs="Arial"/>
        </w:rPr>
        <w:t>Key KPIs: Revenue growth rate; operating margin; free cash flow; R&amp;D expenditure as a percentage of revenue.</w:t>
      </w:r>
    </w:p>
    <w:p w14:paraId="06199C04" w14:textId="77777777" w:rsidR="00D5416B" w:rsidRPr="00CF6FE9" w:rsidRDefault="00D5416B" w:rsidP="00CF6FE9">
      <w:pPr>
        <w:spacing w:line="360" w:lineRule="auto"/>
        <w:rPr>
          <w:rFonts w:ascii="Arial" w:hAnsi="Arial" w:cs="Arial"/>
        </w:rPr>
      </w:pPr>
      <w:r w:rsidRPr="00CF6FE9">
        <w:rPr>
          <w:rFonts w:ascii="Arial" w:hAnsi="Arial" w:cs="Arial"/>
        </w:rPr>
        <w:t>Targets: Maintain positive free cash flow while protecting operating margin despite competitive price pressure. Increase the contribution of software and energy revenue to reduce reliance on vehicle margins.</w:t>
      </w:r>
    </w:p>
    <w:p w14:paraId="39F42720" w14:textId="1F82FD0D" w:rsidR="00D5416B" w:rsidRPr="00CF6FE9" w:rsidRDefault="00D5416B" w:rsidP="00CF6FE9">
      <w:pPr>
        <w:spacing w:line="360" w:lineRule="auto"/>
        <w:rPr>
          <w:rFonts w:ascii="Arial" w:hAnsi="Arial" w:cs="Arial"/>
        </w:rPr>
      </w:pPr>
      <w:r w:rsidRPr="00CF6FE9">
        <w:rPr>
          <w:rFonts w:ascii="Arial" w:hAnsi="Arial" w:cs="Arial"/>
        </w:rPr>
        <w:t>Strategic initiatives: Expand energy storage deployments and scale recurring revenue from software features and subscriptions. Strengthen cost discipline through process efficiency rather than sustained price-led competition. This aligns financial resilience with long-term strategic defensibility (Porter, 2008).</w:t>
      </w:r>
    </w:p>
    <w:p w14:paraId="056733D8" w14:textId="0F75A126" w:rsidR="0088156E" w:rsidRPr="0019692A" w:rsidRDefault="0088156E" w:rsidP="00CF6FE9">
      <w:pPr>
        <w:pStyle w:val="Heading2"/>
        <w:spacing w:line="360" w:lineRule="auto"/>
        <w:rPr>
          <w:rFonts w:ascii="Arial" w:hAnsi="Arial" w:cs="Arial"/>
          <w:b/>
          <w:bCs/>
          <w:sz w:val="24"/>
          <w:szCs w:val="24"/>
        </w:rPr>
      </w:pPr>
      <w:bookmarkStart w:id="8" w:name="_Toc223435297"/>
      <w:r w:rsidRPr="0019692A">
        <w:rPr>
          <w:rFonts w:ascii="Arial" w:hAnsi="Arial" w:cs="Arial"/>
          <w:b/>
          <w:bCs/>
          <w:sz w:val="24"/>
          <w:szCs w:val="24"/>
        </w:rPr>
        <w:t>4.2 Customer Perspective</w:t>
      </w:r>
      <w:bookmarkEnd w:id="8"/>
    </w:p>
    <w:p w14:paraId="19029468" w14:textId="77777777" w:rsidR="00D5416B" w:rsidRPr="00CF6FE9" w:rsidRDefault="00D5416B" w:rsidP="00CF6FE9">
      <w:pPr>
        <w:spacing w:line="360" w:lineRule="auto"/>
        <w:rPr>
          <w:rFonts w:ascii="Arial" w:hAnsi="Arial" w:cs="Arial"/>
        </w:rPr>
      </w:pPr>
      <w:r w:rsidRPr="00CF6FE9">
        <w:rPr>
          <w:rFonts w:ascii="Arial" w:hAnsi="Arial" w:cs="Arial"/>
        </w:rPr>
        <w:t>Strategic Objective: Strengthen brand loyalty and deepen ecosystem lock-in.</w:t>
      </w:r>
    </w:p>
    <w:p w14:paraId="13042769" w14:textId="77777777" w:rsidR="00D5416B" w:rsidRPr="00CF6FE9" w:rsidRDefault="00D5416B" w:rsidP="00CF6FE9">
      <w:pPr>
        <w:spacing w:line="360" w:lineRule="auto"/>
        <w:rPr>
          <w:rFonts w:ascii="Arial" w:hAnsi="Arial" w:cs="Arial"/>
        </w:rPr>
      </w:pPr>
      <w:r w:rsidRPr="00CF6FE9">
        <w:rPr>
          <w:rFonts w:ascii="Arial" w:hAnsi="Arial" w:cs="Arial"/>
        </w:rPr>
        <w:t>Tesla’s direct-to-consumer model enables stronger customer data capture and relationship control compared with traditional dealership models. However, consumer trust and affordability concerns remain important determinants of EV purchasing decisions (Deloitte, 2024; Venus, Schaufuss and Möller, 2024).</w:t>
      </w:r>
    </w:p>
    <w:p w14:paraId="2168A184" w14:textId="77777777" w:rsidR="00D5416B" w:rsidRPr="00CF6FE9" w:rsidRDefault="00D5416B" w:rsidP="00CF6FE9">
      <w:pPr>
        <w:spacing w:line="360" w:lineRule="auto"/>
        <w:rPr>
          <w:rFonts w:ascii="Arial" w:hAnsi="Arial" w:cs="Arial"/>
        </w:rPr>
      </w:pPr>
      <w:r w:rsidRPr="00CF6FE9">
        <w:rPr>
          <w:rFonts w:ascii="Arial" w:hAnsi="Arial" w:cs="Arial"/>
        </w:rPr>
        <w:t>Key KPIs: Customer satisfaction scores; repeat purchase rate; Supercharger utilisation; subscription uptake for software features.</w:t>
      </w:r>
    </w:p>
    <w:p w14:paraId="46090B89" w14:textId="77777777" w:rsidR="00D5416B" w:rsidRPr="00CF6FE9" w:rsidRDefault="00D5416B" w:rsidP="00CF6FE9">
      <w:pPr>
        <w:spacing w:line="360" w:lineRule="auto"/>
        <w:rPr>
          <w:rFonts w:ascii="Arial" w:hAnsi="Arial" w:cs="Arial"/>
        </w:rPr>
      </w:pPr>
      <w:r w:rsidRPr="00CF6FE9">
        <w:rPr>
          <w:rFonts w:ascii="Arial" w:hAnsi="Arial" w:cs="Arial"/>
        </w:rPr>
        <w:t>Targets: Sustain high customer satisfaction while increasing software subscription adoption and improving perceived convenience of charging and aftersales support.</w:t>
      </w:r>
    </w:p>
    <w:p w14:paraId="562475BA" w14:textId="640C64A7" w:rsidR="00D5416B" w:rsidRPr="00CF6FE9" w:rsidRDefault="00D5416B" w:rsidP="00CF6FE9">
      <w:pPr>
        <w:spacing w:line="360" w:lineRule="auto"/>
        <w:rPr>
          <w:rFonts w:ascii="Arial" w:hAnsi="Arial" w:cs="Arial"/>
        </w:rPr>
      </w:pPr>
      <w:r w:rsidRPr="00CF6FE9">
        <w:rPr>
          <w:rFonts w:ascii="Arial" w:hAnsi="Arial" w:cs="Arial"/>
        </w:rPr>
        <w:t>Strategic initiatives: Improve service experience and customer communication, strengthen app-based support and streamline issue resolution. Increase adoption of software-based features through bundled trials and clearer value propositions, reinforcing switching costs and loyalty through ecosystem integration (Teece, 2018).</w:t>
      </w:r>
    </w:p>
    <w:p w14:paraId="0151DCB1" w14:textId="3D50C422" w:rsidR="0088156E" w:rsidRPr="0019692A" w:rsidRDefault="0088156E" w:rsidP="00CF6FE9">
      <w:pPr>
        <w:pStyle w:val="Heading2"/>
        <w:spacing w:line="360" w:lineRule="auto"/>
        <w:rPr>
          <w:rFonts w:ascii="Arial" w:hAnsi="Arial" w:cs="Arial"/>
          <w:b/>
          <w:bCs/>
          <w:sz w:val="24"/>
          <w:szCs w:val="24"/>
        </w:rPr>
      </w:pPr>
      <w:bookmarkStart w:id="9" w:name="_Toc223435298"/>
      <w:r w:rsidRPr="0019692A">
        <w:rPr>
          <w:rFonts w:ascii="Arial" w:hAnsi="Arial" w:cs="Arial"/>
          <w:b/>
          <w:bCs/>
          <w:sz w:val="24"/>
          <w:szCs w:val="24"/>
        </w:rPr>
        <w:lastRenderedPageBreak/>
        <w:t>4.3 Internal Business Process Perspective</w:t>
      </w:r>
      <w:bookmarkEnd w:id="9"/>
    </w:p>
    <w:p w14:paraId="6A1DE974" w14:textId="600E8BDF" w:rsidR="00D5416B" w:rsidRPr="00CF6FE9" w:rsidRDefault="00D5416B" w:rsidP="00CF6FE9">
      <w:pPr>
        <w:spacing w:line="360" w:lineRule="auto"/>
        <w:rPr>
          <w:rFonts w:ascii="Arial" w:hAnsi="Arial" w:cs="Arial"/>
        </w:rPr>
      </w:pPr>
      <w:r w:rsidRPr="00CF6FE9">
        <w:rPr>
          <w:rFonts w:ascii="Arial" w:hAnsi="Arial" w:cs="Arial"/>
        </w:rPr>
        <w:t>Strategic Objective: Improve manufacturing efficiency, quality control and innovation cycle speed.</w:t>
      </w:r>
      <w:r w:rsidRPr="00CF6FE9">
        <w:rPr>
          <w:rFonts w:ascii="Arial" w:hAnsi="Arial" w:cs="Arial"/>
        </w:rPr>
        <w:br/>
        <w:t>Vertical integration and gigafactory scaling have supported cost control and rapid innovation cycles (Stringham et al.</w:t>
      </w:r>
      <w:r w:rsidR="00D949CD">
        <w:rPr>
          <w:rFonts w:ascii="Arial" w:hAnsi="Arial" w:cs="Arial"/>
        </w:rPr>
        <w:t>,</w:t>
      </w:r>
      <w:r w:rsidRPr="00CF6FE9">
        <w:rPr>
          <w:rFonts w:ascii="Arial" w:hAnsi="Arial" w:cs="Arial"/>
        </w:rPr>
        <w:t xml:space="preserve"> 2015</w:t>
      </w:r>
      <w:r w:rsidR="007D2E95" w:rsidRPr="00CF6FE9">
        <w:rPr>
          <w:rFonts w:ascii="Arial" w:hAnsi="Arial" w:cs="Arial"/>
        </w:rPr>
        <w:t>)</w:t>
      </w:r>
      <w:r w:rsidRPr="00CF6FE9">
        <w:rPr>
          <w:rFonts w:ascii="Arial" w:hAnsi="Arial" w:cs="Arial"/>
        </w:rPr>
        <w:t>. However, as battery costs decline globally (</w:t>
      </w:r>
      <w:proofErr w:type="spellStart"/>
      <w:r w:rsidRPr="00CF6FE9">
        <w:rPr>
          <w:rFonts w:ascii="Arial" w:hAnsi="Arial" w:cs="Arial"/>
        </w:rPr>
        <w:t>BloombergNEF</w:t>
      </w:r>
      <w:proofErr w:type="spellEnd"/>
      <w:r w:rsidRPr="00CF6FE9">
        <w:rPr>
          <w:rFonts w:ascii="Arial" w:hAnsi="Arial" w:cs="Arial"/>
        </w:rPr>
        <w:t>, 2023), operational excellence becomes central to sustaining profitability.</w:t>
      </w:r>
      <w:r w:rsidRPr="00CF6FE9">
        <w:rPr>
          <w:rFonts w:ascii="Arial" w:hAnsi="Arial" w:cs="Arial"/>
        </w:rPr>
        <w:br/>
        <w:t>Key KPIs: Production output per facility; battery cost per kWh; manufacturing defect rates; supply chain cycle time.</w:t>
      </w:r>
      <w:r w:rsidRPr="00CF6FE9">
        <w:rPr>
          <w:rFonts w:ascii="Arial" w:hAnsi="Arial" w:cs="Arial"/>
        </w:rPr>
        <w:br/>
        <w:t>Targets: Reduce manufacturing variability across sites, shorten cycle times and strengthen quality consistency while scaling production.</w:t>
      </w:r>
      <w:r w:rsidRPr="00CF6FE9">
        <w:rPr>
          <w:rFonts w:ascii="Arial" w:hAnsi="Arial" w:cs="Arial"/>
        </w:rPr>
        <w:br/>
        <w:t xml:space="preserve">Strategic initiatives: Standardise production processes across gigafactories, strengthen supplier risk management and implement continuous improvement routines. These initiatives support the organisational capacity to scale reliably without undermining product quality or operational resilience (Teece, Pisano and </w:t>
      </w:r>
      <w:proofErr w:type="spellStart"/>
      <w:r w:rsidRPr="00CF6FE9">
        <w:rPr>
          <w:rFonts w:ascii="Arial" w:hAnsi="Arial" w:cs="Arial"/>
        </w:rPr>
        <w:t>Shuen</w:t>
      </w:r>
      <w:proofErr w:type="spellEnd"/>
      <w:r w:rsidRPr="00CF6FE9">
        <w:rPr>
          <w:rFonts w:ascii="Arial" w:hAnsi="Arial" w:cs="Arial"/>
        </w:rPr>
        <w:t>, 1997).</w:t>
      </w:r>
    </w:p>
    <w:p w14:paraId="752F735A" w14:textId="7F43511C" w:rsidR="0088156E" w:rsidRPr="0019692A" w:rsidRDefault="0088156E" w:rsidP="00CF6FE9">
      <w:pPr>
        <w:pStyle w:val="Heading2"/>
        <w:spacing w:line="360" w:lineRule="auto"/>
        <w:rPr>
          <w:rFonts w:ascii="Arial" w:hAnsi="Arial" w:cs="Arial"/>
          <w:b/>
          <w:bCs/>
          <w:sz w:val="24"/>
          <w:szCs w:val="24"/>
        </w:rPr>
      </w:pPr>
      <w:bookmarkStart w:id="10" w:name="_Toc223435299"/>
      <w:r w:rsidRPr="0019692A">
        <w:rPr>
          <w:rFonts w:ascii="Arial" w:hAnsi="Arial" w:cs="Arial"/>
          <w:b/>
          <w:bCs/>
          <w:sz w:val="24"/>
          <w:szCs w:val="24"/>
        </w:rPr>
        <w:t>4.4 Learning and Growth Perspective</w:t>
      </w:r>
      <w:bookmarkEnd w:id="10"/>
    </w:p>
    <w:p w14:paraId="1FC694DF" w14:textId="798EB43D" w:rsidR="00D5416B" w:rsidRPr="00CF6FE9" w:rsidRDefault="00D5416B" w:rsidP="00CF6FE9">
      <w:pPr>
        <w:spacing w:line="360" w:lineRule="auto"/>
        <w:rPr>
          <w:rFonts w:ascii="Arial" w:hAnsi="Arial" w:cs="Arial"/>
        </w:rPr>
      </w:pPr>
      <w:r w:rsidRPr="00CF6FE9">
        <w:rPr>
          <w:rFonts w:ascii="Arial" w:hAnsi="Arial" w:cs="Arial"/>
        </w:rPr>
        <w:t>Strategic Objective: Maintain technological leadership and renew capabilities over time.</w:t>
      </w:r>
      <w:r w:rsidRPr="00CF6FE9">
        <w:rPr>
          <w:rFonts w:ascii="Arial" w:hAnsi="Arial" w:cs="Arial"/>
        </w:rPr>
        <w:br/>
        <w:t>Tesla’s long-term advantage increasingly depends on capability renewal in software, AI and battery innovation (Teece, 2018). Learning and growth therefore underpin the sustainability of differentiation as competitors close technological gaps.</w:t>
      </w:r>
      <w:r w:rsidRPr="00CF6FE9">
        <w:rPr>
          <w:rFonts w:ascii="Arial" w:hAnsi="Arial" w:cs="Arial"/>
        </w:rPr>
        <w:br/>
        <w:t>Key KPIs: R&amp;D investment levels; AI development milestones; employee technical retention; patent filings.</w:t>
      </w:r>
      <w:r w:rsidRPr="00CF6FE9">
        <w:rPr>
          <w:rFonts w:ascii="Arial" w:hAnsi="Arial" w:cs="Arial"/>
        </w:rPr>
        <w:br/>
        <w:t>Targets: Sustain high innovation intensity while retaining key technical talent and accelerating capability development in AI and software-enabled services.</w:t>
      </w:r>
      <w:r w:rsidRPr="00CF6FE9">
        <w:rPr>
          <w:rFonts w:ascii="Arial" w:hAnsi="Arial" w:cs="Arial"/>
        </w:rPr>
        <w:br/>
        <w:t xml:space="preserve">Strategic initiatives: Invest in advanced AI and software development teams, strengthen internal learning pathways and ensure knowledge retention mechanisms that reduce dependence on individual leadership decision-making. This supports dynamic capability renewal under sustained competitive pressure (Teece, Pisano and </w:t>
      </w:r>
      <w:proofErr w:type="spellStart"/>
      <w:r w:rsidRPr="00CF6FE9">
        <w:rPr>
          <w:rFonts w:ascii="Arial" w:hAnsi="Arial" w:cs="Arial"/>
        </w:rPr>
        <w:t>Shuen</w:t>
      </w:r>
      <w:proofErr w:type="spellEnd"/>
      <w:r w:rsidRPr="00CF6FE9">
        <w:rPr>
          <w:rFonts w:ascii="Arial" w:hAnsi="Arial" w:cs="Arial"/>
        </w:rPr>
        <w:t>, 1997).</w:t>
      </w:r>
    </w:p>
    <w:p w14:paraId="56F04AE8" w14:textId="77777777" w:rsidR="00D5416B" w:rsidRPr="00CF6FE9" w:rsidRDefault="00D5416B" w:rsidP="00CF6FE9">
      <w:pPr>
        <w:spacing w:line="360" w:lineRule="auto"/>
        <w:rPr>
          <w:rFonts w:ascii="Arial" w:hAnsi="Arial" w:cs="Arial"/>
        </w:rPr>
      </w:pPr>
      <w:r w:rsidRPr="00CF6FE9">
        <w:rPr>
          <w:rFonts w:ascii="Arial" w:hAnsi="Arial" w:cs="Arial"/>
        </w:rPr>
        <w:t>Overall alignment and execution logic</w:t>
      </w:r>
    </w:p>
    <w:p w14:paraId="700EAED2" w14:textId="5B769BFE" w:rsidR="00D5416B" w:rsidRPr="00CF6FE9" w:rsidRDefault="00D5416B" w:rsidP="00CF6FE9">
      <w:pPr>
        <w:spacing w:line="360" w:lineRule="auto"/>
        <w:rPr>
          <w:rFonts w:ascii="Arial" w:hAnsi="Arial" w:cs="Arial"/>
        </w:rPr>
      </w:pPr>
      <w:r w:rsidRPr="00CF6FE9">
        <w:rPr>
          <w:rFonts w:ascii="Arial" w:hAnsi="Arial" w:cs="Arial"/>
        </w:rPr>
        <w:lastRenderedPageBreak/>
        <w:t>The Balanced Scorecard demonstrates that Tesla’s strategic coherence depends on alignment between financial resilience, customer lock-in, operational discipline and capability renewal. Weakness in any dimension could undermine overall performance. In an increasingly competitive EV industry, success depends not only on innovation, but on operationalising strategy through measurable targets and reinforcing initiatives that sustain long-term competitive advantage (Kaplan and Norton, 1992; Porter, 2008).</w:t>
      </w:r>
    </w:p>
    <w:p w14:paraId="2368AFC8" w14:textId="470E336F" w:rsidR="0088156E" w:rsidRPr="00D57A7A" w:rsidRDefault="0088156E" w:rsidP="00CF6FE9">
      <w:pPr>
        <w:pStyle w:val="Heading1"/>
        <w:spacing w:line="360" w:lineRule="auto"/>
        <w:rPr>
          <w:rFonts w:ascii="Arial" w:hAnsi="Arial" w:cs="Arial"/>
          <w:b/>
          <w:bCs/>
          <w:sz w:val="24"/>
          <w:szCs w:val="24"/>
        </w:rPr>
      </w:pPr>
      <w:bookmarkStart w:id="11" w:name="_Toc223435300"/>
      <w:r w:rsidRPr="00D57A7A">
        <w:rPr>
          <w:rFonts w:ascii="Arial" w:hAnsi="Arial" w:cs="Arial"/>
          <w:b/>
          <w:bCs/>
          <w:sz w:val="24"/>
          <w:szCs w:val="24"/>
        </w:rPr>
        <w:t>5. Strategic Choices and Implementation</w:t>
      </w:r>
      <w:bookmarkEnd w:id="11"/>
      <w:r w:rsidRPr="00D57A7A">
        <w:rPr>
          <w:rFonts w:ascii="Arial" w:hAnsi="Arial" w:cs="Arial"/>
          <w:b/>
          <w:bCs/>
          <w:sz w:val="24"/>
          <w:szCs w:val="24"/>
        </w:rPr>
        <w:t xml:space="preserve"> </w:t>
      </w:r>
    </w:p>
    <w:p w14:paraId="78A0F473" w14:textId="5A9176DD" w:rsidR="0088156E" w:rsidRPr="00CF6FE9" w:rsidRDefault="0088156E" w:rsidP="00CF6FE9">
      <w:pPr>
        <w:spacing w:line="360" w:lineRule="auto"/>
        <w:rPr>
          <w:rFonts w:ascii="Arial" w:hAnsi="Arial" w:cs="Arial"/>
        </w:rPr>
      </w:pPr>
      <w:r w:rsidRPr="00CF6FE9">
        <w:rPr>
          <w:rFonts w:ascii="Arial" w:hAnsi="Arial" w:cs="Arial"/>
        </w:rPr>
        <w:t>Business-Level Strategy</w:t>
      </w:r>
    </w:p>
    <w:p w14:paraId="0606A4CC" w14:textId="1989F2AD" w:rsidR="0088156E" w:rsidRPr="00CF6FE9" w:rsidRDefault="0088156E" w:rsidP="00CF6FE9">
      <w:pPr>
        <w:spacing w:line="360" w:lineRule="auto"/>
        <w:rPr>
          <w:rFonts w:ascii="Arial" w:hAnsi="Arial" w:cs="Arial"/>
        </w:rPr>
      </w:pPr>
      <w:r w:rsidRPr="00CF6FE9">
        <w:rPr>
          <w:rFonts w:ascii="Arial" w:hAnsi="Arial" w:cs="Arial"/>
        </w:rPr>
        <w:t>Tesla primarily adopts a differentiation strategy (Porter, 2008), positioning itself as a technology-driven premium EV manufacturer. Differentiation is achieved through software integration, autonomous driving development and ecosystem connectivity rather than merely vehicle design.</w:t>
      </w:r>
    </w:p>
    <w:p w14:paraId="64220423" w14:textId="5C2F8A06" w:rsidR="0088156E" w:rsidRPr="00CF6FE9" w:rsidRDefault="0088156E" w:rsidP="00CF6FE9">
      <w:pPr>
        <w:spacing w:line="360" w:lineRule="auto"/>
        <w:rPr>
          <w:rFonts w:ascii="Arial" w:hAnsi="Arial" w:cs="Arial"/>
        </w:rPr>
      </w:pPr>
      <w:r w:rsidRPr="00CF6FE9">
        <w:rPr>
          <w:rFonts w:ascii="Arial" w:hAnsi="Arial" w:cs="Arial"/>
        </w:rPr>
        <w:t>However, intensifying rivalry within the EV market reduces differentiation durability. As battery costs decline (</w:t>
      </w:r>
      <w:proofErr w:type="spellStart"/>
      <w:r w:rsidRPr="00CF6FE9">
        <w:rPr>
          <w:rFonts w:ascii="Arial" w:hAnsi="Arial" w:cs="Arial"/>
        </w:rPr>
        <w:t>BloombergNEF</w:t>
      </w:r>
      <w:proofErr w:type="spellEnd"/>
      <w:r w:rsidRPr="00CF6FE9">
        <w:rPr>
          <w:rFonts w:ascii="Arial" w:hAnsi="Arial" w:cs="Arial"/>
        </w:rPr>
        <w:t>, 2023) and global manufacturers expand EV offerings (IEA, 2024), Tesla faces erosion of first-mover advantage.</w:t>
      </w:r>
    </w:p>
    <w:p w14:paraId="7AB71A64" w14:textId="08059E2A" w:rsidR="0088156E" w:rsidRPr="00CF6FE9" w:rsidRDefault="0088156E" w:rsidP="00CF6FE9">
      <w:pPr>
        <w:spacing w:line="360" w:lineRule="auto"/>
        <w:rPr>
          <w:rFonts w:ascii="Arial" w:hAnsi="Arial" w:cs="Arial"/>
        </w:rPr>
      </w:pPr>
      <w:r w:rsidRPr="00CF6FE9">
        <w:rPr>
          <w:rFonts w:ascii="Arial" w:hAnsi="Arial" w:cs="Arial"/>
        </w:rPr>
        <w:t>Strategically, Tesla must decide whether to defend premium differentiation or incorporate elements of cost leadership to protect volume growth. Hybrid positioning, if poorly managed, risks being “stuck in the middle” (Porter, 2008).</w:t>
      </w:r>
    </w:p>
    <w:p w14:paraId="1A3DE0C9" w14:textId="4ACB0CC5" w:rsidR="0088156E" w:rsidRPr="00CF6FE9" w:rsidRDefault="0088156E" w:rsidP="00CF6FE9">
      <w:pPr>
        <w:spacing w:line="360" w:lineRule="auto"/>
        <w:rPr>
          <w:rFonts w:ascii="Arial" w:hAnsi="Arial" w:cs="Arial"/>
        </w:rPr>
      </w:pPr>
      <w:r w:rsidRPr="00CF6FE9">
        <w:rPr>
          <w:rFonts w:ascii="Arial" w:hAnsi="Arial" w:cs="Arial"/>
        </w:rPr>
        <w:t>Corporate-Level Strategy</w:t>
      </w:r>
    </w:p>
    <w:p w14:paraId="420F02DC" w14:textId="6AB5ACCB" w:rsidR="0088156E" w:rsidRPr="00CF6FE9" w:rsidRDefault="0088156E" w:rsidP="00CF6FE9">
      <w:pPr>
        <w:spacing w:line="360" w:lineRule="auto"/>
        <w:rPr>
          <w:rFonts w:ascii="Arial" w:hAnsi="Arial" w:cs="Arial"/>
        </w:rPr>
      </w:pPr>
      <w:r w:rsidRPr="00CF6FE9">
        <w:rPr>
          <w:rFonts w:ascii="Arial" w:hAnsi="Arial" w:cs="Arial"/>
        </w:rPr>
        <w:t>Tesla’s corporate strategy reflects related diversification and vertical integration (Ansoff, 1957). Expansion into energy storage and solar aligns with leveraging battery and software competencies (Chen and Perez, 2018).</w:t>
      </w:r>
    </w:p>
    <w:p w14:paraId="371D74C4" w14:textId="56B2DD4F" w:rsidR="0088156E" w:rsidRPr="00CF6FE9" w:rsidRDefault="0088156E" w:rsidP="00CF6FE9">
      <w:pPr>
        <w:spacing w:line="360" w:lineRule="auto"/>
        <w:rPr>
          <w:rFonts w:ascii="Arial" w:hAnsi="Arial" w:cs="Arial"/>
        </w:rPr>
      </w:pPr>
      <w:r w:rsidRPr="00CF6FE9">
        <w:rPr>
          <w:rFonts w:ascii="Arial" w:hAnsi="Arial" w:cs="Arial"/>
        </w:rPr>
        <w:t xml:space="preserve">Global expansion into China and Europe reflects market development strategy. However, </w:t>
      </w:r>
      <w:proofErr w:type="spellStart"/>
      <w:r w:rsidRPr="00CF6FE9">
        <w:rPr>
          <w:rFonts w:ascii="Arial" w:hAnsi="Arial" w:cs="Arial"/>
        </w:rPr>
        <w:t>Ragonnaud</w:t>
      </w:r>
      <w:proofErr w:type="spellEnd"/>
      <w:r w:rsidRPr="00CF6FE9">
        <w:rPr>
          <w:rFonts w:ascii="Arial" w:hAnsi="Arial" w:cs="Arial"/>
        </w:rPr>
        <w:t xml:space="preserve"> (2024) highlights structural pressures within the EU automotive sector, increasing geopolitical complexity.</w:t>
      </w:r>
    </w:p>
    <w:p w14:paraId="25EA6BDB" w14:textId="0015437F" w:rsidR="0088156E" w:rsidRPr="00CF6FE9" w:rsidRDefault="0088156E" w:rsidP="00CF6FE9">
      <w:pPr>
        <w:spacing w:line="360" w:lineRule="auto"/>
        <w:rPr>
          <w:rFonts w:ascii="Arial" w:hAnsi="Arial" w:cs="Arial"/>
        </w:rPr>
      </w:pPr>
      <w:r w:rsidRPr="00CF6FE9">
        <w:rPr>
          <w:rFonts w:ascii="Arial" w:hAnsi="Arial" w:cs="Arial"/>
        </w:rPr>
        <w:t>Teece (2018) emphasises that business model innovation enhances strategic adaptability. Tesla’s subscription-based autonomous driving features represent business model evolution beyond hardware sales.</w:t>
      </w:r>
    </w:p>
    <w:p w14:paraId="384FCCC7" w14:textId="24A4C395" w:rsidR="0088156E" w:rsidRPr="00CF6FE9" w:rsidRDefault="0088156E" w:rsidP="00CF6FE9">
      <w:pPr>
        <w:spacing w:line="360" w:lineRule="auto"/>
        <w:rPr>
          <w:rFonts w:ascii="Arial" w:hAnsi="Arial" w:cs="Arial"/>
        </w:rPr>
      </w:pPr>
      <w:r w:rsidRPr="00CF6FE9">
        <w:rPr>
          <w:rFonts w:ascii="Arial" w:hAnsi="Arial" w:cs="Arial"/>
        </w:rPr>
        <w:lastRenderedPageBreak/>
        <w:t>Change Management and Strategic Implementation</w:t>
      </w:r>
    </w:p>
    <w:p w14:paraId="1FC89B48" w14:textId="5FF001D2" w:rsidR="0088156E" w:rsidRPr="00CF6FE9" w:rsidRDefault="0088156E" w:rsidP="00CF6FE9">
      <w:pPr>
        <w:spacing w:line="360" w:lineRule="auto"/>
        <w:rPr>
          <w:rFonts w:ascii="Arial" w:hAnsi="Arial" w:cs="Arial"/>
        </w:rPr>
      </w:pPr>
      <w:r w:rsidRPr="00CF6FE9">
        <w:rPr>
          <w:rFonts w:ascii="Arial" w:hAnsi="Arial" w:cs="Arial"/>
        </w:rPr>
        <w:t>Tesla demonstrates strong dynamic capabilities (Teece et al., 1997) through rapid factory scaling and innovation cycles. However, implementation volatility remains evident in production bottlenecks and leadership centralisation risks.</w:t>
      </w:r>
    </w:p>
    <w:p w14:paraId="1FC95532" w14:textId="6DF9D672" w:rsidR="0088156E" w:rsidRPr="00CF6FE9" w:rsidRDefault="0088156E" w:rsidP="00CF6FE9">
      <w:pPr>
        <w:spacing w:line="360" w:lineRule="auto"/>
        <w:rPr>
          <w:rFonts w:ascii="Arial" w:hAnsi="Arial" w:cs="Arial"/>
        </w:rPr>
      </w:pPr>
      <w:r w:rsidRPr="00CF6FE9">
        <w:rPr>
          <w:rFonts w:ascii="Arial" w:hAnsi="Arial" w:cs="Arial"/>
        </w:rPr>
        <w:t>Sustaining growth requires institutionalising processes while preserving entrepreneurial agility. Long-term implementation effectiveness depends on balancing innovation speed with operational discipline.</w:t>
      </w:r>
    </w:p>
    <w:p w14:paraId="181DF0F1" w14:textId="4BF26CC6" w:rsidR="0088156E" w:rsidRPr="00D57A7A" w:rsidRDefault="0088156E" w:rsidP="00CF6FE9">
      <w:pPr>
        <w:pStyle w:val="Heading1"/>
        <w:spacing w:line="360" w:lineRule="auto"/>
        <w:rPr>
          <w:rFonts w:ascii="Arial" w:hAnsi="Arial" w:cs="Arial"/>
          <w:b/>
          <w:bCs/>
          <w:sz w:val="24"/>
          <w:szCs w:val="24"/>
        </w:rPr>
      </w:pPr>
      <w:bookmarkStart w:id="12" w:name="_Toc223435301"/>
      <w:r w:rsidRPr="00D57A7A">
        <w:rPr>
          <w:rFonts w:ascii="Arial" w:hAnsi="Arial" w:cs="Arial"/>
          <w:b/>
          <w:bCs/>
          <w:sz w:val="24"/>
          <w:szCs w:val="24"/>
        </w:rPr>
        <w:t>6. Strategic Evaluation and Recommendations</w:t>
      </w:r>
      <w:bookmarkEnd w:id="12"/>
    </w:p>
    <w:p w14:paraId="5683C410" w14:textId="58B995DD" w:rsidR="0088156E" w:rsidRPr="00CF6FE9" w:rsidRDefault="0088156E" w:rsidP="00CF6FE9">
      <w:pPr>
        <w:spacing w:line="360" w:lineRule="auto"/>
        <w:rPr>
          <w:rFonts w:ascii="Arial" w:hAnsi="Arial" w:cs="Arial"/>
        </w:rPr>
      </w:pPr>
      <w:r w:rsidRPr="00CF6FE9">
        <w:rPr>
          <w:rFonts w:ascii="Arial" w:hAnsi="Arial" w:cs="Arial"/>
        </w:rPr>
        <w:t>SWOT Summary</w:t>
      </w:r>
    </w:p>
    <w:p w14:paraId="2890CD09" w14:textId="6A123CF6" w:rsidR="0088156E" w:rsidRPr="00CF6FE9" w:rsidRDefault="0088156E" w:rsidP="00CF6FE9">
      <w:pPr>
        <w:spacing w:line="360" w:lineRule="auto"/>
        <w:rPr>
          <w:rFonts w:ascii="Arial" w:hAnsi="Arial" w:cs="Arial"/>
        </w:rPr>
      </w:pPr>
      <w:r w:rsidRPr="00CF6FE9">
        <w:rPr>
          <w:rFonts w:ascii="Arial" w:hAnsi="Arial" w:cs="Arial"/>
        </w:rPr>
        <w:t>Strengths</w:t>
      </w:r>
    </w:p>
    <w:p w14:paraId="3A3DD4BD" w14:textId="1E9F8DDE" w:rsidR="0088156E" w:rsidRPr="00CF6FE9" w:rsidRDefault="0088156E" w:rsidP="00CF6FE9">
      <w:pPr>
        <w:pStyle w:val="ListParagraph"/>
        <w:numPr>
          <w:ilvl w:val="0"/>
          <w:numId w:val="1"/>
        </w:numPr>
        <w:spacing w:line="360" w:lineRule="auto"/>
        <w:rPr>
          <w:rFonts w:ascii="Arial" w:hAnsi="Arial" w:cs="Arial"/>
        </w:rPr>
      </w:pPr>
      <w:r w:rsidRPr="00CF6FE9">
        <w:rPr>
          <w:rFonts w:ascii="Arial" w:hAnsi="Arial" w:cs="Arial"/>
        </w:rPr>
        <w:t>Brand equity</w:t>
      </w:r>
    </w:p>
    <w:p w14:paraId="213C5538" w14:textId="077ACA4B" w:rsidR="0088156E" w:rsidRPr="00CF6FE9" w:rsidRDefault="0088156E" w:rsidP="00CF6FE9">
      <w:pPr>
        <w:pStyle w:val="ListParagraph"/>
        <w:numPr>
          <w:ilvl w:val="0"/>
          <w:numId w:val="1"/>
        </w:numPr>
        <w:spacing w:line="360" w:lineRule="auto"/>
        <w:rPr>
          <w:rFonts w:ascii="Arial" w:hAnsi="Arial" w:cs="Arial"/>
        </w:rPr>
      </w:pPr>
      <w:r w:rsidRPr="00CF6FE9">
        <w:rPr>
          <w:rFonts w:ascii="Arial" w:hAnsi="Arial" w:cs="Arial"/>
        </w:rPr>
        <w:t>Technological leadership</w:t>
      </w:r>
    </w:p>
    <w:p w14:paraId="2267D611" w14:textId="435DFB34" w:rsidR="0088156E" w:rsidRPr="00CF6FE9" w:rsidRDefault="0088156E" w:rsidP="00CF6FE9">
      <w:pPr>
        <w:pStyle w:val="ListParagraph"/>
        <w:numPr>
          <w:ilvl w:val="0"/>
          <w:numId w:val="1"/>
        </w:numPr>
        <w:spacing w:line="360" w:lineRule="auto"/>
        <w:rPr>
          <w:rFonts w:ascii="Arial" w:hAnsi="Arial" w:cs="Arial"/>
        </w:rPr>
      </w:pPr>
      <w:r w:rsidRPr="00CF6FE9">
        <w:rPr>
          <w:rFonts w:ascii="Arial" w:hAnsi="Arial" w:cs="Arial"/>
        </w:rPr>
        <w:t>Vertical integration</w:t>
      </w:r>
    </w:p>
    <w:p w14:paraId="0A29FA5C" w14:textId="7C33846A" w:rsidR="0088156E" w:rsidRPr="00CF6FE9" w:rsidRDefault="0088156E" w:rsidP="00CF6FE9">
      <w:pPr>
        <w:pStyle w:val="ListParagraph"/>
        <w:numPr>
          <w:ilvl w:val="0"/>
          <w:numId w:val="1"/>
        </w:numPr>
        <w:spacing w:line="360" w:lineRule="auto"/>
        <w:rPr>
          <w:rFonts w:ascii="Arial" w:hAnsi="Arial" w:cs="Arial"/>
        </w:rPr>
      </w:pPr>
      <w:r w:rsidRPr="00CF6FE9">
        <w:rPr>
          <w:rFonts w:ascii="Arial" w:hAnsi="Arial" w:cs="Arial"/>
        </w:rPr>
        <w:t>Ecosystem integration</w:t>
      </w:r>
    </w:p>
    <w:p w14:paraId="61D192CF" w14:textId="1BC89CA0" w:rsidR="0088156E" w:rsidRPr="00CF6FE9" w:rsidRDefault="0088156E" w:rsidP="00CF6FE9">
      <w:pPr>
        <w:spacing w:line="360" w:lineRule="auto"/>
        <w:rPr>
          <w:rFonts w:ascii="Arial" w:hAnsi="Arial" w:cs="Arial"/>
        </w:rPr>
      </w:pPr>
      <w:r w:rsidRPr="00CF6FE9">
        <w:rPr>
          <w:rFonts w:ascii="Arial" w:hAnsi="Arial" w:cs="Arial"/>
        </w:rPr>
        <w:t>Weaknesses</w:t>
      </w:r>
    </w:p>
    <w:p w14:paraId="7550898E" w14:textId="71D1E199" w:rsidR="0088156E" w:rsidRPr="00CF6FE9" w:rsidRDefault="0088156E" w:rsidP="00CF6FE9">
      <w:pPr>
        <w:pStyle w:val="ListParagraph"/>
        <w:numPr>
          <w:ilvl w:val="0"/>
          <w:numId w:val="2"/>
        </w:numPr>
        <w:spacing w:line="360" w:lineRule="auto"/>
        <w:rPr>
          <w:rFonts w:ascii="Arial" w:hAnsi="Arial" w:cs="Arial"/>
        </w:rPr>
      </w:pPr>
      <w:r w:rsidRPr="00CF6FE9">
        <w:rPr>
          <w:rFonts w:ascii="Arial" w:hAnsi="Arial" w:cs="Arial"/>
        </w:rPr>
        <w:t>Narrow revenue concentration</w:t>
      </w:r>
    </w:p>
    <w:p w14:paraId="5480FF07" w14:textId="308B79F1" w:rsidR="0088156E" w:rsidRPr="00CF6FE9" w:rsidRDefault="0088156E" w:rsidP="00CF6FE9">
      <w:pPr>
        <w:pStyle w:val="ListParagraph"/>
        <w:numPr>
          <w:ilvl w:val="0"/>
          <w:numId w:val="2"/>
        </w:numPr>
        <w:spacing w:line="360" w:lineRule="auto"/>
        <w:rPr>
          <w:rFonts w:ascii="Arial" w:hAnsi="Arial" w:cs="Arial"/>
        </w:rPr>
      </w:pPr>
      <w:r w:rsidRPr="00CF6FE9">
        <w:rPr>
          <w:rFonts w:ascii="Arial" w:hAnsi="Arial" w:cs="Arial"/>
        </w:rPr>
        <w:t>Pricing volatility</w:t>
      </w:r>
    </w:p>
    <w:p w14:paraId="5624E2C8" w14:textId="43663722" w:rsidR="0088156E" w:rsidRPr="00CF6FE9" w:rsidRDefault="0088156E" w:rsidP="00CF6FE9">
      <w:pPr>
        <w:pStyle w:val="ListParagraph"/>
        <w:numPr>
          <w:ilvl w:val="0"/>
          <w:numId w:val="2"/>
        </w:numPr>
        <w:spacing w:line="360" w:lineRule="auto"/>
        <w:rPr>
          <w:rFonts w:ascii="Arial" w:hAnsi="Arial" w:cs="Arial"/>
        </w:rPr>
      </w:pPr>
      <w:r w:rsidRPr="00CF6FE9">
        <w:rPr>
          <w:rFonts w:ascii="Arial" w:hAnsi="Arial" w:cs="Arial"/>
        </w:rPr>
        <w:t>Leadership centralisation</w:t>
      </w:r>
    </w:p>
    <w:p w14:paraId="512DCFDC" w14:textId="722FD857" w:rsidR="0088156E" w:rsidRPr="00CF6FE9" w:rsidRDefault="0088156E" w:rsidP="00CF6FE9">
      <w:pPr>
        <w:spacing w:line="360" w:lineRule="auto"/>
        <w:rPr>
          <w:rFonts w:ascii="Arial" w:hAnsi="Arial" w:cs="Arial"/>
        </w:rPr>
      </w:pPr>
      <w:r w:rsidRPr="00CF6FE9">
        <w:rPr>
          <w:rFonts w:ascii="Arial" w:hAnsi="Arial" w:cs="Arial"/>
        </w:rPr>
        <w:t>Opportunities</w:t>
      </w:r>
    </w:p>
    <w:p w14:paraId="47E47B68" w14:textId="3AD0AAA9" w:rsidR="0088156E" w:rsidRPr="00CF6FE9" w:rsidRDefault="0088156E" w:rsidP="00CF6FE9">
      <w:pPr>
        <w:pStyle w:val="ListParagraph"/>
        <w:numPr>
          <w:ilvl w:val="0"/>
          <w:numId w:val="3"/>
        </w:numPr>
        <w:spacing w:line="360" w:lineRule="auto"/>
        <w:rPr>
          <w:rFonts w:ascii="Arial" w:hAnsi="Arial" w:cs="Arial"/>
        </w:rPr>
      </w:pPr>
      <w:r w:rsidRPr="00CF6FE9">
        <w:rPr>
          <w:rFonts w:ascii="Arial" w:hAnsi="Arial" w:cs="Arial"/>
        </w:rPr>
        <w:t>Global EV expansion (IEA, 2024)</w:t>
      </w:r>
    </w:p>
    <w:p w14:paraId="15823047" w14:textId="128CB38C" w:rsidR="0088156E" w:rsidRPr="00CF6FE9" w:rsidRDefault="0088156E" w:rsidP="00CF6FE9">
      <w:pPr>
        <w:pStyle w:val="ListParagraph"/>
        <w:numPr>
          <w:ilvl w:val="0"/>
          <w:numId w:val="3"/>
        </w:numPr>
        <w:spacing w:line="360" w:lineRule="auto"/>
        <w:rPr>
          <w:rFonts w:ascii="Arial" w:hAnsi="Arial" w:cs="Arial"/>
        </w:rPr>
      </w:pPr>
      <w:r w:rsidRPr="00CF6FE9">
        <w:rPr>
          <w:rFonts w:ascii="Arial" w:hAnsi="Arial" w:cs="Arial"/>
        </w:rPr>
        <w:t>Battery cost decline</w:t>
      </w:r>
    </w:p>
    <w:p w14:paraId="3C9BD749" w14:textId="2A36C768" w:rsidR="0088156E" w:rsidRPr="00CF6FE9" w:rsidRDefault="0088156E" w:rsidP="00CF6FE9">
      <w:pPr>
        <w:pStyle w:val="ListParagraph"/>
        <w:numPr>
          <w:ilvl w:val="0"/>
          <w:numId w:val="3"/>
        </w:numPr>
        <w:spacing w:line="360" w:lineRule="auto"/>
        <w:rPr>
          <w:rFonts w:ascii="Arial" w:hAnsi="Arial" w:cs="Arial"/>
        </w:rPr>
      </w:pPr>
      <w:r w:rsidRPr="00CF6FE9">
        <w:rPr>
          <w:rFonts w:ascii="Arial" w:hAnsi="Arial" w:cs="Arial"/>
        </w:rPr>
        <w:t>Energy ecosystem integration</w:t>
      </w:r>
    </w:p>
    <w:p w14:paraId="09DCF48F" w14:textId="0287AE4F" w:rsidR="0088156E" w:rsidRPr="00CF6FE9" w:rsidRDefault="0088156E" w:rsidP="00CF6FE9">
      <w:pPr>
        <w:spacing w:line="360" w:lineRule="auto"/>
        <w:rPr>
          <w:rFonts w:ascii="Arial" w:hAnsi="Arial" w:cs="Arial"/>
        </w:rPr>
      </w:pPr>
      <w:r w:rsidRPr="00CF6FE9">
        <w:rPr>
          <w:rFonts w:ascii="Arial" w:hAnsi="Arial" w:cs="Arial"/>
        </w:rPr>
        <w:t>Threats</w:t>
      </w:r>
    </w:p>
    <w:p w14:paraId="748C9B4C" w14:textId="0814016F" w:rsidR="0088156E" w:rsidRPr="00CF6FE9" w:rsidRDefault="0088156E" w:rsidP="00CF6FE9">
      <w:pPr>
        <w:pStyle w:val="ListParagraph"/>
        <w:numPr>
          <w:ilvl w:val="0"/>
          <w:numId w:val="4"/>
        </w:numPr>
        <w:spacing w:line="360" w:lineRule="auto"/>
        <w:rPr>
          <w:rFonts w:ascii="Arial" w:hAnsi="Arial" w:cs="Arial"/>
        </w:rPr>
      </w:pPr>
      <w:r w:rsidRPr="00CF6FE9">
        <w:rPr>
          <w:rFonts w:ascii="Arial" w:hAnsi="Arial" w:cs="Arial"/>
        </w:rPr>
        <w:t>Intensifying competition</w:t>
      </w:r>
    </w:p>
    <w:p w14:paraId="07272BF8" w14:textId="00C45C42" w:rsidR="0088156E" w:rsidRPr="00CF6FE9" w:rsidRDefault="0088156E" w:rsidP="00CF6FE9">
      <w:pPr>
        <w:pStyle w:val="ListParagraph"/>
        <w:numPr>
          <w:ilvl w:val="0"/>
          <w:numId w:val="4"/>
        </w:numPr>
        <w:spacing w:line="360" w:lineRule="auto"/>
        <w:rPr>
          <w:rFonts w:ascii="Arial" w:hAnsi="Arial" w:cs="Arial"/>
        </w:rPr>
      </w:pPr>
      <w:r w:rsidRPr="00CF6FE9">
        <w:rPr>
          <w:rFonts w:ascii="Arial" w:hAnsi="Arial" w:cs="Arial"/>
        </w:rPr>
        <w:t>Regulatory tightening (</w:t>
      </w:r>
      <w:proofErr w:type="spellStart"/>
      <w:r w:rsidRPr="00CF6FE9">
        <w:rPr>
          <w:rFonts w:ascii="Arial" w:hAnsi="Arial" w:cs="Arial"/>
        </w:rPr>
        <w:t>Ragonnaud</w:t>
      </w:r>
      <w:proofErr w:type="spellEnd"/>
      <w:r w:rsidRPr="00CF6FE9">
        <w:rPr>
          <w:rFonts w:ascii="Arial" w:hAnsi="Arial" w:cs="Arial"/>
        </w:rPr>
        <w:t>, 2024)</w:t>
      </w:r>
    </w:p>
    <w:p w14:paraId="503C24DE" w14:textId="60BF8FC2" w:rsidR="0088156E" w:rsidRPr="00CF6FE9" w:rsidRDefault="0088156E" w:rsidP="00CF6FE9">
      <w:pPr>
        <w:pStyle w:val="ListParagraph"/>
        <w:numPr>
          <w:ilvl w:val="0"/>
          <w:numId w:val="4"/>
        </w:numPr>
        <w:spacing w:line="360" w:lineRule="auto"/>
        <w:rPr>
          <w:rFonts w:ascii="Arial" w:hAnsi="Arial" w:cs="Arial"/>
        </w:rPr>
      </w:pPr>
      <w:r w:rsidRPr="00CF6FE9">
        <w:rPr>
          <w:rFonts w:ascii="Arial" w:hAnsi="Arial" w:cs="Arial"/>
        </w:rPr>
        <w:t>Global economic instability (World Economic Forum, 2024)</w:t>
      </w:r>
    </w:p>
    <w:p w14:paraId="069E6804" w14:textId="45E6C0D7" w:rsidR="0088156E" w:rsidRPr="00CF6FE9" w:rsidRDefault="0088156E" w:rsidP="00CF6FE9">
      <w:pPr>
        <w:spacing w:line="360" w:lineRule="auto"/>
        <w:rPr>
          <w:rFonts w:ascii="Arial" w:hAnsi="Arial" w:cs="Arial"/>
        </w:rPr>
      </w:pPr>
      <w:r w:rsidRPr="00CF6FE9">
        <w:rPr>
          <w:rFonts w:ascii="Arial" w:hAnsi="Arial" w:cs="Arial"/>
        </w:rPr>
        <w:t>Critical Strategic Evaluation</w:t>
      </w:r>
    </w:p>
    <w:p w14:paraId="270A0DE6" w14:textId="4080C608" w:rsidR="0088156E" w:rsidRPr="00CF6FE9" w:rsidRDefault="0088156E" w:rsidP="00CF6FE9">
      <w:pPr>
        <w:spacing w:line="360" w:lineRule="auto"/>
        <w:rPr>
          <w:rFonts w:ascii="Arial" w:hAnsi="Arial" w:cs="Arial"/>
        </w:rPr>
      </w:pPr>
      <w:r w:rsidRPr="00CF6FE9">
        <w:rPr>
          <w:rFonts w:ascii="Arial" w:hAnsi="Arial" w:cs="Arial"/>
        </w:rPr>
        <w:lastRenderedPageBreak/>
        <w:t>Porter’s (2008) Five Forces framework suggests increasing rivalry and buyer power as EV markets mature. As sustainability becomes industry baseline (United Nations, 2023), differentiation must shift toward software and AI-driven ecosystem lock-in.</w:t>
      </w:r>
    </w:p>
    <w:p w14:paraId="483BC23E" w14:textId="47C40453" w:rsidR="0088156E" w:rsidRPr="00CF6FE9" w:rsidRDefault="0088156E" w:rsidP="00CF6FE9">
      <w:pPr>
        <w:spacing w:line="360" w:lineRule="auto"/>
        <w:rPr>
          <w:rFonts w:ascii="Arial" w:hAnsi="Arial" w:cs="Arial"/>
        </w:rPr>
      </w:pPr>
      <w:r w:rsidRPr="00CF6FE9">
        <w:rPr>
          <w:rFonts w:ascii="Arial" w:hAnsi="Arial" w:cs="Arial"/>
        </w:rPr>
        <w:t>Barney (1991) argues that sustainable advantage depends on inimitable resources. Tesla’s most defensible asset appears to be data accumulation and AI integration rather than vehicle manufacturing alone.</w:t>
      </w:r>
    </w:p>
    <w:p w14:paraId="3B970447" w14:textId="77777777" w:rsidR="00403EE2" w:rsidRPr="00CF6FE9" w:rsidRDefault="00403EE2" w:rsidP="00CF6FE9">
      <w:pPr>
        <w:spacing w:line="360" w:lineRule="auto"/>
        <w:rPr>
          <w:rFonts w:ascii="Arial" w:hAnsi="Arial" w:cs="Arial"/>
        </w:rPr>
      </w:pPr>
      <w:r w:rsidRPr="00CF6FE9">
        <w:rPr>
          <w:rFonts w:ascii="Arial" w:hAnsi="Arial" w:cs="Arial"/>
        </w:rPr>
        <w:t>Ansoff Matrix Strategic Evaluation</w:t>
      </w:r>
    </w:p>
    <w:p w14:paraId="344893F0" w14:textId="40352E89" w:rsidR="00403EE2" w:rsidRPr="00CF6FE9" w:rsidRDefault="00403EE2" w:rsidP="00CF6FE9">
      <w:pPr>
        <w:spacing w:line="360" w:lineRule="auto"/>
        <w:rPr>
          <w:rFonts w:ascii="Arial" w:hAnsi="Arial" w:cs="Arial"/>
        </w:rPr>
      </w:pPr>
      <w:r w:rsidRPr="00CF6FE9">
        <w:rPr>
          <w:rFonts w:ascii="Arial" w:hAnsi="Arial" w:cs="Arial"/>
        </w:rPr>
        <w:t xml:space="preserve">Applying Ansoff’s (1957) growth matrix further clarifies Tesla’s strategic risk exposure. Market penetration through price adjustments aims to increase EV adoption within existing markets; however, aggressive pricing compresses margins and may undermine premium brand positioning. Product development, particularly in autonomous driving software and next-generation battery platforms, offers higher-margin differentiation but involves substantial R&amp;D investment and regulatory uncertainty. Market development through expansion in emerging economies introduces growth </w:t>
      </w:r>
      <w:proofErr w:type="gramStart"/>
      <w:r w:rsidRPr="00CF6FE9">
        <w:rPr>
          <w:rFonts w:ascii="Arial" w:hAnsi="Arial" w:cs="Arial"/>
        </w:rPr>
        <w:t>opportunities, yet</w:t>
      </w:r>
      <w:proofErr w:type="gramEnd"/>
      <w:r w:rsidRPr="00CF6FE9">
        <w:rPr>
          <w:rFonts w:ascii="Arial" w:hAnsi="Arial" w:cs="Arial"/>
        </w:rPr>
        <w:t xml:space="preserve"> exposes Tesla to political volatility and infrastructure constraints. Related diversification into energy storage and solar solutions aligns with Tesla’s core battery and software capabilities, representing the lowest conceptual risk under Ansoff’s framework. However, diversification increases managerial complexity and capital requirements. Strategically, Tesla’s most sustainable pathway appears to prioritise product development and ecosystem deepening over aggressive market penetration, preserving differentiation while cautiously expanding into adjacent energy markets.</w:t>
      </w:r>
    </w:p>
    <w:p w14:paraId="5F602033" w14:textId="77777777" w:rsidR="00403EE2" w:rsidRPr="00CF6FE9" w:rsidRDefault="00403EE2" w:rsidP="00CF6FE9">
      <w:pPr>
        <w:spacing w:line="360" w:lineRule="auto"/>
        <w:rPr>
          <w:rFonts w:ascii="Arial" w:hAnsi="Arial" w:cs="Arial"/>
        </w:rPr>
      </w:pPr>
      <w:r w:rsidRPr="00CF6FE9">
        <w:rPr>
          <w:rFonts w:ascii="Arial" w:hAnsi="Arial" w:cs="Arial"/>
        </w:rPr>
        <w:t>Strategic Trade-Offs and Competitive Positioning</w:t>
      </w:r>
    </w:p>
    <w:p w14:paraId="367F2C24" w14:textId="52E898A7" w:rsidR="00403EE2" w:rsidRPr="00CF6FE9" w:rsidRDefault="00403EE2" w:rsidP="00CF6FE9">
      <w:pPr>
        <w:spacing w:line="360" w:lineRule="auto"/>
        <w:rPr>
          <w:rFonts w:ascii="Arial" w:hAnsi="Arial" w:cs="Arial"/>
        </w:rPr>
      </w:pPr>
      <w:r w:rsidRPr="00CF6FE9">
        <w:rPr>
          <w:rFonts w:ascii="Arial" w:hAnsi="Arial" w:cs="Arial"/>
        </w:rPr>
        <w:t>Tesla’s central strategic tension lies between differentiation and scale-driven cost optimisation. Porter (2008) cautions against hybrid positioning that risks being “stuck in the middle.” While selective cost reductions may increase accessibility, excessive price competition could erode brand distinctiveness and long-term margin resilience. Conversely, overemphasis on premium positioning limits volume expansion and market share growth. The optimal strategic balance therefore requires maintaining technological leadership and ecosystem integration while gradually improving cost efficiency through process innovation rather than headline price cuts.</w:t>
      </w:r>
    </w:p>
    <w:p w14:paraId="47CD2B42" w14:textId="77777777" w:rsidR="00403EE2" w:rsidRPr="00CF6FE9" w:rsidRDefault="00403EE2" w:rsidP="00CF6FE9">
      <w:pPr>
        <w:spacing w:line="360" w:lineRule="auto"/>
        <w:rPr>
          <w:rFonts w:ascii="Arial" w:hAnsi="Arial" w:cs="Arial"/>
        </w:rPr>
      </w:pPr>
      <w:r w:rsidRPr="00CF6FE9">
        <w:rPr>
          <w:rFonts w:ascii="Arial" w:hAnsi="Arial" w:cs="Arial"/>
        </w:rPr>
        <w:lastRenderedPageBreak/>
        <w:t>Scenario-Based Industry Outlook</w:t>
      </w:r>
    </w:p>
    <w:p w14:paraId="3F4FDB3D" w14:textId="28DD7545" w:rsidR="00403EE2" w:rsidRPr="00CF6FE9" w:rsidRDefault="00403EE2" w:rsidP="00CF6FE9">
      <w:pPr>
        <w:spacing w:line="360" w:lineRule="auto"/>
        <w:rPr>
          <w:rFonts w:ascii="Arial" w:hAnsi="Arial" w:cs="Arial"/>
        </w:rPr>
      </w:pPr>
      <w:r w:rsidRPr="00CF6FE9">
        <w:rPr>
          <w:rFonts w:ascii="Arial" w:hAnsi="Arial" w:cs="Arial"/>
        </w:rPr>
        <w:t xml:space="preserve">Future industry dynamics remain uncertain. Under an optimistic scenario of accelerated global electrification, supported by continued regulatory incentives and falling battery costs (IEA, 2024; </w:t>
      </w:r>
      <w:proofErr w:type="spellStart"/>
      <w:r w:rsidRPr="00CF6FE9">
        <w:rPr>
          <w:rFonts w:ascii="Arial" w:hAnsi="Arial" w:cs="Arial"/>
        </w:rPr>
        <w:t>BloombergNEF</w:t>
      </w:r>
      <w:proofErr w:type="spellEnd"/>
      <w:r w:rsidRPr="00CF6FE9">
        <w:rPr>
          <w:rFonts w:ascii="Arial" w:hAnsi="Arial" w:cs="Arial"/>
        </w:rPr>
        <w:t>, 2023), Tesla’s scale and innovation capacity could reinforce market leadership. However, under a constrained scenario characterised by economic contraction, reduced subsidies and intensified competition, margin pressures may intensify significantly. In such an environment, firms with diversified revenue streams and strong ecosystem lock-in would demonstrate greater resilience. Tesla’s expansion into energy storage and subscription-based software revenue therefore provides partial insulation against automotive cyclicality.</w:t>
      </w:r>
    </w:p>
    <w:p w14:paraId="3733F6DE" w14:textId="77777777" w:rsidR="00D5416B" w:rsidRPr="00CF6FE9" w:rsidRDefault="00D5416B" w:rsidP="00CF6FE9">
      <w:pPr>
        <w:spacing w:line="360" w:lineRule="auto"/>
        <w:rPr>
          <w:rFonts w:ascii="Arial" w:hAnsi="Arial" w:cs="Arial"/>
        </w:rPr>
      </w:pPr>
      <w:r w:rsidRPr="00CF6FE9">
        <w:rPr>
          <w:rFonts w:ascii="Arial" w:hAnsi="Arial" w:cs="Arial"/>
        </w:rPr>
        <w:t>Strategic Judgement</w:t>
      </w:r>
    </w:p>
    <w:p w14:paraId="5F9260EA" w14:textId="77777777" w:rsidR="00D5416B" w:rsidRPr="00CF6FE9" w:rsidRDefault="00D5416B" w:rsidP="00CF6FE9">
      <w:pPr>
        <w:spacing w:line="360" w:lineRule="auto"/>
        <w:rPr>
          <w:rFonts w:ascii="Arial" w:hAnsi="Arial" w:cs="Arial"/>
        </w:rPr>
      </w:pPr>
      <w:r w:rsidRPr="00CF6FE9">
        <w:rPr>
          <w:rFonts w:ascii="Arial" w:hAnsi="Arial" w:cs="Arial"/>
        </w:rPr>
        <w:t>Overall, Tesla’s long-term sustainability depends on consolidating its position as a technology and energy platform rather than competing solely as an automotive manufacturer. The analysis demonstrates that hardware-based differentiation is gradually eroding as battery technology becomes more standardised and competitors scale production. Consequently, Tesla’s strategic priority should be deepening software integration, AI capability and ecosystem lock-in, as these represent the most defensible VRIO-aligned resources (Barney, 1991).</w:t>
      </w:r>
    </w:p>
    <w:p w14:paraId="0D9CC8AD" w14:textId="77777777" w:rsidR="00D5416B" w:rsidRPr="00CF6FE9" w:rsidRDefault="00D5416B" w:rsidP="00CF6FE9">
      <w:pPr>
        <w:spacing w:line="360" w:lineRule="auto"/>
        <w:rPr>
          <w:rFonts w:ascii="Arial" w:hAnsi="Arial" w:cs="Arial"/>
        </w:rPr>
      </w:pPr>
      <w:r w:rsidRPr="00CF6FE9">
        <w:rPr>
          <w:rFonts w:ascii="Arial" w:hAnsi="Arial" w:cs="Arial"/>
        </w:rPr>
        <w:t>In practical terms, Tesla should prioritise product development in autonomous systems and subscription-based services over aggressive price-led market penetration. While selective cost optimisation remains necessary to maintain competitiveness, sustained price competition risks undermining brand equity and long-term margin resilience. Instead, competitive advantage should be reinforced through expanding recurring revenue streams, particularly software upgrades and integrated energy solutions, which reduce reliance on cyclical vehicle sales.</w:t>
      </w:r>
    </w:p>
    <w:p w14:paraId="52CB5C41" w14:textId="77777777" w:rsidR="00D5416B" w:rsidRPr="00CF6FE9" w:rsidRDefault="00D5416B" w:rsidP="00CF6FE9">
      <w:pPr>
        <w:spacing w:line="360" w:lineRule="auto"/>
        <w:rPr>
          <w:rFonts w:ascii="Arial" w:hAnsi="Arial" w:cs="Arial"/>
        </w:rPr>
      </w:pPr>
      <w:r w:rsidRPr="00CF6FE9">
        <w:rPr>
          <w:rFonts w:ascii="Arial" w:hAnsi="Arial" w:cs="Arial"/>
        </w:rPr>
        <w:t>Furthermore, capital allocation discipline must become central to Tesla’s next growth phase. Rapid global expansion has strengthened scale advantages but also increased fixed-cost exposure. Strategic resilience therefore requires balancing innovation intensity with operational maturity, governance robustness and measured geographic expansion.</w:t>
      </w:r>
    </w:p>
    <w:p w14:paraId="7A370D41" w14:textId="5E9F076C" w:rsidR="00D5416B" w:rsidRPr="00CF6FE9" w:rsidRDefault="00D5416B" w:rsidP="00CF6FE9">
      <w:pPr>
        <w:spacing w:line="360" w:lineRule="auto"/>
        <w:rPr>
          <w:rFonts w:ascii="Arial" w:hAnsi="Arial" w:cs="Arial"/>
        </w:rPr>
      </w:pPr>
      <w:r w:rsidRPr="00CF6FE9">
        <w:rPr>
          <w:rFonts w:ascii="Arial" w:hAnsi="Arial" w:cs="Arial"/>
        </w:rPr>
        <w:lastRenderedPageBreak/>
        <w:t>Ultimately, Tesla’s future competitive position will be determined not by its ability to disrupt the industry again, but by its capacity to institutionalise adaptive capabilities, protect intangible advantages and maintain profitability within an increasingly mature and competitive EV market. Strategic success will therefore hinge on disciplined ecosystem consolidation rather than perpetual disruption (Teece, 2018).</w:t>
      </w:r>
    </w:p>
    <w:p w14:paraId="4285B679" w14:textId="1C0A7D07" w:rsidR="007D2E95" w:rsidRPr="00CF6FE9" w:rsidRDefault="007D2E95" w:rsidP="00CF6FE9">
      <w:pPr>
        <w:spacing w:line="360" w:lineRule="auto"/>
        <w:rPr>
          <w:rFonts w:ascii="Arial" w:hAnsi="Arial" w:cs="Arial"/>
        </w:rPr>
      </w:pPr>
      <w:r w:rsidRPr="00CF6FE9">
        <w:rPr>
          <w:rFonts w:ascii="Arial" w:hAnsi="Arial" w:cs="Arial"/>
        </w:rPr>
        <w:t>The preceding analysis demonstrates that Tesla’s competitive position remains strong but increasingly contested. Sustained advantage will depend less on technological novelty and more on structural defensibility, ecosystem consolidation and disciplined capital deployment.</w:t>
      </w:r>
    </w:p>
    <w:p w14:paraId="21D1F47B" w14:textId="77777777" w:rsidR="00D5416B" w:rsidRPr="00CF6FE9" w:rsidRDefault="00D5416B" w:rsidP="00CF6FE9">
      <w:pPr>
        <w:spacing w:line="360" w:lineRule="auto"/>
        <w:rPr>
          <w:rFonts w:ascii="Arial" w:hAnsi="Arial" w:cs="Arial"/>
        </w:rPr>
      </w:pPr>
      <w:r w:rsidRPr="00CF6FE9">
        <w:rPr>
          <w:rFonts w:ascii="Arial" w:hAnsi="Arial" w:cs="Arial"/>
        </w:rPr>
        <w:t>Strategic Recommendations</w:t>
      </w:r>
    </w:p>
    <w:p w14:paraId="0E9CC9FC" w14:textId="77777777" w:rsidR="00D5416B" w:rsidRPr="00CF6FE9" w:rsidRDefault="00D5416B" w:rsidP="00CF6FE9">
      <w:pPr>
        <w:pStyle w:val="ListParagraph"/>
        <w:numPr>
          <w:ilvl w:val="0"/>
          <w:numId w:val="5"/>
        </w:numPr>
        <w:spacing w:line="360" w:lineRule="auto"/>
        <w:rPr>
          <w:rFonts w:ascii="Arial" w:hAnsi="Arial" w:cs="Arial"/>
        </w:rPr>
      </w:pPr>
      <w:r w:rsidRPr="00CF6FE9">
        <w:rPr>
          <w:rFonts w:ascii="Arial" w:hAnsi="Arial" w:cs="Arial"/>
        </w:rPr>
        <w:t>Reposition as AI-Energy Platform Company</w:t>
      </w:r>
    </w:p>
    <w:p w14:paraId="2FFD7DF9" w14:textId="77777777" w:rsidR="00D5416B" w:rsidRPr="00CF6FE9" w:rsidRDefault="00D5416B" w:rsidP="00CF6FE9">
      <w:pPr>
        <w:spacing w:line="360" w:lineRule="auto"/>
        <w:rPr>
          <w:rFonts w:ascii="Arial" w:hAnsi="Arial" w:cs="Arial"/>
        </w:rPr>
      </w:pPr>
      <w:r w:rsidRPr="00CF6FE9">
        <w:rPr>
          <w:rFonts w:ascii="Arial" w:hAnsi="Arial" w:cs="Arial"/>
        </w:rPr>
        <w:t>Leverage software subscription models to reduce reliance on hardware margins (Teece, 2018).</w:t>
      </w:r>
    </w:p>
    <w:p w14:paraId="2AD6807E" w14:textId="77777777" w:rsidR="00D5416B" w:rsidRPr="00CF6FE9" w:rsidRDefault="00D5416B" w:rsidP="00CF6FE9">
      <w:pPr>
        <w:pStyle w:val="ListParagraph"/>
        <w:numPr>
          <w:ilvl w:val="0"/>
          <w:numId w:val="5"/>
        </w:numPr>
        <w:spacing w:line="360" w:lineRule="auto"/>
        <w:rPr>
          <w:rFonts w:ascii="Arial" w:hAnsi="Arial" w:cs="Arial"/>
        </w:rPr>
      </w:pPr>
      <w:r w:rsidRPr="00CF6FE9">
        <w:rPr>
          <w:rFonts w:ascii="Arial" w:hAnsi="Arial" w:cs="Arial"/>
        </w:rPr>
        <w:t>Selective Cost Optimisation Without Brand Dilution</w:t>
      </w:r>
    </w:p>
    <w:p w14:paraId="020C1CBF" w14:textId="77777777" w:rsidR="00D5416B" w:rsidRPr="00CF6FE9" w:rsidRDefault="00D5416B" w:rsidP="00CF6FE9">
      <w:pPr>
        <w:spacing w:line="360" w:lineRule="auto"/>
        <w:rPr>
          <w:rFonts w:ascii="Arial" w:hAnsi="Arial" w:cs="Arial"/>
        </w:rPr>
      </w:pPr>
      <w:r w:rsidRPr="00CF6FE9">
        <w:rPr>
          <w:rFonts w:ascii="Arial" w:hAnsi="Arial" w:cs="Arial"/>
        </w:rPr>
        <w:t>Introduce mass-market vehicles strategically while maintaining premium positioning.</w:t>
      </w:r>
    </w:p>
    <w:p w14:paraId="25B77CFE" w14:textId="77777777" w:rsidR="00D5416B" w:rsidRPr="00CF6FE9" w:rsidRDefault="00D5416B" w:rsidP="00CF6FE9">
      <w:pPr>
        <w:pStyle w:val="ListParagraph"/>
        <w:numPr>
          <w:ilvl w:val="0"/>
          <w:numId w:val="5"/>
        </w:numPr>
        <w:spacing w:line="360" w:lineRule="auto"/>
        <w:rPr>
          <w:rFonts w:ascii="Arial" w:hAnsi="Arial" w:cs="Arial"/>
        </w:rPr>
      </w:pPr>
      <w:r w:rsidRPr="00CF6FE9">
        <w:rPr>
          <w:rFonts w:ascii="Arial" w:hAnsi="Arial" w:cs="Arial"/>
        </w:rPr>
        <w:t>Strengthen Supply Chain Transparency</w:t>
      </w:r>
    </w:p>
    <w:p w14:paraId="0B42D932" w14:textId="77777777" w:rsidR="00D5416B" w:rsidRPr="00CF6FE9" w:rsidRDefault="00D5416B" w:rsidP="00CF6FE9">
      <w:pPr>
        <w:spacing w:line="360" w:lineRule="auto"/>
        <w:rPr>
          <w:rFonts w:ascii="Arial" w:hAnsi="Arial" w:cs="Arial"/>
        </w:rPr>
      </w:pPr>
      <w:r w:rsidRPr="00CF6FE9">
        <w:rPr>
          <w:rFonts w:ascii="Arial" w:hAnsi="Arial" w:cs="Arial"/>
        </w:rPr>
        <w:t>Enhance ESG credibility to satisfy investor scrutiny (Eccles and Klimenko, 2019).</w:t>
      </w:r>
    </w:p>
    <w:p w14:paraId="1E931122" w14:textId="77777777" w:rsidR="00D5416B" w:rsidRPr="00CF6FE9" w:rsidRDefault="00D5416B" w:rsidP="00CF6FE9">
      <w:pPr>
        <w:pStyle w:val="ListParagraph"/>
        <w:numPr>
          <w:ilvl w:val="0"/>
          <w:numId w:val="5"/>
        </w:numPr>
        <w:spacing w:line="360" w:lineRule="auto"/>
        <w:rPr>
          <w:rFonts w:ascii="Arial" w:hAnsi="Arial" w:cs="Arial"/>
        </w:rPr>
      </w:pPr>
      <w:r w:rsidRPr="00CF6FE9">
        <w:rPr>
          <w:rFonts w:ascii="Arial" w:hAnsi="Arial" w:cs="Arial"/>
        </w:rPr>
        <w:t>Deepen Ecosystem Integration</w:t>
      </w:r>
    </w:p>
    <w:p w14:paraId="0B050126" w14:textId="77777777" w:rsidR="00D5416B" w:rsidRPr="00CF6FE9" w:rsidRDefault="00D5416B" w:rsidP="00CF6FE9">
      <w:pPr>
        <w:spacing w:line="360" w:lineRule="auto"/>
        <w:rPr>
          <w:rFonts w:ascii="Arial" w:hAnsi="Arial" w:cs="Arial"/>
        </w:rPr>
      </w:pPr>
      <w:r w:rsidRPr="00CF6FE9">
        <w:rPr>
          <w:rFonts w:ascii="Arial" w:hAnsi="Arial" w:cs="Arial"/>
        </w:rPr>
        <w:t>Integrate vehicle, storage and solar solutions to increase switching costs.</w:t>
      </w:r>
    </w:p>
    <w:p w14:paraId="5F1ACA5B" w14:textId="63BE21BC" w:rsidR="00D5416B" w:rsidRPr="00CF6FE9" w:rsidRDefault="00D5416B" w:rsidP="00CF6FE9">
      <w:pPr>
        <w:spacing w:line="360" w:lineRule="auto"/>
        <w:rPr>
          <w:rFonts w:ascii="Arial" w:hAnsi="Arial" w:cs="Arial"/>
        </w:rPr>
      </w:pPr>
      <w:r w:rsidRPr="00CF6FE9">
        <w:rPr>
          <w:rFonts w:ascii="Arial" w:hAnsi="Arial" w:cs="Arial"/>
        </w:rPr>
        <w:t>Sustained competitive advantage will depend on Tesla’s ability to transition from pioneering innovator to structurally embedded ecosystem leader.</w:t>
      </w:r>
    </w:p>
    <w:p w14:paraId="2A453552" w14:textId="0BD59884" w:rsidR="0015780C" w:rsidRPr="00096A11" w:rsidRDefault="007D2E95" w:rsidP="00CF6FE9">
      <w:pPr>
        <w:pStyle w:val="Heading1"/>
        <w:spacing w:line="360" w:lineRule="auto"/>
        <w:rPr>
          <w:rFonts w:ascii="Arial" w:hAnsi="Arial" w:cs="Arial"/>
          <w:b/>
          <w:bCs/>
          <w:sz w:val="24"/>
          <w:szCs w:val="24"/>
        </w:rPr>
      </w:pPr>
      <w:bookmarkStart w:id="13" w:name="_Toc223435302"/>
      <w:r w:rsidRPr="00096A11">
        <w:rPr>
          <w:rFonts w:ascii="Arial" w:hAnsi="Arial" w:cs="Arial"/>
          <w:b/>
          <w:bCs/>
          <w:sz w:val="24"/>
          <w:szCs w:val="24"/>
        </w:rPr>
        <w:t>7.</w:t>
      </w:r>
      <w:r w:rsidR="0015780C" w:rsidRPr="00096A11">
        <w:rPr>
          <w:rFonts w:ascii="Arial" w:hAnsi="Arial" w:cs="Arial"/>
          <w:b/>
          <w:bCs/>
          <w:sz w:val="24"/>
          <w:szCs w:val="24"/>
        </w:rPr>
        <w:t xml:space="preserve"> Reflective Account Using Gibbs’ Reflective Cycle</w:t>
      </w:r>
      <w:bookmarkEnd w:id="13"/>
    </w:p>
    <w:p w14:paraId="3C1B5797" w14:textId="53471EE0" w:rsidR="0015780C" w:rsidRPr="00096A11" w:rsidRDefault="0015780C" w:rsidP="00CF6FE9">
      <w:pPr>
        <w:spacing w:line="360" w:lineRule="auto"/>
        <w:rPr>
          <w:rFonts w:ascii="Arial" w:hAnsi="Arial" w:cs="Arial"/>
          <w:b/>
          <w:bCs/>
        </w:rPr>
      </w:pPr>
      <w:r w:rsidRPr="00096A11">
        <w:rPr>
          <w:rFonts w:ascii="Arial" w:hAnsi="Arial" w:cs="Arial"/>
          <w:b/>
          <w:bCs/>
        </w:rPr>
        <w:t>Description</w:t>
      </w:r>
    </w:p>
    <w:p w14:paraId="05E47350" w14:textId="7EC0ACDF" w:rsidR="0015780C" w:rsidRPr="00CF6FE9" w:rsidRDefault="0015780C" w:rsidP="00CF6FE9">
      <w:pPr>
        <w:spacing w:line="360" w:lineRule="auto"/>
        <w:rPr>
          <w:rFonts w:ascii="Arial" w:hAnsi="Arial" w:cs="Arial"/>
        </w:rPr>
      </w:pPr>
      <w:r w:rsidRPr="00CF6FE9">
        <w:rPr>
          <w:rFonts w:ascii="Arial" w:hAnsi="Arial" w:cs="Arial"/>
        </w:rPr>
        <w:t xml:space="preserve">The process of researching and preparing this strategic management report required structured engagement with academic literature, industry data and corporate disclosures. The objective was to critically analyse Tesla’s strategic positioning by synthesising internal and external analytical frameworks including PESTEL, VRIO, Porter’s Five Forces, Ansoff’s Matrix and the Balanced Scorecard. The initial stage </w:t>
      </w:r>
      <w:r w:rsidRPr="00CF6FE9">
        <w:rPr>
          <w:rFonts w:ascii="Arial" w:hAnsi="Arial" w:cs="Arial"/>
        </w:rPr>
        <w:lastRenderedPageBreak/>
        <w:t xml:space="preserve">involved reviewing module concepts and identifying which frameworks would most effectively explain Tesla’s competitive positioning within the rapidly evolving global EV market. I then gathered contemporary secondary data, particularly from the International Energy Agency (2023a; 2024), Deloitte (2024), </w:t>
      </w:r>
      <w:proofErr w:type="spellStart"/>
      <w:r w:rsidRPr="00CF6FE9">
        <w:rPr>
          <w:rFonts w:ascii="Arial" w:hAnsi="Arial" w:cs="Arial"/>
        </w:rPr>
        <w:t>BloombergNEF</w:t>
      </w:r>
      <w:proofErr w:type="spellEnd"/>
      <w:r w:rsidRPr="00CF6FE9">
        <w:rPr>
          <w:rFonts w:ascii="Arial" w:hAnsi="Arial" w:cs="Arial"/>
        </w:rPr>
        <w:t xml:space="preserve"> (2023) and Tesla’s 2024 Annual and Impact Reports, to ensure that analysis reflected current industry conditions rather than historical narratives. The drafting process involved iterative refinement, moving from descriptive application of models to more critical evaluation aligned with postgraduate-level expectations.</w:t>
      </w:r>
    </w:p>
    <w:p w14:paraId="2828778A" w14:textId="77777777" w:rsidR="0015780C" w:rsidRPr="00096A11" w:rsidRDefault="0015780C" w:rsidP="00CF6FE9">
      <w:pPr>
        <w:spacing w:line="360" w:lineRule="auto"/>
        <w:rPr>
          <w:rFonts w:ascii="Arial" w:hAnsi="Arial" w:cs="Arial"/>
          <w:b/>
          <w:bCs/>
        </w:rPr>
      </w:pPr>
      <w:r w:rsidRPr="00096A11">
        <w:rPr>
          <w:rFonts w:ascii="Arial" w:hAnsi="Arial" w:cs="Arial"/>
          <w:b/>
          <w:bCs/>
        </w:rPr>
        <w:t>Feelings</w:t>
      </w:r>
    </w:p>
    <w:p w14:paraId="1FD14A3A" w14:textId="7BA83330" w:rsidR="0015780C" w:rsidRPr="00CF6FE9" w:rsidRDefault="0015780C" w:rsidP="00CF6FE9">
      <w:pPr>
        <w:spacing w:line="360" w:lineRule="auto"/>
        <w:rPr>
          <w:rFonts w:ascii="Arial" w:hAnsi="Arial" w:cs="Arial"/>
        </w:rPr>
      </w:pPr>
      <w:r w:rsidRPr="00CF6FE9">
        <w:rPr>
          <w:rFonts w:ascii="Arial" w:hAnsi="Arial" w:cs="Arial"/>
        </w:rPr>
        <w:t xml:space="preserve">At the outset, I recognised the complexity of integrating multiple strategic frameworks into one coherent narrative. There was an initial tendency to treat each model as a standalone analytical tool. However, as the research progressed, I became more confident in linking macro-environmental analysis with internal capability assessment and competitive positioning theory. The most intellectually demanding aspect was avoiding descriptive explanation of Tesla’s success and instead critically evaluating the sustainability of its advantage. This required questioning widely accepted narratives around Tesla’s innovation dominance and assessing whether these advantages remain defensible </w:t>
      </w:r>
      <w:proofErr w:type="gramStart"/>
      <w:r w:rsidRPr="00CF6FE9">
        <w:rPr>
          <w:rFonts w:ascii="Arial" w:hAnsi="Arial" w:cs="Arial"/>
        </w:rPr>
        <w:t>in light of</w:t>
      </w:r>
      <w:proofErr w:type="gramEnd"/>
      <w:r w:rsidRPr="00CF6FE9">
        <w:rPr>
          <w:rFonts w:ascii="Arial" w:hAnsi="Arial" w:cs="Arial"/>
        </w:rPr>
        <w:t xml:space="preserve"> technological diffusion and increasing competition.</w:t>
      </w:r>
    </w:p>
    <w:p w14:paraId="3B19614C" w14:textId="77777777" w:rsidR="0015780C" w:rsidRPr="00096A11" w:rsidRDefault="0015780C" w:rsidP="00CF6FE9">
      <w:pPr>
        <w:spacing w:line="360" w:lineRule="auto"/>
        <w:rPr>
          <w:rFonts w:ascii="Arial" w:hAnsi="Arial" w:cs="Arial"/>
          <w:b/>
          <w:bCs/>
        </w:rPr>
      </w:pPr>
      <w:r w:rsidRPr="00096A11">
        <w:rPr>
          <w:rFonts w:ascii="Arial" w:hAnsi="Arial" w:cs="Arial"/>
          <w:b/>
          <w:bCs/>
        </w:rPr>
        <w:t>Evaluation</w:t>
      </w:r>
    </w:p>
    <w:p w14:paraId="0C67F7C4" w14:textId="2F0C0853" w:rsidR="0015780C" w:rsidRPr="00CF6FE9" w:rsidRDefault="0015780C" w:rsidP="00CF6FE9">
      <w:pPr>
        <w:spacing w:line="360" w:lineRule="auto"/>
        <w:rPr>
          <w:rFonts w:ascii="Arial" w:hAnsi="Arial" w:cs="Arial"/>
        </w:rPr>
      </w:pPr>
      <w:r w:rsidRPr="00CF6FE9">
        <w:rPr>
          <w:rFonts w:ascii="Arial" w:hAnsi="Arial" w:cs="Arial"/>
        </w:rPr>
        <w:t xml:space="preserve">A key strength of my approach was engagement with current research and industry reports, particularly those published between 2023 and 2024. This ensured alignment with contemporary strategic challenges, such as global supply chain risk (World Economic Forum, 2024) and evolving EV consumer behaviour (Venus, Schaufuss and Möller, 2024). The integration of dynamic capabilities theory (Teece, Pisano and </w:t>
      </w:r>
      <w:proofErr w:type="spellStart"/>
      <w:r w:rsidRPr="00CF6FE9">
        <w:rPr>
          <w:rFonts w:ascii="Arial" w:hAnsi="Arial" w:cs="Arial"/>
        </w:rPr>
        <w:t>Shuen</w:t>
      </w:r>
      <w:proofErr w:type="spellEnd"/>
      <w:r w:rsidRPr="00CF6FE9">
        <w:rPr>
          <w:rFonts w:ascii="Arial" w:hAnsi="Arial" w:cs="Arial"/>
        </w:rPr>
        <w:t>, 1997; Teece, 2018) strengthened the analysis by explaining not just what Tesla possesses, but how it adapts. However, a limitation of the research process was reliance on secondary data sources. While reports from the IEA and Deloitte are credible, they reflect macro-level analysis rather than firm-level internal insight. Additionally, Tesla’s own disclosures may present strategic achievements in a favourable light, requiring cautious interpretation.</w:t>
      </w:r>
    </w:p>
    <w:p w14:paraId="56A1A443" w14:textId="6890EF8F" w:rsidR="00403EE2" w:rsidRPr="00CF6FE9" w:rsidRDefault="00403EE2" w:rsidP="00CF6FE9">
      <w:pPr>
        <w:spacing w:line="360" w:lineRule="auto"/>
        <w:rPr>
          <w:rFonts w:ascii="Arial" w:hAnsi="Arial" w:cs="Arial"/>
        </w:rPr>
      </w:pPr>
      <w:r w:rsidRPr="00CF6FE9">
        <w:rPr>
          <w:rFonts w:ascii="Arial" w:hAnsi="Arial" w:cs="Arial"/>
        </w:rPr>
        <w:t>Methodological and Analytical Considerations</w:t>
      </w:r>
    </w:p>
    <w:p w14:paraId="12C3C5A6" w14:textId="4BA7345F" w:rsidR="00403EE2" w:rsidRPr="00CF6FE9" w:rsidRDefault="00403EE2" w:rsidP="00CF6FE9">
      <w:pPr>
        <w:spacing w:line="360" w:lineRule="auto"/>
        <w:rPr>
          <w:rFonts w:ascii="Arial" w:hAnsi="Arial" w:cs="Arial"/>
        </w:rPr>
      </w:pPr>
      <w:r w:rsidRPr="00CF6FE9">
        <w:rPr>
          <w:rFonts w:ascii="Arial" w:hAnsi="Arial" w:cs="Arial"/>
        </w:rPr>
        <w:lastRenderedPageBreak/>
        <w:t>In reflecting further on the research process, it became clear that reliance on secondary data required critical interpretation rather than passive acceptance. While industry reports from the IEA (2024) and Deloitte (2024) provided valuable macro-level insights, they reflect aggregated trends rather than firm-specific operational realities. Tesla’s own corporate disclosures, although informative, may present performance outcomes in a strategically favourable manner. Recognising potential bias in corporate reporting required triangulating information across independent academic and industry sources to ensure balanced analysis. This reinforced the importance of source credibility and comparative validation in strategic research at postgraduate level.</w:t>
      </w:r>
    </w:p>
    <w:p w14:paraId="2A869CBF" w14:textId="7B822A8C" w:rsidR="00403EE2" w:rsidRPr="00CF6FE9" w:rsidRDefault="00403EE2" w:rsidP="00CF6FE9">
      <w:pPr>
        <w:spacing w:line="360" w:lineRule="auto"/>
        <w:rPr>
          <w:rFonts w:ascii="Arial" w:hAnsi="Arial" w:cs="Arial"/>
        </w:rPr>
      </w:pPr>
      <w:r w:rsidRPr="00CF6FE9">
        <w:rPr>
          <w:rFonts w:ascii="Arial" w:hAnsi="Arial" w:cs="Arial"/>
        </w:rPr>
        <w:t>Additionally, the application of multiple strategic frameworks revealed the risk of model fragmentation. Early drafts treated PESTEL, Five Forces and VRIO as discrete analytical tools. Through revision, I recognised that true strategic insight emerges from synthesis rather than isolated framework application. Integrating macro-environmental pressures with internal capability analysis enabled a more coherent understanding of how external volatility necessitates adaptive internal structures. This shift from descriptive model usage to integrated critical reasoning represents a significant development in my analytical approach.</w:t>
      </w:r>
    </w:p>
    <w:p w14:paraId="0B98D4BA" w14:textId="77777777" w:rsidR="0015780C" w:rsidRPr="00096A11" w:rsidRDefault="0015780C" w:rsidP="00CF6FE9">
      <w:pPr>
        <w:spacing w:line="360" w:lineRule="auto"/>
        <w:rPr>
          <w:rFonts w:ascii="Arial" w:hAnsi="Arial" w:cs="Arial"/>
          <w:b/>
          <w:bCs/>
        </w:rPr>
      </w:pPr>
      <w:r w:rsidRPr="00096A11">
        <w:rPr>
          <w:rFonts w:ascii="Arial" w:hAnsi="Arial" w:cs="Arial"/>
          <w:b/>
          <w:bCs/>
        </w:rPr>
        <w:t>Analysis</w:t>
      </w:r>
    </w:p>
    <w:p w14:paraId="19546237" w14:textId="28CF2D5D" w:rsidR="0015780C" w:rsidRPr="00CF6FE9" w:rsidRDefault="0015780C" w:rsidP="00CF6FE9">
      <w:pPr>
        <w:spacing w:line="360" w:lineRule="auto"/>
        <w:rPr>
          <w:rFonts w:ascii="Arial" w:hAnsi="Arial" w:cs="Arial"/>
        </w:rPr>
      </w:pPr>
      <w:r w:rsidRPr="00CF6FE9">
        <w:rPr>
          <w:rFonts w:ascii="Arial" w:hAnsi="Arial" w:cs="Arial"/>
        </w:rPr>
        <w:t>Through applying Gibbs’ reflective structure, I recognise that the most significant learning outcome was understanding the interdependence between strategic formulation and implementation. The PESTEL analysis illustrated how political and economic forces create both opportunity and constraint. However, it was the VRIO and dynamic capabilities frameworks that clarified how internal competencies determine whether those opportunities can be exploited effectively. This reinforced Barney’s (1991) argument that resources must be rare and inimitable to sustain advantage. Furthermore, Porter’s (2008) industry structure analysis demonstrated that competitive advantage is eroded when industry forces intensify, regardless of firm ambition. The exercise deepened my appreciation that strategy is not static positioning but continuous alignment between external volatility and internal capability renewal.</w:t>
      </w:r>
    </w:p>
    <w:p w14:paraId="5EA45BF0" w14:textId="66C18318" w:rsidR="0015780C" w:rsidRPr="00CF6FE9" w:rsidRDefault="0015780C" w:rsidP="00CF6FE9">
      <w:pPr>
        <w:spacing w:line="360" w:lineRule="auto"/>
        <w:rPr>
          <w:rFonts w:ascii="Arial" w:hAnsi="Arial" w:cs="Arial"/>
        </w:rPr>
      </w:pPr>
      <w:r w:rsidRPr="00CF6FE9">
        <w:rPr>
          <w:rFonts w:ascii="Arial" w:hAnsi="Arial" w:cs="Arial"/>
        </w:rPr>
        <w:lastRenderedPageBreak/>
        <w:t>The Balanced Scorecard component further strengthened practical understanding of strategy implementation. Kaplan and Norton (1992) emphasise that performance measurement must extend beyond financial outcomes. By structuring Tesla’s objectives across financial, customer, process and learning dimensions, I developed clearer insight into how long-term competitive advantage is operationalised. This stage of the report enhanced my ability to connect abstract theory with organisational execution.</w:t>
      </w:r>
    </w:p>
    <w:p w14:paraId="6267F47B" w14:textId="77777777" w:rsidR="0015780C" w:rsidRPr="00096A11" w:rsidRDefault="0015780C" w:rsidP="00CF6FE9">
      <w:pPr>
        <w:spacing w:line="360" w:lineRule="auto"/>
        <w:rPr>
          <w:rFonts w:ascii="Arial" w:hAnsi="Arial" w:cs="Arial"/>
          <w:b/>
          <w:bCs/>
        </w:rPr>
      </w:pPr>
      <w:r w:rsidRPr="00096A11">
        <w:rPr>
          <w:rFonts w:ascii="Arial" w:hAnsi="Arial" w:cs="Arial"/>
          <w:b/>
          <w:bCs/>
        </w:rPr>
        <w:t>Conclusion</w:t>
      </w:r>
    </w:p>
    <w:p w14:paraId="2B188986" w14:textId="00DAD8F3" w:rsidR="0015780C" w:rsidRPr="00CF6FE9" w:rsidRDefault="0015780C" w:rsidP="00CF6FE9">
      <w:pPr>
        <w:spacing w:line="360" w:lineRule="auto"/>
        <w:rPr>
          <w:rFonts w:ascii="Arial" w:hAnsi="Arial" w:cs="Arial"/>
        </w:rPr>
      </w:pPr>
      <w:r w:rsidRPr="00CF6FE9">
        <w:rPr>
          <w:rFonts w:ascii="Arial" w:hAnsi="Arial" w:cs="Arial"/>
        </w:rPr>
        <w:t>Overall, the preparation of this report significantly enhanced my ability to synthesise complex strategic theories and apply them critically within a real-world organisational context. The process strengthened my analytical depth, particularly in distinguishing between temporary competitive advantage and structurally sustainable positioning. It also reinforced the importance of evidence-based argumentation and contemporary data engagement at postgraduate level. The exercise demonstrated that achieving sustained competitive advantage in volatile markets requires not only valuable resources but adaptive organisational capabilities and coherent strategic implementation.</w:t>
      </w:r>
    </w:p>
    <w:p w14:paraId="67609B17" w14:textId="77777777" w:rsidR="0015780C" w:rsidRPr="00096A11" w:rsidRDefault="0015780C" w:rsidP="00CF6FE9">
      <w:pPr>
        <w:spacing w:line="360" w:lineRule="auto"/>
        <w:rPr>
          <w:rFonts w:ascii="Arial" w:hAnsi="Arial" w:cs="Arial"/>
          <w:b/>
          <w:bCs/>
        </w:rPr>
      </w:pPr>
      <w:r w:rsidRPr="00096A11">
        <w:rPr>
          <w:rFonts w:ascii="Arial" w:hAnsi="Arial" w:cs="Arial"/>
          <w:b/>
          <w:bCs/>
        </w:rPr>
        <w:t>Action Plan</w:t>
      </w:r>
    </w:p>
    <w:p w14:paraId="440FA677" w14:textId="002AB127" w:rsidR="0015780C" w:rsidRPr="00CF6FE9" w:rsidRDefault="0015780C" w:rsidP="00CF6FE9">
      <w:pPr>
        <w:spacing w:line="360" w:lineRule="auto"/>
        <w:rPr>
          <w:rFonts w:ascii="Arial" w:hAnsi="Arial" w:cs="Arial"/>
        </w:rPr>
      </w:pPr>
      <w:r w:rsidRPr="00CF6FE9">
        <w:rPr>
          <w:rFonts w:ascii="Arial" w:hAnsi="Arial" w:cs="Arial"/>
        </w:rPr>
        <w:t>For future strategic analyses, I intend to deepen my use of comparative benchmarking by analysing multiple firms within the same industry to strengthen critical contrast. I also plan to incorporate greater financial ratio analysis to enhance evaluation of economic sustainability. Additionally, I will continue refining my ability to move beyond descriptive framework application toward integrated strategic synthesis. Developing this capability will be essential for professional strategic decision-making in complex and unpredictable environments.</w:t>
      </w:r>
    </w:p>
    <w:p w14:paraId="7E785A8F" w14:textId="5C63F1BF" w:rsidR="00403EE2" w:rsidRPr="00096A11" w:rsidRDefault="00403EE2" w:rsidP="00CF6FE9">
      <w:pPr>
        <w:spacing w:line="360" w:lineRule="auto"/>
        <w:rPr>
          <w:rFonts w:ascii="Arial" w:hAnsi="Arial" w:cs="Arial"/>
          <w:b/>
          <w:bCs/>
        </w:rPr>
      </w:pPr>
      <w:r w:rsidRPr="00096A11">
        <w:rPr>
          <w:rFonts w:ascii="Arial" w:hAnsi="Arial" w:cs="Arial"/>
          <w:b/>
          <w:bCs/>
        </w:rPr>
        <w:t>Future Professional Application</w:t>
      </w:r>
    </w:p>
    <w:p w14:paraId="7C07FF47" w14:textId="6A370912" w:rsidR="00403EE2" w:rsidRPr="00CF6FE9" w:rsidRDefault="00403EE2" w:rsidP="00CF6FE9">
      <w:pPr>
        <w:spacing w:line="360" w:lineRule="auto"/>
        <w:rPr>
          <w:rFonts w:ascii="Arial" w:hAnsi="Arial" w:cs="Arial"/>
        </w:rPr>
      </w:pPr>
      <w:r w:rsidRPr="00CF6FE9">
        <w:rPr>
          <w:rFonts w:ascii="Arial" w:hAnsi="Arial" w:cs="Arial"/>
        </w:rPr>
        <w:t xml:space="preserve">This assignment has reinforced that strategic management is not solely concerned with identifying competitive advantages, but with evaluating their durability under structural pressure. In future professional contexts, I will apply this learning by prioritising capability resilience, capital discipline and long-term defensibility when assessing strategic opportunities. Understanding that competitive advantage erodes </w:t>
      </w:r>
      <w:r w:rsidRPr="00CF6FE9">
        <w:rPr>
          <w:rFonts w:ascii="Arial" w:hAnsi="Arial" w:cs="Arial"/>
        </w:rPr>
        <w:lastRenderedPageBreak/>
        <w:t>unless continuously renewed has reshaped my perspective on growth ambition and organisational sustainability.</w:t>
      </w:r>
    </w:p>
    <w:p w14:paraId="44FA3FCD" w14:textId="77777777" w:rsidR="00403EE2" w:rsidRPr="00CF6FE9" w:rsidRDefault="00403EE2" w:rsidP="00CF6FE9">
      <w:pPr>
        <w:spacing w:line="360" w:lineRule="auto"/>
        <w:rPr>
          <w:rFonts w:ascii="Arial" w:hAnsi="Arial" w:cs="Arial"/>
        </w:rPr>
      </w:pPr>
    </w:p>
    <w:p w14:paraId="5B1BC0C2" w14:textId="77777777" w:rsidR="00403EE2" w:rsidRPr="00CF6FE9" w:rsidRDefault="00403EE2" w:rsidP="00CF6FE9">
      <w:pPr>
        <w:spacing w:line="360" w:lineRule="auto"/>
        <w:rPr>
          <w:rFonts w:ascii="Arial" w:hAnsi="Arial" w:cs="Arial"/>
        </w:rPr>
      </w:pPr>
    </w:p>
    <w:p w14:paraId="7A2FD6B6" w14:textId="77777777" w:rsidR="00403EE2" w:rsidRPr="00CF6FE9" w:rsidRDefault="00403EE2" w:rsidP="00CF6FE9">
      <w:pPr>
        <w:spacing w:line="360" w:lineRule="auto"/>
        <w:rPr>
          <w:rFonts w:ascii="Arial" w:hAnsi="Arial" w:cs="Arial"/>
        </w:rPr>
      </w:pPr>
    </w:p>
    <w:p w14:paraId="5E18CA9F" w14:textId="77777777" w:rsidR="00403EE2" w:rsidRPr="00CF6FE9" w:rsidRDefault="00403EE2" w:rsidP="00CF6FE9">
      <w:pPr>
        <w:spacing w:line="360" w:lineRule="auto"/>
        <w:rPr>
          <w:rFonts w:ascii="Arial" w:hAnsi="Arial" w:cs="Arial"/>
        </w:rPr>
      </w:pPr>
    </w:p>
    <w:p w14:paraId="006D46D8" w14:textId="77777777" w:rsidR="007D2E95" w:rsidRPr="00CF6FE9" w:rsidRDefault="007D2E95" w:rsidP="00CF6FE9">
      <w:pPr>
        <w:spacing w:line="360" w:lineRule="auto"/>
        <w:rPr>
          <w:rFonts w:ascii="Arial" w:hAnsi="Arial" w:cs="Arial"/>
        </w:rPr>
      </w:pPr>
    </w:p>
    <w:p w14:paraId="6781D93B" w14:textId="77777777" w:rsidR="007D2E95" w:rsidRPr="00CF6FE9" w:rsidRDefault="007D2E95" w:rsidP="00CF6FE9">
      <w:pPr>
        <w:spacing w:line="360" w:lineRule="auto"/>
        <w:rPr>
          <w:rFonts w:ascii="Arial" w:hAnsi="Arial" w:cs="Arial"/>
        </w:rPr>
      </w:pPr>
    </w:p>
    <w:p w14:paraId="3829C645" w14:textId="77777777" w:rsidR="007D2E95" w:rsidRDefault="007D2E95" w:rsidP="00CF6FE9">
      <w:pPr>
        <w:spacing w:line="360" w:lineRule="auto"/>
        <w:rPr>
          <w:rFonts w:ascii="Arial" w:hAnsi="Arial" w:cs="Arial"/>
        </w:rPr>
      </w:pPr>
    </w:p>
    <w:p w14:paraId="227C261F" w14:textId="77777777" w:rsidR="00096A11" w:rsidRDefault="00096A11" w:rsidP="00CF6FE9">
      <w:pPr>
        <w:spacing w:line="360" w:lineRule="auto"/>
        <w:rPr>
          <w:rFonts w:ascii="Arial" w:hAnsi="Arial" w:cs="Arial"/>
        </w:rPr>
      </w:pPr>
    </w:p>
    <w:p w14:paraId="1B5B37D3" w14:textId="77777777" w:rsidR="00096A11" w:rsidRDefault="00096A11" w:rsidP="00CF6FE9">
      <w:pPr>
        <w:spacing w:line="360" w:lineRule="auto"/>
        <w:rPr>
          <w:rFonts w:ascii="Arial" w:hAnsi="Arial" w:cs="Arial"/>
        </w:rPr>
      </w:pPr>
    </w:p>
    <w:p w14:paraId="695FDEDB" w14:textId="77777777" w:rsidR="00096A11" w:rsidRDefault="00096A11" w:rsidP="00CF6FE9">
      <w:pPr>
        <w:spacing w:line="360" w:lineRule="auto"/>
        <w:rPr>
          <w:rFonts w:ascii="Arial" w:hAnsi="Arial" w:cs="Arial"/>
        </w:rPr>
      </w:pPr>
    </w:p>
    <w:p w14:paraId="6BEF31CC" w14:textId="77777777" w:rsidR="00096A11" w:rsidRDefault="00096A11" w:rsidP="00CF6FE9">
      <w:pPr>
        <w:spacing w:line="360" w:lineRule="auto"/>
        <w:rPr>
          <w:rFonts w:ascii="Arial" w:hAnsi="Arial" w:cs="Arial"/>
        </w:rPr>
      </w:pPr>
    </w:p>
    <w:p w14:paraId="51F0274C" w14:textId="77777777" w:rsidR="00096A11" w:rsidRDefault="00096A11" w:rsidP="00CF6FE9">
      <w:pPr>
        <w:spacing w:line="360" w:lineRule="auto"/>
        <w:rPr>
          <w:rFonts w:ascii="Arial" w:hAnsi="Arial" w:cs="Arial"/>
        </w:rPr>
      </w:pPr>
    </w:p>
    <w:p w14:paraId="45B30834" w14:textId="77777777" w:rsidR="00096A11" w:rsidRDefault="00096A11" w:rsidP="00CF6FE9">
      <w:pPr>
        <w:spacing w:line="360" w:lineRule="auto"/>
        <w:rPr>
          <w:rFonts w:ascii="Arial" w:hAnsi="Arial" w:cs="Arial"/>
        </w:rPr>
      </w:pPr>
    </w:p>
    <w:p w14:paraId="5DF8B072" w14:textId="77777777" w:rsidR="00096A11" w:rsidRDefault="00096A11" w:rsidP="00CF6FE9">
      <w:pPr>
        <w:spacing w:line="360" w:lineRule="auto"/>
        <w:rPr>
          <w:rFonts w:ascii="Arial" w:hAnsi="Arial" w:cs="Arial"/>
        </w:rPr>
      </w:pPr>
    </w:p>
    <w:p w14:paraId="184F446D" w14:textId="77777777" w:rsidR="00096A11" w:rsidRDefault="00096A11" w:rsidP="00CF6FE9">
      <w:pPr>
        <w:spacing w:line="360" w:lineRule="auto"/>
        <w:rPr>
          <w:rFonts w:ascii="Arial" w:hAnsi="Arial" w:cs="Arial"/>
        </w:rPr>
      </w:pPr>
    </w:p>
    <w:p w14:paraId="1B42B500" w14:textId="77777777" w:rsidR="00096A11" w:rsidRDefault="00096A11" w:rsidP="00CF6FE9">
      <w:pPr>
        <w:spacing w:line="360" w:lineRule="auto"/>
        <w:rPr>
          <w:rFonts w:ascii="Arial" w:hAnsi="Arial" w:cs="Arial"/>
        </w:rPr>
      </w:pPr>
    </w:p>
    <w:p w14:paraId="044952BF" w14:textId="77777777" w:rsidR="00096A11" w:rsidRDefault="00096A11" w:rsidP="00CF6FE9">
      <w:pPr>
        <w:spacing w:line="360" w:lineRule="auto"/>
        <w:rPr>
          <w:rFonts w:ascii="Arial" w:hAnsi="Arial" w:cs="Arial"/>
        </w:rPr>
      </w:pPr>
    </w:p>
    <w:p w14:paraId="466A13A0" w14:textId="77777777" w:rsidR="00096A11" w:rsidRDefault="00096A11" w:rsidP="00CF6FE9">
      <w:pPr>
        <w:spacing w:line="360" w:lineRule="auto"/>
        <w:rPr>
          <w:rFonts w:ascii="Arial" w:hAnsi="Arial" w:cs="Arial"/>
        </w:rPr>
      </w:pPr>
    </w:p>
    <w:p w14:paraId="319D0290" w14:textId="77777777" w:rsidR="00096A11" w:rsidRDefault="00096A11" w:rsidP="00CF6FE9">
      <w:pPr>
        <w:spacing w:line="360" w:lineRule="auto"/>
        <w:rPr>
          <w:rFonts w:ascii="Arial" w:hAnsi="Arial" w:cs="Arial"/>
        </w:rPr>
      </w:pPr>
    </w:p>
    <w:p w14:paraId="7F3505F8" w14:textId="77777777" w:rsidR="00554886" w:rsidRDefault="00554886" w:rsidP="00CF6FE9">
      <w:pPr>
        <w:spacing w:line="360" w:lineRule="auto"/>
        <w:rPr>
          <w:rFonts w:ascii="Arial" w:hAnsi="Arial" w:cs="Arial"/>
        </w:rPr>
      </w:pPr>
    </w:p>
    <w:p w14:paraId="2B7B4B6A" w14:textId="77777777" w:rsidR="00554886" w:rsidRPr="00CF6FE9" w:rsidRDefault="00554886" w:rsidP="00CF6FE9">
      <w:pPr>
        <w:spacing w:line="360" w:lineRule="auto"/>
        <w:rPr>
          <w:rFonts w:ascii="Arial" w:hAnsi="Arial" w:cs="Arial"/>
        </w:rPr>
      </w:pPr>
    </w:p>
    <w:p w14:paraId="72DD32D1" w14:textId="6A5ADB4B" w:rsidR="00403EE2" w:rsidRPr="00C26577" w:rsidRDefault="00403EE2" w:rsidP="00C26577">
      <w:pPr>
        <w:pStyle w:val="Heading1"/>
        <w:rPr>
          <w:rFonts w:ascii="Arial" w:hAnsi="Arial" w:cs="Arial"/>
          <w:b/>
          <w:bCs/>
          <w:sz w:val="24"/>
          <w:szCs w:val="24"/>
        </w:rPr>
      </w:pPr>
      <w:bookmarkStart w:id="14" w:name="_Toc223435303"/>
      <w:r w:rsidRPr="00C26577">
        <w:rPr>
          <w:rFonts w:ascii="Arial" w:hAnsi="Arial" w:cs="Arial"/>
          <w:b/>
          <w:bCs/>
          <w:sz w:val="24"/>
          <w:szCs w:val="24"/>
        </w:rPr>
        <w:lastRenderedPageBreak/>
        <w:t>Reference</w:t>
      </w:r>
      <w:r w:rsidR="00CC7F7F">
        <w:rPr>
          <w:rFonts w:ascii="Arial" w:hAnsi="Arial" w:cs="Arial"/>
          <w:b/>
          <w:bCs/>
          <w:sz w:val="24"/>
          <w:szCs w:val="24"/>
        </w:rPr>
        <w:t xml:space="preserve"> list</w:t>
      </w:r>
      <w:bookmarkEnd w:id="14"/>
    </w:p>
    <w:p w14:paraId="2AF36859" w14:textId="77777777" w:rsidR="00403EE2" w:rsidRPr="008C0D4B" w:rsidRDefault="00403EE2" w:rsidP="00CF6FE9">
      <w:pPr>
        <w:spacing w:line="360" w:lineRule="auto"/>
        <w:rPr>
          <w:rFonts w:ascii="Arial" w:hAnsi="Arial" w:cs="Arial"/>
        </w:rPr>
      </w:pPr>
      <w:r w:rsidRPr="008C0D4B">
        <w:rPr>
          <w:rFonts w:ascii="Arial" w:hAnsi="Arial" w:cs="Arial"/>
        </w:rPr>
        <w:t xml:space="preserve">Ansoff, I. (1957) ‘Strategies for diversification’, </w:t>
      </w:r>
      <w:r w:rsidRPr="008C0D4B">
        <w:rPr>
          <w:rFonts w:ascii="Arial" w:hAnsi="Arial" w:cs="Arial"/>
          <w:i/>
          <w:iCs/>
        </w:rPr>
        <w:t>Management Science</w:t>
      </w:r>
      <w:r w:rsidRPr="008C0D4B">
        <w:rPr>
          <w:rFonts w:ascii="Arial" w:hAnsi="Arial" w:cs="Arial"/>
        </w:rPr>
        <w:t xml:space="preserve">, 4(4), pp. 113–124. Available at: </w:t>
      </w:r>
      <w:hyperlink r:id="rId8" w:tgtFrame="_new" w:history="1">
        <w:r w:rsidRPr="008C0D4B">
          <w:rPr>
            <w:rStyle w:val="Hyperlink"/>
            <w:rFonts w:ascii="Arial" w:hAnsi="Arial" w:cs="Arial"/>
          </w:rPr>
          <w:t>https://www.casrilank</w:t>
        </w:r>
        <w:r w:rsidRPr="008C0D4B">
          <w:rPr>
            <w:rStyle w:val="Hyperlink"/>
            <w:rFonts w:ascii="Arial" w:hAnsi="Arial" w:cs="Arial"/>
          </w:rPr>
          <w:t>a</w:t>
        </w:r>
        <w:r w:rsidRPr="008C0D4B">
          <w:rPr>
            <w:rStyle w:val="Hyperlink"/>
            <w:rFonts w:ascii="Arial" w:hAnsi="Arial" w:cs="Arial"/>
          </w:rPr>
          <w:t>.com/casl/images/stories/2017/2017_pdfs/sab_portal/course_material/strategies_for_diversification.pdf</w:t>
        </w:r>
      </w:hyperlink>
      <w:r w:rsidRPr="008C0D4B">
        <w:rPr>
          <w:rFonts w:ascii="Arial" w:hAnsi="Arial" w:cs="Arial"/>
        </w:rPr>
        <w:t xml:space="preserve"> (Accessed: 19 February 2026).</w:t>
      </w:r>
    </w:p>
    <w:p w14:paraId="56F6F1E0" w14:textId="77777777" w:rsidR="00403EE2" w:rsidRPr="008C0D4B" w:rsidRDefault="00403EE2" w:rsidP="00CF6FE9">
      <w:pPr>
        <w:spacing w:line="360" w:lineRule="auto"/>
        <w:rPr>
          <w:rFonts w:ascii="Arial" w:hAnsi="Arial" w:cs="Arial"/>
        </w:rPr>
      </w:pPr>
      <w:r w:rsidRPr="008C0D4B">
        <w:rPr>
          <w:rFonts w:ascii="Arial" w:hAnsi="Arial" w:cs="Arial"/>
        </w:rPr>
        <w:t xml:space="preserve">Barney, J. (1991) ‘Firm resources and sustained competitive advantage’, </w:t>
      </w:r>
      <w:r w:rsidRPr="008C0D4B">
        <w:rPr>
          <w:rFonts w:ascii="Arial" w:hAnsi="Arial" w:cs="Arial"/>
          <w:i/>
          <w:iCs/>
        </w:rPr>
        <w:t>Journal of Management</w:t>
      </w:r>
      <w:r w:rsidRPr="008C0D4B">
        <w:rPr>
          <w:rFonts w:ascii="Arial" w:hAnsi="Arial" w:cs="Arial"/>
        </w:rPr>
        <w:t>, 17(1), pp. 99–120. doi:10.1177/014920639101700108.</w:t>
      </w:r>
    </w:p>
    <w:p w14:paraId="5AAA0C85" w14:textId="77777777" w:rsidR="00403EE2" w:rsidRPr="008C0D4B" w:rsidRDefault="00403EE2" w:rsidP="00CF6FE9">
      <w:pPr>
        <w:spacing w:line="360" w:lineRule="auto"/>
        <w:rPr>
          <w:rFonts w:ascii="Arial" w:hAnsi="Arial" w:cs="Arial"/>
        </w:rPr>
      </w:pPr>
      <w:proofErr w:type="spellStart"/>
      <w:r w:rsidRPr="008C0D4B">
        <w:rPr>
          <w:rFonts w:ascii="Arial" w:hAnsi="Arial" w:cs="Arial"/>
        </w:rPr>
        <w:t>BloombergNEF</w:t>
      </w:r>
      <w:proofErr w:type="spellEnd"/>
      <w:r w:rsidRPr="008C0D4B">
        <w:rPr>
          <w:rFonts w:ascii="Arial" w:hAnsi="Arial" w:cs="Arial"/>
        </w:rPr>
        <w:t xml:space="preserve"> (2023) ‘Lithium-ion battery pack prices hit record low of $139/kWh’. Available at: </w:t>
      </w:r>
      <w:hyperlink r:id="rId9" w:tgtFrame="_new" w:history="1">
        <w:r w:rsidRPr="008C0D4B">
          <w:rPr>
            <w:rStyle w:val="Hyperlink"/>
            <w:rFonts w:ascii="Arial" w:hAnsi="Arial" w:cs="Arial"/>
          </w:rPr>
          <w:t>https://abou</w:t>
        </w:r>
        <w:r w:rsidRPr="008C0D4B">
          <w:rPr>
            <w:rStyle w:val="Hyperlink"/>
            <w:rFonts w:ascii="Arial" w:hAnsi="Arial" w:cs="Arial"/>
          </w:rPr>
          <w:t>t</w:t>
        </w:r>
        <w:r w:rsidRPr="008C0D4B">
          <w:rPr>
            <w:rStyle w:val="Hyperlink"/>
            <w:rFonts w:ascii="Arial" w:hAnsi="Arial" w:cs="Arial"/>
          </w:rPr>
          <w:t>.bnef.com/insights/clean-energy/lithium-ion-battery-pack-prices-hit-record-low-of-139-kwh/</w:t>
        </w:r>
      </w:hyperlink>
      <w:r w:rsidRPr="008C0D4B">
        <w:rPr>
          <w:rFonts w:ascii="Arial" w:hAnsi="Arial" w:cs="Arial"/>
        </w:rPr>
        <w:t xml:space="preserve"> (Accessed: 22 February 2026).</w:t>
      </w:r>
    </w:p>
    <w:p w14:paraId="48AF249B" w14:textId="77777777" w:rsidR="00403EE2" w:rsidRPr="008C0D4B" w:rsidRDefault="00403EE2" w:rsidP="00CF6FE9">
      <w:pPr>
        <w:spacing w:line="360" w:lineRule="auto"/>
        <w:rPr>
          <w:rFonts w:ascii="Arial" w:hAnsi="Arial" w:cs="Arial"/>
        </w:rPr>
      </w:pPr>
      <w:r w:rsidRPr="008C0D4B">
        <w:rPr>
          <w:rFonts w:ascii="Arial" w:hAnsi="Arial" w:cs="Arial"/>
        </w:rPr>
        <w:t xml:space="preserve">Chen, Y. and Perez, Y. (2018) ‘Business model design: Lessons learned from Tesla Motors’, in </w:t>
      </w:r>
      <w:r w:rsidRPr="008C0D4B">
        <w:rPr>
          <w:rFonts w:ascii="Arial" w:hAnsi="Arial" w:cs="Arial"/>
          <w:i/>
          <w:iCs/>
        </w:rPr>
        <w:t>Towards a Sustainable Economy</w:t>
      </w:r>
      <w:r w:rsidRPr="008C0D4B">
        <w:rPr>
          <w:rFonts w:ascii="Arial" w:hAnsi="Arial" w:cs="Arial"/>
        </w:rPr>
        <w:t>. Cham: Springer, pp. 53–69. doi:10.1007/978-3-319-79060-2_4.</w:t>
      </w:r>
    </w:p>
    <w:p w14:paraId="021C236E" w14:textId="77777777" w:rsidR="00403EE2" w:rsidRPr="008C0D4B" w:rsidRDefault="00403EE2" w:rsidP="00CF6FE9">
      <w:pPr>
        <w:spacing w:line="360" w:lineRule="auto"/>
        <w:rPr>
          <w:rFonts w:ascii="Arial" w:hAnsi="Arial" w:cs="Arial"/>
        </w:rPr>
      </w:pPr>
      <w:r w:rsidRPr="008C0D4B">
        <w:rPr>
          <w:rFonts w:ascii="Arial" w:hAnsi="Arial" w:cs="Arial"/>
        </w:rPr>
        <w:t xml:space="preserve">Deloitte (2024) </w:t>
      </w:r>
      <w:r w:rsidRPr="008C0D4B">
        <w:rPr>
          <w:rFonts w:ascii="Arial" w:hAnsi="Arial" w:cs="Arial"/>
          <w:i/>
          <w:iCs/>
        </w:rPr>
        <w:t>2024 Global Automotive Consumer Study</w:t>
      </w:r>
      <w:r w:rsidRPr="008C0D4B">
        <w:rPr>
          <w:rFonts w:ascii="Arial" w:hAnsi="Arial" w:cs="Arial"/>
        </w:rPr>
        <w:t xml:space="preserve">. Available at: </w:t>
      </w:r>
      <w:hyperlink r:id="rId10" w:tgtFrame="_new" w:history="1">
        <w:r w:rsidRPr="008C0D4B">
          <w:rPr>
            <w:rStyle w:val="Hyperlink"/>
            <w:rFonts w:ascii="Arial" w:hAnsi="Arial" w:cs="Arial"/>
          </w:rPr>
          <w:t>https://www.deloitte.com/uk/en/Industries/automotive/perspectives/global-automotive-consumer-study.html</w:t>
        </w:r>
      </w:hyperlink>
      <w:r w:rsidRPr="008C0D4B">
        <w:rPr>
          <w:rFonts w:ascii="Arial" w:hAnsi="Arial" w:cs="Arial"/>
        </w:rPr>
        <w:t xml:space="preserve"> (Accessed: 26 February 2026).</w:t>
      </w:r>
    </w:p>
    <w:p w14:paraId="0C87F3A1" w14:textId="77777777" w:rsidR="00403EE2" w:rsidRPr="008C0D4B" w:rsidRDefault="00403EE2" w:rsidP="00CF6FE9">
      <w:pPr>
        <w:spacing w:line="360" w:lineRule="auto"/>
        <w:rPr>
          <w:rFonts w:ascii="Arial" w:hAnsi="Arial" w:cs="Arial"/>
        </w:rPr>
      </w:pPr>
      <w:r w:rsidRPr="008C0D4B">
        <w:rPr>
          <w:rFonts w:ascii="Arial" w:hAnsi="Arial" w:cs="Arial"/>
        </w:rPr>
        <w:t xml:space="preserve">Eccles, R.G. and Klimenko, S. (2019) ‘The investor revolution’, </w:t>
      </w:r>
      <w:r w:rsidRPr="008C0D4B">
        <w:rPr>
          <w:rFonts w:ascii="Arial" w:hAnsi="Arial" w:cs="Arial"/>
          <w:i/>
          <w:iCs/>
        </w:rPr>
        <w:t>Harvard Business Review</w:t>
      </w:r>
      <w:r w:rsidRPr="008C0D4B">
        <w:rPr>
          <w:rFonts w:ascii="Arial" w:hAnsi="Arial" w:cs="Arial"/>
        </w:rPr>
        <w:t xml:space="preserve">. Available at: </w:t>
      </w:r>
      <w:hyperlink r:id="rId11" w:tgtFrame="_new" w:history="1">
        <w:r w:rsidRPr="008C0D4B">
          <w:rPr>
            <w:rStyle w:val="Hyperlink"/>
            <w:rFonts w:ascii="Arial" w:hAnsi="Arial" w:cs="Arial"/>
          </w:rPr>
          <w:t>https://hbr.org/2019/05/the-investor-revolution</w:t>
        </w:r>
      </w:hyperlink>
      <w:r w:rsidRPr="008C0D4B">
        <w:rPr>
          <w:rFonts w:ascii="Arial" w:hAnsi="Arial" w:cs="Arial"/>
        </w:rPr>
        <w:t xml:space="preserve"> (Accessed: 27 February 2026).</w:t>
      </w:r>
    </w:p>
    <w:p w14:paraId="569A1199" w14:textId="77777777" w:rsidR="00403EE2" w:rsidRPr="008C0D4B" w:rsidRDefault="00403EE2" w:rsidP="00CF6FE9">
      <w:pPr>
        <w:spacing w:line="360" w:lineRule="auto"/>
        <w:rPr>
          <w:rFonts w:ascii="Arial" w:hAnsi="Arial" w:cs="Arial"/>
        </w:rPr>
      </w:pPr>
      <w:r w:rsidRPr="008C0D4B">
        <w:rPr>
          <w:rFonts w:ascii="Arial" w:hAnsi="Arial" w:cs="Arial"/>
        </w:rPr>
        <w:t xml:space="preserve">International Energy Agency (IEA) (2023a) </w:t>
      </w:r>
      <w:r w:rsidRPr="008C0D4B">
        <w:rPr>
          <w:rFonts w:ascii="Arial" w:hAnsi="Arial" w:cs="Arial"/>
          <w:i/>
          <w:iCs/>
        </w:rPr>
        <w:t>Global EV Outlook 2023</w:t>
      </w:r>
      <w:r w:rsidRPr="008C0D4B">
        <w:rPr>
          <w:rFonts w:ascii="Arial" w:hAnsi="Arial" w:cs="Arial"/>
        </w:rPr>
        <w:t xml:space="preserve">. Available at: </w:t>
      </w:r>
      <w:hyperlink r:id="rId12" w:tgtFrame="_new" w:history="1">
        <w:r w:rsidRPr="008C0D4B">
          <w:rPr>
            <w:rStyle w:val="Hyperlink"/>
            <w:rFonts w:ascii="Arial" w:hAnsi="Arial" w:cs="Arial"/>
          </w:rPr>
          <w:t>https://www.iea.org/reports/global-ev-outlook-2023</w:t>
        </w:r>
      </w:hyperlink>
      <w:r w:rsidRPr="008C0D4B">
        <w:rPr>
          <w:rFonts w:ascii="Arial" w:hAnsi="Arial" w:cs="Arial"/>
        </w:rPr>
        <w:t xml:space="preserve"> (Accessed: 21 February 2026).</w:t>
      </w:r>
    </w:p>
    <w:p w14:paraId="6FA20E8F" w14:textId="77777777" w:rsidR="00403EE2" w:rsidRPr="008C0D4B" w:rsidRDefault="00403EE2" w:rsidP="00CF6FE9">
      <w:pPr>
        <w:spacing w:line="360" w:lineRule="auto"/>
        <w:rPr>
          <w:rFonts w:ascii="Arial" w:hAnsi="Arial" w:cs="Arial"/>
        </w:rPr>
      </w:pPr>
      <w:r w:rsidRPr="008C0D4B">
        <w:rPr>
          <w:rFonts w:ascii="Arial" w:hAnsi="Arial" w:cs="Arial"/>
        </w:rPr>
        <w:t xml:space="preserve">International Energy Agency (IEA) (2023b) ‘Policy developments’, in </w:t>
      </w:r>
      <w:r w:rsidRPr="008C0D4B">
        <w:rPr>
          <w:rFonts w:ascii="Arial" w:hAnsi="Arial" w:cs="Arial"/>
          <w:i/>
          <w:iCs/>
        </w:rPr>
        <w:t>Global EV Outlook 2023</w:t>
      </w:r>
      <w:r w:rsidRPr="008C0D4B">
        <w:rPr>
          <w:rFonts w:ascii="Arial" w:hAnsi="Arial" w:cs="Arial"/>
        </w:rPr>
        <w:t xml:space="preserve">. Available at: </w:t>
      </w:r>
      <w:hyperlink r:id="rId13" w:tgtFrame="_new" w:history="1">
        <w:r w:rsidRPr="008C0D4B">
          <w:rPr>
            <w:rStyle w:val="Hyperlink"/>
            <w:rFonts w:ascii="Arial" w:hAnsi="Arial" w:cs="Arial"/>
          </w:rPr>
          <w:t>https://www.iea.org/reports/global-ev-outlook-2023/policy-developments</w:t>
        </w:r>
      </w:hyperlink>
      <w:r w:rsidRPr="008C0D4B">
        <w:rPr>
          <w:rFonts w:ascii="Arial" w:hAnsi="Arial" w:cs="Arial"/>
        </w:rPr>
        <w:t xml:space="preserve"> (Accessed: 22 February 2026).</w:t>
      </w:r>
    </w:p>
    <w:p w14:paraId="37157BC3" w14:textId="77777777" w:rsidR="00403EE2" w:rsidRPr="008C0D4B" w:rsidRDefault="00403EE2" w:rsidP="00CF6FE9">
      <w:pPr>
        <w:spacing w:line="360" w:lineRule="auto"/>
        <w:rPr>
          <w:rFonts w:ascii="Arial" w:hAnsi="Arial" w:cs="Arial"/>
        </w:rPr>
      </w:pPr>
      <w:r w:rsidRPr="008C0D4B">
        <w:rPr>
          <w:rFonts w:ascii="Arial" w:hAnsi="Arial" w:cs="Arial"/>
        </w:rPr>
        <w:t xml:space="preserve">International Energy Agency (IEA) (2024) </w:t>
      </w:r>
      <w:r w:rsidRPr="008C0D4B">
        <w:rPr>
          <w:rFonts w:ascii="Arial" w:hAnsi="Arial" w:cs="Arial"/>
          <w:i/>
          <w:iCs/>
        </w:rPr>
        <w:t>Global EV Outlook 2024</w:t>
      </w:r>
      <w:r w:rsidRPr="008C0D4B">
        <w:rPr>
          <w:rFonts w:ascii="Arial" w:hAnsi="Arial" w:cs="Arial"/>
        </w:rPr>
        <w:t xml:space="preserve">. Available at: </w:t>
      </w:r>
      <w:hyperlink r:id="rId14" w:tgtFrame="_new" w:history="1">
        <w:r w:rsidRPr="008C0D4B">
          <w:rPr>
            <w:rStyle w:val="Hyperlink"/>
            <w:rFonts w:ascii="Arial" w:hAnsi="Arial" w:cs="Arial"/>
          </w:rPr>
          <w:t>https://www.iea.org/reports/global-ev-outlook-2024</w:t>
        </w:r>
      </w:hyperlink>
      <w:r w:rsidRPr="008C0D4B">
        <w:rPr>
          <w:rFonts w:ascii="Arial" w:hAnsi="Arial" w:cs="Arial"/>
        </w:rPr>
        <w:t xml:space="preserve"> (Accessed: 21 February 2026).</w:t>
      </w:r>
    </w:p>
    <w:p w14:paraId="4E39AC66" w14:textId="77777777" w:rsidR="00403EE2" w:rsidRPr="008C0D4B" w:rsidRDefault="00403EE2" w:rsidP="00CF6FE9">
      <w:pPr>
        <w:spacing w:line="360" w:lineRule="auto"/>
        <w:rPr>
          <w:rFonts w:ascii="Arial" w:hAnsi="Arial" w:cs="Arial"/>
        </w:rPr>
      </w:pPr>
      <w:r w:rsidRPr="008C0D4B">
        <w:rPr>
          <w:rFonts w:ascii="Arial" w:hAnsi="Arial" w:cs="Arial"/>
        </w:rPr>
        <w:t xml:space="preserve">Kaplan, R.S. and Norton, D.P. (1992) ‘The balanced scorecard: measures that drive performance’, </w:t>
      </w:r>
      <w:r w:rsidRPr="008C0D4B">
        <w:rPr>
          <w:rFonts w:ascii="Arial" w:hAnsi="Arial" w:cs="Arial"/>
          <w:i/>
          <w:iCs/>
        </w:rPr>
        <w:t>Harvard Business Review</w:t>
      </w:r>
      <w:r w:rsidRPr="008C0D4B">
        <w:rPr>
          <w:rFonts w:ascii="Arial" w:hAnsi="Arial" w:cs="Arial"/>
        </w:rPr>
        <w:t>, 70(1), pp. 71–79.</w:t>
      </w:r>
    </w:p>
    <w:p w14:paraId="1597A69D" w14:textId="77777777" w:rsidR="00403EE2" w:rsidRPr="008C0D4B" w:rsidRDefault="00403EE2" w:rsidP="00CF6FE9">
      <w:pPr>
        <w:spacing w:line="360" w:lineRule="auto"/>
        <w:rPr>
          <w:rFonts w:ascii="Arial" w:hAnsi="Arial" w:cs="Arial"/>
        </w:rPr>
      </w:pPr>
      <w:r w:rsidRPr="008C0D4B">
        <w:rPr>
          <w:rFonts w:ascii="Arial" w:hAnsi="Arial" w:cs="Arial"/>
        </w:rPr>
        <w:t xml:space="preserve">Mangram, M. (2012) ‘The globalization of Tesla Motors: A strategic marketing plan analysis’, </w:t>
      </w:r>
      <w:r w:rsidRPr="008C0D4B">
        <w:rPr>
          <w:rFonts w:ascii="Arial" w:hAnsi="Arial" w:cs="Arial"/>
          <w:i/>
          <w:iCs/>
        </w:rPr>
        <w:t>Journal of Strategic Marketing</w:t>
      </w:r>
      <w:r w:rsidRPr="008C0D4B">
        <w:rPr>
          <w:rFonts w:ascii="Arial" w:hAnsi="Arial" w:cs="Arial"/>
        </w:rPr>
        <w:t xml:space="preserve">, 20(4), pp. 289–312. Available at: </w:t>
      </w:r>
      <w:hyperlink r:id="rId15" w:tgtFrame="_new" w:history="1">
        <w:r w:rsidRPr="008C0D4B">
          <w:rPr>
            <w:rStyle w:val="Hyperlink"/>
            <w:rFonts w:ascii="Arial" w:hAnsi="Arial" w:cs="Arial"/>
          </w:rPr>
          <w:t>https://www.researchgate.net/publication/254322834_The_globalization_of_Tesla_Motors_A_strategic_marketing_plan_analysis</w:t>
        </w:r>
      </w:hyperlink>
      <w:r w:rsidRPr="008C0D4B">
        <w:rPr>
          <w:rFonts w:ascii="Arial" w:hAnsi="Arial" w:cs="Arial"/>
        </w:rPr>
        <w:t xml:space="preserve"> (Accessed: 24 February 2026).</w:t>
      </w:r>
    </w:p>
    <w:p w14:paraId="75DF9B8A" w14:textId="77777777" w:rsidR="00403EE2" w:rsidRPr="008C0D4B" w:rsidRDefault="00403EE2" w:rsidP="00CF6FE9">
      <w:pPr>
        <w:spacing w:line="360" w:lineRule="auto"/>
        <w:rPr>
          <w:rFonts w:ascii="Arial" w:hAnsi="Arial" w:cs="Arial"/>
        </w:rPr>
      </w:pPr>
      <w:r w:rsidRPr="008C0D4B">
        <w:rPr>
          <w:rFonts w:ascii="Arial" w:hAnsi="Arial" w:cs="Arial"/>
        </w:rPr>
        <w:t xml:space="preserve">Porter, M.E. (2008) ‘The five competitive forces that shape strategy’, </w:t>
      </w:r>
      <w:r w:rsidRPr="008C0D4B">
        <w:rPr>
          <w:rFonts w:ascii="Arial" w:hAnsi="Arial" w:cs="Arial"/>
          <w:i/>
          <w:iCs/>
        </w:rPr>
        <w:t>Harvard Business Review</w:t>
      </w:r>
      <w:r w:rsidRPr="008C0D4B">
        <w:rPr>
          <w:rFonts w:ascii="Arial" w:hAnsi="Arial" w:cs="Arial"/>
        </w:rPr>
        <w:t>, 86(1), pp. 78–93.</w:t>
      </w:r>
    </w:p>
    <w:p w14:paraId="1E5EFA6A" w14:textId="77777777" w:rsidR="00403EE2" w:rsidRPr="008C0D4B" w:rsidRDefault="00403EE2" w:rsidP="00CF6FE9">
      <w:pPr>
        <w:spacing w:line="360" w:lineRule="auto"/>
        <w:rPr>
          <w:rFonts w:ascii="Arial" w:hAnsi="Arial" w:cs="Arial"/>
        </w:rPr>
      </w:pPr>
      <w:r w:rsidRPr="008C0D4B">
        <w:rPr>
          <w:rFonts w:ascii="Arial" w:hAnsi="Arial" w:cs="Arial"/>
        </w:rPr>
        <w:t xml:space="preserve">Ragonnaud, G. (2024) </w:t>
      </w:r>
      <w:r w:rsidRPr="008C0D4B">
        <w:rPr>
          <w:rFonts w:ascii="Arial" w:hAnsi="Arial" w:cs="Arial"/>
          <w:i/>
          <w:iCs/>
        </w:rPr>
        <w:t>The crisis facing the EU’s automotive industry</w:t>
      </w:r>
      <w:r w:rsidRPr="008C0D4B">
        <w:rPr>
          <w:rFonts w:ascii="Arial" w:hAnsi="Arial" w:cs="Arial"/>
        </w:rPr>
        <w:t xml:space="preserve">. European Parliamentary Research Service. Available at: </w:t>
      </w:r>
      <w:hyperlink r:id="rId16" w:tgtFrame="_new" w:history="1">
        <w:r w:rsidRPr="008C0D4B">
          <w:rPr>
            <w:rStyle w:val="Hyperlink"/>
            <w:rFonts w:ascii="Arial" w:hAnsi="Arial" w:cs="Arial"/>
          </w:rPr>
          <w:t>https://www.europarl.europa.eu/RegData/etudes/ATAG/2024/762419/EPRS_ATA(2024)762419_EN.pdf</w:t>
        </w:r>
      </w:hyperlink>
      <w:r w:rsidRPr="008C0D4B">
        <w:rPr>
          <w:rFonts w:ascii="Arial" w:hAnsi="Arial" w:cs="Arial"/>
        </w:rPr>
        <w:t xml:space="preserve"> (Accessed: 25 February 2026).</w:t>
      </w:r>
    </w:p>
    <w:p w14:paraId="3CB982F5" w14:textId="77777777" w:rsidR="00403EE2" w:rsidRPr="008C0D4B" w:rsidRDefault="00403EE2" w:rsidP="00CF6FE9">
      <w:pPr>
        <w:spacing w:line="360" w:lineRule="auto"/>
        <w:rPr>
          <w:rFonts w:ascii="Arial" w:hAnsi="Arial" w:cs="Arial"/>
        </w:rPr>
      </w:pPr>
      <w:r w:rsidRPr="008C0D4B">
        <w:rPr>
          <w:rFonts w:ascii="Arial" w:hAnsi="Arial" w:cs="Arial"/>
        </w:rPr>
        <w:t xml:space="preserve">Stringham, E.P., Miller, J.K. and Clark, J.R. (2015) ‘Overcoming barriers to entry in an established industry: Tesla Motors’, </w:t>
      </w:r>
      <w:r w:rsidRPr="008C0D4B">
        <w:rPr>
          <w:rFonts w:ascii="Arial" w:hAnsi="Arial" w:cs="Arial"/>
          <w:i/>
          <w:iCs/>
        </w:rPr>
        <w:t>California Management Review</w:t>
      </w:r>
      <w:r w:rsidRPr="008C0D4B">
        <w:rPr>
          <w:rFonts w:ascii="Arial" w:hAnsi="Arial" w:cs="Arial"/>
        </w:rPr>
        <w:t>, 57(4), pp. 85–103. doi:10.1525/cmr.2015.57.4.85.</w:t>
      </w:r>
    </w:p>
    <w:p w14:paraId="33E1D1AA" w14:textId="77777777" w:rsidR="00403EE2" w:rsidRPr="008C0D4B" w:rsidRDefault="00403EE2" w:rsidP="00CF6FE9">
      <w:pPr>
        <w:spacing w:line="360" w:lineRule="auto"/>
        <w:rPr>
          <w:rFonts w:ascii="Arial" w:hAnsi="Arial" w:cs="Arial"/>
        </w:rPr>
      </w:pPr>
      <w:r w:rsidRPr="008C0D4B">
        <w:rPr>
          <w:rFonts w:ascii="Arial" w:hAnsi="Arial" w:cs="Arial"/>
        </w:rPr>
        <w:t xml:space="preserve">Teece, D.J. (2018) ‘Business models and dynamic capabilities’, </w:t>
      </w:r>
      <w:r w:rsidRPr="008C0D4B">
        <w:rPr>
          <w:rFonts w:ascii="Arial" w:hAnsi="Arial" w:cs="Arial"/>
          <w:i/>
          <w:iCs/>
        </w:rPr>
        <w:t>Long Range Planning</w:t>
      </w:r>
      <w:r w:rsidRPr="008C0D4B">
        <w:rPr>
          <w:rFonts w:ascii="Arial" w:hAnsi="Arial" w:cs="Arial"/>
        </w:rPr>
        <w:t xml:space="preserve">, 51(1), pp. 40–49. </w:t>
      </w:r>
      <w:proofErr w:type="gramStart"/>
      <w:r w:rsidRPr="008C0D4B">
        <w:rPr>
          <w:rFonts w:ascii="Arial" w:hAnsi="Arial" w:cs="Arial"/>
        </w:rPr>
        <w:t>doi:10.1016/j.lrp</w:t>
      </w:r>
      <w:proofErr w:type="gramEnd"/>
      <w:r w:rsidRPr="008C0D4B">
        <w:rPr>
          <w:rFonts w:ascii="Arial" w:hAnsi="Arial" w:cs="Arial"/>
        </w:rPr>
        <w:t>.2017.06.007.</w:t>
      </w:r>
    </w:p>
    <w:p w14:paraId="7935265E" w14:textId="77777777" w:rsidR="00403EE2" w:rsidRPr="00CF6FE9" w:rsidRDefault="00403EE2" w:rsidP="00CF6FE9">
      <w:pPr>
        <w:spacing w:line="360" w:lineRule="auto"/>
        <w:rPr>
          <w:rFonts w:ascii="Arial" w:hAnsi="Arial" w:cs="Arial"/>
        </w:rPr>
      </w:pPr>
      <w:r w:rsidRPr="00CF6FE9">
        <w:rPr>
          <w:rFonts w:ascii="Arial" w:hAnsi="Arial" w:cs="Arial"/>
        </w:rPr>
        <w:t xml:space="preserve">Teece, D.J., Pisano, G. and </w:t>
      </w:r>
      <w:proofErr w:type="spellStart"/>
      <w:r w:rsidRPr="00CF6FE9">
        <w:rPr>
          <w:rFonts w:ascii="Arial" w:hAnsi="Arial" w:cs="Arial"/>
        </w:rPr>
        <w:t>Shuen</w:t>
      </w:r>
      <w:proofErr w:type="spellEnd"/>
      <w:r w:rsidRPr="00CF6FE9">
        <w:rPr>
          <w:rFonts w:ascii="Arial" w:hAnsi="Arial" w:cs="Arial"/>
        </w:rPr>
        <w:t xml:space="preserve">, A. (1997) ‘Dynamic capabilities and strategic management’, </w:t>
      </w:r>
      <w:r w:rsidRPr="00CF6FE9">
        <w:rPr>
          <w:rFonts w:ascii="Arial" w:hAnsi="Arial" w:cs="Arial"/>
          <w:i/>
          <w:iCs/>
        </w:rPr>
        <w:t>Strategic Management Journal</w:t>
      </w:r>
      <w:r w:rsidRPr="00CF6FE9">
        <w:rPr>
          <w:rFonts w:ascii="Arial" w:hAnsi="Arial" w:cs="Arial"/>
        </w:rPr>
        <w:t>, 18(7), pp. 509–533.</w:t>
      </w:r>
    </w:p>
    <w:p w14:paraId="070DEC86" w14:textId="0575411D" w:rsidR="00403EE2" w:rsidRPr="008C0D4B" w:rsidRDefault="00403EE2" w:rsidP="00CF6FE9">
      <w:pPr>
        <w:spacing w:line="360" w:lineRule="auto"/>
        <w:rPr>
          <w:rFonts w:ascii="Arial" w:hAnsi="Arial" w:cs="Arial"/>
        </w:rPr>
      </w:pPr>
      <w:r w:rsidRPr="008C0D4B">
        <w:rPr>
          <w:rFonts w:ascii="Arial" w:hAnsi="Arial" w:cs="Arial"/>
        </w:rPr>
        <w:t>Tesla (202</w:t>
      </w:r>
      <w:r w:rsidRPr="00CF6FE9">
        <w:rPr>
          <w:rFonts w:ascii="Arial" w:hAnsi="Arial" w:cs="Arial"/>
        </w:rPr>
        <w:t>4</w:t>
      </w:r>
      <w:r w:rsidR="00175333" w:rsidRPr="00CF6FE9">
        <w:rPr>
          <w:rFonts w:ascii="Arial" w:hAnsi="Arial" w:cs="Arial"/>
        </w:rPr>
        <w:t>a</w:t>
      </w:r>
      <w:r w:rsidRPr="008C0D4B">
        <w:rPr>
          <w:rFonts w:ascii="Arial" w:hAnsi="Arial" w:cs="Arial"/>
        </w:rPr>
        <w:t xml:space="preserve">) </w:t>
      </w:r>
      <w:r w:rsidRPr="008C0D4B">
        <w:rPr>
          <w:rFonts w:ascii="Arial" w:hAnsi="Arial" w:cs="Arial"/>
          <w:i/>
          <w:iCs/>
        </w:rPr>
        <w:t>Impact Report 20</w:t>
      </w:r>
      <w:r w:rsidRPr="00CF6FE9">
        <w:rPr>
          <w:rFonts w:ascii="Arial" w:hAnsi="Arial" w:cs="Arial"/>
          <w:i/>
          <w:iCs/>
        </w:rPr>
        <w:t>24</w:t>
      </w:r>
      <w:r w:rsidRPr="008C0D4B">
        <w:rPr>
          <w:rFonts w:ascii="Arial" w:hAnsi="Arial" w:cs="Arial"/>
        </w:rPr>
        <w:t xml:space="preserve">. Available at: </w:t>
      </w:r>
      <w:hyperlink r:id="rId17" w:tgtFrame="_new" w:history="1">
        <w:r w:rsidRPr="008C0D4B">
          <w:rPr>
            <w:rStyle w:val="Hyperlink"/>
            <w:rFonts w:ascii="Arial" w:hAnsi="Arial" w:cs="Arial"/>
          </w:rPr>
          <w:t>https://www.tesla.com/en_gb/impact</w:t>
        </w:r>
      </w:hyperlink>
      <w:r w:rsidRPr="008C0D4B">
        <w:rPr>
          <w:rFonts w:ascii="Arial" w:hAnsi="Arial" w:cs="Arial"/>
        </w:rPr>
        <w:t xml:space="preserve"> (Accessed: 24 February 2026).</w:t>
      </w:r>
    </w:p>
    <w:p w14:paraId="3C377445" w14:textId="7E4FAE54" w:rsidR="00403EE2" w:rsidRPr="008C0D4B" w:rsidRDefault="00403EE2" w:rsidP="00CF6FE9">
      <w:pPr>
        <w:spacing w:line="360" w:lineRule="auto"/>
        <w:rPr>
          <w:rFonts w:ascii="Arial" w:hAnsi="Arial" w:cs="Arial"/>
        </w:rPr>
      </w:pPr>
      <w:r w:rsidRPr="008C0D4B">
        <w:rPr>
          <w:rFonts w:ascii="Arial" w:hAnsi="Arial" w:cs="Arial"/>
        </w:rPr>
        <w:t>Tesla (2024</w:t>
      </w:r>
      <w:r w:rsidR="00175333" w:rsidRPr="00CF6FE9">
        <w:rPr>
          <w:rFonts w:ascii="Arial" w:hAnsi="Arial" w:cs="Arial"/>
        </w:rPr>
        <w:t>b</w:t>
      </w:r>
      <w:r w:rsidRPr="008C0D4B">
        <w:rPr>
          <w:rFonts w:ascii="Arial" w:hAnsi="Arial" w:cs="Arial"/>
        </w:rPr>
        <w:t xml:space="preserve">) </w:t>
      </w:r>
      <w:r w:rsidRPr="008C0D4B">
        <w:rPr>
          <w:rFonts w:ascii="Arial" w:hAnsi="Arial" w:cs="Arial"/>
          <w:i/>
          <w:iCs/>
        </w:rPr>
        <w:t>Tesla, Inc. Annual Report</w:t>
      </w:r>
      <w:r w:rsidRPr="008C0D4B">
        <w:rPr>
          <w:rFonts w:ascii="Arial" w:hAnsi="Arial" w:cs="Arial"/>
        </w:rPr>
        <w:t xml:space="preserve">. Available at: </w:t>
      </w:r>
      <w:hyperlink r:id="rId18" w:tgtFrame="_new" w:history="1">
        <w:r w:rsidRPr="008C0D4B">
          <w:rPr>
            <w:rStyle w:val="Hyperlink"/>
            <w:rFonts w:ascii="Arial" w:hAnsi="Arial" w:cs="Arial"/>
          </w:rPr>
          <w:t>https://www.annualreports.com/Company/tesla-inc</w:t>
        </w:r>
      </w:hyperlink>
      <w:r w:rsidRPr="008C0D4B">
        <w:rPr>
          <w:rFonts w:ascii="Arial" w:hAnsi="Arial" w:cs="Arial"/>
        </w:rPr>
        <w:t xml:space="preserve"> (Accessed: 24 February 2026).</w:t>
      </w:r>
    </w:p>
    <w:p w14:paraId="36745F9F" w14:textId="77777777" w:rsidR="00403EE2" w:rsidRPr="008C0D4B" w:rsidRDefault="00403EE2" w:rsidP="00CF6FE9">
      <w:pPr>
        <w:spacing w:line="360" w:lineRule="auto"/>
        <w:rPr>
          <w:rFonts w:ascii="Arial" w:hAnsi="Arial" w:cs="Arial"/>
        </w:rPr>
      </w:pPr>
      <w:r w:rsidRPr="008C0D4B">
        <w:rPr>
          <w:rFonts w:ascii="Arial" w:hAnsi="Arial" w:cs="Arial"/>
        </w:rPr>
        <w:t xml:space="preserve">United Nations (2023) </w:t>
      </w:r>
      <w:r w:rsidRPr="008C0D4B">
        <w:rPr>
          <w:rFonts w:ascii="Arial" w:hAnsi="Arial" w:cs="Arial"/>
          <w:i/>
          <w:iCs/>
        </w:rPr>
        <w:t>Global Sustainable Development Report 2023</w:t>
      </w:r>
      <w:r w:rsidRPr="008C0D4B">
        <w:rPr>
          <w:rFonts w:ascii="Arial" w:hAnsi="Arial" w:cs="Arial"/>
        </w:rPr>
        <w:t xml:space="preserve">. Available at: </w:t>
      </w:r>
      <w:hyperlink r:id="rId19" w:tgtFrame="_new" w:history="1">
        <w:r w:rsidRPr="008C0D4B">
          <w:rPr>
            <w:rStyle w:val="Hyperlink"/>
            <w:rFonts w:ascii="Arial" w:hAnsi="Arial" w:cs="Arial"/>
          </w:rPr>
          <w:t>https://doi.org/10.18356/9789213585115</w:t>
        </w:r>
      </w:hyperlink>
      <w:r w:rsidRPr="008C0D4B">
        <w:rPr>
          <w:rFonts w:ascii="Arial" w:hAnsi="Arial" w:cs="Arial"/>
        </w:rPr>
        <w:t xml:space="preserve"> (Accessed: 27 February 2026).</w:t>
      </w:r>
    </w:p>
    <w:p w14:paraId="29852776" w14:textId="77777777" w:rsidR="00403EE2" w:rsidRPr="008C0D4B" w:rsidRDefault="00403EE2" w:rsidP="00CF6FE9">
      <w:pPr>
        <w:spacing w:line="360" w:lineRule="auto"/>
        <w:rPr>
          <w:rFonts w:ascii="Arial" w:hAnsi="Arial" w:cs="Arial"/>
        </w:rPr>
      </w:pPr>
      <w:r w:rsidRPr="008C0D4B">
        <w:rPr>
          <w:rFonts w:ascii="Arial" w:hAnsi="Arial" w:cs="Arial"/>
        </w:rPr>
        <w:t xml:space="preserve">Venus, A., Schaufuss, P. and Möller, T. (2024) ‘How European consumers perceive electric vehicles’, </w:t>
      </w:r>
      <w:r w:rsidRPr="008C0D4B">
        <w:rPr>
          <w:rFonts w:ascii="Arial" w:hAnsi="Arial" w:cs="Arial"/>
          <w:i/>
          <w:iCs/>
        </w:rPr>
        <w:t>McKinsey &amp; Company</w:t>
      </w:r>
      <w:r w:rsidRPr="008C0D4B">
        <w:rPr>
          <w:rFonts w:ascii="Arial" w:hAnsi="Arial" w:cs="Arial"/>
        </w:rPr>
        <w:t xml:space="preserve">. Available at: </w:t>
      </w:r>
      <w:hyperlink r:id="rId20" w:tgtFrame="_new" w:history="1">
        <w:r w:rsidRPr="008C0D4B">
          <w:rPr>
            <w:rStyle w:val="Hyperlink"/>
            <w:rFonts w:ascii="Arial" w:hAnsi="Arial" w:cs="Arial"/>
          </w:rPr>
          <w:t>https://www.mckinsey.com/industries/automotive-and-assembly/our-insights/how-european-consumers-perceive-electric-vehicles</w:t>
        </w:r>
      </w:hyperlink>
      <w:r w:rsidRPr="008C0D4B">
        <w:rPr>
          <w:rFonts w:ascii="Arial" w:hAnsi="Arial" w:cs="Arial"/>
        </w:rPr>
        <w:t xml:space="preserve"> (Accessed: 25 February 2026).</w:t>
      </w:r>
    </w:p>
    <w:p w14:paraId="7447A564" w14:textId="77777777" w:rsidR="00403EE2" w:rsidRPr="008C0D4B" w:rsidRDefault="00403EE2" w:rsidP="00CF6FE9">
      <w:pPr>
        <w:spacing w:line="360" w:lineRule="auto"/>
        <w:rPr>
          <w:rFonts w:ascii="Arial" w:hAnsi="Arial" w:cs="Arial"/>
        </w:rPr>
      </w:pPr>
      <w:r w:rsidRPr="008C0D4B">
        <w:rPr>
          <w:rFonts w:ascii="Arial" w:hAnsi="Arial" w:cs="Arial"/>
        </w:rPr>
        <w:t xml:space="preserve">World Economic Forum (2024) </w:t>
      </w:r>
      <w:r w:rsidRPr="008C0D4B">
        <w:rPr>
          <w:rFonts w:ascii="Arial" w:hAnsi="Arial" w:cs="Arial"/>
          <w:i/>
          <w:iCs/>
        </w:rPr>
        <w:t>Global Risks Report 2024</w:t>
      </w:r>
      <w:r w:rsidRPr="008C0D4B">
        <w:rPr>
          <w:rFonts w:ascii="Arial" w:hAnsi="Arial" w:cs="Arial"/>
        </w:rPr>
        <w:t xml:space="preserve">. Available at: </w:t>
      </w:r>
      <w:hyperlink r:id="rId21" w:tgtFrame="_new" w:history="1">
        <w:r w:rsidRPr="008C0D4B">
          <w:rPr>
            <w:rStyle w:val="Hyperlink"/>
            <w:rFonts w:ascii="Arial" w:hAnsi="Arial" w:cs="Arial"/>
          </w:rPr>
          <w:t>https://www.weforum.org/publications/global-risks-report-2024/</w:t>
        </w:r>
      </w:hyperlink>
      <w:r w:rsidRPr="008C0D4B">
        <w:rPr>
          <w:rFonts w:ascii="Arial" w:hAnsi="Arial" w:cs="Arial"/>
        </w:rPr>
        <w:t xml:space="preserve"> (Accessed: 27 February 2026).</w:t>
      </w:r>
    </w:p>
    <w:p w14:paraId="539442AB" w14:textId="77777777" w:rsidR="00403EE2" w:rsidRPr="00CF6FE9" w:rsidRDefault="00403EE2" w:rsidP="00CF6FE9">
      <w:pPr>
        <w:spacing w:line="360" w:lineRule="auto"/>
        <w:rPr>
          <w:rFonts w:ascii="Arial" w:hAnsi="Arial" w:cs="Arial"/>
        </w:rPr>
      </w:pPr>
    </w:p>
    <w:sectPr w:rsidR="00403EE2" w:rsidRPr="00CF6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65592"/>
    <w:multiLevelType w:val="hybridMultilevel"/>
    <w:tmpl w:val="EBA6E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92859"/>
    <w:multiLevelType w:val="hybridMultilevel"/>
    <w:tmpl w:val="22B4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C6511"/>
    <w:multiLevelType w:val="hybridMultilevel"/>
    <w:tmpl w:val="19B46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067F9"/>
    <w:multiLevelType w:val="hybridMultilevel"/>
    <w:tmpl w:val="CA244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E55AB1"/>
    <w:multiLevelType w:val="hybridMultilevel"/>
    <w:tmpl w:val="6CB83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3376AE"/>
    <w:multiLevelType w:val="hybridMultilevel"/>
    <w:tmpl w:val="A19A3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711706"/>
    <w:multiLevelType w:val="hybridMultilevel"/>
    <w:tmpl w:val="16A65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232204"/>
    <w:multiLevelType w:val="hybridMultilevel"/>
    <w:tmpl w:val="ECD64D1A"/>
    <w:lvl w:ilvl="0" w:tplc="58D457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A93526"/>
    <w:multiLevelType w:val="hybridMultilevel"/>
    <w:tmpl w:val="6AB41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FB372F"/>
    <w:multiLevelType w:val="hybridMultilevel"/>
    <w:tmpl w:val="9E6AF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823993"/>
    <w:multiLevelType w:val="hybridMultilevel"/>
    <w:tmpl w:val="F5D0D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8746B4"/>
    <w:multiLevelType w:val="hybridMultilevel"/>
    <w:tmpl w:val="69848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B3AEE"/>
    <w:multiLevelType w:val="hybridMultilevel"/>
    <w:tmpl w:val="F774A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A428BB"/>
    <w:multiLevelType w:val="hybridMultilevel"/>
    <w:tmpl w:val="E2D47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0865198">
    <w:abstractNumId w:val="5"/>
  </w:num>
  <w:num w:numId="2" w16cid:durableId="1806502062">
    <w:abstractNumId w:val="1"/>
  </w:num>
  <w:num w:numId="3" w16cid:durableId="1985308684">
    <w:abstractNumId w:val="11"/>
  </w:num>
  <w:num w:numId="4" w16cid:durableId="1605383639">
    <w:abstractNumId w:val="2"/>
  </w:num>
  <w:num w:numId="5" w16cid:durableId="2032760472">
    <w:abstractNumId w:val="13"/>
  </w:num>
  <w:num w:numId="6" w16cid:durableId="418982783">
    <w:abstractNumId w:val="3"/>
  </w:num>
  <w:num w:numId="7" w16cid:durableId="1560365629">
    <w:abstractNumId w:val="8"/>
  </w:num>
  <w:num w:numId="8" w16cid:durableId="1316422297">
    <w:abstractNumId w:val="9"/>
  </w:num>
  <w:num w:numId="9" w16cid:durableId="1711563561">
    <w:abstractNumId w:val="10"/>
  </w:num>
  <w:num w:numId="10" w16cid:durableId="2047213660">
    <w:abstractNumId w:val="12"/>
  </w:num>
  <w:num w:numId="11" w16cid:durableId="1892232189">
    <w:abstractNumId w:val="4"/>
  </w:num>
  <w:num w:numId="12" w16cid:durableId="645208291">
    <w:abstractNumId w:val="0"/>
  </w:num>
  <w:num w:numId="13" w16cid:durableId="1166170177">
    <w:abstractNumId w:val="6"/>
  </w:num>
  <w:num w:numId="14" w16cid:durableId="1884928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78F"/>
    <w:rsid w:val="00096A11"/>
    <w:rsid w:val="00132372"/>
    <w:rsid w:val="0015780C"/>
    <w:rsid w:val="00175333"/>
    <w:rsid w:val="0019692A"/>
    <w:rsid w:val="00403EE2"/>
    <w:rsid w:val="00487309"/>
    <w:rsid w:val="005114DE"/>
    <w:rsid w:val="00554886"/>
    <w:rsid w:val="00775F47"/>
    <w:rsid w:val="00795EFD"/>
    <w:rsid w:val="007D2E95"/>
    <w:rsid w:val="00801EBE"/>
    <w:rsid w:val="0088156E"/>
    <w:rsid w:val="00935FDE"/>
    <w:rsid w:val="00963810"/>
    <w:rsid w:val="00B4578F"/>
    <w:rsid w:val="00C26577"/>
    <w:rsid w:val="00C911E8"/>
    <w:rsid w:val="00CC7F7F"/>
    <w:rsid w:val="00CF6FE9"/>
    <w:rsid w:val="00D5416B"/>
    <w:rsid w:val="00D5452C"/>
    <w:rsid w:val="00D57A7A"/>
    <w:rsid w:val="00D949CD"/>
    <w:rsid w:val="00E468E2"/>
    <w:rsid w:val="00EB1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8D032"/>
  <w15:chartTrackingRefBased/>
  <w15:docId w15:val="{4D852FA5-1D79-47EB-8E67-18BA87B7C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7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57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57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7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7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7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7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7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7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7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57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457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7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7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78F"/>
    <w:rPr>
      <w:rFonts w:eastAsiaTheme="majorEastAsia" w:cstheme="majorBidi"/>
      <w:color w:val="272727" w:themeColor="text1" w:themeTint="D8"/>
    </w:rPr>
  </w:style>
  <w:style w:type="paragraph" w:styleId="Title">
    <w:name w:val="Title"/>
    <w:basedOn w:val="Normal"/>
    <w:next w:val="Normal"/>
    <w:link w:val="TitleChar"/>
    <w:uiPriority w:val="10"/>
    <w:qFormat/>
    <w:rsid w:val="00B457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7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78F"/>
    <w:pPr>
      <w:spacing w:before="160"/>
      <w:jc w:val="center"/>
    </w:pPr>
    <w:rPr>
      <w:i/>
      <w:iCs/>
      <w:color w:val="404040" w:themeColor="text1" w:themeTint="BF"/>
    </w:rPr>
  </w:style>
  <w:style w:type="character" w:customStyle="1" w:styleId="QuoteChar">
    <w:name w:val="Quote Char"/>
    <w:basedOn w:val="DefaultParagraphFont"/>
    <w:link w:val="Quote"/>
    <w:uiPriority w:val="29"/>
    <w:rsid w:val="00B4578F"/>
    <w:rPr>
      <w:i/>
      <w:iCs/>
      <w:color w:val="404040" w:themeColor="text1" w:themeTint="BF"/>
    </w:rPr>
  </w:style>
  <w:style w:type="paragraph" w:styleId="ListParagraph">
    <w:name w:val="List Paragraph"/>
    <w:basedOn w:val="Normal"/>
    <w:uiPriority w:val="34"/>
    <w:qFormat/>
    <w:rsid w:val="00B4578F"/>
    <w:pPr>
      <w:ind w:left="720"/>
      <w:contextualSpacing/>
    </w:pPr>
  </w:style>
  <w:style w:type="character" w:styleId="IntenseEmphasis">
    <w:name w:val="Intense Emphasis"/>
    <w:basedOn w:val="DefaultParagraphFont"/>
    <w:uiPriority w:val="21"/>
    <w:qFormat/>
    <w:rsid w:val="00B4578F"/>
    <w:rPr>
      <w:i/>
      <w:iCs/>
      <w:color w:val="0F4761" w:themeColor="accent1" w:themeShade="BF"/>
    </w:rPr>
  </w:style>
  <w:style w:type="paragraph" w:styleId="IntenseQuote">
    <w:name w:val="Intense Quote"/>
    <w:basedOn w:val="Normal"/>
    <w:next w:val="Normal"/>
    <w:link w:val="IntenseQuoteChar"/>
    <w:uiPriority w:val="30"/>
    <w:qFormat/>
    <w:rsid w:val="00B457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78F"/>
    <w:rPr>
      <w:i/>
      <w:iCs/>
      <w:color w:val="0F4761" w:themeColor="accent1" w:themeShade="BF"/>
    </w:rPr>
  </w:style>
  <w:style w:type="character" w:styleId="IntenseReference">
    <w:name w:val="Intense Reference"/>
    <w:basedOn w:val="DefaultParagraphFont"/>
    <w:uiPriority w:val="32"/>
    <w:qFormat/>
    <w:rsid w:val="00B4578F"/>
    <w:rPr>
      <w:b/>
      <w:bCs/>
      <w:smallCaps/>
      <w:color w:val="0F4761" w:themeColor="accent1" w:themeShade="BF"/>
      <w:spacing w:val="5"/>
    </w:rPr>
  </w:style>
  <w:style w:type="character" w:styleId="Hyperlink">
    <w:name w:val="Hyperlink"/>
    <w:basedOn w:val="DefaultParagraphFont"/>
    <w:uiPriority w:val="99"/>
    <w:unhideWhenUsed/>
    <w:rsid w:val="00403EE2"/>
    <w:rPr>
      <w:color w:val="467886" w:themeColor="hyperlink"/>
      <w:u w:val="single"/>
    </w:rPr>
  </w:style>
  <w:style w:type="character" w:styleId="FollowedHyperlink">
    <w:name w:val="FollowedHyperlink"/>
    <w:basedOn w:val="DefaultParagraphFont"/>
    <w:uiPriority w:val="99"/>
    <w:semiHidden/>
    <w:unhideWhenUsed/>
    <w:rsid w:val="00403EE2"/>
    <w:rPr>
      <w:color w:val="96607D" w:themeColor="followedHyperlink"/>
      <w:u w:val="single"/>
    </w:rPr>
  </w:style>
  <w:style w:type="paragraph" w:styleId="TOCHeading">
    <w:name w:val="TOC Heading"/>
    <w:basedOn w:val="Heading1"/>
    <w:next w:val="Normal"/>
    <w:uiPriority w:val="39"/>
    <w:unhideWhenUsed/>
    <w:qFormat/>
    <w:rsid w:val="007D2E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D2E95"/>
    <w:pPr>
      <w:spacing w:after="100"/>
    </w:pPr>
  </w:style>
  <w:style w:type="paragraph" w:styleId="TOC2">
    <w:name w:val="toc 2"/>
    <w:basedOn w:val="Normal"/>
    <w:next w:val="Normal"/>
    <w:autoRedefine/>
    <w:uiPriority w:val="39"/>
    <w:unhideWhenUsed/>
    <w:rsid w:val="007D2E95"/>
    <w:pPr>
      <w:spacing w:after="100"/>
      <w:ind w:left="240"/>
    </w:pPr>
  </w:style>
  <w:style w:type="paragraph" w:styleId="NoSpacing">
    <w:name w:val="No Spacing"/>
    <w:uiPriority w:val="1"/>
    <w:qFormat/>
    <w:rsid w:val="00096A1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rilanka.com/casl/images/stories/2017/2017_pdfs/sab_portal/course_material/strategies_for_diversification.pdf" TargetMode="External"/><Relationship Id="rId13" Type="http://schemas.openxmlformats.org/officeDocument/2006/relationships/hyperlink" Target="https://www.iea.org/reports/global-ev-outlook-2023/policy-developments" TargetMode="External"/><Relationship Id="rId18" Type="http://schemas.openxmlformats.org/officeDocument/2006/relationships/hyperlink" Target="https://www.annualreports.com/Company/tesla-inc" TargetMode="External"/><Relationship Id="rId3" Type="http://schemas.openxmlformats.org/officeDocument/2006/relationships/styles" Target="styles.xml"/><Relationship Id="rId21" Type="http://schemas.openxmlformats.org/officeDocument/2006/relationships/hyperlink" Target="https://www.weforum.org/publications/global-risks-report-2024/" TargetMode="External"/><Relationship Id="rId7" Type="http://schemas.openxmlformats.org/officeDocument/2006/relationships/image" Target="media/image2.png"/><Relationship Id="rId12" Type="http://schemas.openxmlformats.org/officeDocument/2006/relationships/hyperlink" Target="https://www.iea.org/reports/global-ev-outlook-2023" TargetMode="External"/><Relationship Id="rId17" Type="http://schemas.openxmlformats.org/officeDocument/2006/relationships/hyperlink" Target="https://www.tesla.com/en_gb/impact" TargetMode="External"/><Relationship Id="rId2" Type="http://schemas.openxmlformats.org/officeDocument/2006/relationships/numbering" Target="numbering.xml"/><Relationship Id="rId16" Type="http://schemas.openxmlformats.org/officeDocument/2006/relationships/hyperlink" Target="https://www.europarl.europa.eu/RegData/etudes/ATAG/2024/762419/EPRS_ATA(2024)762419_EN.pdf" TargetMode="External"/><Relationship Id="rId20" Type="http://schemas.openxmlformats.org/officeDocument/2006/relationships/hyperlink" Target="https://www.mckinsey.com/industries/automotive-and-assembly/our-insights/how-european-consumers-perceive-electric-vehicl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br.org/2019/05/the-investor-revolution" TargetMode="External"/><Relationship Id="rId5" Type="http://schemas.openxmlformats.org/officeDocument/2006/relationships/webSettings" Target="webSettings.xml"/><Relationship Id="rId15" Type="http://schemas.openxmlformats.org/officeDocument/2006/relationships/hyperlink" Target="https://www.researchgate.net/publication/254322834_The_globalization_of_Tesla_Motors_A_strategic_marketing_plan_analysis" TargetMode="External"/><Relationship Id="rId23" Type="http://schemas.openxmlformats.org/officeDocument/2006/relationships/theme" Target="theme/theme1.xml"/><Relationship Id="rId10" Type="http://schemas.openxmlformats.org/officeDocument/2006/relationships/hyperlink" Target="https://www.deloitte.com/uk/en/Industries/automotive/perspectives/global-automotive-consumer-study.html" TargetMode="External"/><Relationship Id="rId19" Type="http://schemas.openxmlformats.org/officeDocument/2006/relationships/hyperlink" Target="https://doi.org/10.18356/9789213585115" TargetMode="External"/><Relationship Id="rId4" Type="http://schemas.openxmlformats.org/officeDocument/2006/relationships/settings" Target="settings.xml"/><Relationship Id="rId9" Type="http://schemas.openxmlformats.org/officeDocument/2006/relationships/hyperlink" Target="https://about.bnef.com/insights/clean-energy/lithium-ion-battery-pack-prices-hit-record-low-of-139-kwh/" TargetMode="External"/><Relationship Id="rId14" Type="http://schemas.openxmlformats.org/officeDocument/2006/relationships/hyperlink" Target="https://www.iea.org/reports/global-ev-outlook-202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4073F-FCE4-48CB-9007-E0A3F8840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26</Pages>
  <Words>5937</Words>
  <Characters>43342</Characters>
  <Application>Microsoft Office Word</Application>
  <DocSecurity>0</DocSecurity>
  <Lines>802</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Dragos Rosu</cp:lastModifiedBy>
  <cp:revision>16</cp:revision>
  <dcterms:created xsi:type="dcterms:W3CDTF">2026-03-02T16:40:00Z</dcterms:created>
  <dcterms:modified xsi:type="dcterms:W3CDTF">2026-03-25T11:51:00Z</dcterms:modified>
</cp:coreProperties>
</file>