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A12A62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C08AC">
              <w:rPr>
                <w:rFonts w:ascii="Times New Roman" w:hAnsi="Times New Roman" w:cs="Times New Roman"/>
                <w:b/>
                <w:color w:val="auto"/>
                <w:sz w:val="48"/>
              </w:rPr>
              <w:t>Joanna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692D722" w14:textId="4ECED8E6" w:rsidR="004C08AC"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C08AC">
              <w:rPr>
                <w:rFonts w:ascii="Times New Roman" w:hAnsi="Times New Roman" w:cs="Times New Roman"/>
                <w:b/>
                <w:color w:val="auto"/>
                <w:sz w:val="48"/>
              </w:rPr>
              <w:t>jedwards@carmarthenshire.gov.uk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201812C" w14:textId="77777777" w:rsidR="000767FB" w:rsidRDefault="0085230E" w:rsidP="005D3F07">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767FB" w:rsidRPr="000767FB">
              <w:rPr>
                <w:rFonts w:ascii="Times New Roman" w:eastAsiaTheme="minorHAnsi" w:hAnsi="Times New Roman" w:cs="Times New Roman"/>
                <w:b/>
                <w:color w:val="auto"/>
                <w:sz w:val="48"/>
                <w:szCs w:val="24"/>
                <w:lang w:eastAsia="en-US"/>
              </w:rPr>
              <w:t xml:space="preserve"> </w:t>
            </w:r>
          </w:p>
          <w:p w14:paraId="0DE696B2" w14:textId="7A7EEAC5" w:rsidR="00F927A1" w:rsidRPr="005D3F07" w:rsidRDefault="000767FB" w:rsidP="005D3F07">
            <w:pPr>
              <w:overflowPunct/>
              <w:autoSpaceDE/>
              <w:autoSpaceDN/>
              <w:adjustRightInd/>
              <w:ind w:right="-957"/>
              <w:textAlignment w:val="auto"/>
              <w:rPr>
                <w:rFonts w:ascii="Times New Roman" w:hAnsi="Times New Roman" w:cs="Times New Roman"/>
                <w:b/>
                <w:color w:val="auto"/>
                <w:sz w:val="48"/>
              </w:rPr>
            </w:pPr>
            <w:r w:rsidRPr="000767FB">
              <w:rPr>
                <w:rFonts w:ascii="Times New Roman" w:hAnsi="Times New Roman" w:cs="Times New Roman"/>
                <w:b/>
                <w:color w:val="auto"/>
                <w:sz w:val="48"/>
              </w:rPr>
              <w:t>2433084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1988C26" w14:textId="50A03955" w:rsidR="0076453A" w:rsidRDefault="0076453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76453A">
              <w:rPr>
                <w:rFonts w:ascii="Calibri" w:eastAsia="Aptos" w:hAnsi="Calibri" w:cs="Calibri"/>
                <w:color w:val="auto"/>
                <w:kern w:val="2"/>
                <w:sz w:val="24"/>
                <w:szCs w:val="24"/>
                <w:lang w:eastAsia="en-US"/>
                <w14:ligatures w14:val="standardContextual"/>
              </w:rPr>
              <w:t>This essay is a critically reflective account of a safeguarding case undertaken within the long-term childcare team in X Local Authority. It explores how social work theory, law, and reflective practice inform safeguarding decision-making. Attachment theory, empowerment theory, and systems theory are used to analyse assessment, intervention, and collaborative working. The discussion is situated within the Welsh safeguarding context, with reference to the Social Services and Well-being (</w:t>
            </w:r>
            <w:r w:rsidRPr="000767FB">
              <w:rPr>
                <w:rFonts w:ascii="Calibri" w:eastAsia="Aptos" w:hAnsi="Calibri" w:cs="Calibri"/>
                <w:color w:val="auto"/>
                <w:kern w:val="2"/>
                <w:sz w:val="24"/>
                <w:szCs w:val="24"/>
                <w:lang w:eastAsia="en-US"/>
                <w14:ligatures w14:val="standardContextual"/>
              </w:rPr>
              <w:t>Wales)</w:t>
            </w:r>
            <w:r w:rsidRPr="0076453A">
              <w:rPr>
                <w:rFonts w:ascii="Calibri" w:eastAsia="Aptos" w:hAnsi="Calibri" w:cs="Calibri"/>
                <w:color w:val="auto"/>
                <w:kern w:val="2"/>
                <w:sz w:val="24"/>
                <w:szCs w:val="24"/>
                <w:lang w:eastAsia="en-US"/>
                <w14:ligatures w14:val="standardContextual"/>
              </w:rPr>
              <w:t xml:space="preserve"> Act 2014, UK legislation, and relevant international frameworks.</w:t>
            </w:r>
          </w:p>
          <w:p w14:paraId="0F5FA90F" w14:textId="6C59C222" w:rsidR="00D45B0F" w:rsidRPr="00C6600F" w:rsidRDefault="00D45B0F"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D45B0F">
              <w:rPr>
                <w:rFonts w:ascii="Calibri" w:eastAsia="Aptos" w:hAnsi="Calibri" w:cs="Calibri"/>
                <w:color w:val="auto"/>
                <w:kern w:val="2"/>
                <w:sz w:val="24"/>
                <w:szCs w:val="24"/>
                <w:lang w:eastAsia="en-US"/>
                <w14:ligatures w14:val="standardContextual"/>
              </w:rPr>
              <w:t>My team is based in a semi-rural area in South Wales and works to safeguard and support children and families through Care and Support Plans, Child Protection Plans, and Pathway Plans. Caseloads are complex, often involving substance misuse, mental health difficulties, and domestic conflict. Practice is guided by Welsh legislation, particularly the Social Services and Well-being (Wales) Act 2014, with an emphasis on holistic and rights-based support.</w:t>
            </w:r>
          </w:p>
          <w:p w14:paraId="03A06142" w14:textId="18BF9B0F" w:rsidR="0041388A"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The case focuses on two siblings, a </w:t>
            </w:r>
            <w:r w:rsidR="009350FF" w:rsidRPr="00C6600F">
              <w:rPr>
                <w:rFonts w:ascii="Calibri" w:eastAsia="Aptos" w:hAnsi="Calibri" w:cs="Calibri"/>
                <w:color w:val="auto"/>
                <w:kern w:val="2"/>
                <w:sz w:val="24"/>
                <w:szCs w:val="24"/>
                <w:lang w:eastAsia="en-US"/>
                <w14:ligatures w14:val="standardContextual"/>
              </w:rPr>
              <w:t>6-year-old</w:t>
            </w:r>
            <w:r w:rsidRPr="00C6600F">
              <w:rPr>
                <w:rFonts w:ascii="Calibri" w:eastAsia="Aptos" w:hAnsi="Calibri" w:cs="Calibri"/>
                <w:color w:val="auto"/>
                <w:kern w:val="2"/>
                <w:sz w:val="24"/>
                <w:szCs w:val="24"/>
                <w:lang w:eastAsia="en-US"/>
                <w14:ligatures w14:val="standardContextual"/>
              </w:rPr>
              <w:t xml:space="preserve"> girl (Child 1) and a </w:t>
            </w:r>
            <w:r w:rsidR="009350FF" w:rsidRPr="00C6600F">
              <w:rPr>
                <w:rFonts w:ascii="Calibri" w:eastAsia="Aptos" w:hAnsi="Calibri" w:cs="Calibri"/>
                <w:color w:val="auto"/>
                <w:kern w:val="2"/>
                <w:sz w:val="24"/>
                <w:szCs w:val="24"/>
                <w:lang w:eastAsia="en-US"/>
                <w14:ligatures w14:val="standardContextual"/>
              </w:rPr>
              <w:t>15-year-old</w:t>
            </w:r>
            <w:r w:rsidRPr="00C6600F">
              <w:rPr>
                <w:rFonts w:ascii="Calibri" w:eastAsia="Aptos" w:hAnsi="Calibri" w:cs="Calibri"/>
                <w:color w:val="auto"/>
                <w:kern w:val="2"/>
                <w:sz w:val="24"/>
                <w:szCs w:val="24"/>
                <w:lang w:eastAsia="en-US"/>
                <w14:ligatures w14:val="standardContextual"/>
              </w:rPr>
              <w:t xml:space="preserve"> boy (Child 2), who became known to social services due to ongoing risks linked to their mother’s (Adult 1) chronic alcohol misuse and domestic conflict between Adult 1 and Adult 2 (the father). Adult 1 and Adult 2 are originally from Poland and have lived in Wales for nineteen years. Both children were born and raised here and are trilingual in Welsh, English, and Polish. The family were not new to social services and had previously been open to the Assessment Team in 2021 following concerns about </w:t>
            </w:r>
            <w:r w:rsidRPr="00C6600F">
              <w:rPr>
                <w:rFonts w:ascii="Calibri" w:eastAsia="Aptos" w:hAnsi="Calibri" w:cs="Calibri"/>
                <w:color w:val="auto"/>
                <w:kern w:val="2"/>
                <w:sz w:val="24"/>
                <w:szCs w:val="24"/>
                <w:lang w:eastAsia="en-US"/>
                <w14:ligatures w14:val="standardContextual"/>
              </w:rPr>
              <w:lastRenderedPageBreak/>
              <w:t>Adult 1’s excessive drinking. The case was closed once sufficient progress had been maintained. This earlier involvement had created a pattern of apparent improvement followed by relapse, which became clearer during my later involvement.</w:t>
            </w:r>
          </w:p>
          <w:p w14:paraId="6E428CE0" w14:textId="79489497" w:rsidR="00884D18" w:rsidRPr="00C6600F" w:rsidRDefault="00443F77"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443F77">
              <w:rPr>
                <w:rFonts w:ascii="Calibri" w:eastAsia="Aptos" w:hAnsi="Calibri" w:cs="Calibri"/>
                <w:color w:val="auto"/>
                <w:kern w:val="2"/>
                <w:sz w:val="24"/>
                <w:szCs w:val="24"/>
                <w:lang w:eastAsia="en-US"/>
                <w14:ligatures w14:val="standardContextual"/>
              </w:rPr>
              <w:t>Both children were described as polite, bright, and well cared for, with excellent school attendance and achievement. While this presented an image of stability, Munro (</w:t>
            </w:r>
            <w:r w:rsidRPr="00C73EF8">
              <w:rPr>
                <w:rFonts w:ascii="Calibri" w:eastAsia="Aptos" w:hAnsi="Calibri" w:cs="Calibri"/>
                <w:color w:val="auto"/>
                <w:kern w:val="2"/>
                <w:sz w:val="24"/>
                <w:szCs w:val="24"/>
                <w:lang w:eastAsia="en-US"/>
                <w14:ligatures w14:val="standardContextual"/>
              </w:rPr>
              <w:t>2011)</w:t>
            </w:r>
            <w:r w:rsidRPr="00443F77">
              <w:rPr>
                <w:rFonts w:ascii="Calibri" w:eastAsia="Aptos" w:hAnsi="Calibri" w:cs="Calibri"/>
                <w:color w:val="auto"/>
                <w:kern w:val="2"/>
                <w:sz w:val="24"/>
                <w:szCs w:val="24"/>
                <w:lang w:eastAsia="en-US"/>
                <w14:ligatures w14:val="standardContextual"/>
              </w:rPr>
              <w:t xml:space="preserve"> highlights how such outward functioning can mask underlying harm, particularly where parental substance misuse leads to cycles of apparent improvement and relapse (Dickens et al., </w:t>
            </w:r>
            <w:r w:rsidRPr="00C73EF8">
              <w:rPr>
                <w:rFonts w:ascii="Calibri" w:eastAsia="Aptos" w:hAnsi="Calibri" w:cs="Calibri"/>
                <w:color w:val="auto"/>
                <w:kern w:val="2"/>
                <w:sz w:val="24"/>
                <w:szCs w:val="24"/>
                <w:lang w:eastAsia="en-US"/>
                <w14:ligatures w14:val="standardContextual"/>
              </w:rPr>
              <w:t>2023).</w:t>
            </w:r>
          </w:p>
          <w:p w14:paraId="6AE1C7D9" w14:textId="1AF6B00A"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The case was re-allocated to the Assessment Team after a school referral in March 2024. The school reported that Adult 1 arrived intoxicated to collect Child 1 and collapsed outside the school gates. The police were called and took </w:t>
            </w:r>
            <w:r w:rsidR="000A6396" w:rsidRPr="00C6600F">
              <w:rPr>
                <w:rFonts w:ascii="Calibri" w:eastAsia="Aptos" w:hAnsi="Calibri" w:cs="Calibri"/>
                <w:color w:val="auto"/>
                <w:kern w:val="2"/>
                <w:sz w:val="24"/>
                <w:szCs w:val="24"/>
                <w:lang w:eastAsia="en-US"/>
                <w14:ligatures w14:val="standardContextual"/>
              </w:rPr>
              <w:t>Adult 1</w:t>
            </w:r>
            <w:r w:rsidRPr="00C6600F">
              <w:rPr>
                <w:rFonts w:ascii="Calibri" w:eastAsia="Aptos" w:hAnsi="Calibri" w:cs="Calibri"/>
                <w:color w:val="auto"/>
                <w:kern w:val="2"/>
                <w:sz w:val="24"/>
                <w:szCs w:val="24"/>
                <w:lang w:eastAsia="en-US"/>
                <w14:ligatures w14:val="standardContextual"/>
              </w:rPr>
              <w:t xml:space="preserve"> home</w:t>
            </w:r>
            <w:r w:rsidR="00E959D9" w:rsidRPr="00C6600F">
              <w:rPr>
                <w:rFonts w:ascii="Calibri" w:eastAsia="Aptos" w:hAnsi="Calibri" w:cs="Calibri"/>
                <w:color w:val="auto"/>
                <w:kern w:val="2"/>
                <w:sz w:val="24"/>
                <w:szCs w:val="24"/>
                <w:lang w:eastAsia="en-US"/>
                <w14:ligatures w14:val="standardContextual"/>
              </w:rPr>
              <w:t xml:space="preserve"> to Adult 2, along with Child 1</w:t>
            </w:r>
            <w:r w:rsidRPr="00C6600F">
              <w:rPr>
                <w:rFonts w:ascii="Calibri" w:eastAsia="Aptos" w:hAnsi="Calibri" w:cs="Calibri"/>
                <w:color w:val="auto"/>
                <w:kern w:val="2"/>
                <w:sz w:val="24"/>
                <w:szCs w:val="24"/>
                <w:lang w:eastAsia="en-US"/>
                <w14:ligatures w14:val="standardContextual"/>
              </w:rPr>
              <w:t>. Although this immediate response focused on crisis management, the school and police both expressed concern about the children’s welfare. This event triggered a duty to assess under Part 3, Section 21 of the SSWB(W)A 2014, as the children were considered at potential risk of significant harm.</w:t>
            </w:r>
          </w:p>
          <w:p w14:paraId="72BCB582" w14:textId="4D4394DF"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The Laming Report (</w:t>
            </w:r>
            <w:r w:rsidRPr="000E7A24">
              <w:rPr>
                <w:rFonts w:ascii="Calibri" w:eastAsia="Aptos" w:hAnsi="Calibri" w:cs="Calibri"/>
                <w:color w:val="auto"/>
                <w:kern w:val="2"/>
                <w:sz w:val="24"/>
                <w:szCs w:val="24"/>
                <w:lang w:eastAsia="en-US"/>
                <w14:ligatures w14:val="standardContextual"/>
              </w:rPr>
              <w:t>2003)</w:t>
            </w:r>
            <w:r w:rsidRPr="00C6600F">
              <w:rPr>
                <w:rFonts w:ascii="Calibri" w:eastAsia="Aptos" w:hAnsi="Calibri" w:cs="Calibri"/>
                <w:color w:val="auto"/>
                <w:kern w:val="2"/>
                <w:sz w:val="24"/>
                <w:szCs w:val="24"/>
                <w:lang w:eastAsia="en-US"/>
                <w14:ligatures w14:val="standardContextual"/>
              </w:rPr>
              <w:t xml:space="preserve"> highlights how missed opportunities for early intervention can lead to tragedy. In this case, the referral from school acted as an early alert, ensuring that the family’s situation was explored before risks escalated further.</w:t>
            </w:r>
            <w:r w:rsidRPr="00C6600F">
              <w:rPr>
                <w:rFonts w:ascii="Calibri" w:hAnsi="Calibri" w:cs="Calibri"/>
                <w:color w:val="auto"/>
                <w:sz w:val="24"/>
                <w:szCs w:val="24"/>
              </w:rPr>
              <w:t xml:space="preserve"> </w:t>
            </w:r>
            <w:r w:rsidRPr="00C6600F">
              <w:rPr>
                <w:rFonts w:ascii="Calibri" w:eastAsia="Aptos" w:hAnsi="Calibri" w:cs="Calibri"/>
                <w:color w:val="auto"/>
                <w:kern w:val="2"/>
                <w:sz w:val="24"/>
                <w:szCs w:val="24"/>
                <w:lang w:eastAsia="en-US"/>
                <w14:ligatures w14:val="standardContextual"/>
              </w:rPr>
              <w:t xml:space="preserve">It also highlights that when children appear to be functioning well, practitioners such as the teachers in this case must remain curious about what may be hidden beneath the surface, especially in families where parental substance abuse causes cycles of stability and </w:t>
            </w:r>
            <w:r w:rsidR="00A4277D" w:rsidRPr="00C6600F">
              <w:rPr>
                <w:rFonts w:ascii="Calibri" w:eastAsia="Aptos" w:hAnsi="Calibri" w:cs="Calibri"/>
                <w:color w:val="auto"/>
                <w:kern w:val="2"/>
                <w:sz w:val="24"/>
                <w:szCs w:val="24"/>
                <w:lang w:eastAsia="en-US"/>
                <w14:ligatures w14:val="standardContextual"/>
              </w:rPr>
              <w:t>relapse (</w:t>
            </w:r>
            <w:r w:rsidRPr="00C6600F">
              <w:rPr>
                <w:rFonts w:ascii="Calibri" w:eastAsia="Aptos" w:hAnsi="Calibri" w:cs="Calibri"/>
                <w:color w:val="auto"/>
                <w:kern w:val="2"/>
                <w:sz w:val="24"/>
                <w:szCs w:val="24"/>
                <w:lang w:eastAsia="en-US"/>
                <w14:ligatures w14:val="standardContextual"/>
              </w:rPr>
              <w:t>Dickens et al., 2023).</w:t>
            </w:r>
          </w:p>
          <w:p w14:paraId="4C8C28CC" w14:textId="1FED94B4"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The Assessment for Care and Support undertaken by the Assessment Team found that Adult 1’s alcohol use was unpredictable, and her engagement with services such as DDAS (Drug and Alcohol Service) and family support was inconsistent. She often minimised her drinking and had a pattern of prioritising alcohol over the children’s needs. Adult 2 worked long </w:t>
            </w:r>
            <w:r w:rsidR="00651C35" w:rsidRPr="00C6600F">
              <w:rPr>
                <w:rFonts w:ascii="Calibri" w:eastAsia="Aptos" w:hAnsi="Calibri" w:cs="Calibri"/>
                <w:color w:val="auto"/>
                <w:kern w:val="2"/>
                <w:sz w:val="24"/>
                <w:szCs w:val="24"/>
                <w:lang w:eastAsia="en-US"/>
                <w14:ligatures w14:val="standardContextual"/>
              </w:rPr>
              <w:t>hours,</w:t>
            </w:r>
            <w:r w:rsidRPr="00C6600F">
              <w:rPr>
                <w:rFonts w:ascii="Calibri" w:eastAsia="Aptos" w:hAnsi="Calibri" w:cs="Calibri"/>
                <w:color w:val="auto"/>
                <w:kern w:val="2"/>
                <w:sz w:val="24"/>
                <w:szCs w:val="24"/>
                <w:lang w:eastAsia="en-US"/>
                <w14:ligatures w14:val="standardContextual"/>
              </w:rPr>
              <w:t xml:space="preserve"> </w:t>
            </w:r>
            <w:r w:rsidR="0066593B" w:rsidRPr="00C6600F">
              <w:rPr>
                <w:rFonts w:ascii="Calibri" w:eastAsia="Aptos" w:hAnsi="Calibri" w:cs="Calibri"/>
                <w:color w:val="auto"/>
                <w:kern w:val="2"/>
                <w:sz w:val="24"/>
                <w:szCs w:val="24"/>
                <w:lang w:eastAsia="en-US"/>
                <w14:ligatures w14:val="standardContextual"/>
              </w:rPr>
              <w:t>and Adult 1</w:t>
            </w:r>
            <w:r w:rsidRPr="00C6600F">
              <w:rPr>
                <w:rFonts w:ascii="Calibri" w:eastAsia="Aptos" w:hAnsi="Calibri" w:cs="Calibri"/>
                <w:color w:val="auto"/>
                <w:kern w:val="2"/>
                <w:sz w:val="24"/>
                <w:szCs w:val="24"/>
                <w:lang w:eastAsia="en-US"/>
                <w14:ligatures w14:val="standardContextual"/>
              </w:rPr>
              <w:t xml:space="preserve"> struggled to manage her drinking and maintain routines </w:t>
            </w:r>
            <w:r w:rsidR="0066593B" w:rsidRPr="00C6600F">
              <w:rPr>
                <w:rFonts w:ascii="Calibri" w:eastAsia="Aptos" w:hAnsi="Calibri" w:cs="Calibri"/>
                <w:color w:val="auto"/>
                <w:kern w:val="2"/>
                <w:sz w:val="24"/>
                <w:szCs w:val="24"/>
                <w:lang w:eastAsia="en-US"/>
                <w14:ligatures w14:val="standardContextual"/>
              </w:rPr>
              <w:t xml:space="preserve">and safety </w:t>
            </w:r>
            <w:r w:rsidRPr="00C6600F">
              <w:rPr>
                <w:rFonts w:ascii="Calibri" w:eastAsia="Aptos" w:hAnsi="Calibri" w:cs="Calibri"/>
                <w:color w:val="auto"/>
                <w:kern w:val="2"/>
                <w:sz w:val="24"/>
                <w:szCs w:val="24"/>
                <w:lang w:eastAsia="en-US"/>
                <w14:ligatures w14:val="standardContextual"/>
              </w:rPr>
              <w:t xml:space="preserve">for the children. Arguments between the parents had become volatile, with both adults blaming each other for the family’s difficulties. Due to these concerns, a </w:t>
            </w:r>
            <w:r w:rsidR="00792F76">
              <w:rPr>
                <w:rFonts w:ascii="Calibri" w:eastAsia="Aptos" w:hAnsi="Calibri" w:cs="Calibri"/>
                <w:color w:val="auto"/>
                <w:kern w:val="2"/>
                <w:sz w:val="24"/>
                <w:szCs w:val="24"/>
                <w:lang w:eastAsia="en-US"/>
                <w14:ligatures w14:val="standardContextual"/>
              </w:rPr>
              <w:t>s</w:t>
            </w:r>
            <w:r w:rsidRPr="00C6600F">
              <w:rPr>
                <w:rFonts w:ascii="Calibri" w:eastAsia="Aptos" w:hAnsi="Calibri" w:cs="Calibri"/>
                <w:color w:val="auto"/>
                <w:kern w:val="2"/>
                <w:sz w:val="24"/>
                <w:szCs w:val="24"/>
                <w:lang w:eastAsia="en-US"/>
                <w14:ligatures w14:val="standardContextual"/>
              </w:rPr>
              <w:t xml:space="preserve">afety </w:t>
            </w:r>
            <w:r w:rsidR="00792F76">
              <w:rPr>
                <w:rFonts w:ascii="Calibri" w:eastAsia="Aptos" w:hAnsi="Calibri" w:cs="Calibri"/>
                <w:color w:val="auto"/>
                <w:kern w:val="2"/>
                <w:sz w:val="24"/>
                <w:szCs w:val="24"/>
                <w:lang w:eastAsia="en-US"/>
                <w14:ligatures w14:val="standardContextual"/>
              </w:rPr>
              <w:t>p</w:t>
            </w:r>
            <w:r w:rsidRPr="00C6600F">
              <w:rPr>
                <w:rFonts w:ascii="Calibri" w:eastAsia="Aptos" w:hAnsi="Calibri" w:cs="Calibri"/>
                <w:color w:val="auto"/>
                <w:kern w:val="2"/>
                <w:sz w:val="24"/>
                <w:szCs w:val="24"/>
                <w:lang w:eastAsia="en-US"/>
                <w14:ligatures w14:val="standardContextual"/>
              </w:rPr>
              <w:t xml:space="preserve">lan was implemented. This plan outlined that Adult 2 would meet the children’s day-to-day care needs. </w:t>
            </w:r>
            <w:r w:rsidR="001A6D06">
              <w:rPr>
                <w:rFonts w:ascii="Calibri" w:eastAsia="Aptos" w:hAnsi="Calibri" w:cs="Calibri"/>
                <w:color w:val="auto"/>
                <w:kern w:val="2"/>
                <w:sz w:val="24"/>
                <w:szCs w:val="24"/>
                <w:lang w:eastAsia="en-US"/>
                <w14:ligatures w14:val="standardContextual"/>
              </w:rPr>
              <w:t>Adult 1</w:t>
            </w:r>
            <w:r w:rsidRPr="00C6600F">
              <w:rPr>
                <w:rFonts w:ascii="Calibri" w:eastAsia="Aptos" w:hAnsi="Calibri" w:cs="Calibri"/>
                <w:color w:val="auto"/>
                <w:kern w:val="2"/>
                <w:sz w:val="24"/>
                <w:szCs w:val="24"/>
                <w:lang w:eastAsia="en-US"/>
                <w14:ligatures w14:val="standardContextual"/>
              </w:rPr>
              <w:t xml:space="preserve"> was expected to attend substance misuse sessions with DDAS and work cooperatively with professionals. This early stage reflected the principles of Section 6 of the SSWB(W)A 2014, which emphasises partnership working, and promoting family strengths. The aim was to prevent escalation and keep the children safely at home while addressing parental difficulties.</w:t>
            </w:r>
          </w:p>
          <w:p w14:paraId="3805FB98" w14:textId="3F626CF2"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When the case was transferred to me in June 2024, the family were receiving ongoing support, and Adult 1 had been allocated a DDAS worker and a substance misuse social worker. My role was to continue the plan under the Care and Support framework, to coordinate agencies, monitor risk, and support change. During my early visits, I noticed clear attachment patterns. Child 1 was shy and </w:t>
            </w:r>
            <w:r w:rsidRPr="00C6600F">
              <w:rPr>
                <w:rFonts w:ascii="Calibri" w:eastAsia="Aptos" w:hAnsi="Calibri" w:cs="Calibri"/>
                <w:color w:val="auto"/>
                <w:kern w:val="2"/>
                <w:sz w:val="24"/>
                <w:szCs w:val="24"/>
                <w:lang w:eastAsia="en-US"/>
                <w14:ligatures w14:val="standardContextual"/>
              </w:rPr>
              <w:lastRenderedPageBreak/>
              <w:t xml:space="preserve">cautious around her mother, often hiding behind her father or seeking his comfort. During direct work play sessions, she often excluded the mother </w:t>
            </w:r>
            <w:r w:rsidR="00F613DA" w:rsidRPr="00C6600F">
              <w:rPr>
                <w:rFonts w:ascii="Calibri" w:eastAsia="Aptos" w:hAnsi="Calibri" w:cs="Calibri"/>
                <w:color w:val="auto"/>
                <w:kern w:val="2"/>
                <w:sz w:val="24"/>
                <w:szCs w:val="24"/>
                <w:lang w:eastAsia="en-US"/>
                <w14:ligatures w14:val="standardContextual"/>
              </w:rPr>
              <w:t xml:space="preserve">doll </w:t>
            </w:r>
            <w:r w:rsidRPr="00C6600F">
              <w:rPr>
                <w:rFonts w:ascii="Calibri" w:eastAsia="Aptos" w:hAnsi="Calibri" w:cs="Calibri"/>
                <w:color w:val="auto"/>
                <w:kern w:val="2"/>
                <w:sz w:val="24"/>
                <w:szCs w:val="24"/>
                <w:lang w:eastAsia="en-US"/>
                <w14:ligatures w14:val="standardContextual"/>
              </w:rPr>
              <w:t xml:space="preserve">figure, leaving her “in bed” or out of the story </w:t>
            </w:r>
            <w:r w:rsidRPr="001E071E">
              <w:rPr>
                <w:rFonts w:ascii="Calibri" w:eastAsia="Aptos" w:hAnsi="Calibri" w:cs="Calibri"/>
                <w:color w:val="auto"/>
                <w:kern w:val="2"/>
                <w:sz w:val="24"/>
                <w:szCs w:val="24"/>
                <w:lang w:eastAsia="en-US"/>
                <w14:ligatures w14:val="standardContextual"/>
              </w:rPr>
              <w:t>altogether, while her father figure was central and active in the play. These patterns reflected Bowlby’s (1988) attachment</w:t>
            </w:r>
            <w:r w:rsidRPr="00C6600F">
              <w:rPr>
                <w:rFonts w:ascii="Calibri" w:eastAsia="Aptos" w:hAnsi="Calibri" w:cs="Calibri"/>
                <w:color w:val="auto"/>
                <w:kern w:val="2"/>
                <w:sz w:val="24"/>
                <w:szCs w:val="24"/>
                <w:lang w:eastAsia="en-US"/>
                <w14:ligatures w14:val="standardContextual"/>
              </w:rPr>
              <w:t xml:space="preserve"> theory whereby children seek closeness to the caregiver who offers the most consistent safety and comfort. It was a strong visual indicator that Adult 2 was her secure base, while Adult 1’s unpredictability had caused emotional withdrawal.</w:t>
            </w:r>
          </w:p>
          <w:p w14:paraId="79FAC303" w14:textId="61CAC71E" w:rsidR="00AB65D8"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Child 2 was polite but cautious and told me that he didn’t want me visiting him at school and preferred to talk in the car. I recognised that informal, “side-by-side” conversations often work better with teenagers (Lefevre, </w:t>
            </w:r>
            <w:r w:rsidRPr="001E071E">
              <w:rPr>
                <w:rFonts w:ascii="Calibri" w:eastAsia="Aptos" w:hAnsi="Calibri" w:cs="Calibri"/>
                <w:color w:val="auto"/>
                <w:kern w:val="2"/>
                <w:sz w:val="24"/>
                <w:szCs w:val="24"/>
                <w:lang w:eastAsia="en-US"/>
                <w14:ligatures w14:val="standardContextual"/>
              </w:rPr>
              <w:t>2018</w:t>
            </w:r>
            <w:r w:rsidRPr="00C6600F">
              <w:rPr>
                <w:rFonts w:ascii="Calibri" w:eastAsia="Aptos" w:hAnsi="Calibri" w:cs="Calibri"/>
                <w:color w:val="auto"/>
                <w:kern w:val="2"/>
                <w:sz w:val="24"/>
                <w:szCs w:val="24"/>
                <w:lang w:eastAsia="en-US"/>
                <w14:ligatures w14:val="standardContextual"/>
              </w:rPr>
              <w:t>), so I respected his wishes.</w:t>
            </w:r>
            <w:r w:rsidR="00AB65D8" w:rsidRPr="00AB65D8">
              <w:t xml:space="preserve"> </w:t>
            </w:r>
            <w:r w:rsidR="00AB65D8" w:rsidRPr="00AB65D8">
              <w:rPr>
                <w:rFonts w:ascii="Calibri" w:eastAsia="Aptos" w:hAnsi="Calibri" w:cs="Calibri"/>
                <w:color w:val="auto"/>
                <w:kern w:val="2"/>
                <w:sz w:val="24"/>
                <w:szCs w:val="24"/>
                <w:lang w:eastAsia="en-US"/>
                <w14:ligatures w14:val="standardContextual"/>
              </w:rPr>
              <w:t xml:space="preserve">Child 2 adopted a protective, nurturing role towards his sister, reflecting parentification (Połomski </w:t>
            </w:r>
            <w:r w:rsidR="00AB65D8" w:rsidRPr="001E071E">
              <w:rPr>
                <w:rFonts w:ascii="Calibri" w:eastAsia="Aptos" w:hAnsi="Calibri" w:cs="Calibri"/>
                <w:color w:val="auto"/>
                <w:kern w:val="2"/>
                <w:sz w:val="24"/>
                <w:szCs w:val="24"/>
                <w:lang w:eastAsia="en-US"/>
                <w14:ligatures w14:val="standardContextual"/>
              </w:rPr>
              <w:t>et al., 2021).</w:t>
            </w:r>
            <w:r w:rsidR="00AB65D8" w:rsidRPr="00AB65D8">
              <w:rPr>
                <w:rFonts w:ascii="Calibri" w:eastAsia="Aptos" w:hAnsi="Calibri" w:cs="Calibri"/>
                <w:color w:val="auto"/>
                <w:kern w:val="2"/>
                <w:sz w:val="24"/>
                <w:szCs w:val="24"/>
                <w:lang w:eastAsia="en-US"/>
                <w14:ligatures w14:val="standardContextual"/>
              </w:rPr>
              <w:t xml:space="preserve"> </w:t>
            </w:r>
            <w:r w:rsidR="00F92BE1">
              <w:rPr>
                <w:rFonts w:ascii="Calibri" w:eastAsia="Aptos" w:hAnsi="Calibri" w:cs="Calibri"/>
                <w:color w:val="auto"/>
                <w:kern w:val="2"/>
                <w:sz w:val="24"/>
                <w:szCs w:val="24"/>
                <w:lang w:eastAsia="en-US"/>
                <w14:ligatures w14:val="standardContextual"/>
              </w:rPr>
              <w:t>According to</w:t>
            </w:r>
            <w:r w:rsidR="00BC7012">
              <w:rPr>
                <w:rFonts w:ascii="Calibri" w:eastAsia="Aptos" w:hAnsi="Calibri" w:cs="Calibri"/>
                <w:color w:val="auto"/>
                <w:kern w:val="2"/>
                <w:sz w:val="24"/>
                <w:szCs w:val="24"/>
                <w:lang w:eastAsia="en-US"/>
                <w14:ligatures w14:val="standardContextual"/>
              </w:rPr>
              <w:t xml:space="preserve"> </w:t>
            </w:r>
            <w:r w:rsidR="00FF12AE">
              <w:rPr>
                <w:rFonts w:ascii="Calibri" w:eastAsia="Aptos" w:hAnsi="Calibri" w:cs="Calibri"/>
                <w:color w:val="auto"/>
                <w:kern w:val="2"/>
                <w:sz w:val="24"/>
                <w:szCs w:val="24"/>
                <w:lang w:eastAsia="en-US"/>
                <w14:ligatures w14:val="standardContextual"/>
              </w:rPr>
              <w:t>Polomski</w:t>
            </w:r>
            <w:r w:rsidR="00BC7012">
              <w:rPr>
                <w:rFonts w:ascii="Calibri" w:eastAsia="Aptos" w:hAnsi="Calibri" w:cs="Calibri"/>
                <w:color w:val="auto"/>
                <w:kern w:val="2"/>
                <w:sz w:val="24"/>
                <w:szCs w:val="24"/>
                <w:lang w:eastAsia="en-US"/>
                <w14:ligatures w14:val="standardContextual"/>
              </w:rPr>
              <w:t xml:space="preserve"> et al</w:t>
            </w:r>
            <w:r w:rsidR="00F92BE1">
              <w:rPr>
                <w:rFonts w:ascii="Calibri" w:eastAsia="Aptos" w:hAnsi="Calibri" w:cs="Calibri"/>
                <w:color w:val="auto"/>
                <w:kern w:val="2"/>
                <w:sz w:val="24"/>
                <w:szCs w:val="24"/>
                <w:lang w:eastAsia="en-US"/>
                <w14:ligatures w14:val="standardContextual"/>
              </w:rPr>
              <w:t xml:space="preserve"> (2021)</w:t>
            </w:r>
            <w:r w:rsidR="00E50DF6">
              <w:rPr>
                <w:rFonts w:ascii="Calibri" w:eastAsia="Aptos" w:hAnsi="Calibri" w:cs="Calibri"/>
                <w:color w:val="auto"/>
                <w:kern w:val="2"/>
                <w:sz w:val="24"/>
                <w:szCs w:val="24"/>
                <w:lang w:eastAsia="en-US"/>
                <w14:ligatures w14:val="standardContextual"/>
              </w:rPr>
              <w:t xml:space="preserve">, </w:t>
            </w:r>
            <w:r w:rsidR="00AB65D8" w:rsidRPr="00AB65D8">
              <w:rPr>
                <w:rFonts w:ascii="Calibri" w:eastAsia="Aptos" w:hAnsi="Calibri" w:cs="Calibri"/>
                <w:color w:val="auto"/>
                <w:kern w:val="2"/>
                <w:sz w:val="24"/>
                <w:szCs w:val="24"/>
                <w:lang w:eastAsia="en-US"/>
                <w14:ligatures w14:val="standardContextual"/>
              </w:rPr>
              <w:t>this can be particularly challenging for boys, who may struggle to verbalise caring responsibilities due to gender norms. This was reflected in his guarded presentation, and supervision supported reflection on the emotional burden this placed on him despite his maturity.</w:t>
            </w:r>
          </w:p>
          <w:p w14:paraId="5A91CC07" w14:textId="1625E35F"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Adult 2’s role was crucial in maintaining stability. Although initially frustrated by professional involvement, he engaged well once clear safety expectations were established. </w:t>
            </w:r>
            <w:r w:rsidR="00B85BF4" w:rsidRPr="00B85BF4">
              <w:rPr>
                <w:rFonts w:ascii="Calibri" w:eastAsia="Aptos" w:hAnsi="Calibri" w:cs="Calibri"/>
                <w:color w:val="auto"/>
                <w:kern w:val="2"/>
                <w:sz w:val="24"/>
                <w:szCs w:val="24"/>
                <w:lang w:eastAsia="en-US"/>
                <w14:ligatures w14:val="standardContextual"/>
              </w:rPr>
              <w:t>Cultural factors, including the family’s Polish background, influenced communication and views on gender roles, requiring culturally sensitive and anti-oppressive practice (</w:t>
            </w:r>
            <w:r w:rsidR="00B85BF4" w:rsidRPr="001A1214">
              <w:rPr>
                <w:rFonts w:ascii="Calibri" w:eastAsia="Aptos" w:hAnsi="Calibri" w:cs="Calibri"/>
                <w:color w:val="auto"/>
                <w:kern w:val="2"/>
                <w:sz w:val="24"/>
                <w:szCs w:val="24"/>
                <w:lang w:eastAsia="en-US"/>
                <w14:ligatures w14:val="standardContextual"/>
              </w:rPr>
              <w:t>Thompson,</w:t>
            </w:r>
            <w:r w:rsidR="00B85BF4" w:rsidRPr="00B85BF4">
              <w:rPr>
                <w:rFonts w:ascii="Calibri" w:eastAsia="Aptos" w:hAnsi="Calibri" w:cs="Calibri"/>
                <w:color w:val="auto"/>
                <w:kern w:val="2"/>
                <w:sz w:val="24"/>
                <w:szCs w:val="24"/>
                <w:lang w:eastAsia="en-US"/>
                <w14:ligatures w14:val="standardContextual"/>
              </w:rPr>
              <w:t xml:space="preserve"> 2016).</w:t>
            </w:r>
            <w:r w:rsidR="006068B5">
              <w:rPr>
                <w:rFonts w:ascii="Calibri" w:eastAsia="Aptos" w:hAnsi="Calibri" w:cs="Calibri"/>
                <w:color w:val="auto"/>
                <w:kern w:val="2"/>
                <w:sz w:val="24"/>
                <w:szCs w:val="24"/>
                <w:lang w:eastAsia="en-US"/>
                <w14:ligatures w14:val="standardContextual"/>
              </w:rPr>
              <w:t xml:space="preserve"> </w:t>
            </w:r>
            <w:r w:rsidRPr="00C6600F">
              <w:rPr>
                <w:rFonts w:ascii="Calibri" w:eastAsia="Aptos" w:hAnsi="Calibri" w:cs="Calibri"/>
                <w:color w:val="auto"/>
                <w:kern w:val="2"/>
                <w:sz w:val="24"/>
                <w:szCs w:val="24"/>
                <w:lang w:eastAsia="en-US"/>
                <w14:ligatures w14:val="standardContextual"/>
              </w:rPr>
              <w:t>During conversations, Adult 2 sometimes expressed what he described as “old-fashioned” views about gender roles, saying that a mother’s place was “in the home” whilst he needed to work.  In supervision, I reflected that his beliefs were influenced by cultural expectations, but that these also shaped family dynamics and responsibilities. Cultural awareness helped me understand his perspective, while gently challenging views that risked limiting Adult 1’s recovery role.</w:t>
            </w:r>
          </w:p>
          <w:p w14:paraId="4D442CD7" w14:textId="643873EE" w:rsidR="008961E7" w:rsidRDefault="0041388A" w:rsidP="0041388A">
            <w:pPr>
              <w:overflowPunct/>
              <w:autoSpaceDE/>
              <w:autoSpaceDN/>
              <w:adjustRightInd/>
              <w:spacing w:after="160" w:line="278" w:lineRule="auto"/>
              <w:textAlignment w:val="auto"/>
            </w:pPr>
            <w:r w:rsidRPr="00C6600F">
              <w:rPr>
                <w:rFonts w:ascii="Calibri" w:eastAsia="Aptos" w:hAnsi="Calibri" w:cs="Calibri"/>
                <w:color w:val="auto"/>
                <w:kern w:val="2"/>
                <w:sz w:val="24"/>
                <w:szCs w:val="24"/>
                <w:lang w:eastAsia="en-US"/>
                <w14:ligatures w14:val="standardContextual"/>
              </w:rPr>
              <w:t>The family were offered their assessment in the</w:t>
            </w:r>
            <w:r w:rsidR="00E815F7">
              <w:rPr>
                <w:rFonts w:ascii="Calibri" w:eastAsia="Aptos" w:hAnsi="Calibri" w:cs="Calibri"/>
                <w:color w:val="auto"/>
                <w:kern w:val="2"/>
                <w:sz w:val="24"/>
                <w:szCs w:val="24"/>
                <w:lang w:eastAsia="en-US"/>
                <w14:ligatures w14:val="standardContextual"/>
              </w:rPr>
              <w:t>ir</w:t>
            </w:r>
            <w:r w:rsidRPr="00C6600F">
              <w:rPr>
                <w:rFonts w:ascii="Calibri" w:eastAsia="Aptos" w:hAnsi="Calibri" w:cs="Calibri"/>
                <w:color w:val="auto"/>
                <w:kern w:val="2"/>
                <w:sz w:val="24"/>
                <w:szCs w:val="24"/>
                <w:lang w:eastAsia="en-US"/>
                <w14:ligatures w14:val="standardContextual"/>
              </w:rPr>
              <w:t xml:space="preserve"> </w:t>
            </w:r>
            <w:r w:rsidRPr="001A1214">
              <w:rPr>
                <w:rFonts w:ascii="Calibri" w:eastAsia="Aptos" w:hAnsi="Calibri" w:cs="Calibri"/>
                <w:color w:val="auto"/>
                <w:kern w:val="2"/>
                <w:sz w:val="24"/>
                <w:szCs w:val="24"/>
                <w:lang w:eastAsia="en-US"/>
                <w14:ligatures w14:val="standardContextual"/>
              </w:rPr>
              <w:t xml:space="preserve">language of choice, following the Active Offer policy set out under the Welsh Language (Wales) Measure 2011 and the </w:t>
            </w:r>
            <w:r w:rsidRPr="001A1214">
              <w:rPr>
                <w:rFonts w:ascii="Calibri" w:eastAsia="Aptos" w:hAnsi="Calibri" w:cs="Calibri"/>
                <w:i/>
                <w:iCs/>
                <w:color w:val="auto"/>
                <w:kern w:val="2"/>
                <w:sz w:val="24"/>
                <w:szCs w:val="24"/>
                <w:lang w:eastAsia="en-US"/>
                <w14:ligatures w14:val="standardContextual"/>
              </w:rPr>
              <w:t>More Than Just Words</w:t>
            </w:r>
            <w:r w:rsidRPr="001A1214">
              <w:rPr>
                <w:rFonts w:ascii="Calibri" w:eastAsia="Aptos" w:hAnsi="Calibri" w:cs="Calibri"/>
                <w:color w:val="auto"/>
                <w:kern w:val="2"/>
                <w:sz w:val="24"/>
                <w:szCs w:val="24"/>
                <w:lang w:eastAsia="en-US"/>
                <w14:ligatures w14:val="standardContextual"/>
              </w:rPr>
              <w:t xml:space="preserve"> framework (Welsh Government, 2015).</w:t>
            </w:r>
            <w:r w:rsidRPr="00C6600F">
              <w:rPr>
                <w:rFonts w:ascii="Calibri" w:eastAsia="Aptos" w:hAnsi="Calibri" w:cs="Calibri"/>
                <w:color w:val="auto"/>
                <w:kern w:val="2"/>
                <w:sz w:val="24"/>
                <w:szCs w:val="24"/>
                <w:lang w:eastAsia="en-US"/>
                <w14:ligatures w14:val="standardContextual"/>
              </w:rPr>
              <w:t xml:space="preserve"> The family chose English, however it was important to record that choice and to remind them that bilingual support remained available. The Active Offer aims to make services accessible by providing Welsh language support proactively (Care Inspectorate Wales, </w:t>
            </w:r>
            <w:r w:rsidRPr="00051BB5">
              <w:rPr>
                <w:rFonts w:ascii="Calibri" w:eastAsia="Aptos" w:hAnsi="Calibri" w:cs="Calibri"/>
                <w:color w:val="auto"/>
                <w:kern w:val="2"/>
                <w:sz w:val="24"/>
                <w:szCs w:val="24"/>
                <w:lang w:eastAsia="en-US"/>
                <w14:ligatures w14:val="standardContextual"/>
              </w:rPr>
              <w:t>2024). This reflects</w:t>
            </w:r>
            <w:r w:rsidRPr="00C6600F">
              <w:rPr>
                <w:rFonts w:ascii="Calibri" w:eastAsia="Aptos" w:hAnsi="Calibri" w:cs="Calibri"/>
                <w:color w:val="auto"/>
                <w:kern w:val="2"/>
                <w:sz w:val="24"/>
                <w:szCs w:val="24"/>
                <w:lang w:eastAsia="en-US"/>
                <w14:ligatures w14:val="standardContextual"/>
              </w:rPr>
              <w:t xml:space="preserve"> the equality and inclusion principles of the S</w:t>
            </w:r>
            <w:r w:rsidR="00362AEE">
              <w:rPr>
                <w:rFonts w:ascii="Calibri" w:eastAsia="Aptos" w:hAnsi="Calibri" w:cs="Calibri"/>
                <w:color w:val="auto"/>
                <w:kern w:val="2"/>
                <w:sz w:val="24"/>
                <w:szCs w:val="24"/>
                <w:lang w:eastAsia="en-US"/>
                <w14:ligatures w14:val="standardContextual"/>
              </w:rPr>
              <w:t>CW</w:t>
            </w:r>
            <w:r w:rsidRPr="00C6600F">
              <w:rPr>
                <w:rFonts w:ascii="Calibri" w:eastAsia="Aptos" w:hAnsi="Calibri" w:cs="Calibri"/>
                <w:color w:val="auto"/>
                <w:kern w:val="2"/>
                <w:sz w:val="24"/>
                <w:szCs w:val="24"/>
                <w:lang w:eastAsia="en-US"/>
                <w14:ligatures w14:val="standardContextual"/>
              </w:rPr>
              <w:t xml:space="preserve"> </w:t>
            </w:r>
            <w:r w:rsidRPr="00362AEE">
              <w:rPr>
                <w:rFonts w:ascii="Calibri" w:eastAsia="Aptos" w:hAnsi="Calibri" w:cs="Calibri"/>
                <w:i/>
                <w:iCs/>
                <w:color w:val="auto"/>
                <w:kern w:val="2"/>
                <w:sz w:val="24"/>
                <w:szCs w:val="24"/>
                <w:lang w:eastAsia="en-US"/>
                <w14:ligatures w14:val="standardContextual"/>
              </w:rPr>
              <w:t>Code of Professional Practice</w:t>
            </w:r>
            <w:r w:rsidRPr="00DB375C">
              <w:rPr>
                <w:rFonts w:ascii="Calibri" w:eastAsia="Aptos" w:hAnsi="Calibri" w:cs="Calibri"/>
                <w:color w:val="auto"/>
                <w:kern w:val="2"/>
                <w:sz w:val="24"/>
                <w:szCs w:val="24"/>
                <w:lang w:eastAsia="en-US"/>
                <w14:ligatures w14:val="standardContextual"/>
              </w:rPr>
              <w:t xml:space="preserve"> </w:t>
            </w:r>
            <w:r w:rsidRPr="00C6600F">
              <w:rPr>
                <w:rFonts w:ascii="Calibri" w:eastAsia="Aptos" w:hAnsi="Calibri" w:cs="Calibri"/>
                <w:color w:val="auto"/>
                <w:kern w:val="2"/>
                <w:sz w:val="24"/>
                <w:szCs w:val="24"/>
                <w:lang w:eastAsia="en-US"/>
                <w14:ligatures w14:val="standardContextual"/>
              </w:rPr>
              <w:t>(2017). Making the Active Offer showed respect for the family’s identity and reduced communication barriers (S</w:t>
            </w:r>
            <w:r w:rsidR="00EB576D">
              <w:rPr>
                <w:rFonts w:ascii="Calibri" w:eastAsia="Aptos" w:hAnsi="Calibri" w:cs="Calibri"/>
                <w:color w:val="auto"/>
                <w:kern w:val="2"/>
                <w:sz w:val="24"/>
                <w:szCs w:val="24"/>
                <w:lang w:eastAsia="en-US"/>
                <w14:ligatures w14:val="standardContextual"/>
              </w:rPr>
              <w:t>CW</w:t>
            </w:r>
            <w:r w:rsidRPr="00C6600F">
              <w:rPr>
                <w:rFonts w:ascii="Calibri" w:eastAsia="Aptos" w:hAnsi="Calibri" w:cs="Calibri"/>
                <w:color w:val="auto"/>
                <w:kern w:val="2"/>
                <w:sz w:val="24"/>
                <w:szCs w:val="24"/>
                <w:lang w:eastAsia="en-US"/>
                <w14:ligatures w14:val="standardContextual"/>
              </w:rPr>
              <w:t>, 2025). It reminded me that language is part of person-centred practice and helps build trust.</w:t>
            </w:r>
            <w:r w:rsidR="00352BE8" w:rsidRPr="00352BE8">
              <w:t xml:space="preserve"> </w:t>
            </w:r>
          </w:p>
          <w:p w14:paraId="264D0CB9" w14:textId="73596ABB" w:rsidR="0041388A" w:rsidRPr="00C6600F" w:rsidRDefault="00352BE8"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8240FC">
              <w:rPr>
                <w:rFonts w:ascii="Calibri" w:eastAsia="Aptos" w:hAnsi="Calibri" w:cs="Calibri"/>
                <w:color w:val="auto"/>
                <w:kern w:val="2"/>
                <w:sz w:val="24"/>
                <w:szCs w:val="24"/>
                <w:lang w:eastAsia="en-US"/>
                <w14:ligatures w14:val="standardContextual"/>
              </w:rPr>
              <w:t xml:space="preserve">Working in a semi-rural area of South Wales </w:t>
            </w:r>
            <w:r w:rsidR="008961E7" w:rsidRPr="008240FC">
              <w:rPr>
                <w:rFonts w:ascii="Calibri" w:eastAsia="Aptos" w:hAnsi="Calibri" w:cs="Calibri"/>
                <w:color w:val="auto"/>
                <w:kern w:val="2"/>
                <w:sz w:val="24"/>
                <w:szCs w:val="24"/>
                <w:lang w:eastAsia="en-US"/>
                <w14:ligatures w14:val="standardContextual"/>
              </w:rPr>
              <w:t>was challenging</w:t>
            </w:r>
            <w:r w:rsidRPr="008240FC">
              <w:rPr>
                <w:rFonts w:ascii="Calibri" w:eastAsia="Aptos" w:hAnsi="Calibri" w:cs="Calibri"/>
                <w:color w:val="auto"/>
                <w:kern w:val="2"/>
                <w:sz w:val="24"/>
                <w:szCs w:val="24"/>
                <w:lang w:eastAsia="en-US"/>
                <w14:ligatures w14:val="standardContextual"/>
              </w:rPr>
              <w:t xml:space="preserve"> to safeguarding practice in this case. While the family did not present as experiencing overt poverty, rural deprivation is often hidden, with families fac</w:t>
            </w:r>
            <w:r w:rsidR="00EA432F" w:rsidRPr="008240FC">
              <w:rPr>
                <w:rFonts w:ascii="Calibri" w:eastAsia="Aptos" w:hAnsi="Calibri" w:cs="Calibri"/>
                <w:color w:val="auto"/>
                <w:kern w:val="2"/>
                <w:sz w:val="24"/>
                <w:szCs w:val="24"/>
                <w:lang w:eastAsia="en-US"/>
                <w14:ligatures w14:val="standardContextual"/>
              </w:rPr>
              <w:t xml:space="preserve">ed with </w:t>
            </w:r>
            <w:r w:rsidRPr="008240FC">
              <w:rPr>
                <w:rFonts w:ascii="Calibri" w:eastAsia="Aptos" w:hAnsi="Calibri" w:cs="Calibri"/>
                <w:color w:val="auto"/>
                <w:kern w:val="2"/>
                <w:sz w:val="24"/>
                <w:szCs w:val="24"/>
                <w:lang w:eastAsia="en-US"/>
                <w14:ligatures w14:val="standardContextual"/>
              </w:rPr>
              <w:t>limited public transport, and access to specialist services (Welsh Government</w:t>
            </w:r>
            <w:r w:rsidRPr="005366E2">
              <w:rPr>
                <w:rFonts w:ascii="Calibri" w:eastAsia="Aptos" w:hAnsi="Calibri" w:cs="Calibri"/>
                <w:color w:val="auto"/>
                <w:kern w:val="2"/>
                <w:sz w:val="24"/>
                <w:szCs w:val="24"/>
                <w:lang w:eastAsia="en-US"/>
                <w14:ligatures w14:val="standardContextual"/>
              </w:rPr>
              <w:t>, 2023).</w:t>
            </w:r>
            <w:r w:rsidRPr="008240FC">
              <w:rPr>
                <w:rFonts w:ascii="Calibri" w:eastAsia="Aptos" w:hAnsi="Calibri" w:cs="Calibri"/>
                <w:color w:val="auto"/>
                <w:kern w:val="2"/>
                <w:sz w:val="24"/>
                <w:szCs w:val="24"/>
                <w:lang w:eastAsia="en-US"/>
                <w14:ligatures w14:val="standardContextual"/>
              </w:rPr>
              <w:t xml:space="preserve"> In this case, Adult 1’s engagement with DDAS was affected by travel distances and limited appointment availability, which required flexibility and persistence from professionals. </w:t>
            </w:r>
            <w:r w:rsidRPr="008240FC">
              <w:rPr>
                <w:rFonts w:ascii="Calibri" w:eastAsia="Aptos" w:hAnsi="Calibri" w:cs="Calibri"/>
                <w:color w:val="auto"/>
                <w:kern w:val="2"/>
                <w:sz w:val="24"/>
                <w:szCs w:val="24"/>
                <w:lang w:eastAsia="en-US"/>
                <w14:ligatures w14:val="standardContextual"/>
              </w:rPr>
              <w:lastRenderedPageBreak/>
              <w:t>The lack of locally based services also meant that support workers covered wide geographical areas, resulting in delays and reduced frequency of face-to-face intervention. This highlighted a structural challenge within Welsh social care, where rurality can inadvertently exacerbate risk by limiting timely access to services.</w:t>
            </w:r>
            <w:r w:rsidR="007E733B" w:rsidRPr="008240FC">
              <w:t xml:space="preserve"> </w:t>
            </w:r>
            <w:r w:rsidR="007E733B" w:rsidRPr="008240FC">
              <w:rPr>
                <w:rFonts w:ascii="Calibri" w:eastAsia="Aptos" w:hAnsi="Calibri" w:cs="Calibri"/>
                <w:color w:val="auto"/>
                <w:kern w:val="2"/>
                <w:sz w:val="24"/>
                <w:szCs w:val="24"/>
                <w:lang w:eastAsia="en-US"/>
                <w14:ligatures w14:val="standardContextual"/>
              </w:rPr>
              <w:t>Applying systems theory (</w:t>
            </w:r>
            <w:r w:rsidR="007E733B" w:rsidRPr="000019BF">
              <w:rPr>
                <w:rFonts w:ascii="Calibri" w:eastAsia="Aptos" w:hAnsi="Calibri" w:cs="Calibri"/>
                <w:color w:val="auto"/>
                <w:kern w:val="2"/>
                <w:sz w:val="24"/>
                <w:szCs w:val="24"/>
                <w:lang w:eastAsia="en-US"/>
                <w14:ligatures w14:val="standardContextual"/>
              </w:rPr>
              <w:t>Bronfenbrenner, 1979),</w:t>
            </w:r>
            <w:r w:rsidR="007E733B" w:rsidRPr="008240FC">
              <w:rPr>
                <w:rFonts w:ascii="Calibri" w:eastAsia="Aptos" w:hAnsi="Calibri" w:cs="Calibri"/>
                <w:color w:val="auto"/>
                <w:kern w:val="2"/>
                <w:sz w:val="24"/>
                <w:szCs w:val="24"/>
                <w:lang w:eastAsia="en-US"/>
                <w14:ligatures w14:val="standardContextual"/>
              </w:rPr>
              <w:t xml:space="preserve"> these structural barriers can be understood as part of the exosystem influencing family functioning. Although parental alcohol misuse was an individual issue, the wider service infrastructure in rural Wales directly shaped the effectiveness of intervention and safeguarding responses.</w:t>
            </w:r>
          </w:p>
          <w:p w14:paraId="74EDE96C"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Safeguarding work in Wales is primarily governed by the SSWB(W)A 2014, which sets out duties to promote well-being (Part 2) and protect children at risk (Part 7). My assessment followed Section 21, which requires local authorities to assess whether a child has needs for care and support and whether those needs are being met. The case also engaged international frameworks. The UN Convention on the Rights of the Child (</w:t>
            </w:r>
            <w:r w:rsidRPr="0044638E">
              <w:rPr>
                <w:rFonts w:ascii="Calibri" w:eastAsia="Aptos" w:hAnsi="Calibri" w:cs="Calibri"/>
                <w:color w:val="auto"/>
                <w:kern w:val="2"/>
                <w:sz w:val="24"/>
                <w:szCs w:val="24"/>
                <w:lang w:eastAsia="en-US"/>
                <w14:ligatures w14:val="standardContextual"/>
              </w:rPr>
              <w:t>UNCRC, 1989), enshrined in Welsh law through the Rights of Children and Young Persons (Wales) Measure 2011,</w:t>
            </w:r>
            <w:r w:rsidRPr="00C6600F">
              <w:rPr>
                <w:rFonts w:ascii="Calibri" w:eastAsia="Aptos" w:hAnsi="Calibri" w:cs="Calibri"/>
                <w:color w:val="auto"/>
                <w:kern w:val="2"/>
                <w:sz w:val="24"/>
                <w:szCs w:val="24"/>
                <w:lang w:eastAsia="en-US"/>
                <w14:ligatures w14:val="standardContextual"/>
              </w:rPr>
              <w:t xml:space="preserve"> emphasises children’s rights to be heard (Article 12) and to protect from harm (Article 19). Although Wales has devolved powers, the Children Act 1989 remains applicable, particularly regarding “significant harm” and Child Protection processes. This required integrating the devolved framework of the SSWB(W)A with UK-wide legal thresholds. </w:t>
            </w:r>
          </w:p>
          <w:p w14:paraId="6620DABB" w14:textId="2D69BE6D" w:rsidR="0041388A"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In October 2024, a serious incident involved Adult 1 collect</w:t>
            </w:r>
            <w:r w:rsidR="00180A44" w:rsidRPr="00C6600F">
              <w:rPr>
                <w:rFonts w:ascii="Calibri" w:eastAsia="Aptos" w:hAnsi="Calibri" w:cs="Calibri"/>
                <w:color w:val="auto"/>
                <w:kern w:val="2"/>
                <w:sz w:val="24"/>
                <w:szCs w:val="24"/>
                <w:lang w:eastAsia="en-US"/>
                <w14:ligatures w14:val="standardContextual"/>
              </w:rPr>
              <w:t xml:space="preserve">ing </w:t>
            </w:r>
            <w:r w:rsidRPr="00C6600F">
              <w:rPr>
                <w:rFonts w:ascii="Calibri" w:eastAsia="Aptos" w:hAnsi="Calibri" w:cs="Calibri"/>
                <w:color w:val="auto"/>
                <w:kern w:val="2"/>
                <w:sz w:val="24"/>
                <w:szCs w:val="24"/>
                <w:lang w:eastAsia="en-US"/>
                <w14:ligatures w14:val="standardContextual"/>
              </w:rPr>
              <w:t xml:space="preserve">Child 1 from a playscheme while </w:t>
            </w:r>
            <w:r w:rsidR="007830A2">
              <w:rPr>
                <w:rFonts w:ascii="Calibri" w:eastAsia="Aptos" w:hAnsi="Calibri" w:cs="Calibri"/>
                <w:color w:val="auto"/>
                <w:kern w:val="2"/>
                <w:sz w:val="24"/>
                <w:szCs w:val="24"/>
                <w:lang w:eastAsia="en-US"/>
                <w14:ligatures w14:val="standardContextual"/>
              </w:rPr>
              <w:t>intoxicated</w:t>
            </w:r>
            <w:r w:rsidR="007830A2" w:rsidRPr="00C6600F">
              <w:rPr>
                <w:rFonts w:ascii="Calibri" w:eastAsia="Aptos" w:hAnsi="Calibri" w:cs="Calibri"/>
                <w:color w:val="auto"/>
                <w:kern w:val="2"/>
                <w:sz w:val="24"/>
                <w:szCs w:val="24"/>
                <w:lang w:eastAsia="en-US"/>
                <w14:ligatures w14:val="standardContextual"/>
              </w:rPr>
              <w:t xml:space="preserve"> and</w:t>
            </w:r>
            <w:r w:rsidRPr="00C6600F">
              <w:rPr>
                <w:rFonts w:ascii="Calibri" w:eastAsia="Aptos" w:hAnsi="Calibri" w:cs="Calibri"/>
                <w:color w:val="auto"/>
                <w:kern w:val="2"/>
                <w:sz w:val="24"/>
                <w:szCs w:val="24"/>
                <w:lang w:eastAsia="en-US"/>
                <w14:ligatures w14:val="standardContextual"/>
              </w:rPr>
              <w:t xml:space="preserve"> was arrested for being intoxicated in charge of a child. She was later released with bail conditions preventing her from having unsupervised contact with the children. Given the repeated pattern of risk and failure of previous safety measures, a strategy discussion was conveyed with police, education, and health. </w:t>
            </w:r>
            <w:r w:rsidR="0087290A" w:rsidRPr="0087290A">
              <w:rPr>
                <w:rFonts w:ascii="Calibri" w:eastAsia="Aptos" w:hAnsi="Calibri" w:cs="Calibri"/>
                <w:color w:val="auto"/>
                <w:kern w:val="2"/>
                <w:sz w:val="24"/>
                <w:szCs w:val="24"/>
                <w:lang w:eastAsia="en-US"/>
                <w14:ligatures w14:val="standardContextual"/>
              </w:rPr>
              <w:t xml:space="preserve">The decision to convene an Initial Child Protection Conference was informed by Section 47 of the Children </w:t>
            </w:r>
            <w:r w:rsidR="0087290A" w:rsidRPr="00A17CD1">
              <w:rPr>
                <w:rFonts w:ascii="Calibri" w:eastAsia="Aptos" w:hAnsi="Calibri" w:cs="Calibri"/>
                <w:color w:val="auto"/>
                <w:kern w:val="2"/>
                <w:sz w:val="24"/>
                <w:szCs w:val="24"/>
                <w:lang w:eastAsia="en-US"/>
                <w14:ligatures w14:val="standardContextual"/>
              </w:rPr>
              <w:t>Act 1989,</w:t>
            </w:r>
            <w:r w:rsidR="0087290A" w:rsidRPr="0087290A">
              <w:rPr>
                <w:rFonts w:ascii="Calibri" w:eastAsia="Aptos" w:hAnsi="Calibri" w:cs="Calibri"/>
                <w:color w:val="auto"/>
                <w:kern w:val="2"/>
                <w:sz w:val="24"/>
                <w:szCs w:val="24"/>
                <w:lang w:eastAsia="en-US"/>
                <w14:ligatures w14:val="standardContextual"/>
              </w:rPr>
              <w:t xml:space="preserve"> which places a duty on local authorities to undertake enquiries where there is reasonable cause to suspect a child is suffering, or is likely to suffer, significant harm. Although practice in Wales is governed by the Social Services and Well-being (Wales) Act 2014, Section 47 of the Children Act remains applicable in determining child protection thresholds. In this case, repeated incidents involving Adult 1’s intoxication while caring for Child 1, alongside emotional harm to both children, met threshold for significant harm under Section 31 of the Children Act 1989.</w:t>
            </w:r>
            <w:r w:rsidR="00321FA5">
              <w:rPr>
                <w:rFonts w:ascii="Calibri" w:eastAsia="Aptos" w:hAnsi="Calibri" w:cs="Calibri"/>
                <w:color w:val="auto"/>
                <w:kern w:val="2"/>
                <w:sz w:val="24"/>
                <w:szCs w:val="24"/>
                <w:lang w:eastAsia="en-US"/>
                <w14:ligatures w14:val="standardContextual"/>
              </w:rPr>
              <w:t xml:space="preserve"> B</w:t>
            </w:r>
            <w:r w:rsidRPr="00C6600F">
              <w:rPr>
                <w:rFonts w:ascii="Calibri" w:eastAsia="Aptos" w:hAnsi="Calibri" w:cs="Calibri"/>
                <w:color w:val="auto"/>
                <w:kern w:val="2"/>
                <w:sz w:val="24"/>
                <w:szCs w:val="24"/>
                <w:lang w:eastAsia="en-US"/>
                <w14:ligatures w14:val="standardContextual"/>
              </w:rPr>
              <w:t>oth parents attended separate meetings due to bail conditions, and the children were made subject to a Child Protection Plan under the category of neglect and emotional harm.</w:t>
            </w:r>
          </w:p>
          <w:p w14:paraId="15741393" w14:textId="5D5A59F2"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Applying systems theory (Bronfenbrenner, 1979; </w:t>
            </w:r>
            <w:r w:rsidRPr="00A17CD1">
              <w:rPr>
                <w:rFonts w:ascii="Calibri" w:eastAsia="Aptos" w:hAnsi="Calibri" w:cs="Calibri"/>
                <w:color w:val="auto"/>
                <w:kern w:val="2"/>
                <w:sz w:val="24"/>
                <w:szCs w:val="24"/>
                <w:lang w:eastAsia="en-US"/>
                <w14:ligatures w14:val="standardContextual"/>
              </w:rPr>
              <w:t>Minuchin,</w:t>
            </w:r>
            <w:r w:rsidRPr="00C6600F">
              <w:rPr>
                <w:rFonts w:ascii="Calibri" w:eastAsia="Aptos" w:hAnsi="Calibri" w:cs="Calibri"/>
                <w:color w:val="auto"/>
                <w:kern w:val="2"/>
                <w:sz w:val="24"/>
                <w:szCs w:val="24"/>
                <w:lang w:eastAsia="en-US"/>
                <w14:ligatures w14:val="standardContextual"/>
              </w:rPr>
              <w:t xml:space="preserve"> 1985) helped me understand how each part of the professional network interacted and influenced outcomes. The family were at the centre of multiple systems such as education, health, criminal justice, and social services, and effective communication between them was essential</w:t>
            </w:r>
            <w:r w:rsidR="006515CC" w:rsidRPr="00C6600F">
              <w:rPr>
                <w:rFonts w:ascii="Calibri" w:eastAsia="Aptos" w:hAnsi="Calibri" w:cs="Calibri"/>
                <w:color w:val="auto"/>
                <w:kern w:val="2"/>
                <w:sz w:val="24"/>
                <w:szCs w:val="24"/>
                <w:lang w:eastAsia="en-US"/>
                <w14:ligatures w14:val="standardContextual"/>
              </w:rPr>
              <w:t xml:space="preserve"> to ensure the safety of the children</w:t>
            </w:r>
            <w:r w:rsidRPr="00C6600F">
              <w:rPr>
                <w:rFonts w:ascii="Calibri" w:eastAsia="Aptos" w:hAnsi="Calibri" w:cs="Calibri"/>
                <w:color w:val="auto"/>
                <w:kern w:val="2"/>
                <w:sz w:val="24"/>
                <w:szCs w:val="24"/>
                <w:lang w:eastAsia="en-US"/>
                <w14:ligatures w14:val="standardContextual"/>
              </w:rPr>
              <w:t>. Regular core group meetings between professionals and the family and shared minutes</w:t>
            </w:r>
            <w:r w:rsidR="00A27F2B" w:rsidRPr="00C6600F">
              <w:rPr>
                <w:rFonts w:ascii="Calibri" w:eastAsia="Aptos" w:hAnsi="Calibri" w:cs="Calibri"/>
                <w:color w:val="auto"/>
                <w:kern w:val="2"/>
                <w:sz w:val="24"/>
                <w:szCs w:val="24"/>
                <w:lang w:eastAsia="en-US"/>
                <w14:ligatures w14:val="standardContextual"/>
              </w:rPr>
              <w:t xml:space="preserve"> and safety plans</w:t>
            </w:r>
            <w:r w:rsidRPr="00C6600F">
              <w:rPr>
                <w:rFonts w:ascii="Calibri" w:eastAsia="Aptos" w:hAnsi="Calibri" w:cs="Calibri"/>
                <w:color w:val="auto"/>
                <w:kern w:val="2"/>
                <w:sz w:val="24"/>
                <w:szCs w:val="24"/>
                <w:lang w:eastAsia="en-US"/>
                <w14:ligatures w14:val="standardContextual"/>
              </w:rPr>
              <w:t xml:space="preserve"> helped build a coordinated approach.</w:t>
            </w:r>
          </w:p>
          <w:p w14:paraId="211FA780"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lastRenderedPageBreak/>
              <w:t xml:space="preserve">In a semi-rural area, resources were stretched, and services such as DDAS and family support often covered wide areas which sometimes delayed responses, but systems theory reminded me that collaboration and communication could bridge those gaps. During one core group, for example, school staff disagreed with health about school attendance concerns. Using respectful challenge, I facilitated a shared understanding of the children’s emotional needs which reinforced the importance of professional collaborative working which is a key principle within the Wales Safeguarding Procedures </w:t>
            </w:r>
            <w:r w:rsidRPr="00A17CD1">
              <w:rPr>
                <w:rFonts w:ascii="Calibri" w:eastAsia="Aptos" w:hAnsi="Calibri" w:cs="Calibri"/>
                <w:color w:val="auto"/>
                <w:kern w:val="2"/>
                <w:sz w:val="24"/>
                <w:szCs w:val="24"/>
                <w:lang w:eastAsia="en-US"/>
                <w14:ligatures w14:val="standardContextual"/>
              </w:rPr>
              <w:t>(2019).</w:t>
            </w:r>
          </w:p>
          <w:p w14:paraId="5085F8DB" w14:textId="6E67AB10" w:rsidR="007C0D37" w:rsidRPr="00C6600F" w:rsidRDefault="007C0D37"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7C0D37">
              <w:rPr>
                <w:rFonts w:ascii="Calibri" w:eastAsia="Aptos" w:hAnsi="Calibri" w:cs="Calibri"/>
                <w:color w:val="auto"/>
                <w:kern w:val="2"/>
                <w:sz w:val="24"/>
                <w:szCs w:val="24"/>
                <w:lang w:eastAsia="en-US"/>
                <w14:ligatures w14:val="standardContextual"/>
              </w:rPr>
              <w:t>My team works within a pod structure, which has been central to my professional development and reflective practice. These meetings provide a consistent space to analyse complex cases, share multidisciplinary perspectives, and support professional judgement. Access to an educational psychologist and senior social worker enhanced understanding of the children’s emotional needs while ensuring oversight and accountability. This collaborative approach reflects systems theory (Bronfenbrenner, 1979; Minuchin, 1985), recognising safeguarding as dependent on effective professional interaction. The pod structure also reduced professional isolation, supporting emotional resilience and objectivity, particularly during periods of relapse, by helping me refocus on the children’s safety.</w:t>
            </w:r>
          </w:p>
          <w:p w14:paraId="2CADC956" w14:textId="18DB5B62"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Capturing the children’s voices was at the heart of this work. Under the SSWB(W)A 2014 and the UNCRC, children have a legal right to express their views and to have those views considered. For Child 1, I used the Three Houses Tool (Turnell and Edwards, </w:t>
            </w:r>
            <w:r w:rsidRPr="00300848">
              <w:rPr>
                <w:rFonts w:ascii="Calibri" w:eastAsia="Aptos" w:hAnsi="Calibri" w:cs="Calibri"/>
                <w:color w:val="auto"/>
                <w:kern w:val="2"/>
                <w:sz w:val="24"/>
                <w:szCs w:val="24"/>
                <w:lang w:eastAsia="en-US"/>
                <w14:ligatures w14:val="standardContextual"/>
              </w:rPr>
              <w:t>1999) and</w:t>
            </w:r>
            <w:r w:rsidRPr="00C6600F">
              <w:rPr>
                <w:rFonts w:ascii="Calibri" w:eastAsia="Aptos" w:hAnsi="Calibri" w:cs="Calibri"/>
                <w:color w:val="auto"/>
                <w:kern w:val="2"/>
                <w:sz w:val="24"/>
                <w:szCs w:val="24"/>
                <w:lang w:eastAsia="en-US"/>
                <w14:ligatures w14:val="standardContextual"/>
              </w:rPr>
              <w:t xml:space="preserve"> play-based sessions. In one, she placed the “mum” doll in bed and the “dad” doll caring for the children which is a strong indication for her lived experience. Child 2’s engagement required different methods. He was protective, reluctant to discuss home life, and weary of professionals. </w:t>
            </w:r>
            <w:r w:rsidR="0035226E" w:rsidRPr="00C6600F">
              <w:rPr>
                <w:rFonts w:ascii="Calibri" w:eastAsia="Aptos" w:hAnsi="Calibri" w:cs="Calibri"/>
                <w:color w:val="auto"/>
                <w:kern w:val="2"/>
                <w:sz w:val="24"/>
                <w:szCs w:val="24"/>
                <w:lang w:eastAsia="en-US"/>
                <w14:ligatures w14:val="standardContextual"/>
              </w:rPr>
              <w:t>R</w:t>
            </w:r>
            <w:r w:rsidRPr="00C6600F">
              <w:rPr>
                <w:rFonts w:ascii="Calibri" w:eastAsia="Aptos" w:hAnsi="Calibri" w:cs="Calibri"/>
                <w:color w:val="auto"/>
                <w:kern w:val="2"/>
                <w:sz w:val="24"/>
                <w:szCs w:val="24"/>
                <w:lang w:eastAsia="en-US"/>
                <w14:ligatures w14:val="standardContextual"/>
              </w:rPr>
              <w:t>ecognis</w:t>
            </w:r>
            <w:r w:rsidR="0035226E" w:rsidRPr="00C6600F">
              <w:rPr>
                <w:rFonts w:ascii="Calibri" w:eastAsia="Aptos" w:hAnsi="Calibri" w:cs="Calibri"/>
                <w:color w:val="auto"/>
                <w:kern w:val="2"/>
                <w:sz w:val="24"/>
                <w:szCs w:val="24"/>
                <w:lang w:eastAsia="en-US"/>
                <w14:ligatures w14:val="standardContextual"/>
              </w:rPr>
              <w:t>ing</w:t>
            </w:r>
            <w:r w:rsidRPr="00C6600F">
              <w:rPr>
                <w:rFonts w:ascii="Calibri" w:eastAsia="Aptos" w:hAnsi="Calibri" w:cs="Calibri"/>
                <w:color w:val="auto"/>
                <w:kern w:val="2"/>
                <w:sz w:val="24"/>
                <w:szCs w:val="24"/>
                <w:lang w:eastAsia="en-US"/>
                <w14:ligatures w14:val="standardContextual"/>
              </w:rPr>
              <w:t xml:space="preserve"> that trauma can make children defensive, I applied Empowerment Theory (</w:t>
            </w:r>
            <w:r w:rsidRPr="00427660">
              <w:rPr>
                <w:rFonts w:ascii="Calibri" w:eastAsia="Aptos" w:hAnsi="Calibri" w:cs="Calibri"/>
                <w:color w:val="auto"/>
                <w:kern w:val="2"/>
                <w:sz w:val="24"/>
                <w:szCs w:val="24"/>
                <w:lang w:eastAsia="en-US"/>
                <w14:ligatures w14:val="standardContextual"/>
              </w:rPr>
              <w:t>Perkins and Zimmerman</w:t>
            </w:r>
            <w:r w:rsidRPr="00C6600F">
              <w:rPr>
                <w:rFonts w:ascii="Calibri" w:eastAsia="Aptos" w:hAnsi="Calibri" w:cs="Calibri"/>
                <w:color w:val="auto"/>
                <w:kern w:val="2"/>
                <w:sz w:val="24"/>
                <w:szCs w:val="24"/>
                <w:lang w:eastAsia="en-US"/>
                <w14:ligatures w14:val="standardContextual"/>
              </w:rPr>
              <w:t xml:space="preserve">, 1995) by creating safe, respectful spaces that promoted choice and control. Child 2 </w:t>
            </w:r>
            <w:r w:rsidR="00E95542" w:rsidRPr="00C6600F">
              <w:rPr>
                <w:rFonts w:ascii="Calibri" w:eastAsia="Aptos" w:hAnsi="Calibri" w:cs="Calibri"/>
                <w:color w:val="auto"/>
                <w:kern w:val="2"/>
                <w:sz w:val="24"/>
                <w:szCs w:val="24"/>
                <w:lang w:eastAsia="en-US"/>
                <w14:ligatures w14:val="standardContextual"/>
              </w:rPr>
              <w:t xml:space="preserve">clearly </w:t>
            </w:r>
            <w:r w:rsidRPr="00C6600F">
              <w:rPr>
                <w:rFonts w:ascii="Calibri" w:eastAsia="Aptos" w:hAnsi="Calibri" w:cs="Calibri"/>
                <w:color w:val="auto"/>
                <w:kern w:val="2"/>
                <w:sz w:val="24"/>
                <w:szCs w:val="24"/>
                <w:lang w:eastAsia="en-US"/>
                <w14:ligatures w14:val="standardContextual"/>
              </w:rPr>
              <w:t>felt powerless due to the family situation</w:t>
            </w:r>
            <w:r w:rsidR="007C4D35" w:rsidRPr="00C6600F">
              <w:rPr>
                <w:rFonts w:ascii="Calibri" w:eastAsia="Aptos" w:hAnsi="Calibri" w:cs="Calibri"/>
                <w:color w:val="auto"/>
                <w:kern w:val="2"/>
                <w:sz w:val="24"/>
                <w:szCs w:val="24"/>
                <w:lang w:eastAsia="en-US"/>
                <w14:ligatures w14:val="standardContextual"/>
              </w:rPr>
              <w:t xml:space="preserve"> therefore</w:t>
            </w:r>
            <w:r w:rsidRPr="00C6600F">
              <w:rPr>
                <w:rFonts w:ascii="Calibri" w:eastAsia="Aptos" w:hAnsi="Calibri" w:cs="Calibri"/>
                <w:color w:val="auto"/>
                <w:kern w:val="2"/>
                <w:sz w:val="24"/>
                <w:szCs w:val="24"/>
                <w:lang w:eastAsia="en-US"/>
                <w14:ligatures w14:val="standardContextual"/>
              </w:rPr>
              <w:t xml:space="preserve"> I encouraged him to share his views in ways that suited him, such as side-by-side conversations in the car rather than visits to school.</w:t>
            </w:r>
            <w:r w:rsidR="008C479B" w:rsidRPr="008C479B">
              <w:t xml:space="preserve"> </w:t>
            </w:r>
            <w:r w:rsidR="008C479B" w:rsidRPr="008240FC">
              <w:rPr>
                <w:rFonts w:ascii="Calibri" w:eastAsia="Aptos" w:hAnsi="Calibri" w:cs="Calibri"/>
                <w:color w:val="auto"/>
                <w:kern w:val="2"/>
                <w:sz w:val="24"/>
                <w:szCs w:val="24"/>
                <w:lang w:eastAsia="en-US"/>
                <w14:ligatures w14:val="standardContextual"/>
              </w:rPr>
              <w:t>Working with Child 2 also raised ethical considerations regarding autonomy and protection. At 15 years old, he demonstrated a level of maturity consistent with Gillick competence, particularly in expressing preferences about how and where he engaged with professionals. Respecting his wishes not to be seen at school aligned with Article 12 of the UNCRC and the principles of empowerment. However, this autonomy had to be balanced against the duty to safeguard him under the C</w:t>
            </w:r>
            <w:r w:rsidR="0099711F" w:rsidRPr="008240FC">
              <w:rPr>
                <w:rFonts w:ascii="Calibri" w:eastAsia="Aptos" w:hAnsi="Calibri" w:cs="Calibri"/>
                <w:color w:val="auto"/>
                <w:kern w:val="2"/>
                <w:sz w:val="24"/>
                <w:szCs w:val="24"/>
                <w:lang w:eastAsia="en-US"/>
                <w14:ligatures w14:val="standardContextual"/>
              </w:rPr>
              <w:t>A</w:t>
            </w:r>
            <w:r w:rsidR="0045017E" w:rsidRPr="008240FC">
              <w:rPr>
                <w:rFonts w:ascii="Calibri" w:eastAsia="Aptos" w:hAnsi="Calibri" w:cs="Calibri"/>
                <w:color w:val="auto"/>
                <w:kern w:val="2"/>
                <w:sz w:val="24"/>
                <w:szCs w:val="24"/>
                <w:lang w:eastAsia="en-US"/>
                <w14:ligatures w14:val="standardContextual"/>
              </w:rPr>
              <w:t xml:space="preserve"> 19</w:t>
            </w:r>
            <w:r w:rsidR="008C479B" w:rsidRPr="008240FC">
              <w:rPr>
                <w:rFonts w:ascii="Calibri" w:eastAsia="Aptos" w:hAnsi="Calibri" w:cs="Calibri"/>
                <w:color w:val="auto"/>
                <w:kern w:val="2"/>
                <w:sz w:val="24"/>
                <w:szCs w:val="24"/>
                <w:lang w:eastAsia="en-US"/>
                <w14:ligatures w14:val="standardContextual"/>
              </w:rPr>
              <w:t>89 and the S</w:t>
            </w:r>
            <w:r w:rsidR="0045017E" w:rsidRPr="008240FC">
              <w:rPr>
                <w:rFonts w:ascii="Calibri" w:eastAsia="Aptos" w:hAnsi="Calibri" w:cs="Calibri"/>
                <w:color w:val="auto"/>
                <w:kern w:val="2"/>
                <w:sz w:val="24"/>
                <w:szCs w:val="24"/>
                <w:lang w:eastAsia="en-US"/>
                <w14:ligatures w14:val="standardContextual"/>
              </w:rPr>
              <w:t>SW(W)A 2014</w:t>
            </w:r>
            <w:r w:rsidR="008C479B" w:rsidRPr="008240FC">
              <w:rPr>
                <w:rFonts w:ascii="Calibri" w:eastAsia="Aptos" w:hAnsi="Calibri" w:cs="Calibri"/>
                <w:color w:val="auto"/>
                <w:kern w:val="2"/>
                <w:sz w:val="24"/>
                <w:szCs w:val="24"/>
                <w:lang w:eastAsia="en-US"/>
                <w14:ligatures w14:val="standardContextual"/>
              </w:rPr>
              <w:t>. This required ongoing assessment to ensure that respecting his voice did not inadvertently increase risk or reinforce his parentified role.</w:t>
            </w:r>
            <w:r w:rsidRPr="00C6600F">
              <w:rPr>
                <w:rFonts w:ascii="Calibri" w:eastAsia="Aptos" w:hAnsi="Calibri" w:cs="Calibri"/>
                <w:color w:val="auto"/>
                <w:kern w:val="2"/>
                <w:sz w:val="24"/>
                <w:szCs w:val="24"/>
                <w:lang w:eastAsia="en-US"/>
                <w14:ligatures w14:val="standardContextual"/>
              </w:rPr>
              <w:t xml:space="preserve"> Both children’s behaviours such as Child 1’s withdrawal and Child 2’s over-responsibility can be viewed as survival strategies and understanding this shaped my interventions, such as maintaining predictable visit times, not visiting Child 2’s school, validating their emotions.</w:t>
            </w:r>
          </w:p>
          <w:p w14:paraId="2211AC34" w14:textId="615ACBB2"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lastRenderedPageBreak/>
              <w:t xml:space="preserve">During ongoing involvement, it became clear that Adult 2 held strong views about the British system and the involvement of professionals. He often criticised the bail conditions that prevented Adult 1 from returning home, believing professionals were “overreacting”. He expressed frustration that his wife should be allowed return home immediately, viewing the restrictions as unfair. This reflected a cultural difference in attitudes </w:t>
            </w:r>
            <w:r w:rsidRPr="001C5CC0">
              <w:rPr>
                <w:rFonts w:ascii="Calibri" w:eastAsia="Aptos" w:hAnsi="Calibri" w:cs="Calibri"/>
                <w:color w:val="auto"/>
                <w:kern w:val="2"/>
                <w:sz w:val="24"/>
                <w:szCs w:val="24"/>
                <w:lang w:eastAsia="en-US"/>
                <w14:ligatures w14:val="standardContextual"/>
              </w:rPr>
              <w:t>toward family privacy and authority, which required sensitivity and clear communication (Thompson, 2016). Adult</w:t>
            </w:r>
            <w:r w:rsidRPr="00C6600F">
              <w:rPr>
                <w:rFonts w:ascii="Calibri" w:eastAsia="Aptos" w:hAnsi="Calibri" w:cs="Calibri"/>
                <w:color w:val="auto"/>
                <w:kern w:val="2"/>
                <w:sz w:val="24"/>
                <w:szCs w:val="24"/>
                <w:lang w:eastAsia="en-US"/>
                <w14:ligatures w14:val="standardContextual"/>
              </w:rPr>
              <w:t xml:space="preserve"> 2’s beliefs seemed influenced by more traditional Polish norms, where the male is seen as the protector and head of the household (Thompson, 2016). Systems theory (Bronfenbrenner, 1979) helped explain how these beliefs were shaped not just by personal values, but by cultural and social systems around him.</w:t>
            </w:r>
            <w:r w:rsidR="00694326" w:rsidRPr="00694326">
              <w:t xml:space="preserve"> </w:t>
            </w:r>
            <w:r w:rsidR="00694326" w:rsidRPr="00694326">
              <w:rPr>
                <w:rFonts w:ascii="Calibri" w:eastAsia="Aptos" w:hAnsi="Calibri" w:cs="Calibri"/>
                <w:color w:val="auto"/>
                <w:kern w:val="2"/>
                <w:sz w:val="24"/>
                <w:szCs w:val="24"/>
                <w:lang w:eastAsia="en-US"/>
                <w14:ligatures w14:val="standardContextual"/>
              </w:rPr>
              <w:t xml:space="preserve">A significant ethical dilemma in this case was balancing the family’s right to respect for private and family life under Article 8 of the Human Rights Act 1998 with the statutory duty to safeguard children under Part 7 of the Social Services and Well-being (Wales) Act 2014. The imposition of bail conditions preventing Adult 1 from having unsupervised contact with her children represented a clear interference with family life. However, this interference was lawful, proportionate, and necessary to protect the children from </w:t>
            </w:r>
            <w:r w:rsidR="007B2FA2">
              <w:rPr>
                <w:rFonts w:ascii="Calibri" w:eastAsia="Aptos" w:hAnsi="Calibri" w:cs="Calibri"/>
                <w:color w:val="auto"/>
                <w:kern w:val="2"/>
                <w:sz w:val="24"/>
                <w:szCs w:val="24"/>
                <w:lang w:eastAsia="en-US"/>
                <w14:ligatures w14:val="standardContextual"/>
              </w:rPr>
              <w:t xml:space="preserve">further </w:t>
            </w:r>
            <w:r w:rsidR="00694326" w:rsidRPr="00694326">
              <w:rPr>
                <w:rFonts w:ascii="Calibri" w:eastAsia="Aptos" w:hAnsi="Calibri" w:cs="Calibri"/>
                <w:color w:val="auto"/>
                <w:kern w:val="2"/>
                <w:sz w:val="24"/>
                <w:szCs w:val="24"/>
                <w:lang w:eastAsia="en-US"/>
                <w14:ligatures w14:val="standardContextual"/>
              </w:rPr>
              <w:t xml:space="preserve">harm. </w:t>
            </w:r>
          </w:p>
          <w:p w14:paraId="1B081711"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Although Adult 2 said he was struggling to manage the children alone, he appeared to be coping well. His focus on needing Adult 1 home may have reflected emotional dependence rather than genuine parenting difficulty. Over time, I noticed that both he and the children had normalised Adult 1’s drinking, unable to see its impact. This reflected Howe’s (</w:t>
            </w:r>
            <w:r w:rsidRPr="009B06A3">
              <w:rPr>
                <w:rFonts w:ascii="Calibri" w:eastAsia="Aptos" w:hAnsi="Calibri" w:cs="Calibri"/>
                <w:color w:val="auto"/>
                <w:kern w:val="2"/>
                <w:sz w:val="24"/>
                <w:szCs w:val="24"/>
                <w:lang w:eastAsia="en-US"/>
                <w14:ligatures w14:val="standardContextual"/>
              </w:rPr>
              <w:t>2005) concept</w:t>
            </w:r>
            <w:r w:rsidRPr="00C6600F">
              <w:rPr>
                <w:rFonts w:ascii="Calibri" w:eastAsia="Aptos" w:hAnsi="Calibri" w:cs="Calibri"/>
                <w:color w:val="auto"/>
                <w:kern w:val="2"/>
                <w:sz w:val="24"/>
                <w:szCs w:val="24"/>
                <w:lang w:eastAsia="en-US"/>
                <w14:ligatures w14:val="standardContextual"/>
              </w:rPr>
              <w:t xml:space="preserve"> of “adapted normality”, where the children’s long-term exposure to harmful situations they had experienced becomes normal.</w:t>
            </w:r>
          </w:p>
          <w:p w14:paraId="2069A84A" w14:textId="7FCE4251"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In contrast, Adult 1 privately shared with me that she was relieved about the bail conditions, as </w:t>
            </w:r>
            <w:r w:rsidR="005F51DB" w:rsidRPr="00C6600F">
              <w:rPr>
                <w:rFonts w:ascii="Calibri" w:eastAsia="Aptos" w:hAnsi="Calibri" w:cs="Calibri"/>
                <w:color w:val="auto"/>
                <w:kern w:val="2"/>
                <w:sz w:val="24"/>
                <w:szCs w:val="24"/>
                <w:lang w:eastAsia="en-US"/>
                <w14:ligatures w14:val="standardContextual"/>
              </w:rPr>
              <w:t>it</w:t>
            </w:r>
            <w:r w:rsidRPr="00C6600F">
              <w:rPr>
                <w:rFonts w:ascii="Calibri" w:eastAsia="Aptos" w:hAnsi="Calibri" w:cs="Calibri"/>
                <w:color w:val="auto"/>
                <w:kern w:val="2"/>
                <w:sz w:val="24"/>
                <w:szCs w:val="24"/>
                <w:lang w:eastAsia="en-US"/>
                <w14:ligatures w14:val="standardContextual"/>
              </w:rPr>
              <w:t xml:space="preserve"> gave her the space to recover and reflect. She confided that her relationship with Adult 2 felt toxic, unhealthy and that his attitudes often triggered her drinking. She had trained as a physiotherapist in Poland and was a talented artist, but after moving to Wales, she lost confidence and gave up her creative interests, working as a dog walker instead. Since entering rehabilitation, she said she was “finding herself again” and starting to rebuild her self-esteem. This reflects the principles of Empowerment Theory (Perkins and Zimmerman, 1995), which emphasises supporting individuals to regain control over their lives and recognise their strengths. Through participation in her recovery and creativity, Adult 1 was reclaiming aspects of her identity that had been suppressed by years of dependency and imbalance in her relationship</w:t>
            </w:r>
            <w:r w:rsidR="00362A72" w:rsidRPr="00C6600F">
              <w:rPr>
                <w:rFonts w:ascii="Calibri" w:eastAsia="Aptos" w:hAnsi="Calibri" w:cs="Calibri"/>
                <w:color w:val="auto"/>
                <w:kern w:val="2"/>
                <w:sz w:val="24"/>
                <w:szCs w:val="24"/>
                <w:lang w:eastAsia="en-US"/>
                <w14:ligatures w14:val="standardContextual"/>
              </w:rPr>
              <w:t xml:space="preserve"> with Adult 2</w:t>
            </w:r>
            <w:r w:rsidRPr="00C6600F">
              <w:rPr>
                <w:rFonts w:ascii="Calibri" w:eastAsia="Aptos" w:hAnsi="Calibri" w:cs="Calibri"/>
                <w:color w:val="auto"/>
                <w:kern w:val="2"/>
                <w:sz w:val="24"/>
                <w:szCs w:val="24"/>
                <w:lang w:eastAsia="en-US"/>
                <w14:ligatures w14:val="standardContextual"/>
              </w:rPr>
              <w:t xml:space="preserve">. </w:t>
            </w:r>
          </w:p>
          <w:p w14:paraId="1069F2CE" w14:textId="4F70B33F"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Through reflective supervision and discussions with the substance misuse social worker, I explored how power and control operated in the relationship. Adult 1’s progress away from Adult 2 suggested that his influence may have been maintaining her dependency. </w:t>
            </w:r>
            <w:r w:rsidR="009B0BA1" w:rsidRPr="00C6600F">
              <w:rPr>
                <w:rFonts w:ascii="Calibri" w:eastAsia="Aptos" w:hAnsi="Calibri" w:cs="Calibri"/>
                <w:color w:val="auto"/>
                <w:kern w:val="2"/>
                <w:sz w:val="24"/>
                <w:szCs w:val="24"/>
                <w:lang w:eastAsia="en-US"/>
                <w14:ligatures w14:val="standardContextual"/>
              </w:rPr>
              <w:t>Reflecting on and r</w:t>
            </w:r>
            <w:r w:rsidRPr="00C6600F">
              <w:rPr>
                <w:rFonts w:ascii="Calibri" w:eastAsia="Aptos" w:hAnsi="Calibri" w:cs="Calibri"/>
                <w:color w:val="auto"/>
                <w:kern w:val="2"/>
                <w:sz w:val="24"/>
                <w:szCs w:val="24"/>
                <w:lang w:eastAsia="en-US"/>
                <w14:ligatures w14:val="standardContextual"/>
              </w:rPr>
              <w:t xml:space="preserve">ecognising this dynamic helped me understand that safeguarding sometimes involves protecting adults as well as children. The bail conditions, while distressing to Adult 2, created space for real change and safety </w:t>
            </w:r>
            <w:r w:rsidRPr="00C6600F">
              <w:rPr>
                <w:rFonts w:ascii="Calibri" w:eastAsia="Aptos" w:hAnsi="Calibri" w:cs="Calibri"/>
                <w:color w:val="auto"/>
                <w:kern w:val="2"/>
                <w:sz w:val="24"/>
                <w:szCs w:val="24"/>
                <w:lang w:eastAsia="en-US"/>
                <w14:ligatures w14:val="standardContextual"/>
              </w:rPr>
              <w:lastRenderedPageBreak/>
              <w:t>for all family members. However, the imposition of bail conditions following Adult 1’s arrest in October 2024 created significant emotional and practical challenges for the family, especially as it coincided with Christmas. Child 2</w:t>
            </w:r>
            <w:r w:rsidR="00FC2FAB" w:rsidRPr="00C6600F">
              <w:rPr>
                <w:rFonts w:ascii="Calibri" w:eastAsia="Aptos" w:hAnsi="Calibri" w:cs="Calibri"/>
                <w:color w:val="auto"/>
                <w:kern w:val="2"/>
                <w:sz w:val="24"/>
                <w:szCs w:val="24"/>
                <w:lang w:eastAsia="en-US"/>
                <w14:ligatures w14:val="standardContextual"/>
              </w:rPr>
              <w:t xml:space="preserve"> found</w:t>
            </w:r>
            <w:r w:rsidRPr="00C6600F">
              <w:rPr>
                <w:rFonts w:ascii="Calibri" w:eastAsia="Aptos" w:hAnsi="Calibri" w:cs="Calibri"/>
                <w:color w:val="auto"/>
                <w:kern w:val="2"/>
                <w:sz w:val="24"/>
                <w:szCs w:val="24"/>
                <w:lang w:eastAsia="en-US"/>
                <w14:ligatures w14:val="standardContextual"/>
              </w:rPr>
              <w:t xml:space="preserve"> this extremely distressing and described feeling “empty” without his mother at home, worrying constantly about her safety and well-being. As a teenager who had already taken on a protective role, the uncertainty heightened his anxiety and sense of responsibility.</w:t>
            </w:r>
          </w:p>
          <w:p w14:paraId="4B948D18"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The situation highlighted how safeguarding measures can affect children’s emotional stability. Although the bail conditions were essential to keep them safe, they also disrupted family routines and emotional connections. According to Howe (2005), secure relationships give children predictability, and when these are interrupted, children may experience uncertainty and sadness. To support them through this, I worked closely with both children and Adult 2, using open conversations and direct work tools such as worry boxes and emotion cards to help them express their feelings.</w:t>
            </w:r>
          </w:p>
          <w:p w14:paraId="1CF5BDC5"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For Adult 2, the Christmas period intensified his frustration with the situation as he felt unfairly punished by the system, repeating that the children “needed their mother home.” Adult 2 shared that in Polish culture, Christmas is a deeply family-centred celebration, and separation during this time would carry significant emotional harm to the children. Applying Thompson’s (2016) PCS model helped me consider how personal beliefs, cultural expectations, and structural systems intersected to shape his reaction. While empathising with his distress, I also had to reinforce that the conditions were in place for safety and to support Adult 1’s recovery.</w:t>
            </w:r>
          </w:p>
          <w:p w14:paraId="1A7DDF33" w14:textId="3061EBDA"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To support the family, I applied for a Buttle </w:t>
            </w:r>
            <w:r w:rsidR="00FE66E3" w:rsidRPr="00C6600F">
              <w:rPr>
                <w:rFonts w:ascii="Calibri" w:eastAsia="Aptos" w:hAnsi="Calibri" w:cs="Calibri"/>
                <w:color w:val="auto"/>
                <w:kern w:val="2"/>
                <w:sz w:val="24"/>
                <w:szCs w:val="24"/>
                <w:lang w:eastAsia="en-US"/>
                <w14:ligatures w14:val="standardContextual"/>
              </w:rPr>
              <w:t xml:space="preserve">Trust </w:t>
            </w:r>
            <w:r w:rsidRPr="00C6600F">
              <w:rPr>
                <w:rFonts w:ascii="Calibri" w:eastAsia="Aptos" w:hAnsi="Calibri" w:cs="Calibri"/>
                <w:color w:val="auto"/>
                <w:kern w:val="2"/>
                <w:sz w:val="24"/>
                <w:szCs w:val="24"/>
                <w:lang w:eastAsia="en-US"/>
                <w14:ligatures w14:val="standardContextual"/>
              </w:rPr>
              <w:t xml:space="preserve">UK Grant of £2,500 to help alleviate the financial and emotional strain over the Christmas period. The grant enabled the purchase of Christmas presents, clothing, family activities, helping the children experience a sense of normality and stability. This intervention aligned with Part 2 of the Social Services and Well-being (Wales) Act 2014, which promotes well-being through early intervention and preventative support. Adult 1 was keen to remain involved in planning and purchasing the gifts. She explained that choosing presents for her children was important to her sense of identity as a mother and allowed her to feel connected despite the separation. I accompanied her to choose the items. This small act had a significant emotional impact as she expressed feeling “like a mum again.” Empowerment Theory highlights the importance of enabling individuals to regain control over their lives through participation and decision-making (Lee, </w:t>
            </w:r>
            <w:r w:rsidRPr="009B06A3">
              <w:rPr>
                <w:rFonts w:ascii="Calibri" w:eastAsia="Aptos" w:hAnsi="Calibri" w:cs="Calibri"/>
                <w:color w:val="auto"/>
                <w:kern w:val="2"/>
                <w:sz w:val="24"/>
                <w:szCs w:val="24"/>
                <w:lang w:eastAsia="en-US"/>
                <w14:ligatures w14:val="standardContextual"/>
              </w:rPr>
              <w:t>2001).</w:t>
            </w:r>
            <w:r w:rsidRPr="00C6600F">
              <w:rPr>
                <w:rFonts w:ascii="Calibri" w:eastAsia="Aptos" w:hAnsi="Calibri" w:cs="Calibri"/>
                <w:color w:val="auto"/>
                <w:kern w:val="2"/>
                <w:sz w:val="24"/>
                <w:szCs w:val="24"/>
                <w:lang w:eastAsia="en-US"/>
                <w14:ligatures w14:val="standardContextual"/>
              </w:rPr>
              <w:t xml:space="preserve"> Supporting Adult 1 to choose and purchase gifts for her children allowed her to reclaim her identity as a mother. This small but meaningful act illustrated how empowerment can promote self-worth and positive change within safeguarding contexts.</w:t>
            </w:r>
          </w:p>
          <w:p w14:paraId="69E85695"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To ensure the children maintained contact with their mother, I arranged a supervised Christmas contact session at the local community centre the week before Christmas and coordinated a supervised FaceTime call on Christmas Day, supported by extended family members. During the call, </w:t>
            </w:r>
            <w:r w:rsidRPr="00C6600F">
              <w:rPr>
                <w:rFonts w:ascii="Calibri" w:eastAsia="Aptos" w:hAnsi="Calibri" w:cs="Calibri"/>
                <w:color w:val="auto"/>
                <w:kern w:val="2"/>
                <w:sz w:val="24"/>
                <w:szCs w:val="24"/>
                <w:lang w:eastAsia="en-US"/>
                <w14:ligatures w14:val="standardContextual"/>
              </w:rPr>
              <w:lastRenderedPageBreak/>
              <w:t>Adult 1 watched the children open their presents and shared a brief virtual celebration. Although limited, this contact provided reassurance and continuity of relationship, reflecting the Wales Safeguarding Procedures (2019) emphasis on maintaining safe family links wherever possible. I reflected in supervision and pod that managing this period required balancing emotional sensitivity with clear boundaries. It reminded me that safeguarding does not end with managing risk; it involves supporting families through the emotional consequences of safeguarding decisions. By taking a holistic approach, the children’s well-being and attachment security were supported, while Adult 1 was empowered to continue her recovery.</w:t>
            </w:r>
          </w:p>
          <w:p w14:paraId="114E6EAB" w14:textId="22C5F8E1"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The imposition of the bail conditions meant that all contact between Adult 1 and the children was supervised at the local contact centre. Initially, the children appeared anxious, but as Adult 1 engaged in rehabilitation, their confidence grew. Attachment theory guided this process</w:t>
            </w:r>
            <w:r w:rsidR="0060727F" w:rsidRPr="00C6600F">
              <w:rPr>
                <w:rFonts w:ascii="Calibri" w:eastAsia="Aptos" w:hAnsi="Calibri" w:cs="Calibri"/>
                <w:color w:val="auto"/>
                <w:kern w:val="2"/>
                <w:sz w:val="24"/>
                <w:szCs w:val="24"/>
                <w:lang w:eastAsia="en-US"/>
                <w14:ligatures w14:val="standardContextual"/>
              </w:rPr>
              <w:t xml:space="preserve"> for example,</w:t>
            </w:r>
            <w:r w:rsidRPr="00C6600F">
              <w:rPr>
                <w:rFonts w:ascii="Calibri" w:eastAsia="Aptos" w:hAnsi="Calibri" w:cs="Calibri"/>
                <w:color w:val="auto"/>
                <w:kern w:val="2"/>
                <w:sz w:val="24"/>
                <w:szCs w:val="24"/>
                <w:lang w:eastAsia="en-US"/>
                <w14:ligatures w14:val="standardContextual"/>
              </w:rPr>
              <w:t xml:space="preserve"> I encouraged quality supervised contact visits which were short, positive, predictable interactions to rebuild trust with their mother, mirroring Howe’s (2005) concept of “earned security.”</w:t>
            </w:r>
          </w:p>
          <w:p w14:paraId="08F8561D" w14:textId="37C109D3"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Adult 1 entered residential rehabilitation in early 2025 and maintained sobriety for six months. For the first time, she engaged fully and began using breathalyser monitoring. Adult 2 remained cooperative and consistent, ensuring the children’s routines were stable. The coordinated work between DDAS, housing, education, and health reflected Part 9 of the SSWB(W)A 2014, which promotes integrated, multi-agency care. By June 2025, </w:t>
            </w:r>
            <w:r w:rsidR="00831524">
              <w:rPr>
                <w:rFonts w:ascii="Calibri" w:eastAsia="Aptos" w:hAnsi="Calibri" w:cs="Calibri"/>
                <w:color w:val="auto"/>
                <w:kern w:val="2"/>
                <w:sz w:val="24"/>
                <w:szCs w:val="24"/>
                <w:lang w:eastAsia="en-US"/>
                <w14:ligatures w14:val="standardContextual"/>
              </w:rPr>
              <w:t>f</w:t>
            </w:r>
            <w:r w:rsidR="00831524" w:rsidRPr="00831524">
              <w:rPr>
                <w:rFonts w:ascii="Calibri" w:eastAsia="Aptos" w:hAnsi="Calibri" w:cs="Calibri"/>
                <w:color w:val="auto"/>
                <w:kern w:val="2"/>
                <w:sz w:val="24"/>
                <w:szCs w:val="24"/>
                <w:lang w:eastAsia="en-US"/>
                <w14:ligatures w14:val="standardContextual"/>
              </w:rPr>
              <w:t>ollowing sustained improvement and reduced risk, the children were deregistered from the Child Protection Register and supported under a Child in Need plan in line with Section 17 of the Children Act 1989</w:t>
            </w:r>
            <w:r w:rsidR="00831524">
              <w:rPr>
                <w:rFonts w:ascii="Calibri" w:eastAsia="Aptos" w:hAnsi="Calibri" w:cs="Calibri"/>
                <w:color w:val="auto"/>
                <w:kern w:val="2"/>
                <w:sz w:val="24"/>
                <w:szCs w:val="24"/>
                <w:lang w:eastAsia="en-US"/>
                <w14:ligatures w14:val="standardContextual"/>
              </w:rPr>
              <w:t xml:space="preserve">. </w:t>
            </w:r>
            <w:r w:rsidRPr="00C6600F">
              <w:rPr>
                <w:rFonts w:ascii="Calibri" w:eastAsia="Aptos" w:hAnsi="Calibri" w:cs="Calibri"/>
                <w:color w:val="auto"/>
                <w:kern w:val="2"/>
                <w:sz w:val="24"/>
                <w:szCs w:val="24"/>
                <w:lang w:eastAsia="en-US"/>
                <w14:ligatures w14:val="standardContextual"/>
              </w:rPr>
              <w:t>During her time in the rehabilitation centre, Adult 1 attended court for the October 2024 incident, receiving a fine, and the bail conditions were lifted. By then, she had completed several months of residential treatment and shown sustained progress. I was asked, alongside rehabilitation staff, to provide a report for the probation officer outlining her engagement and support needs. In preparing this, I reflected not only on her compliance but on her emotional resilience and developing parenting capacity. The report highlighted that Adult 1 had fully engaged in all support sessions, participated in relapse-prevention work, and even took on a mentoring role for new residents. Staff described her progress as “outstanding,” with no relapse incidents. Her shift from service user to mentor demonstrated genuine personal growth. Drawing on Empowerment Theory (Perkins and Zimmerman, 1995), this highlighted how her recovery was driven by increased confidence, self-determination and a renewed sense of purpose.</w:t>
            </w:r>
          </w:p>
          <w:p w14:paraId="3A0C4EA8" w14:textId="4B9BA2EE"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The lifting of the bail conditions allowed for a gradual reintroduction of unsupervised contact between Adult 1 and the children. This process was carefully planned through C</w:t>
            </w:r>
            <w:r w:rsidR="005540B8" w:rsidRPr="00C6600F">
              <w:rPr>
                <w:rFonts w:ascii="Calibri" w:eastAsia="Aptos" w:hAnsi="Calibri" w:cs="Calibri"/>
                <w:color w:val="auto"/>
                <w:kern w:val="2"/>
                <w:sz w:val="24"/>
                <w:szCs w:val="24"/>
                <w:lang w:eastAsia="en-US"/>
                <w14:ligatures w14:val="standardContextual"/>
              </w:rPr>
              <w:t>ASP</w:t>
            </w:r>
            <w:r w:rsidRPr="00C6600F">
              <w:rPr>
                <w:rFonts w:ascii="Calibri" w:eastAsia="Aptos" w:hAnsi="Calibri" w:cs="Calibri"/>
                <w:color w:val="auto"/>
                <w:kern w:val="2"/>
                <w:sz w:val="24"/>
                <w:szCs w:val="24"/>
                <w:lang w:eastAsia="en-US"/>
                <w14:ligatures w14:val="standardContextual"/>
              </w:rPr>
              <w:t xml:space="preserve"> reviews and </w:t>
            </w:r>
            <w:r w:rsidR="00D77189" w:rsidRPr="00C6600F">
              <w:rPr>
                <w:rFonts w:ascii="Calibri" w:eastAsia="Aptos" w:hAnsi="Calibri" w:cs="Calibri"/>
                <w:color w:val="auto"/>
                <w:kern w:val="2"/>
                <w:sz w:val="24"/>
                <w:szCs w:val="24"/>
                <w:lang w:eastAsia="en-US"/>
                <w14:ligatures w14:val="standardContextual"/>
              </w:rPr>
              <w:t>agreed safety plans</w:t>
            </w:r>
            <w:r w:rsidRPr="00C6600F">
              <w:rPr>
                <w:rFonts w:ascii="Calibri" w:eastAsia="Aptos" w:hAnsi="Calibri" w:cs="Calibri"/>
                <w:color w:val="auto"/>
                <w:kern w:val="2"/>
                <w:sz w:val="24"/>
                <w:szCs w:val="24"/>
                <w:lang w:eastAsia="en-US"/>
                <w14:ligatures w14:val="standardContextual"/>
              </w:rPr>
              <w:t xml:space="preserve">. Initially, visits took place in the community, with short outings to the park and local café. The children responded positively, and contacts were calm and structured, with Adult 1 attentive and responsive to both children’s emotional cues. This later progressed to unsupervised </w:t>
            </w:r>
            <w:r w:rsidRPr="00C6600F">
              <w:rPr>
                <w:rFonts w:ascii="Calibri" w:eastAsia="Aptos" w:hAnsi="Calibri" w:cs="Calibri"/>
                <w:color w:val="auto"/>
                <w:kern w:val="2"/>
                <w:sz w:val="24"/>
                <w:szCs w:val="24"/>
                <w:lang w:eastAsia="en-US"/>
                <w14:ligatures w14:val="standardContextual"/>
              </w:rPr>
              <w:lastRenderedPageBreak/>
              <w:t>contact at the family home, with continued monitoring and breathalyser checks on her return to the rehabilitation centre. Throughout this period, I maintained regular visits and communication with the rehabilitation team, ensuring consistency and transparency. Each step was documented and discussed within CASP reviews, aligning with the Wales Safeguarding Procedures (2019), which emphasise the importance of reviewing safety plans and evidencing progress before increasing contact.</w:t>
            </w:r>
          </w:p>
          <w:p w14:paraId="05325EBF" w14:textId="4990E3D2"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The impact on the children was noticeable. Both children showed signs of improved emotional well-being and security as they began to experience a more stable and positive relationship with their mother. During home visits, I observed Child 1 initiating play with her mother for the first time which was a </w:t>
            </w:r>
            <w:r w:rsidR="00F069D4" w:rsidRPr="00C6600F">
              <w:rPr>
                <w:rFonts w:ascii="Calibri" w:eastAsia="Aptos" w:hAnsi="Calibri" w:cs="Calibri"/>
                <w:color w:val="auto"/>
                <w:kern w:val="2"/>
                <w:sz w:val="24"/>
                <w:szCs w:val="24"/>
                <w:lang w:eastAsia="en-US"/>
                <w14:ligatures w14:val="standardContextual"/>
              </w:rPr>
              <w:t>significant</w:t>
            </w:r>
            <w:r w:rsidRPr="00C6600F">
              <w:rPr>
                <w:rFonts w:ascii="Calibri" w:eastAsia="Aptos" w:hAnsi="Calibri" w:cs="Calibri"/>
                <w:color w:val="auto"/>
                <w:kern w:val="2"/>
                <w:sz w:val="24"/>
                <w:szCs w:val="24"/>
                <w:lang w:eastAsia="en-US"/>
                <w14:ligatures w14:val="standardContextual"/>
              </w:rPr>
              <w:t xml:space="preserve"> difference from earlier interactions where she had sought comfort primarily from her father. She appeared relaxed and confident, often showing her mother drawings or asking her to play board games. This change reflected key aspects of attachment theory (Bowlby, 1988), suggesting that with consistent care and emotional availability, disrupted attachments can begin to repair over time. Child 2 also benefitted from his mother’s renewed stability. Their shared time often involved educational activities, and Adult 1’s support with his schoolwork, particularly in maths, coincided with improved grades and feedback from teachers. More importantly, there was a visible reduction in his anxiety and a greater sense of balance in his role within the family </w:t>
            </w:r>
          </w:p>
          <w:p w14:paraId="78698573" w14:textId="77777777"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While the family were making progress, Adult 1 remained reflective and realistic about her situation. She shared openly in visits that although she loved her children deeply, she was unsure whether she wanted to resume her relationship with Adult 2. She expressed concerns that returning home permanently might place her sobriety at risk, as previous attempts at reunification had resulted in relapse. She stated, “I know how this story goes, he’s good for a while, then things go back to the same.” Her honesty demonstrated growing self-awareness and boundaries, qualities essential for sustained recovery.</w:t>
            </w:r>
          </w:p>
          <w:p w14:paraId="0331723C" w14:textId="1FC2BCF9"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t xml:space="preserve">From a reflective practice perspective, I considered the implications of her decision. The </w:t>
            </w:r>
            <w:r w:rsidR="00C17A26">
              <w:rPr>
                <w:rFonts w:ascii="Calibri" w:eastAsia="Aptos" w:hAnsi="Calibri" w:cs="Calibri"/>
                <w:color w:val="auto"/>
                <w:kern w:val="2"/>
                <w:sz w:val="24"/>
                <w:szCs w:val="24"/>
                <w:lang w:eastAsia="en-US"/>
                <w14:ligatures w14:val="standardContextual"/>
              </w:rPr>
              <w:t>SSW(W)A</w:t>
            </w:r>
            <w:r w:rsidR="003E5154">
              <w:rPr>
                <w:rFonts w:ascii="Calibri" w:eastAsia="Aptos" w:hAnsi="Calibri" w:cs="Calibri"/>
                <w:color w:val="auto"/>
                <w:kern w:val="2"/>
                <w:sz w:val="24"/>
                <w:szCs w:val="24"/>
                <w:lang w:eastAsia="en-US"/>
                <w14:ligatures w14:val="standardContextual"/>
              </w:rPr>
              <w:t xml:space="preserve">, </w:t>
            </w:r>
            <w:r w:rsidRPr="00C6600F">
              <w:rPr>
                <w:rFonts w:ascii="Calibri" w:eastAsia="Aptos" w:hAnsi="Calibri" w:cs="Calibri"/>
                <w:color w:val="auto"/>
                <w:kern w:val="2"/>
                <w:sz w:val="24"/>
                <w:szCs w:val="24"/>
                <w:lang w:eastAsia="en-US"/>
                <w14:ligatures w14:val="standardContextual"/>
              </w:rPr>
              <w:t>2014 emphasises promoting independence and well-being. Supporting Adult 1 to make choices that prioritised her health and the children’s emotional security was therefore consistent with the Act’s principles. She chose to continue living at the rehabilitation centre temporarily, visiting the family home regularly but maintaining structured support and accountability. This decision also provided stability for the children, allowing them to enjoy quality time with their mother.  Adult 2’s response was mixed. While he respected her decision, he also expressed frustration, describing the arrangement as “unnatural” and wanted the family “back to normal.” Through supervision, I recognised his perspective as rooted in cultural values and emotional exhaustion rather than resistance to progress. Thompson’s (2016) PCS model again helped me understand how his identity, shaped by culture and personal experience, influenced his expectations of family life.</w:t>
            </w:r>
          </w:p>
          <w:p w14:paraId="1AF8192D" w14:textId="07B5C26E" w:rsidR="0041388A" w:rsidRPr="00C6600F" w:rsidRDefault="0041388A"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C6600F">
              <w:rPr>
                <w:rFonts w:ascii="Calibri" w:eastAsia="Aptos" w:hAnsi="Calibri" w:cs="Calibri"/>
                <w:color w:val="auto"/>
                <w:kern w:val="2"/>
                <w:sz w:val="24"/>
                <w:szCs w:val="24"/>
                <w:lang w:eastAsia="en-US"/>
                <w14:ligatures w14:val="standardContextual"/>
              </w:rPr>
              <w:lastRenderedPageBreak/>
              <w:t xml:space="preserve">Both parents agreed to a Threshold referral for relationship counselling, acknowledging that they needed professional help to rebuild communication and trust. This was an encouraging step, reflecting increased emotional insight and a willingness to work collaboratively with services. Threshold’s programme aligns with trauma-informed and systemic principles, promoting healthy communication and mutual understanding (Welsh </w:t>
            </w:r>
            <w:r w:rsidRPr="009B06A3">
              <w:rPr>
                <w:rFonts w:ascii="Calibri" w:eastAsia="Aptos" w:hAnsi="Calibri" w:cs="Calibri"/>
                <w:color w:val="auto"/>
                <w:kern w:val="2"/>
                <w:sz w:val="24"/>
                <w:szCs w:val="24"/>
                <w:lang w:eastAsia="en-US"/>
                <w14:ligatures w14:val="standardContextual"/>
              </w:rPr>
              <w:t>Government, 2023</w:t>
            </w:r>
            <w:r w:rsidRPr="00C6600F">
              <w:rPr>
                <w:rFonts w:ascii="Calibri" w:eastAsia="Aptos" w:hAnsi="Calibri" w:cs="Calibri"/>
                <w:color w:val="auto"/>
                <w:kern w:val="2"/>
                <w:sz w:val="24"/>
                <w:szCs w:val="24"/>
                <w:lang w:eastAsia="en-US"/>
                <w14:ligatures w14:val="standardContextual"/>
              </w:rPr>
              <w:t>). Reflectively, observing the children’s renewed joy and confidence was rewarding, yet I remained mindful of the fragility of recovery. Relapse, stress, or tensions within their relationship could easily undo progress if not properly supported</w:t>
            </w:r>
            <w:r w:rsidR="00513135">
              <w:rPr>
                <w:rFonts w:ascii="Calibri" w:eastAsia="Aptos" w:hAnsi="Calibri" w:cs="Calibri"/>
                <w:color w:val="auto"/>
                <w:kern w:val="2"/>
                <w:sz w:val="24"/>
                <w:szCs w:val="24"/>
                <w:lang w:eastAsia="en-US"/>
                <w14:ligatures w14:val="standardContextual"/>
              </w:rPr>
              <w:t xml:space="preserve"> w</w:t>
            </w:r>
            <w:r w:rsidR="00767B00">
              <w:rPr>
                <w:rFonts w:ascii="Calibri" w:eastAsia="Aptos" w:hAnsi="Calibri" w:cs="Calibri"/>
                <w:color w:val="auto"/>
                <w:kern w:val="2"/>
                <w:sz w:val="24"/>
                <w:szCs w:val="24"/>
                <w:lang w:eastAsia="en-US"/>
                <w14:ligatures w14:val="standardContextual"/>
              </w:rPr>
              <w:t>h</w:t>
            </w:r>
            <w:r w:rsidR="00513135">
              <w:rPr>
                <w:rFonts w:ascii="Calibri" w:eastAsia="Aptos" w:hAnsi="Calibri" w:cs="Calibri"/>
                <w:color w:val="auto"/>
                <w:kern w:val="2"/>
                <w:sz w:val="24"/>
                <w:szCs w:val="24"/>
                <w:lang w:eastAsia="en-US"/>
                <w14:ligatures w14:val="standardContextual"/>
              </w:rPr>
              <w:t>ich</w:t>
            </w:r>
            <w:r w:rsidRPr="00C6600F">
              <w:rPr>
                <w:rFonts w:ascii="Calibri" w:eastAsia="Aptos" w:hAnsi="Calibri" w:cs="Calibri"/>
                <w:color w:val="auto"/>
                <w:kern w:val="2"/>
                <w:sz w:val="24"/>
                <w:szCs w:val="24"/>
                <w:lang w:eastAsia="en-US"/>
                <w14:ligatures w14:val="standardContextual"/>
              </w:rPr>
              <w:t xml:space="preserve"> reinforced the need for continued vigilance, multi-agency collaboration, and empathy. As a practitioner, it reminded me that success in safeguarding requires ongoing assessment, support, and flexibility to adapt to changing circumstances.</w:t>
            </w:r>
          </w:p>
          <w:p w14:paraId="40B3EB78" w14:textId="0A3FECAC" w:rsidR="00F30351" w:rsidRPr="00C6600F" w:rsidRDefault="00F30351" w:rsidP="0041388A">
            <w:pPr>
              <w:overflowPunct/>
              <w:autoSpaceDE/>
              <w:autoSpaceDN/>
              <w:adjustRightInd/>
              <w:spacing w:after="160" w:line="278" w:lineRule="auto"/>
              <w:textAlignment w:val="auto"/>
              <w:rPr>
                <w:rFonts w:ascii="Calibri" w:eastAsia="Aptos" w:hAnsi="Calibri" w:cs="Calibri"/>
                <w:color w:val="auto"/>
                <w:kern w:val="2"/>
                <w:sz w:val="24"/>
                <w:szCs w:val="24"/>
                <w:lang w:eastAsia="en-US"/>
                <w14:ligatures w14:val="standardContextual"/>
              </w:rPr>
            </w:pPr>
            <w:r w:rsidRPr="00F30351">
              <w:rPr>
                <w:rFonts w:ascii="Calibri" w:eastAsia="Aptos" w:hAnsi="Calibri" w:cs="Calibri"/>
                <w:color w:val="auto"/>
                <w:kern w:val="2"/>
                <w:sz w:val="24"/>
                <w:szCs w:val="24"/>
                <w:lang w:eastAsia="en-US"/>
                <w14:ligatures w14:val="standardContextual"/>
              </w:rPr>
              <w:t>In conclusion, this reflective case study highlights the complexity of safeguarding practice in a semi-rural Welsh context, where social work must balance children’s safety, parental capacity for change, and cultural, systemic, and structural influences. The application of attachment, empowerment, and systems theories supported a deeper understanding of the children’s lived experiences, family dynamics, and the role of the professional network. The case also demonstrates how Welsh safeguarding practice, particularly under the Social Services and Well-being (Wales) Act 2014 and the Wales Safeguarding Procedures, aligns with UK legislation and international children’s rights to ensure child-centred, rights-based intervention. Ultimately, this case reinforces that effective safeguarding extends beyond risk management to promoting resilience, empowerment, and sustainable change for children and families</w:t>
            </w:r>
            <w:r w:rsidR="0024745C">
              <w:rPr>
                <w:rFonts w:ascii="Calibri" w:eastAsia="Aptos" w:hAnsi="Calibri" w:cs="Calibri"/>
                <w:color w:val="auto"/>
                <w:kern w:val="2"/>
                <w:sz w:val="24"/>
                <w:szCs w:val="24"/>
                <w:lang w:eastAsia="en-US"/>
                <w14:ligatures w14:val="standardContextual"/>
              </w:rPr>
              <w:t>.</w:t>
            </w:r>
          </w:p>
          <w:p w14:paraId="20370495" w14:textId="79B79501" w:rsidR="00D3203C" w:rsidRDefault="00D3203C" w:rsidP="00FF7EBB">
            <w:pPr>
              <w:jc w:val="both"/>
              <w:rPr>
                <w:i/>
                <w:sz w:val="24"/>
                <w:szCs w:val="24"/>
              </w:rPr>
            </w:pPr>
          </w:p>
          <w:p w14:paraId="12DC2F24" w14:textId="7F3E4E61" w:rsidR="00D3203C" w:rsidRDefault="008240FC" w:rsidP="00FF7EBB">
            <w:pPr>
              <w:jc w:val="both"/>
              <w:rPr>
                <w:i/>
                <w:sz w:val="24"/>
                <w:szCs w:val="24"/>
              </w:rPr>
            </w:pPr>
            <w:r>
              <w:rPr>
                <w:i/>
                <w:sz w:val="24"/>
                <w:szCs w:val="24"/>
              </w:rPr>
              <w:t xml:space="preserve">Word count: </w:t>
            </w:r>
            <w:r w:rsidR="00A038A4">
              <w:rPr>
                <w:i/>
                <w:sz w:val="24"/>
                <w:szCs w:val="24"/>
              </w:rPr>
              <w:t>4</w:t>
            </w:r>
            <w:r w:rsidR="0013363F">
              <w:rPr>
                <w:i/>
                <w:sz w:val="24"/>
                <w:szCs w:val="24"/>
              </w:rPr>
              <w:t>40</w:t>
            </w:r>
            <w:r w:rsidR="00D6087A">
              <w:rPr>
                <w:i/>
                <w:sz w:val="24"/>
                <w:szCs w:val="24"/>
              </w:rPr>
              <w:t>0</w:t>
            </w:r>
          </w:p>
          <w:p w14:paraId="6902CCD0" w14:textId="77777777" w:rsidR="00517034" w:rsidRDefault="00517034" w:rsidP="00FF7EBB">
            <w:pPr>
              <w:jc w:val="both"/>
              <w:rPr>
                <w:i/>
                <w:sz w:val="24"/>
                <w:szCs w:val="24"/>
              </w:rPr>
            </w:pPr>
          </w:p>
          <w:p w14:paraId="3C3017D6" w14:textId="77777777" w:rsidR="00517034" w:rsidRDefault="00517034"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11D04" w14:textId="77777777" w:rsidR="00F30831" w:rsidRDefault="00F30831">
      <w:r>
        <w:separator/>
      </w:r>
    </w:p>
  </w:endnote>
  <w:endnote w:type="continuationSeparator" w:id="0">
    <w:p w14:paraId="1751208E" w14:textId="77777777" w:rsidR="00F30831" w:rsidRDefault="00F3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86EB1" w14:textId="77777777" w:rsidR="00F30831" w:rsidRDefault="00F30831">
      <w:r>
        <w:separator/>
      </w:r>
    </w:p>
  </w:footnote>
  <w:footnote w:type="continuationSeparator" w:id="0">
    <w:p w14:paraId="50F62A33" w14:textId="77777777" w:rsidR="00F30831" w:rsidRDefault="00F30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9BF"/>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BB5"/>
    <w:rsid w:val="00054A07"/>
    <w:rsid w:val="00055D43"/>
    <w:rsid w:val="00056D47"/>
    <w:rsid w:val="00056FAC"/>
    <w:rsid w:val="00057751"/>
    <w:rsid w:val="00062E39"/>
    <w:rsid w:val="00064063"/>
    <w:rsid w:val="0006581A"/>
    <w:rsid w:val="00074461"/>
    <w:rsid w:val="000766EC"/>
    <w:rsid w:val="000767FB"/>
    <w:rsid w:val="00077E1A"/>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396"/>
    <w:rsid w:val="000A6458"/>
    <w:rsid w:val="000C3547"/>
    <w:rsid w:val="000C378F"/>
    <w:rsid w:val="000C6892"/>
    <w:rsid w:val="000C6FFE"/>
    <w:rsid w:val="000D0BB6"/>
    <w:rsid w:val="000D2ED2"/>
    <w:rsid w:val="000D6653"/>
    <w:rsid w:val="000E056E"/>
    <w:rsid w:val="000E0D51"/>
    <w:rsid w:val="000E26B0"/>
    <w:rsid w:val="000E2AC2"/>
    <w:rsid w:val="000E37C2"/>
    <w:rsid w:val="000E38C3"/>
    <w:rsid w:val="000E7A24"/>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363F"/>
    <w:rsid w:val="001347F8"/>
    <w:rsid w:val="001359EE"/>
    <w:rsid w:val="00137BB5"/>
    <w:rsid w:val="00137E05"/>
    <w:rsid w:val="001447F6"/>
    <w:rsid w:val="00147DE3"/>
    <w:rsid w:val="00150794"/>
    <w:rsid w:val="00151DA6"/>
    <w:rsid w:val="001608C4"/>
    <w:rsid w:val="00164832"/>
    <w:rsid w:val="00171418"/>
    <w:rsid w:val="001772BF"/>
    <w:rsid w:val="001772DE"/>
    <w:rsid w:val="00177551"/>
    <w:rsid w:val="00180A44"/>
    <w:rsid w:val="001871FD"/>
    <w:rsid w:val="0019496C"/>
    <w:rsid w:val="001961CF"/>
    <w:rsid w:val="001A1214"/>
    <w:rsid w:val="001A59BB"/>
    <w:rsid w:val="001A607E"/>
    <w:rsid w:val="001A6A51"/>
    <w:rsid w:val="001A6D06"/>
    <w:rsid w:val="001A79C4"/>
    <w:rsid w:val="001B1BD1"/>
    <w:rsid w:val="001B331A"/>
    <w:rsid w:val="001B6005"/>
    <w:rsid w:val="001C0237"/>
    <w:rsid w:val="001C0E74"/>
    <w:rsid w:val="001C3E71"/>
    <w:rsid w:val="001C4DB8"/>
    <w:rsid w:val="001C50B8"/>
    <w:rsid w:val="001C5CC0"/>
    <w:rsid w:val="001D229F"/>
    <w:rsid w:val="001E071E"/>
    <w:rsid w:val="001E2EB6"/>
    <w:rsid w:val="001F4552"/>
    <w:rsid w:val="002019EB"/>
    <w:rsid w:val="00204B58"/>
    <w:rsid w:val="00205051"/>
    <w:rsid w:val="00211F65"/>
    <w:rsid w:val="002121D4"/>
    <w:rsid w:val="00214047"/>
    <w:rsid w:val="00216563"/>
    <w:rsid w:val="0021792F"/>
    <w:rsid w:val="00220D06"/>
    <w:rsid w:val="00222A0F"/>
    <w:rsid w:val="00224432"/>
    <w:rsid w:val="002246A0"/>
    <w:rsid w:val="002246C5"/>
    <w:rsid w:val="00230439"/>
    <w:rsid w:val="00232A09"/>
    <w:rsid w:val="00235176"/>
    <w:rsid w:val="00236061"/>
    <w:rsid w:val="0024100E"/>
    <w:rsid w:val="0024198C"/>
    <w:rsid w:val="00241C1B"/>
    <w:rsid w:val="0024288B"/>
    <w:rsid w:val="00243DB0"/>
    <w:rsid w:val="00247265"/>
    <w:rsid w:val="0024745C"/>
    <w:rsid w:val="00260663"/>
    <w:rsid w:val="002657E9"/>
    <w:rsid w:val="0026665E"/>
    <w:rsid w:val="0027147E"/>
    <w:rsid w:val="002719AD"/>
    <w:rsid w:val="002761F4"/>
    <w:rsid w:val="002775E1"/>
    <w:rsid w:val="00277979"/>
    <w:rsid w:val="00291ADD"/>
    <w:rsid w:val="002920DF"/>
    <w:rsid w:val="00292F3D"/>
    <w:rsid w:val="00294D23"/>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848"/>
    <w:rsid w:val="003012C0"/>
    <w:rsid w:val="003015C3"/>
    <w:rsid w:val="003106DB"/>
    <w:rsid w:val="0031350A"/>
    <w:rsid w:val="00316815"/>
    <w:rsid w:val="003168CA"/>
    <w:rsid w:val="00321255"/>
    <w:rsid w:val="00321FA5"/>
    <w:rsid w:val="0032230D"/>
    <w:rsid w:val="00322A0B"/>
    <w:rsid w:val="00330881"/>
    <w:rsid w:val="00331CD2"/>
    <w:rsid w:val="00332426"/>
    <w:rsid w:val="00335C41"/>
    <w:rsid w:val="00335FC5"/>
    <w:rsid w:val="0033771E"/>
    <w:rsid w:val="00337FEF"/>
    <w:rsid w:val="00340A9B"/>
    <w:rsid w:val="0035226E"/>
    <w:rsid w:val="00352ABF"/>
    <w:rsid w:val="00352BE8"/>
    <w:rsid w:val="00354B6D"/>
    <w:rsid w:val="00355210"/>
    <w:rsid w:val="00355CFD"/>
    <w:rsid w:val="00362A72"/>
    <w:rsid w:val="00362AEE"/>
    <w:rsid w:val="0036561F"/>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8DE"/>
    <w:rsid w:val="0039762B"/>
    <w:rsid w:val="003A0C37"/>
    <w:rsid w:val="003A1B6B"/>
    <w:rsid w:val="003A46C0"/>
    <w:rsid w:val="003A600E"/>
    <w:rsid w:val="003A6513"/>
    <w:rsid w:val="003B16C7"/>
    <w:rsid w:val="003B29BC"/>
    <w:rsid w:val="003B3115"/>
    <w:rsid w:val="003B6882"/>
    <w:rsid w:val="003C19F1"/>
    <w:rsid w:val="003C3C67"/>
    <w:rsid w:val="003C4186"/>
    <w:rsid w:val="003C6185"/>
    <w:rsid w:val="003D0D2D"/>
    <w:rsid w:val="003D1885"/>
    <w:rsid w:val="003D1BC0"/>
    <w:rsid w:val="003D20F1"/>
    <w:rsid w:val="003D4710"/>
    <w:rsid w:val="003E16D7"/>
    <w:rsid w:val="003E197E"/>
    <w:rsid w:val="003E4B70"/>
    <w:rsid w:val="003E5154"/>
    <w:rsid w:val="003E54CF"/>
    <w:rsid w:val="003E5FBA"/>
    <w:rsid w:val="003F1233"/>
    <w:rsid w:val="003F618C"/>
    <w:rsid w:val="003F67A4"/>
    <w:rsid w:val="00400786"/>
    <w:rsid w:val="00401FDA"/>
    <w:rsid w:val="004046F0"/>
    <w:rsid w:val="0040668F"/>
    <w:rsid w:val="00411337"/>
    <w:rsid w:val="00411EF7"/>
    <w:rsid w:val="00412677"/>
    <w:rsid w:val="0041388A"/>
    <w:rsid w:val="00425160"/>
    <w:rsid w:val="0042595C"/>
    <w:rsid w:val="00427660"/>
    <w:rsid w:val="00430950"/>
    <w:rsid w:val="00430DE3"/>
    <w:rsid w:val="004348AE"/>
    <w:rsid w:val="0043553A"/>
    <w:rsid w:val="00435BEB"/>
    <w:rsid w:val="004376C0"/>
    <w:rsid w:val="0044223A"/>
    <w:rsid w:val="00443F77"/>
    <w:rsid w:val="0044638E"/>
    <w:rsid w:val="0045017E"/>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6CC1"/>
    <w:rsid w:val="004911B4"/>
    <w:rsid w:val="0049196A"/>
    <w:rsid w:val="004923DA"/>
    <w:rsid w:val="00492EEB"/>
    <w:rsid w:val="00493434"/>
    <w:rsid w:val="004968E2"/>
    <w:rsid w:val="004A2A49"/>
    <w:rsid w:val="004A5A64"/>
    <w:rsid w:val="004B5553"/>
    <w:rsid w:val="004B600B"/>
    <w:rsid w:val="004B6822"/>
    <w:rsid w:val="004B69F6"/>
    <w:rsid w:val="004C08AC"/>
    <w:rsid w:val="004C2D3A"/>
    <w:rsid w:val="004C77BB"/>
    <w:rsid w:val="004D03C4"/>
    <w:rsid w:val="004D0BF1"/>
    <w:rsid w:val="004D0F4E"/>
    <w:rsid w:val="004D3278"/>
    <w:rsid w:val="004D35A4"/>
    <w:rsid w:val="004D445F"/>
    <w:rsid w:val="004D658E"/>
    <w:rsid w:val="004E087B"/>
    <w:rsid w:val="004E1CDD"/>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B35"/>
    <w:rsid w:val="005113D4"/>
    <w:rsid w:val="0051287D"/>
    <w:rsid w:val="00513135"/>
    <w:rsid w:val="00513C7D"/>
    <w:rsid w:val="00514093"/>
    <w:rsid w:val="00517034"/>
    <w:rsid w:val="00521123"/>
    <w:rsid w:val="00521221"/>
    <w:rsid w:val="0052250B"/>
    <w:rsid w:val="005305C6"/>
    <w:rsid w:val="00533986"/>
    <w:rsid w:val="005366E2"/>
    <w:rsid w:val="00540EEC"/>
    <w:rsid w:val="005414F4"/>
    <w:rsid w:val="00546187"/>
    <w:rsid w:val="00547B11"/>
    <w:rsid w:val="00550CB2"/>
    <w:rsid w:val="005540B8"/>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4190"/>
    <w:rsid w:val="005F51DB"/>
    <w:rsid w:val="005F64AA"/>
    <w:rsid w:val="005F7851"/>
    <w:rsid w:val="006068B5"/>
    <w:rsid w:val="00606E27"/>
    <w:rsid w:val="0060727F"/>
    <w:rsid w:val="006108C9"/>
    <w:rsid w:val="00614DF7"/>
    <w:rsid w:val="0061509E"/>
    <w:rsid w:val="006179BB"/>
    <w:rsid w:val="0062158D"/>
    <w:rsid w:val="006223FD"/>
    <w:rsid w:val="006326D1"/>
    <w:rsid w:val="00632E0A"/>
    <w:rsid w:val="00633165"/>
    <w:rsid w:val="006447DE"/>
    <w:rsid w:val="00644889"/>
    <w:rsid w:val="006515CC"/>
    <w:rsid w:val="00651C35"/>
    <w:rsid w:val="0065276E"/>
    <w:rsid w:val="00654329"/>
    <w:rsid w:val="00654CEC"/>
    <w:rsid w:val="00655507"/>
    <w:rsid w:val="006579FD"/>
    <w:rsid w:val="006635E3"/>
    <w:rsid w:val="0066593B"/>
    <w:rsid w:val="006669F3"/>
    <w:rsid w:val="006712A7"/>
    <w:rsid w:val="00672CED"/>
    <w:rsid w:val="00674FC2"/>
    <w:rsid w:val="00676E35"/>
    <w:rsid w:val="00677E42"/>
    <w:rsid w:val="006800C9"/>
    <w:rsid w:val="00682334"/>
    <w:rsid w:val="00684732"/>
    <w:rsid w:val="00684B16"/>
    <w:rsid w:val="00687016"/>
    <w:rsid w:val="006872A0"/>
    <w:rsid w:val="00694326"/>
    <w:rsid w:val="0069625A"/>
    <w:rsid w:val="00696A88"/>
    <w:rsid w:val="00696F65"/>
    <w:rsid w:val="00697572"/>
    <w:rsid w:val="006B2823"/>
    <w:rsid w:val="006B4496"/>
    <w:rsid w:val="006B5E67"/>
    <w:rsid w:val="006B6612"/>
    <w:rsid w:val="006C2EB5"/>
    <w:rsid w:val="006C7CE3"/>
    <w:rsid w:val="006D18A3"/>
    <w:rsid w:val="006D5970"/>
    <w:rsid w:val="006E1C1C"/>
    <w:rsid w:val="006E3A41"/>
    <w:rsid w:val="006E481E"/>
    <w:rsid w:val="006E795F"/>
    <w:rsid w:val="006F0862"/>
    <w:rsid w:val="006F1438"/>
    <w:rsid w:val="006F2A9E"/>
    <w:rsid w:val="006F4440"/>
    <w:rsid w:val="006F5ED3"/>
    <w:rsid w:val="00700249"/>
    <w:rsid w:val="007069CD"/>
    <w:rsid w:val="00706BB5"/>
    <w:rsid w:val="0071231A"/>
    <w:rsid w:val="00712E90"/>
    <w:rsid w:val="00713B7E"/>
    <w:rsid w:val="0072678F"/>
    <w:rsid w:val="007276E5"/>
    <w:rsid w:val="00727C4C"/>
    <w:rsid w:val="0073240B"/>
    <w:rsid w:val="00734809"/>
    <w:rsid w:val="0073714E"/>
    <w:rsid w:val="007374EF"/>
    <w:rsid w:val="007406E1"/>
    <w:rsid w:val="00743E40"/>
    <w:rsid w:val="00745016"/>
    <w:rsid w:val="0075031F"/>
    <w:rsid w:val="00750D2B"/>
    <w:rsid w:val="00751263"/>
    <w:rsid w:val="007544FC"/>
    <w:rsid w:val="00755427"/>
    <w:rsid w:val="00756548"/>
    <w:rsid w:val="0075673A"/>
    <w:rsid w:val="0075704F"/>
    <w:rsid w:val="00763B2D"/>
    <w:rsid w:val="0076453A"/>
    <w:rsid w:val="00764C84"/>
    <w:rsid w:val="00767B00"/>
    <w:rsid w:val="007710AD"/>
    <w:rsid w:val="00772924"/>
    <w:rsid w:val="0078112D"/>
    <w:rsid w:val="007830A2"/>
    <w:rsid w:val="007872F2"/>
    <w:rsid w:val="007873F9"/>
    <w:rsid w:val="007908E0"/>
    <w:rsid w:val="00792F76"/>
    <w:rsid w:val="00793EB3"/>
    <w:rsid w:val="00794205"/>
    <w:rsid w:val="0079422A"/>
    <w:rsid w:val="007A1F6A"/>
    <w:rsid w:val="007A628F"/>
    <w:rsid w:val="007B0DE3"/>
    <w:rsid w:val="007B1BFD"/>
    <w:rsid w:val="007B2FA2"/>
    <w:rsid w:val="007B7191"/>
    <w:rsid w:val="007C0D37"/>
    <w:rsid w:val="007C1D94"/>
    <w:rsid w:val="007C4D35"/>
    <w:rsid w:val="007C556F"/>
    <w:rsid w:val="007C5ABE"/>
    <w:rsid w:val="007C6A87"/>
    <w:rsid w:val="007D0A07"/>
    <w:rsid w:val="007D0F11"/>
    <w:rsid w:val="007D133D"/>
    <w:rsid w:val="007D3EB4"/>
    <w:rsid w:val="007D3F16"/>
    <w:rsid w:val="007E4A30"/>
    <w:rsid w:val="007E733B"/>
    <w:rsid w:val="007F10BD"/>
    <w:rsid w:val="007F312E"/>
    <w:rsid w:val="007F3F7E"/>
    <w:rsid w:val="007F4BA4"/>
    <w:rsid w:val="007F69AA"/>
    <w:rsid w:val="00813CEC"/>
    <w:rsid w:val="0081534C"/>
    <w:rsid w:val="00816CE7"/>
    <w:rsid w:val="008171E4"/>
    <w:rsid w:val="008208EA"/>
    <w:rsid w:val="00822B44"/>
    <w:rsid w:val="008240FC"/>
    <w:rsid w:val="00824E67"/>
    <w:rsid w:val="00825A64"/>
    <w:rsid w:val="00826F48"/>
    <w:rsid w:val="008274CF"/>
    <w:rsid w:val="0083069C"/>
    <w:rsid w:val="008308AE"/>
    <w:rsid w:val="00830DD1"/>
    <w:rsid w:val="00831524"/>
    <w:rsid w:val="0083166E"/>
    <w:rsid w:val="00831DC3"/>
    <w:rsid w:val="008322C7"/>
    <w:rsid w:val="008340BA"/>
    <w:rsid w:val="00834F1D"/>
    <w:rsid w:val="00836FEC"/>
    <w:rsid w:val="00841F9D"/>
    <w:rsid w:val="008420E1"/>
    <w:rsid w:val="00844D98"/>
    <w:rsid w:val="00846D84"/>
    <w:rsid w:val="00850233"/>
    <w:rsid w:val="0085230E"/>
    <w:rsid w:val="008550A1"/>
    <w:rsid w:val="008573E9"/>
    <w:rsid w:val="00861038"/>
    <w:rsid w:val="00865B58"/>
    <w:rsid w:val="00866B50"/>
    <w:rsid w:val="00867A63"/>
    <w:rsid w:val="008708F1"/>
    <w:rsid w:val="00871960"/>
    <w:rsid w:val="0087290A"/>
    <w:rsid w:val="0087369F"/>
    <w:rsid w:val="00880539"/>
    <w:rsid w:val="00884D18"/>
    <w:rsid w:val="008859E8"/>
    <w:rsid w:val="00886E91"/>
    <w:rsid w:val="0088737B"/>
    <w:rsid w:val="00891078"/>
    <w:rsid w:val="00892716"/>
    <w:rsid w:val="00893067"/>
    <w:rsid w:val="008933DE"/>
    <w:rsid w:val="00895FCE"/>
    <w:rsid w:val="008961E7"/>
    <w:rsid w:val="00897F3E"/>
    <w:rsid w:val="008A21B4"/>
    <w:rsid w:val="008A7A3E"/>
    <w:rsid w:val="008B07DE"/>
    <w:rsid w:val="008B1309"/>
    <w:rsid w:val="008B28E7"/>
    <w:rsid w:val="008B67F6"/>
    <w:rsid w:val="008C14C7"/>
    <w:rsid w:val="008C2FFB"/>
    <w:rsid w:val="008C479B"/>
    <w:rsid w:val="008C633F"/>
    <w:rsid w:val="008C6EEA"/>
    <w:rsid w:val="008C7770"/>
    <w:rsid w:val="008C79C7"/>
    <w:rsid w:val="008D03B0"/>
    <w:rsid w:val="008D1C40"/>
    <w:rsid w:val="008D2150"/>
    <w:rsid w:val="008D4418"/>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50FF"/>
    <w:rsid w:val="0094495F"/>
    <w:rsid w:val="009544C0"/>
    <w:rsid w:val="00954FA4"/>
    <w:rsid w:val="00956AE9"/>
    <w:rsid w:val="00964CC6"/>
    <w:rsid w:val="00967BFA"/>
    <w:rsid w:val="0098262C"/>
    <w:rsid w:val="0098427C"/>
    <w:rsid w:val="009867A1"/>
    <w:rsid w:val="00986B43"/>
    <w:rsid w:val="00986C0B"/>
    <w:rsid w:val="00986D46"/>
    <w:rsid w:val="00991FDA"/>
    <w:rsid w:val="00992ACA"/>
    <w:rsid w:val="0099711F"/>
    <w:rsid w:val="009A5F3B"/>
    <w:rsid w:val="009A5F79"/>
    <w:rsid w:val="009A6F87"/>
    <w:rsid w:val="009B06A3"/>
    <w:rsid w:val="009B0B61"/>
    <w:rsid w:val="009B0BA1"/>
    <w:rsid w:val="009B28C0"/>
    <w:rsid w:val="009B3178"/>
    <w:rsid w:val="009B3E46"/>
    <w:rsid w:val="009B7136"/>
    <w:rsid w:val="009C337F"/>
    <w:rsid w:val="009C53E7"/>
    <w:rsid w:val="009C6092"/>
    <w:rsid w:val="009C7342"/>
    <w:rsid w:val="009C7B4C"/>
    <w:rsid w:val="009D363F"/>
    <w:rsid w:val="009D4365"/>
    <w:rsid w:val="009D477B"/>
    <w:rsid w:val="009D4816"/>
    <w:rsid w:val="009D4E3B"/>
    <w:rsid w:val="009D59C2"/>
    <w:rsid w:val="009D7BC9"/>
    <w:rsid w:val="009E122F"/>
    <w:rsid w:val="009E1982"/>
    <w:rsid w:val="009E4D2C"/>
    <w:rsid w:val="009F0978"/>
    <w:rsid w:val="009F2572"/>
    <w:rsid w:val="009F2DB1"/>
    <w:rsid w:val="009F3AEC"/>
    <w:rsid w:val="009F6801"/>
    <w:rsid w:val="00A00081"/>
    <w:rsid w:val="00A038A4"/>
    <w:rsid w:val="00A06422"/>
    <w:rsid w:val="00A10D56"/>
    <w:rsid w:val="00A12AAE"/>
    <w:rsid w:val="00A12F22"/>
    <w:rsid w:val="00A16DD1"/>
    <w:rsid w:val="00A17CD1"/>
    <w:rsid w:val="00A22441"/>
    <w:rsid w:val="00A23F3B"/>
    <w:rsid w:val="00A24406"/>
    <w:rsid w:val="00A25F64"/>
    <w:rsid w:val="00A275F6"/>
    <w:rsid w:val="00A27F2B"/>
    <w:rsid w:val="00A3038F"/>
    <w:rsid w:val="00A303B9"/>
    <w:rsid w:val="00A32EE7"/>
    <w:rsid w:val="00A37416"/>
    <w:rsid w:val="00A40ED6"/>
    <w:rsid w:val="00A4277D"/>
    <w:rsid w:val="00A47621"/>
    <w:rsid w:val="00A479CD"/>
    <w:rsid w:val="00A50CFC"/>
    <w:rsid w:val="00A51B3C"/>
    <w:rsid w:val="00A54D67"/>
    <w:rsid w:val="00A55A3F"/>
    <w:rsid w:val="00A5656A"/>
    <w:rsid w:val="00A60103"/>
    <w:rsid w:val="00A63CF4"/>
    <w:rsid w:val="00A652F6"/>
    <w:rsid w:val="00A656B3"/>
    <w:rsid w:val="00A65861"/>
    <w:rsid w:val="00A732EA"/>
    <w:rsid w:val="00A7489E"/>
    <w:rsid w:val="00A8015F"/>
    <w:rsid w:val="00A85039"/>
    <w:rsid w:val="00A906AA"/>
    <w:rsid w:val="00A93627"/>
    <w:rsid w:val="00A94C5E"/>
    <w:rsid w:val="00AA252C"/>
    <w:rsid w:val="00AA666E"/>
    <w:rsid w:val="00AA7960"/>
    <w:rsid w:val="00AB4144"/>
    <w:rsid w:val="00AB5518"/>
    <w:rsid w:val="00AB65D8"/>
    <w:rsid w:val="00AC3A0E"/>
    <w:rsid w:val="00AC4A04"/>
    <w:rsid w:val="00AC5679"/>
    <w:rsid w:val="00AD336F"/>
    <w:rsid w:val="00AE134C"/>
    <w:rsid w:val="00AE1868"/>
    <w:rsid w:val="00AE2564"/>
    <w:rsid w:val="00AE301F"/>
    <w:rsid w:val="00AE3302"/>
    <w:rsid w:val="00AE547E"/>
    <w:rsid w:val="00AE5B9B"/>
    <w:rsid w:val="00AE5BA6"/>
    <w:rsid w:val="00AE6231"/>
    <w:rsid w:val="00AE7077"/>
    <w:rsid w:val="00AF0485"/>
    <w:rsid w:val="00AF61C2"/>
    <w:rsid w:val="00AF6CC6"/>
    <w:rsid w:val="00B0296A"/>
    <w:rsid w:val="00B037B0"/>
    <w:rsid w:val="00B07E79"/>
    <w:rsid w:val="00B12295"/>
    <w:rsid w:val="00B137BE"/>
    <w:rsid w:val="00B15998"/>
    <w:rsid w:val="00B17FA0"/>
    <w:rsid w:val="00B2292C"/>
    <w:rsid w:val="00B22C3C"/>
    <w:rsid w:val="00B24344"/>
    <w:rsid w:val="00B26769"/>
    <w:rsid w:val="00B26E43"/>
    <w:rsid w:val="00B2754B"/>
    <w:rsid w:val="00B31C91"/>
    <w:rsid w:val="00B3747F"/>
    <w:rsid w:val="00B42E76"/>
    <w:rsid w:val="00B43194"/>
    <w:rsid w:val="00B436BF"/>
    <w:rsid w:val="00B47734"/>
    <w:rsid w:val="00B50FBA"/>
    <w:rsid w:val="00B558EB"/>
    <w:rsid w:val="00B577D3"/>
    <w:rsid w:val="00B60466"/>
    <w:rsid w:val="00B6548F"/>
    <w:rsid w:val="00B66354"/>
    <w:rsid w:val="00B71A32"/>
    <w:rsid w:val="00B72421"/>
    <w:rsid w:val="00B745BF"/>
    <w:rsid w:val="00B7502A"/>
    <w:rsid w:val="00B77305"/>
    <w:rsid w:val="00B774BD"/>
    <w:rsid w:val="00B779C9"/>
    <w:rsid w:val="00B82CC2"/>
    <w:rsid w:val="00B84A89"/>
    <w:rsid w:val="00B85BF4"/>
    <w:rsid w:val="00B9256C"/>
    <w:rsid w:val="00B92BEF"/>
    <w:rsid w:val="00B94443"/>
    <w:rsid w:val="00B9689A"/>
    <w:rsid w:val="00B97056"/>
    <w:rsid w:val="00BA0C9C"/>
    <w:rsid w:val="00BA531E"/>
    <w:rsid w:val="00BA728B"/>
    <w:rsid w:val="00BB06CB"/>
    <w:rsid w:val="00BB261F"/>
    <w:rsid w:val="00BB2887"/>
    <w:rsid w:val="00BB3B56"/>
    <w:rsid w:val="00BB5EAA"/>
    <w:rsid w:val="00BB5F11"/>
    <w:rsid w:val="00BB60D7"/>
    <w:rsid w:val="00BB6638"/>
    <w:rsid w:val="00BB7FD2"/>
    <w:rsid w:val="00BC04FA"/>
    <w:rsid w:val="00BC1C22"/>
    <w:rsid w:val="00BC460B"/>
    <w:rsid w:val="00BC4ED3"/>
    <w:rsid w:val="00BC5725"/>
    <w:rsid w:val="00BC7012"/>
    <w:rsid w:val="00BD30B1"/>
    <w:rsid w:val="00BE0F7B"/>
    <w:rsid w:val="00BE10C2"/>
    <w:rsid w:val="00BE15F1"/>
    <w:rsid w:val="00BF073B"/>
    <w:rsid w:val="00BF0D6C"/>
    <w:rsid w:val="00C01D14"/>
    <w:rsid w:val="00C01D97"/>
    <w:rsid w:val="00C025B4"/>
    <w:rsid w:val="00C029EC"/>
    <w:rsid w:val="00C161FD"/>
    <w:rsid w:val="00C17A26"/>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D5A"/>
    <w:rsid w:val="00C63CAB"/>
    <w:rsid w:val="00C63D00"/>
    <w:rsid w:val="00C6441B"/>
    <w:rsid w:val="00C64E9C"/>
    <w:rsid w:val="00C65921"/>
    <w:rsid w:val="00C6600F"/>
    <w:rsid w:val="00C7108B"/>
    <w:rsid w:val="00C714E6"/>
    <w:rsid w:val="00C73EF8"/>
    <w:rsid w:val="00C75883"/>
    <w:rsid w:val="00C77FA5"/>
    <w:rsid w:val="00C8089F"/>
    <w:rsid w:val="00C82369"/>
    <w:rsid w:val="00C835FE"/>
    <w:rsid w:val="00C836CC"/>
    <w:rsid w:val="00C852D6"/>
    <w:rsid w:val="00C87A74"/>
    <w:rsid w:val="00C916FA"/>
    <w:rsid w:val="00C92C71"/>
    <w:rsid w:val="00C93F8F"/>
    <w:rsid w:val="00CA02E4"/>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56F"/>
    <w:rsid w:val="00CE7DA2"/>
    <w:rsid w:val="00CF2F8A"/>
    <w:rsid w:val="00CF3DB3"/>
    <w:rsid w:val="00CF7200"/>
    <w:rsid w:val="00D008F1"/>
    <w:rsid w:val="00D0274B"/>
    <w:rsid w:val="00D0503D"/>
    <w:rsid w:val="00D052BC"/>
    <w:rsid w:val="00D07026"/>
    <w:rsid w:val="00D07581"/>
    <w:rsid w:val="00D146AE"/>
    <w:rsid w:val="00D14CA5"/>
    <w:rsid w:val="00D22C8F"/>
    <w:rsid w:val="00D3203C"/>
    <w:rsid w:val="00D33491"/>
    <w:rsid w:val="00D3442D"/>
    <w:rsid w:val="00D36F00"/>
    <w:rsid w:val="00D44B67"/>
    <w:rsid w:val="00D44F8E"/>
    <w:rsid w:val="00D45B0F"/>
    <w:rsid w:val="00D51FD5"/>
    <w:rsid w:val="00D55DE0"/>
    <w:rsid w:val="00D607EF"/>
    <w:rsid w:val="00D6087A"/>
    <w:rsid w:val="00D60F88"/>
    <w:rsid w:val="00D646BD"/>
    <w:rsid w:val="00D65558"/>
    <w:rsid w:val="00D71201"/>
    <w:rsid w:val="00D720C7"/>
    <w:rsid w:val="00D77189"/>
    <w:rsid w:val="00D77ED0"/>
    <w:rsid w:val="00D84841"/>
    <w:rsid w:val="00D876E6"/>
    <w:rsid w:val="00D90958"/>
    <w:rsid w:val="00DA1025"/>
    <w:rsid w:val="00DA22EC"/>
    <w:rsid w:val="00DA5682"/>
    <w:rsid w:val="00DA5860"/>
    <w:rsid w:val="00DA5C0C"/>
    <w:rsid w:val="00DB2767"/>
    <w:rsid w:val="00DB375C"/>
    <w:rsid w:val="00DC1B10"/>
    <w:rsid w:val="00DC2924"/>
    <w:rsid w:val="00DC2BF2"/>
    <w:rsid w:val="00DC4729"/>
    <w:rsid w:val="00DD31C5"/>
    <w:rsid w:val="00DD5020"/>
    <w:rsid w:val="00DD5A18"/>
    <w:rsid w:val="00DD63BE"/>
    <w:rsid w:val="00DD7CBE"/>
    <w:rsid w:val="00DE2FD2"/>
    <w:rsid w:val="00DE4296"/>
    <w:rsid w:val="00DF2469"/>
    <w:rsid w:val="00DF7899"/>
    <w:rsid w:val="00E0524C"/>
    <w:rsid w:val="00E15751"/>
    <w:rsid w:val="00E17160"/>
    <w:rsid w:val="00E17D41"/>
    <w:rsid w:val="00E2218F"/>
    <w:rsid w:val="00E231D1"/>
    <w:rsid w:val="00E27346"/>
    <w:rsid w:val="00E3288D"/>
    <w:rsid w:val="00E35112"/>
    <w:rsid w:val="00E352D7"/>
    <w:rsid w:val="00E35BEC"/>
    <w:rsid w:val="00E41A6A"/>
    <w:rsid w:val="00E50821"/>
    <w:rsid w:val="00E50DF6"/>
    <w:rsid w:val="00E51F91"/>
    <w:rsid w:val="00E5498A"/>
    <w:rsid w:val="00E559CE"/>
    <w:rsid w:val="00E571E4"/>
    <w:rsid w:val="00E60F42"/>
    <w:rsid w:val="00E6746C"/>
    <w:rsid w:val="00E7086E"/>
    <w:rsid w:val="00E71248"/>
    <w:rsid w:val="00E73C41"/>
    <w:rsid w:val="00E75911"/>
    <w:rsid w:val="00E7598F"/>
    <w:rsid w:val="00E76F60"/>
    <w:rsid w:val="00E812B5"/>
    <w:rsid w:val="00E815F7"/>
    <w:rsid w:val="00E83D90"/>
    <w:rsid w:val="00E83F91"/>
    <w:rsid w:val="00E86299"/>
    <w:rsid w:val="00E87DC8"/>
    <w:rsid w:val="00E9107A"/>
    <w:rsid w:val="00E91F62"/>
    <w:rsid w:val="00E929FD"/>
    <w:rsid w:val="00E93240"/>
    <w:rsid w:val="00E93C5E"/>
    <w:rsid w:val="00E9479B"/>
    <w:rsid w:val="00E94E22"/>
    <w:rsid w:val="00E95542"/>
    <w:rsid w:val="00E959D9"/>
    <w:rsid w:val="00E95F08"/>
    <w:rsid w:val="00E97171"/>
    <w:rsid w:val="00EA0937"/>
    <w:rsid w:val="00EA432F"/>
    <w:rsid w:val="00EA4D48"/>
    <w:rsid w:val="00EA7ADF"/>
    <w:rsid w:val="00EB2173"/>
    <w:rsid w:val="00EB576D"/>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092"/>
    <w:rsid w:val="00EF328C"/>
    <w:rsid w:val="00EF68BB"/>
    <w:rsid w:val="00F01F92"/>
    <w:rsid w:val="00F030D4"/>
    <w:rsid w:val="00F04053"/>
    <w:rsid w:val="00F06573"/>
    <w:rsid w:val="00F069D4"/>
    <w:rsid w:val="00F10A08"/>
    <w:rsid w:val="00F15354"/>
    <w:rsid w:val="00F22AC5"/>
    <w:rsid w:val="00F254D1"/>
    <w:rsid w:val="00F27CAB"/>
    <w:rsid w:val="00F30351"/>
    <w:rsid w:val="00F30831"/>
    <w:rsid w:val="00F32B82"/>
    <w:rsid w:val="00F349B0"/>
    <w:rsid w:val="00F34C86"/>
    <w:rsid w:val="00F4043E"/>
    <w:rsid w:val="00F41795"/>
    <w:rsid w:val="00F41BBC"/>
    <w:rsid w:val="00F444F0"/>
    <w:rsid w:val="00F446FF"/>
    <w:rsid w:val="00F45521"/>
    <w:rsid w:val="00F50847"/>
    <w:rsid w:val="00F53F27"/>
    <w:rsid w:val="00F546D1"/>
    <w:rsid w:val="00F56CBC"/>
    <w:rsid w:val="00F60281"/>
    <w:rsid w:val="00F613DA"/>
    <w:rsid w:val="00F66272"/>
    <w:rsid w:val="00F66704"/>
    <w:rsid w:val="00F709C0"/>
    <w:rsid w:val="00F81FEC"/>
    <w:rsid w:val="00F9274F"/>
    <w:rsid w:val="00F927A1"/>
    <w:rsid w:val="00F92BE1"/>
    <w:rsid w:val="00F92E4D"/>
    <w:rsid w:val="00F93F5F"/>
    <w:rsid w:val="00F95D08"/>
    <w:rsid w:val="00FA23BD"/>
    <w:rsid w:val="00FA3764"/>
    <w:rsid w:val="00FA41C7"/>
    <w:rsid w:val="00FA4A79"/>
    <w:rsid w:val="00FA56ED"/>
    <w:rsid w:val="00FB002C"/>
    <w:rsid w:val="00FB05DD"/>
    <w:rsid w:val="00FB0F7C"/>
    <w:rsid w:val="00FB24EA"/>
    <w:rsid w:val="00FB5FA6"/>
    <w:rsid w:val="00FC0334"/>
    <w:rsid w:val="00FC1310"/>
    <w:rsid w:val="00FC2FAB"/>
    <w:rsid w:val="00FC2FF3"/>
    <w:rsid w:val="00FC3263"/>
    <w:rsid w:val="00FC51F9"/>
    <w:rsid w:val="00FC5B40"/>
    <w:rsid w:val="00FC5F4A"/>
    <w:rsid w:val="00FC5FF8"/>
    <w:rsid w:val="00FD19E8"/>
    <w:rsid w:val="00FD271B"/>
    <w:rsid w:val="00FD3D7C"/>
    <w:rsid w:val="00FD4F8F"/>
    <w:rsid w:val="00FE0C16"/>
    <w:rsid w:val="00FE14B1"/>
    <w:rsid w:val="00FE4D97"/>
    <w:rsid w:val="00FE5F90"/>
    <w:rsid w:val="00FE66E3"/>
    <w:rsid w:val="00FE6D72"/>
    <w:rsid w:val="00FF0070"/>
    <w:rsid w:val="00FF07C3"/>
    <w:rsid w:val="00FF12AE"/>
    <w:rsid w:val="00FF26C7"/>
    <w:rsid w:val="00FF30F5"/>
    <w:rsid w:val="00FF5F6A"/>
    <w:rsid w:val="00FF7784"/>
    <w:rsid w:val="00FF7893"/>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17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0" ma:contentTypeDescription="Create a new document." ma:contentTypeScope="" ma:versionID="8d5a848ef5d27816fe269437ddd2afa1">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72E70-FB07-4880-9B8A-A112D3620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A2B429E-E25A-469C-A0C9-7A90EC5533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11</Pages>
  <Words>4601</Words>
  <Characters>26576</Characters>
  <Application>Microsoft Office Word</Application>
  <DocSecurity>0</DocSecurity>
  <Lines>1107</Lines>
  <Paragraphs>866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Joanna Edwards</cp:lastModifiedBy>
  <cp:revision>119</cp:revision>
  <cp:lastPrinted>2020-02-11T19:20:00Z</cp:lastPrinted>
  <dcterms:created xsi:type="dcterms:W3CDTF">2025-12-09T14:55:00Z</dcterms:created>
  <dcterms:modified xsi:type="dcterms:W3CDTF">2026-02-09T12:20:00Z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