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850B11" w14:textId="19A7CDD3" w:rsidR="009A0FEC" w:rsidRPr="00491CC8" w:rsidRDefault="00DB3E85">
      <w:pPr>
        <w:rPr>
          <w:b/>
          <w:u w:val="single"/>
          <w:lang w:val="en-US"/>
        </w:rPr>
      </w:pPr>
      <w:r w:rsidRPr="00491CC8">
        <w:rPr>
          <w:b/>
          <w:u w:val="single"/>
          <w:lang w:val="en-US"/>
        </w:rPr>
        <w:t>Name: Chloe Hitchings</w:t>
      </w:r>
    </w:p>
    <w:p w14:paraId="35CE5383" w14:textId="75514AEE" w:rsidR="00DB3E85" w:rsidRPr="00491CC8" w:rsidRDefault="00DB3E85">
      <w:pPr>
        <w:rPr>
          <w:b/>
          <w:u w:val="single"/>
          <w:lang w:val="en-US"/>
        </w:rPr>
      </w:pPr>
      <w:r w:rsidRPr="00491CC8">
        <w:rPr>
          <w:b/>
          <w:u w:val="single"/>
          <w:lang w:val="en-US"/>
        </w:rPr>
        <w:t>CIPD Number:</w:t>
      </w:r>
      <w:r w:rsidR="000962D6">
        <w:rPr>
          <w:b/>
          <w:u w:val="single"/>
          <w:lang w:val="en-US"/>
        </w:rPr>
        <w:t xml:space="preserve"> </w:t>
      </w:r>
      <w:r w:rsidR="000962D6" w:rsidRPr="00567562">
        <w:rPr>
          <w:rFonts w:eastAsia="Arial" w:cs="Arial"/>
          <w:b/>
          <w:bCs/>
          <w:color w:val="000000" w:themeColor="text1"/>
          <w:u w:val="single"/>
        </w:rPr>
        <w:t>88554053</w:t>
      </w:r>
    </w:p>
    <w:p w14:paraId="07DB0964" w14:textId="3DA04AE6" w:rsidR="00DB3E85" w:rsidRPr="00491CC8" w:rsidRDefault="00DB3E85">
      <w:pPr>
        <w:rPr>
          <w:b/>
          <w:u w:val="single"/>
          <w:lang w:val="en-US"/>
        </w:rPr>
      </w:pPr>
      <w:r w:rsidRPr="00491CC8">
        <w:rPr>
          <w:b/>
          <w:u w:val="single"/>
          <w:lang w:val="en-US"/>
        </w:rPr>
        <w:t>Word Count:</w:t>
      </w:r>
      <w:r w:rsidR="00CA043D">
        <w:rPr>
          <w:b/>
          <w:u w:val="single"/>
          <w:lang w:val="en-US"/>
        </w:rPr>
        <w:t xml:space="preserve"> </w:t>
      </w:r>
      <w:r w:rsidR="00CA043D" w:rsidRPr="00AE3FF3">
        <w:rPr>
          <w:b/>
          <w:strike/>
          <w:u w:val="single"/>
          <w:lang w:val="en-US"/>
        </w:rPr>
        <w:t>4283</w:t>
      </w:r>
      <w:r w:rsidR="00AE3FF3" w:rsidRPr="00AE3FF3">
        <w:rPr>
          <w:b/>
          <w:u w:val="single"/>
          <w:lang w:val="en-US"/>
        </w:rPr>
        <w:t xml:space="preserve"> </w:t>
      </w:r>
      <w:r w:rsidR="00AE3FF3" w:rsidRPr="008D73DF">
        <w:rPr>
          <w:b/>
          <w:color w:val="FF0000"/>
          <w:u w:val="single"/>
          <w:lang w:val="en-US"/>
        </w:rPr>
        <w:t>4285</w:t>
      </w:r>
    </w:p>
    <w:p w14:paraId="0A369145" w14:textId="77777777" w:rsidR="00CA043D" w:rsidRDefault="00CA043D">
      <w:pPr>
        <w:rPr>
          <w:lang w:val="en-US"/>
        </w:rPr>
      </w:pPr>
    </w:p>
    <w:p w14:paraId="594EB346" w14:textId="77777777" w:rsidR="00CA043D" w:rsidRDefault="00CA043D">
      <w:pPr>
        <w:rPr>
          <w:b/>
          <w:bCs/>
          <w:u w:val="single"/>
          <w:lang w:val="en-US"/>
        </w:rPr>
      </w:pPr>
    </w:p>
    <w:p w14:paraId="09DDB1D6" w14:textId="6A6FAD0D" w:rsidR="00DB3E85" w:rsidRDefault="00DB3E85">
      <w:pPr>
        <w:rPr>
          <w:b/>
          <w:bCs/>
          <w:u w:val="single"/>
          <w:lang w:val="en-US"/>
        </w:rPr>
      </w:pPr>
      <w:r w:rsidRPr="00DB3E85">
        <w:rPr>
          <w:b/>
          <w:bCs/>
          <w:u w:val="single"/>
          <w:lang w:val="en-US"/>
        </w:rPr>
        <w:t>Employment Law Assignment</w:t>
      </w:r>
    </w:p>
    <w:p w14:paraId="49E2484B" w14:textId="77777777" w:rsidR="00DB3E85" w:rsidRDefault="00DB3E85">
      <w:pPr>
        <w:rPr>
          <w:b/>
          <w:bCs/>
          <w:u w:val="single"/>
          <w:lang w:val="en-US"/>
        </w:rPr>
      </w:pPr>
    </w:p>
    <w:p w14:paraId="4E525494" w14:textId="0838097B" w:rsidR="00DB3E85" w:rsidRDefault="00A543A8">
      <w:pPr>
        <w:rPr>
          <w:b/>
          <w:bCs/>
          <w:u w:val="single"/>
          <w:lang w:val="en-US"/>
        </w:rPr>
      </w:pPr>
      <w:r>
        <w:rPr>
          <w:b/>
          <w:bCs/>
          <w:u w:val="single"/>
          <w:lang w:val="en-US"/>
        </w:rPr>
        <w:t>Employment Regulations (AC 1.1)</w:t>
      </w:r>
    </w:p>
    <w:p w14:paraId="3FF9DB29" w14:textId="1769D232" w:rsidR="00DA3205" w:rsidRDefault="00DA3205" w:rsidP="00DA3205">
      <w:pPr>
        <w:rPr>
          <w:color w:val="000000" w:themeColor="text1"/>
        </w:rPr>
      </w:pPr>
      <w:r>
        <w:rPr>
          <w:color w:val="000000" w:themeColor="text1"/>
        </w:rPr>
        <w:t xml:space="preserve">Before the introduction of employment laws and regulations, the employer and employee relationship </w:t>
      </w:r>
      <w:proofErr w:type="gramStart"/>
      <w:r>
        <w:rPr>
          <w:color w:val="000000" w:themeColor="text1"/>
        </w:rPr>
        <w:t>was</w:t>
      </w:r>
      <w:proofErr w:type="gramEnd"/>
      <w:r>
        <w:rPr>
          <w:color w:val="000000" w:themeColor="text1"/>
        </w:rPr>
        <w:t xml:space="preserve"> compared to a master and servant relationship (HM</w:t>
      </w:r>
      <w:r w:rsidR="00491CC8">
        <w:rPr>
          <w:color w:val="000000" w:themeColor="text1"/>
        </w:rPr>
        <w:t xml:space="preserve"> Revenue and Customs, 2023</w:t>
      </w:r>
      <w:r>
        <w:rPr>
          <w:color w:val="000000" w:themeColor="text1"/>
        </w:rPr>
        <w:t xml:space="preserve">) due to the high level of control that that employer had and lack of autonomy for the employee. </w:t>
      </w:r>
      <w:r w:rsidR="00491CC8">
        <w:rPr>
          <w:color w:val="000000" w:themeColor="text1"/>
        </w:rPr>
        <w:t>E</w:t>
      </w:r>
      <w:r>
        <w:rPr>
          <w:color w:val="000000" w:themeColor="text1"/>
        </w:rPr>
        <w:t>mployment regulations were put in place to regulate the relationship between the employee and the employer (</w:t>
      </w:r>
      <w:r w:rsidR="004E3E61">
        <w:rPr>
          <w:color w:val="000000" w:themeColor="text1"/>
        </w:rPr>
        <w:t xml:space="preserve">Daniels, </w:t>
      </w:r>
      <w:r w:rsidR="00491CC8">
        <w:rPr>
          <w:color w:val="000000" w:themeColor="text1"/>
        </w:rPr>
        <w:t>2022, p1</w:t>
      </w:r>
      <w:r>
        <w:rPr>
          <w:color w:val="000000" w:themeColor="text1"/>
        </w:rPr>
        <w:t xml:space="preserve">), by creating more balance there is less </w:t>
      </w:r>
      <w:r w:rsidR="00491CC8">
        <w:rPr>
          <w:color w:val="000000" w:themeColor="text1"/>
        </w:rPr>
        <w:t>opportunity</w:t>
      </w:r>
      <w:r>
        <w:rPr>
          <w:color w:val="000000" w:themeColor="text1"/>
        </w:rPr>
        <w:t xml:space="preserve"> for the employer to exploit their power over the employee. Another aim of employment regulation is to protect those who are vulnerable </w:t>
      </w:r>
      <w:r w:rsidR="00491CC8">
        <w:rPr>
          <w:color w:val="000000" w:themeColor="text1"/>
        </w:rPr>
        <w:t>by</w:t>
      </w:r>
      <w:r>
        <w:rPr>
          <w:color w:val="000000" w:themeColor="text1"/>
        </w:rPr>
        <w:t xml:space="preserve"> ensur</w:t>
      </w:r>
      <w:r w:rsidR="00491CC8">
        <w:rPr>
          <w:color w:val="000000" w:themeColor="text1"/>
        </w:rPr>
        <w:t>ing</w:t>
      </w:r>
      <w:r>
        <w:rPr>
          <w:color w:val="000000" w:themeColor="text1"/>
        </w:rPr>
        <w:t xml:space="preserve"> that they have equal rights and fair treatment, creating a more level playing field</w:t>
      </w:r>
      <w:r w:rsidR="00491CC8">
        <w:rPr>
          <w:color w:val="000000" w:themeColor="text1"/>
        </w:rPr>
        <w:t>.</w:t>
      </w:r>
      <w:r>
        <w:rPr>
          <w:color w:val="000000" w:themeColor="text1"/>
        </w:rPr>
        <w:t xml:space="preserve"> The introduction of regulations such as the Equality Act </w:t>
      </w:r>
      <w:r w:rsidR="00491CC8">
        <w:rPr>
          <w:color w:val="000000" w:themeColor="text1"/>
        </w:rPr>
        <w:t>(2010)</w:t>
      </w:r>
      <w:r>
        <w:rPr>
          <w:color w:val="000000" w:themeColor="text1"/>
        </w:rPr>
        <w:t xml:space="preserve"> helps to protect those who have protected characteristics by ensuring that they have rights and equal opportunities in the workplace. The National Minimum Wage Age Act (1998) helps to protect those in minority groups to ensure that they are earning a fair wage. Employment regulations aim to create safer working environments through the Health and Safety at Work Act (HASAWA, 1974)</w:t>
      </w:r>
      <w:r w:rsidR="00491CC8">
        <w:rPr>
          <w:color w:val="000000" w:themeColor="text1"/>
        </w:rPr>
        <w:t xml:space="preserve">. </w:t>
      </w:r>
      <w:r>
        <w:rPr>
          <w:color w:val="000000" w:themeColor="text1"/>
        </w:rPr>
        <w:t xml:space="preserve">Also, the Working Time </w:t>
      </w:r>
      <w:r w:rsidR="00276EFB">
        <w:rPr>
          <w:color w:val="000000" w:themeColor="text1"/>
        </w:rPr>
        <w:t>Regulations Act</w:t>
      </w:r>
      <w:r>
        <w:rPr>
          <w:color w:val="000000" w:themeColor="text1"/>
        </w:rPr>
        <w:t xml:space="preserve"> (1998) ensures that workers have reasonable working hours and rest periods to prevent accidents at work. There are many individuals and employers that support employment regulations and Trade Unions wouldn’t be useful without the legal backing that they provide.</w:t>
      </w:r>
    </w:p>
    <w:p w14:paraId="5BAA5F6E" w14:textId="34002ED6" w:rsidR="00DA3205" w:rsidRDefault="00DA3205" w:rsidP="00DA3205">
      <w:pPr>
        <w:rPr>
          <w:color w:val="000000" w:themeColor="text1"/>
        </w:rPr>
      </w:pPr>
      <w:r>
        <w:rPr>
          <w:color w:val="000000" w:themeColor="text1"/>
        </w:rPr>
        <w:t xml:space="preserve">Employment Regulations have many benefits that protect the employee, a survey showed that many employers believe that </w:t>
      </w:r>
      <w:r w:rsidR="00491CC8">
        <w:rPr>
          <w:color w:val="000000" w:themeColor="text1"/>
        </w:rPr>
        <w:t>it</w:t>
      </w:r>
      <w:r>
        <w:rPr>
          <w:color w:val="000000" w:themeColor="text1"/>
        </w:rPr>
        <w:t xml:space="preserve"> can be too complex and ‘burdensome’ (CIPD</w:t>
      </w:r>
      <w:r w:rsidR="00276EFB">
        <w:rPr>
          <w:color w:val="000000" w:themeColor="text1"/>
        </w:rPr>
        <w:t xml:space="preserve">, 2017). </w:t>
      </w:r>
      <w:r w:rsidR="00CA043D">
        <w:rPr>
          <w:color w:val="000000" w:themeColor="text1"/>
        </w:rPr>
        <w:t>It</w:t>
      </w:r>
      <w:r>
        <w:rPr>
          <w:color w:val="000000" w:themeColor="text1"/>
        </w:rPr>
        <w:t xml:space="preserve"> can be hard for businesses to keep up with the changes and regulations, such as the everchanging COVID regulations. The burden of legislation when introduced could be quite costly for some businesses and could affect their job opportunities and implementing changes </w:t>
      </w:r>
      <w:r w:rsidR="00491CC8">
        <w:rPr>
          <w:color w:val="000000" w:themeColor="text1"/>
        </w:rPr>
        <w:t xml:space="preserve">that </w:t>
      </w:r>
      <w:r>
        <w:rPr>
          <w:color w:val="000000" w:themeColor="text1"/>
        </w:rPr>
        <w:t>could affect the business’ profit due to inward investment. Employers may want to outsource parts of their business to countries outside of the UK where they have less strict rules for its employees. Employment regulations are put in place to not only protect employees but to also act as a guide for employers to follow to prevent financial implications from Employment Tribunals and from breaching employee’s rights and having legal fines. However, employment regulations do not always prevent unlawful activity but its acts as a deterrent (</w:t>
      </w:r>
      <w:r w:rsidR="00491CC8">
        <w:rPr>
          <w:color w:val="000000" w:themeColor="text1"/>
        </w:rPr>
        <w:t>Daniels, 2022, p3</w:t>
      </w:r>
      <w:r>
        <w:rPr>
          <w:color w:val="000000" w:themeColor="text1"/>
        </w:rPr>
        <w:t>).</w:t>
      </w:r>
    </w:p>
    <w:p w14:paraId="6119A8EF" w14:textId="77777777" w:rsidR="00491CC8" w:rsidRDefault="00491CC8" w:rsidP="00DA3205">
      <w:pPr>
        <w:rPr>
          <w:color w:val="000000" w:themeColor="text1"/>
        </w:rPr>
      </w:pPr>
    </w:p>
    <w:p w14:paraId="22EFB247" w14:textId="3386C077" w:rsidR="00276EFB" w:rsidRDefault="00787DE1" w:rsidP="00DA3205">
      <w:pPr>
        <w:rPr>
          <w:b/>
          <w:bCs/>
          <w:color w:val="000000" w:themeColor="text1"/>
          <w:u w:val="single"/>
        </w:rPr>
      </w:pPr>
      <w:r>
        <w:rPr>
          <w:b/>
          <w:bCs/>
          <w:color w:val="000000" w:themeColor="text1"/>
          <w:u w:val="single"/>
        </w:rPr>
        <w:t>Employment Tribunal (AC 1.2)</w:t>
      </w:r>
    </w:p>
    <w:p w14:paraId="04A042A5" w14:textId="016AEDD8" w:rsidR="00B21089" w:rsidRDefault="00B21089" w:rsidP="00B21089">
      <w:pPr>
        <w:rPr>
          <w:color w:val="000000" w:themeColor="text1"/>
        </w:rPr>
      </w:pPr>
      <w:r>
        <w:rPr>
          <w:color w:val="000000" w:themeColor="text1"/>
        </w:rPr>
        <w:t xml:space="preserve">Employment </w:t>
      </w:r>
      <w:r w:rsidR="00491CC8">
        <w:rPr>
          <w:color w:val="000000" w:themeColor="text1"/>
        </w:rPr>
        <w:t>T</w:t>
      </w:r>
      <w:r>
        <w:rPr>
          <w:color w:val="000000" w:themeColor="text1"/>
        </w:rPr>
        <w:t>ribunals (ET) were</w:t>
      </w:r>
      <w:r w:rsidR="00491CC8">
        <w:rPr>
          <w:color w:val="000000" w:themeColor="text1"/>
        </w:rPr>
        <w:t xml:space="preserve"> </w:t>
      </w:r>
      <w:r>
        <w:rPr>
          <w:color w:val="000000" w:themeColor="text1"/>
        </w:rPr>
        <w:t>introduced as ‘Industrial Tribunals’ by the Industrial Training Act 1964 in order to hear appeals by employers in relation to training levies (</w:t>
      </w:r>
      <w:r w:rsidR="00491CC8">
        <w:rPr>
          <w:color w:val="000000" w:themeColor="text1"/>
        </w:rPr>
        <w:t>Daniels,2022</w:t>
      </w:r>
      <w:r>
        <w:rPr>
          <w:color w:val="000000" w:themeColor="text1"/>
        </w:rPr>
        <w:t xml:space="preserve">, p17). </w:t>
      </w:r>
      <w:r w:rsidR="00491CC8">
        <w:rPr>
          <w:color w:val="000000" w:themeColor="text1"/>
        </w:rPr>
        <w:t>T</w:t>
      </w:r>
      <w:r>
        <w:rPr>
          <w:color w:val="000000" w:themeColor="text1"/>
        </w:rPr>
        <w:t xml:space="preserve">he purpose of </w:t>
      </w:r>
      <w:r w:rsidR="00491CC8">
        <w:rPr>
          <w:color w:val="000000" w:themeColor="text1"/>
        </w:rPr>
        <w:t>ET</w:t>
      </w:r>
      <w:r>
        <w:rPr>
          <w:color w:val="000000" w:themeColor="text1"/>
        </w:rPr>
        <w:t xml:space="preserve"> is for the claimant to bring forth a case within 3 months minus a day regarding their current or former employer that has potentially violated the law </w:t>
      </w:r>
      <w:r w:rsidR="00491CC8">
        <w:rPr>
          <w:color w:val="000000" w:themeColor="text1"/>
        </w:rPr>
        <w:t>to</w:t>
      </w:r>
      <w:r>
        <w:rPr>
          <w:color w:val="000000" w:themeColor="text1"/>
        </w:rPr>
        <w:t xml:space="preserve"> reach a resolution – employers </w:t>
      </w:r>
      <w:r>
        <w:rPr>
          <w:color w:val="000000" w:themeColor="text1"/>
        </w:rPr>
        <w:lastRenderedPageBreak/>
        <w:t xml:space="preserve">may wish to try to settle this dispute before it reaches the court by </w:t>
      </w:r>
      <w:r w:rsidR="00491CC8">
        <w:rPr>
          <w:color w:val="000000" w:themeColor="text1"/>
        </w:rPr>
        <w:t>‘settling’ with</w:t>
      </w:r>
      <w:r>
        <w:rPr>
          <w:color w:val="000000" w:themeColor="text1"/>
        </w:rPr>
        <w:t xml:space="preserve"> a financial </w:t>
      </w:r>
      <w:r w:rsidR="00491CC8">
        <w:rPr>
          <w:color w:val="000000" w:themeColor="text1"/>
        </w:rPr>
        <w:t>sum.</w:t>
      </w:r>
      <w:r>
        <w:rPr>
          <w:color w:val="000000" w:themeColor="text1"/>
        </w:rPr>
        <w:t xml:space="preserve"> </w:t>
      </w:r>
      <w:r w:rsidR="00491CC8">
        <w:rPr>
          <w:color w:val="000000" w:themeColor="text1"/>
        </w:rPr>
        <w:t>Employment Tribunals</w:t>
      </w:r>
      <w:r>
        <w:rPr>
          <w:color w:val="000000" w:themeColor="text1"/>
        </w:rPr>
        <w:t xml:space="preserve"> hear cases of over 80 pieces of legislation (C</w:t>
      </w:r>
      <w:r w:rsidR="00491CC8">
        <w:rPr>
          <w:color w:val="000000" w:themeColor="text1"/>
        </w:rPr>
        <w:t xml:space="preserve">IPD, </w:t>
      </w:r>
      <w:r>
        <w:rPr>
          <w:color w:val="000000" w:themeColor="text1"/>
        </w:rPr>
        <w:t>2023</w:t>
      </w:r>
      <w:r w:rsidR="00491CC8">
        <w:rPr>
          <w:color w:val="000000" w:themeColor="text1"/>
        </w:rPr>
        <w:t>a</w:t>
      </w:r>
      <w:r>
        <w:rPr>
          <w:color w:val="000000" w:themeColor="text1"/>
        </w:rPr>
        <w:t>), including unfair dismissals, redundancy payment, whistleblowing, and unlawful discrimination. E</w:t>
      </w:r>
      <w:r w:rsidR="00491CC8">
        <w:rPr>
          <w:color w:val="000000" w:themeColor="text1"/>
        </w:rPr>
        <w:t xml:space="preserve">T is an </w:t>
      </w:r>
      <w:r>
        <w:rPr>
          <w:color w:val="000000" w:themeColor="text1"/>
        </w:rPr>
        <w:t xml:space="preserve">informal process of hearing the claim and do not always require legal assistance. </w:t>
      </w:r>
    </w:p>
    <w:p w14:paraId="13296C37" w14:textId="20C9FE76" w:rsidR="00B21089" w:rsidRDefault="00B21089" w:rsidP="00B21089">
      <w:pPr>
        <w:rPr>
          <w:color w:val="000000" w:themeColor="text1"/>
        </w:rPr>
      </w:pPr>
      <w:r>
        <w:rPr>
          <w:color w:val="000000" w:themeColor="text1"/>
        </w:rPr>
        <w:t>If either party is dissatisfied with the outcome</w:t>
      </w:r>
      <w:r w:rsidR="00491CC8" w:rsidRPr="00491CC8">
        <w:rPr>
          <w:color w:val="000000" w:themeColor="text1"/>
        </w:rPr>
        <w:t xml:space="preserve"> </w:t>
      </w:r>
      <w:r w:rsidR="00491CC8">
        <w:rPr>
          <w:color w:val="000000" w:themeColor="text1"/>
        </w:rPr>
        <w:t>of the claim</w:t>
      </w:r>
      <w:r>
        <w:rPr>
          <w:color w:val="000000" w:themeColor="text1"/>
        </w:rPr>
        <w:t>, they can appeal this to the Employment Appeal Tribunal (EAT) but only if it is made on a point of law and within 14 days of the verdict (</w:t>
      </w:r>
      <w:r w:rsidR="00491CC8">
        <w:rPr>
          <w:color w:val="000000" w:themeColor="text1"/>
        </w:rPr>
        <w:t>Daniels, 2022,</w:t>
      </w:r>
      <w:r>
        <w:rPr>
          <w:color w:val="000000" w:themeColor="text1"/>
        </w:rPr>
        <w:t xml:space="preserve"> p31). Usually this is the highest appeal court due to the extreme caution taking place in these stages. However, if either party is still dissatisfied with the outcome of the EAT then they can apply for it to be heard at the Court of Appeal.</w:t>
      </w:r>
      <w:r w:rsidRPr="00663724">
        <w:rPr>
          <w:color w:val="000000" w:themeColor="text1"/>
        </w:rPr>
        <w:t xml:space="preserve"> </w:t>
      </w:r>
      <w:r w:rsidR="00491CC8">
        <w:rPr>
          <w:color w:val="000000" w:themeColor="text1"/>
        </w:rPr>
        <w:t>I</w:t>
      </w:r>
      <w:r>
        <w:rPr>
          <w:color w:val="000000" w:themeColor="text1"/>
        </w:rPr>
        <w:t xml:space="preserve">t can be determined whether any errors occurred within the verdict such as biases and refusal to hear all evidence. It is possible for the claim to go further to the Supreme Court, at this point it is usually it is usually a public dispute that affects many individuals, and the number of these cases </w:t>
      </w:r>
      <w:r w:rsidR="00491CC8">
        <w:rPr>
          <w:color w:val="000000" w:themeColor="text1"/>
        </w:rPr>
        <w:t>yearly are low</w:t>
      </w:r>
      <w:r>
        <w:rPr>
          <w:color w:val="000000" w:themeColor="text1"/>
        </w:rPr>
        <w:t xml:space="preserve"> (CIPD</w:t>
      </w:r>
      <w:r w:rsidR="00491CC8">
        <w:rPr>
          <w:color w:val="000000" w:themeColor="text1"/>
        </w:rPr>
        <w:t>, 2023a</w:t>
      </w:r>
      <w:r>
        <w:rPr>
          <w:color w:val="000000" w:themeColor="text1"/>
        </w:rPr>
        <w:t>). Claimants would also need to provide evidence that the lower courts</w:t>
      </w:r>
      <w:r w:rsidR="00491CC8">
        <w:rPr>
          <w:color w:val="000000" w:themeColor="text1"/>
        </w:rPr>
        <w:t>’</w:t>
      </w:r>
      <w:r>
        <w:rPr>
          <w:color w:val="000000" w:themeColor="text1"/>
        </w:rPr>
        <w:t xml:space="preserve"> ruling</w:t>
      </w:r>
      <w:r w:rsidR="00491CC8">
        <w:rPr>
          <w:color w:val="000000" w:themeColor="text1"/>
        </w:rPr>
        <w:t>s were</w:t>
      </w:r>
      <w:r>
        <w:rPr>
          <w:color w:val="000000" w:themeColor="text1"/>
        </w:rPr>
        <w:t xml:space="preserve"> not adhering to the law. If an employee is claiming that an employer has breached their contractual obligations or has been negligent, they can also take their claim to a County Court or High Court and any appeal goes straight to the Court of Appeal (CIPD</w:t>
      </w:r>
      <w:r w:rsidR="00491CC8">
        <w:rPr>
          <w:color w:val="000000" w:themeColor="text1"/>
        </w:rPr>
        <w:t>,</w:t>
      </w:r>
      <w:r>
        <w:rPr>
          <w:color w:val="000000" w:themeColor="text1"/>
        </w:rPr>
        <w:t xml:space="preserve"> 2023</w:t>
      </w:r>
      <w:r w:rsidR="00491CC8">
        <w:rPr>
          <w:color w:val="000000" w:themeColor="text1"/>
        </w:rPr>
        <w:t>a</w:t>
      </w:r>
      <w:r>
        <w:rPr>
          <w:color w:val="000000" w:themeColor="text1"/>
        </w:rPr>
        <w:t xml:space="preserve">). These courts can be very costly for individuals due to the requirement of lawyer representation. All of the stages of the Employment Tribunal hierarchy would investigate the claim by assessing the evidence and making a decision based upon employment law. This not only protects employee and employer </w:t>
      </w:r>
      <w:r w:rsidR="00CA043D">
        <w:rPr>
          <w:color w:val="000000" w:themeColor="text1"/>
        </w:rPr>
        <w:t>rights,</w:t>
      </w:r>
      <w:r>
        <w:rPr>
          <w:color w:val="000000" w:themeColor="text1"/>
        </w:rPr>
        <w:t xml:space="preserve"> but it always helps to ensure a fairer workplace.</w:t>
      </w:r>
    </w:p>
    <w:p w14:paraId="301B60FC" w14:textId="77777777" w:rsidR="00787DE1" w:rsidRDefault="00787DE1" w:rsidP="00DA3205">
      <w:pPr>
        <w:rPr>
          <w:b/>
          <w:bCs/>
          <w:color w:val="000000" w:themeColor="text1"/>
          <w:u w:val="single"/>
        </w:rPr>
      </w:pPr>
    </w:p>
    <w:p w14:paraId="71AD7656" w14:textId="24A98FAB" w:rsidR="00D927E3" w:rsidRDefault="00D927E3" w:rsidP="00DA3205">
      <w:pPr>
        <w:rPr>
          <w:b/>
          <w:bCs/>
          <w:color w:val="000000" w:themeColor="text1"/>
          <w:u w:val="single"/>
        </w:rPr>
      </w:pPr>
      <w:r>
        <w:rPr>
          <w:b/>
          <w:bCs/>
          <w:color w:val="000000" w:themeColor="text1"/>
          <w:u w:val="single"/>
        </w:rPr>
        <w:t xml:space="preserve">Cases settled </w:t>
      </w:r>
      <w:r w:rsidR="00491CC8">
        <w:rPr>
          <w:b/>
          <w:bCs/>
          <w:color w:val="000000" w:themeColor="text1"/>
          <w:u w:val="single"/>
        </w:rPr>
        <w:t xml:space="preserve">before and </w:t>
      </w:r>
      <w:r>
        <w:rPr>
          <w:b/>
          <w:bCs/>
          <w:color w:val="000000" w:themeColor="text1"/>
          <w:u w:val="single"/>
        </w:rPr>
        <w:t>during Legal Procedures (AC 1.3)</w:t>
      </w:r>
    </w:p>
    <w:p w14:paraId="12B64325" w14:textId="019C5898" w:rsidR="00E82812" w:rsidRDefault="00E82812" w:rsidP="00491CC8">
      <w:pPr>
        <w:rPr>
          <w:color w:val="000000" w:themeColor="text1"/>
        </w:rPr>
      </w:pPr>
      <w:r>
        <w:rPr>
          <w:color w:val="000000" w:themeColor="text1"/>
        </w:rPr>
        <w:t xml:space="preserve">Employers may not want to experience the hassle and timely process of an Employment Tribunal </w:t>
      </w:r>
      <w:r w:rsidR="00491CC8">
        <w:rPr>
          <w:color w:val="000000" w:themeColor="text1"/>
        </w:rPr>
        <w:t xml:space="preserve">(ET) </w:t>
      </w:r>
      <w:r>
        <w:rPr>
          <w:color w:val="000000" w:themeColor="text1"/>
        </w:rPr>
        <w:t>and they may want to settle the claim before it goes to court. Due to the Regulatory Reform Act (2013), Early Conciliation (EC) was introduced and</w:t>
      </w:r>
      <w:r w:rsidR="00491CC8">
        <w:rPr>
          <w:color w:val="000000" w:themeColor="text1"/>
        </w:rPr>
        <w:t xml:space="preserve"> it has </w:t>
      </w:r>
      <w:r>
        <w:rPr>
          <w:color w:val="000000" w:themeColor="text1"/>
        </w:rPr>
        <w:t xml:space="preserve">become compulsory that a claimant cannot bring forth a claim to </w:t>
      </w:r>
      <w:r w:rsidR="00491CC8">
        <w:rPr>
          <w:color w:val="000000" w:themeColor="text1"/>
        </w:rPr>
        <w:t xml:space="preserve">an </w:t>
      </w:r>
      <w:r>
        <w:rPr>
          <w:color w:val="000000" w:themeColor="text1"/>
        </w:rPr>
        <w:t>ET without firstly participating in the EC process with a third party such as ACAS (</w:t>
      </w:r>
      <w:r w:rsidR="00491CC8">
        <w:rPr>
          <w:color w:val="000000" w:themeColor="text1"/>
        </w:rPr>
        <w:t xml:space="preserve">Daniels, 2022, </w:t>
      </w:r>
      <w:r>
        <w:rPr>
          <w:color w:val="000000" w:themeColor="text1"/>
        </w:rPr>
        <w:t>p21). This free process would be initiated by the claimant</w:t>
      </w:r>
      <w:r w:rsidR="00491CC8">
        <w:rPr>
          <w:color w:val="000000" w:themeColor="text1"/>
        </w:rPr>
        <w:t xml:space="preserve"> and is a voluntary process, the claimant and employer can decide whether they want to participate or not (ACAS, 2022). ACAS would then mediate the issues between both parties ‘without prejudice’</w:t>
      </w:r>
      <w:r>
        <w:rPr>
          <w:color w:val="000000" w:themeColor="text1"/>
        </w:rPr>
        <w:t xml:space="preserve"> a</w:t>
      </w:r>
      <w:r w:rsidR="00491CC8">
        <w:rPr>
          <w:color w:val="000000" w:themeColor="text1"/>
        </w:rPr>
        <w:t>s</w:t>
      </w:r>
      <w:r>
        <w:rPr>
          <w:color w:val="000000" w:themeColor="text1"/>
        </w:rPr>
        <w:t xml:space="preserve"> the detail discussed cannot be used as evidence against either party </w:t>
      </w:r>
      <w:r w:rsidR="00491CC8">
        <w:rPr>
          <w:color w:val="000000" w:themeColor="text1"/>
        </w:rPr>
        <w:t>in an ET. Once a settlement has been reached, which could either be financial or reinstatement of a role in certain cases (Daniels, 2022, p25), a COT3</w:t>
      </w:r>
      <w:r>
        <w:rPr>
          <w:color w:val="000000" w:themeColor="text1"/>
        </w:rPr>
        <w:t xml:space="preserve"> agreement has to be drawn up after advice from an independent advisor</w:t>
      </w:r>
      <w:r w:rsidR="00491CC8">
        <w:rPr>
          <w:color w:val="000000" w:themeColor="text1"/>
        </w:rPr>
        <w:t xml:space="preserve"> and</w:t>
      </w:r>
      <w:r>
        <w:rPr>
          <w:color w:val="000000" w:themeColor="text1"/>
        </w:rPr>
        <w:t xml:space="preserve"> </w:t>
      </w:r>
      <w:r w:rsidR="00491CC8">
        <w:rPr>
          <w:color w:val="000000" w:themeColor="text1"/>
        </w:rPr>
        <w:t>b</w:t>
      </w:r>
      <w:r>
        <w:rPr>
          <w:color w:val="000000" w:themeColor="text1"/>
        </w:rPr>
        <w:t>y signing this document, it prevents either party from taking the matters further.</w:t>
      </w:r>
    </w:p>
    <w:p w14:paraId="78EE2653" w14:textId="2320E9F8" w:rsidR="00491CC8" w:rsidRDefault="00491CC8" w:rsidP="00DA3205">
      <w:pPr>
        <w:rPr>
          <w:color w:val="000000" w:themeColor="text1"/>
        </w:rPr>
      </w:pPr>
      <w:r>
        <w:rPr>
          <w:color w:val="000000" w:themeColor="text1"/>
        </w:rPr>
        <w:t>Another way of settling a case before any formal legal proceedings could be through judicial mediation or directly between each party. The employer or employee could agree to settle their issue directly and compromise upon a settlement to end the claim. A settlement agreement can be drawn up once both parties have received independent advice from a legal advisor or solicitor and the compensation should be negotiated between both parties (CIPD, 2023b). However, this cannot be used in an attempt to disclose discriminatory cases that have occurred as per the ACAS settlement agreement guidance (ACAS, 2024</w:t>
      </w:r>
      <w:r w:rsidR="004F2ABE">
        <w:rPr>
          <w:color w:val="000000" w:themeColor="text1"/>
        </w:rPr>
        <w:t>a</w:t>
      </w:r>
      <w:r>
        <w:rPr>
          <w:color w:val="000000" w:themeColor="text1"/>
        </w:rPr>
        <w:t>). Judicial mediation would also occur if an employment judge decides that a case could benefit through using mediation instead of an ET (Daniel, 2022, p26) to try to mutual agree upon a decision and to salvage the working relationship. The claimant would still follow the usual process of submitting the ET1 and ET3 forms to make their claim and a mediation trained judge would then communicate with both parties until they reach a settlement on their own accord. However, it can still go to ET if this process is unsuccessful. These could save both parties money instead of paying for legal fees to take the case to an ET.</w:t>
      </w:r>
    </w:p>
    <w:p w14:paraId="2728A446" w14:textId="569DA5CA" w:rsidR="00ED1390" w:rsidRPr="00491CC8" w:rsidRDefault="00ED1390" w:rsidP="00DA3205">
      <w:pPr>
        <w:rPr>
          <w:color w:val="000000" w:themeColor="text1"/>
        </w:rPr>
      </w:pPr>
      <w:r>
        <w:rPr>
          <w:b/>
          <w:bCs/>
          <w:color w:val="000000" w:themeColor="text1"/>
          <w:u w:val="single"/>
        </w:rPr>
        <w:lastRenderedPageBreak/>
        <w:t>Case Study</w:t>
      </w:r>
    </w:p>
    <w:p w14:paraId="59D22DBC" w14:textId="24B815D3" w:rsidR="00ED1390" w:rsidRDefault="00ED1390" w:rsidP="00DA3205">
      <w:pPr>
        <w:rPr>
          <w:b/>
          <w:bCs/>
          <w:color w:val="000000" w:themeColor="text1"/>
          <w:u w:val="single"/>
        </w:rPr>
      </w:pPr>
      <w:r>
        <w:rPr>
          <w:b/>
          <w:bCs/>
          <w:color w:val="000000" w:themeColor="text1"/>
          <w:u w:val="single"/>
        </w:rPr>
        <w:t>Recruitment and Selection (AC 2.1)</w:t>
      </w:r>
    </w:p>
    <w:p w14:paraId="03F45C17" w14:textId="31855049" w:rsidR="006624D0" w:rsidRDefault="006624D0" w:rsidP="006624D0">
      <w:pPr>
        <w:pStyle w:val="Nornal"/>
      </w:pPr>
      <w:r>
        <w:t>The Equality Act (2010) was introduced to collate over 100 smaller pieces of legislation to ensure that the parts that were relating to discrimination and harassment were emphasised and to ensure that employers are providing equal opportunities for those who have protected characteristics. More specifically, the act includes provisions that look at age discrimination and sex discrimination. This can apply for both current employees and applicants that are applying for roles within an organisation</w:t>
      </w:r>
      <w:r w:rsidR="00F80FEA">
        <w:t xml:space="preserve"> (ACAS, 2023)</w:t>
      </w:r>
      <w:r>
        <w:t>. Discriminati</w:t>
      </w:r>
      <w:r w:rsidR="00F80FEA">
        <w:t xml:space="preserve">ng an individual </w:t>
      </w:r>
      <w:r>
        <w:t xml:space="preserve">based on </w:t>
      </w:r>
      <w:r w:rsidR="00F80FEA">
        <w:t>their age</w:t>
      </w:r>
      <w:r>
        <w:t xml:space="preserve"> is illega</w:t>
      </w:r>
      <w:r w:rsidR="00F80FEA">
        <w:t>l</w:t>
      </w:r>
      <w:r>
        <w:t xml:space="preserve"> (GOV, 2015). However,</w:t>
      </w:r>
      <w:r w:rsidR="00F80FEA">
        <w:t xml:space="preserve"> it is possible for employers to provide a ‘good reason’ for treating employees differently such as the role affecting their health and safety and prior work experience needed for a certain role. </w:t>
      </w:r>
      <w:r>
        <w:t>The Equality Act (2010) also states that you cannot treat an employee differently due to their sex in all aspects of employment including the recruitment process. The exceptions are that some roles require individuals of the same sex</w:t>
      </w:r>
      <w:r w:rsidR="00F80FEA">
        <w:t xml:space="preserve">, such as caring responsibilities, </w:t>
      </w:r>
      <w:r>
        <w:t xml:space="preserve">and some roles may be in a country where women cannot perform the same role as a man. If an employee or candidate feels that their employer has discriminated </w:t>
      </w:r>
      <w:r w:rsidR="00F80FEA">
        <w:t xml:space="preserve">against </w:t>
      </w:r>
      <w:r>
        <w:t xml:space="preserve">them </w:t>
      </w:r>
      <w:r w:rsidR="00F80FEA">
        <w:t xml:space="preserve">due to </w:t>
      </w:r>
      <w:r>
        <w:t>their age or sex</w:t>
      </w:r>
      <w:r w:rsidR="00F80FEA">
        <w:t xml:space="preserve"> without good reason</w:t>
      </w:r>
      <w:r>
        <w:t>, they can take the employer to an Employment Tribunal</w:t>
      </w:r>
      <w:r w:rsidR="00F80FEA">
        <w:t xml:space="preserve"> (ET)</w:t>
      </w:r>
      <w:r>
        <w:t xml:space="preserve">. </w:t>
      </w:r>
    </w:p>
    <w:p w14:paraId="507DA277" w14:textId="4B8879CE" w:rsidR="006624D0" w:rsidRDefault="006624D0" w:rsidP="00F80FEA">
      <w:pPr>
        <w:pStyle w:val="Nornal"/>
      </w:pPr>
      <w:r>
        <w:t xml:space="preserve">By appointing young men only, the business is opening itself up to claims of </w:t>
      </w:r>
      <w:r w:rsidR="00F80FEA">
        <w:t xml:space="preserve">age and sex </w:t>
      </w:r>
      <w:r>
        <w:t xml:space="preserve">discrimination. </w:t>
      </w:r>
      <w:r w:rsidR="00F80FEA">
        <w:t>It the business cannot provide evidence to show that there is a genuine reason why they are only recruiting for young men, they could be taken to an ET.</w:t>
      </w:r>
      <w:r>
        <w:t xml:space="preserve"> </w:t>
      </w:r>
      <w:r w:rsidRPr="00F80FEA">
        <w:rPr>
          <w:i/>
        </w:rPr>
        <w:t>Clements V NHS Foundation Trust (2020)</w:t>
      </w:r>
      <w:r w:rsidR="00F80FEA">
        <w:t xml:space="preserve"> ruled that the employee was discriminating against an individuals’ age and sex whilst recruiting for a position, even though they were the most qualified for the role. </w:t>
      </w:r>
      <w:r>
        <w:t xml:space="preserve">The business should avoid stereotyping and should screen candidates based on their capabilities and competencies solely. The business could adapt their interview pack to include questions that focus on </w:t>
      </w:r>
      <w:r w:rsidR="00F80FEA">
        <w:t xml:space="preserve">the </w:t>
      </w:r>
      <w:r>
        <w:t>experience and capabilit</w:t>
      </w:r>
      <w:r w:rsidR="00F80FEA">
        <w:t>ies</w:t>
      </w:r>
      <w:r>
        <w:t xml:space="preserve"> of each individual and avoid including biased questions regarding sex and age. To be fairer, the interviews could then be scored so that the most qualified person is selected for the role rather</w:t>
      </w:r>
      <w:r w:rsidR="00F80FEA">
        <w:t>.</w:t>
      </w:r>
      <w:r>
        <w:t xml:space="preserve"> It is important for businesses to be inclusive and to value each individual on what they can bring to the business</w:t>
      </w:r>
      <w:r w:rsidR="00F80FEA">
        <w:t>, also</w:t>
      </w:r>
      <w:r>
        <w:t xml:space="preserve"> avoiding assumptions and stereotyping certain groups.</w:t>
      </w:r>
    </w:p>
    <w:p w14:paraId="78DF0270" w14:textId="77777777" w:rsidR="00ED1390" w:rsidRDefault="00ED1390" w:rsidP="00DA3205">
      <w:pPr>
        <w:rPr>
          <w:b/>
          <w:bCs/>
          <w:color w:val="000000" w:themeColor="text1"/>
          <w:u w:val="single"/>
        </w:rPr>
      </w:pPr>
    </w:p>
    <w:p w14:paraId="3C1D79DF" w14:textId="0E537DF0" w:rsidR="006624D0" w:rsidRPr="004F2ABE" w:rsidRDefault="009F1CDA" w:rsidP="00DA3205">
      <w:pPr>
        <w:rPr>
          <w:b/>
          <w:bCs/>
          <w:color w:val="000000" w:themeColor="text1"/>
          <w:u w:val="single"/>
        </w:rPr>
      </w:pPr>
      <w:r w:rsidRPr="004F2ABE">
        <w:rPr>
          <w:b/>
          <w:bCs/>
          <w:color w:val="000000" w:themeColor="text1"/>
          <w:u w:val="single"/>
        </w:rPr>
        <w:t>Equal Pay (AC 2.2)</w:t>
      </w:r>
      <w:r w:rsidR="004F2ABE" w:rsidRPr="004F2ABE">
        <w:rPr>
          <w:b/>
          <w:bCs/>
          <w:color w:val="000000" w:themeColor="text1"/>
          <w:u w:val="single"/>
        </w:rPr>
        <w:t xml:space="preserve"> </w:t>
      </w:r>
    </w:p>
    <w:p w14:paraId="4ECB5569" w14:textId="40BCA63C" w:rsidR="004F2ABE" w:rsidRDefault="00620D36" w:rsidP="00620D36">
      <w:pPr>
        <w:pStyle w:val="Nornal"/>
      </w:pPr>
      <w:r>
        <w:t xml:space="preserve">The Equality Act (2010) is a legislation that makes it unlawful for an employer to discriminate </w:t>
      </w:r>
      <w:r w:rsidR="004F2ABE">
        <w:t xml:space="preserve">against those </w:t>
      </w:r>
      <w:r>
        <w:t>with protected characteristics</w:t>
      </w:r>
      <w:r w:rsidR="004F2ABE">
        <w:t xml:space="preserve"> such as sex including their wages</w:t>
      </w:r>
      <w:r>
        <w:t xml:space="preserve"> (</w:t>
      </w:r>
      <w:r w:rsidR="004F2ABE">
        <w:t xml:space="preserve">Daniels, 2022, p131), </w:t>
      </w:r>
      <w:r>
        <w:t xml:space="preserve">men and women should be paid equally for doing equal work. This also applies to any terms and conditions of employment including any benefits. Differences may be allowed if one employee is more qualified than the other, if the </w:t>
      </w:r>
      <w:r w:rsidR="004F2ABE">
        <w:t>cost of living is his in an employee’s location and if an employee does</w:t>
      </w:r>
      <w:r>
        <w:t xml:space="preserve"> shift work (ACAS, 2024</w:t>
      </w:r>
      <w:r w:rsidR="004F2ABE">
        <w:t>b</w:t>
      </w:r>
      <w:r>
        <w:t xml:space="preserve">). </w:t>
      </w:r>
    </w:p>
    <w:p w14:paraId="7475D696" w14:textId="545E6D3A" w:rsidR="00620D36" w:rsidRDefault="00620D36" w:rsidP="00620D36">
      <w:pPr>
        <w:pStyle w:val="Nornal"/>
      </w:pPr>
      <w:r>
        <w:t xml:space="preserve">If an employee believes that they are not getting paid equally, they could seek to make a claim to an Employment Tribunal </w:t>
      </w:r>
      <w:r w:rsidR="004F2ABE">
        <w:t xml:space="preserve">(ET) </w:t>
      </w:r>
      <w:r>
        <w:t xml:space="preserve">and they could also involve a sex discrimination claim if they </w:t>
      </w:r>
      <w:r w:rsidR="004F2ABE">
        <w:t xml:space="preserve">believe that they </w:t>
      </w:r>
      <w:r>
        <w:t xml:space="preserve">are being paid unfairly compared to an equal male colleague. </w:t>
      </w:r>
      <w:r w:rsidR="004F2ABE">
        <w:t>The</w:t>
      </w:r>
      <w:r>
        <w:t xml:space="preserve"> William Ball Ltd v Wood and others (2002)</w:t>
      </w:r>
      <w:r w:rsidR="004F2ABE">
        <w:t xml:space="preserve"> </w:t>
      </w:r>
      <w:r>
        <w:t>found that a group of women were being paid unequally compared to their male counterparts and the</w:t>
      </w:r>
      <w:r w:rsidR="004F2ABE">
        <w:t xml:space="preserve"> ET </w:t>
      </w:r>
      <w:r>
        <w:t xml:space="preserve">supported their claim due to the employees </w:t>
      </w:r>
      <w:r w:rsidR="004F2ABE">
        <w:t xml:space="preserve">completing </w:t>
      </w:r>
      <w:r>
        <w:t xml:space="preserve">‘equal work’. </w:t>
      </w:r>
      <w:r w:rsidR="004F2ABE">
        <w:t xml:space="preserve">In an ET, employers need to defend </w:t>
      </w:r>
      <w:r>
        <w:t xml:space="preserve">their case to </w:t>
      </w:r>
      <w:r w:rsidR="004F2ABE">
        <w:t>evidence</w:t>
      </w:r>
      <w:r>
        <w:t xml:space="preserve"> that they are not discriminating against the employee due to their gender (</w:t>
      </w:r>
      <w:r w:rsidR="004F2ABE">
        <w:t>Daniels, 2022, p134)</w:t>
      </w:r>
      <w:r>
        <w:t xml:space="preserve"> which </w:t>
      </w:r>
      <w:r w:rsidR="004F2ABE">
        <w:t xml:space="preserve">could </w:t>
      </w:r>
      <w:r>
        <w:t>include factors such as experience. If they fail to defend their reasoning, they could be ordered to pay compensation to the employee</w:t>
      </w:r>
      <w:r w:rsidR="004F2ABE">
        <w:t xml:space="preserve"> or </w:t>
      </w:r>
      <w:r>
        <w:t xml:space="preserve">given </w:t>
      </w:r>
      <w:r>
        <w:lastRenderedPageBreak/>
        <w:t>recommendations. Employers will also be ordered to complete an internal pay audit within a certain period</w:t>
      </w:r>
      <w:r w:rsidR="004F2ABE">
        <w:t xml:space="preserve"> of time</w:t>
      </w:r>
      <w:r>
        <w:t xml:space="preserve">, including gender pay information and </w:t>
      </w:r>
      <w:r w:rsidR="004F2ABE">
        <w:t>will need to construct a</w:t>
      </w:r>
      <w:r>
        <w:t xml:space="preserve"> plan to avoid breaches of equal pay reoccurring.</w:t>
      </w:r>
    </w:p>
    <w:p w14:paraId="67B62D3A" w14:textId="42A56103" w:rsidR="00620D36" w:rsidRDefault="004F2ABE" w:rsidP="00620D36">
      <w:pPr>
        <w:pStyle w:val="Nornal"/>
      </w:pPr>
      <w:r>
        <w:t>I</w:t>
      </w:r>
      <w:r w:rsidR="00620D36">
        <w:t xml:space="preserve">f Charlotte believes that the Kit deserves the extra </w:t>
      </w:r>
      <w:r w:rsidR="000C6857">
        <w:t>money,</w:t>
      </w:r>
      <w:r w:rsidR="00620D36">
        <w:t xml:space="preserve"> she will need to be able to evidence her reasoning for this defence which could be completed through a job evaluation scheme to compare whether both employees complete equal work. If she cannot evidence this</w:t>
      </w:r>
      <w:r>
        <w:t>,</w:t>
      </w:r>
      <w:r w:rsidR="00620D36">
        <w:t xml:space="preserve"> it</w:t>
      </w:r>
      <w:r>
        <w:t xml:space="preserve"> could</w:t>
      </w:r>
      <w:r w:rsidR="00620D36">
        <w:t xml:space="preserve"> open the business up to an equal pay claim from Cat. Businesses should implement preventative measures to comply with legal requirements and ensure equal pay and benefits for all employees regardless of their gender. They could complete regular pay audits that address any pay anomalies and ensure that there is consistency with contractual benefits (ACAS, 2024</w:t>
      </w:r>
      <w:r>
        <w:t>c</w:t>
      </w:r>
      <w:r w:rsidR="00620D36">
        <w:t>). This could increase transparency regarding pay structures and banding, and it could also include criteria for the business to follow in regard to pay increases.</w:t>
      </w:r>
    </w:p>
    <w:p w14:paraId="134C61E9" w14:textId="6C216C1A" w:rsidR="00620D36" w:rsidRPr="000E6AD9" w:rsidRDefault="00620D36" w:rsidP="00620D36">
      <w:pPr>
        <w:pStyle w:val="Nornal"/>
        <w:rPr>
          <w:u w:val="single"/>
        </w:rPr>
      </w:pPr>
    </w:p>
    <w:p w14:paraId="30C7DE4D" w14:textId="4A59688D" w:rsidR="009F1CDA" w:rsidRPr="000C6857" w:rsidRDefault="000E6AD9" w:rsidP="00DA3205">
      <w:pPr>
        <w:rPr>
          <w:b/>
          <w:bCs/>
          <w:color w:val="000000" w:themeColor="text1"/>
          <w:u w:val="single"/>
        </w:rPr>
      </w:pPr>
      <w:r w:rsidRPr="000C6857">
        <w:rPr>
          <w:b/>
          <w:bCs/>
          <w:color w:val="000000" w:themeColor="text1"/>
          <w:u w:val="single"/>
        </w:rPr>
        <w:t xml:space="preserve">Redundancy (AC </w:t>
      </w:r>
      <w:r w:rsidR="007B6F20" w:rsidRPr="000C6857">
        <w:rPr>
          <w:b/>
          <w:bCs/>
          <w:color w:val="000000" w:themeColor="text1"/>
          <w:u w:val="single"/>
        </w:rPr>
        <w:t>3.1)</w:t>
      </w:r>
    </w:p>
    <w:p w14:paraId="4C8A0369" w14:textId="0199FAD0" w:rsidR="000C6857" w:rsidRPr="00AE3FF3" w:rsidRDefault="0077242A" w:rsidP="000C6857">
      <w:pPr>
        <w:pStyle w:val="Nornal"/>
        <w:rPr>
          <w:strike/>
        </w:rPr>
      </w:pPr>
      <w:r w:rsidRPr="00AE3FF3">
        <w:rPr>
          <w:strike/>
        </w:rPr>
        <w:t xml:space="preserve">Redundancies </w:t>
      </w:r>
      <w:r w:rsidR="000C6857" w:rsidRPr="00AE3FF3">
        <w:rPr>
          <w:strike/>
        </w:rPr>
        <w:t xml:space="preserve">are a way of managing change in a business and </w:t>
      </w:r>
      <w:r w:rsidRPr="00AE3FF3">
        <w:rPr>
          <w:strike/>
        </w:rPr>
        <w:t>are a fair reason for dismissal, as noted in the Employment Rights Act (1996)</w:t>
      </w:r>
      <w:r w:rsidR="000C6857" w:rsidRPr="00AE3FF3">
        <w:rPr>
          <w:strike/>
        </w:rPr>
        <w:t xml:space="preserve">. </w:t>
      </w:r>
      <w:r w:rsidRPr="00AE3FF3">
        <w:rPr>
          <w:strike/>
        </w:rPr>
        <w:t>Redundancies occur when a business needs to reduce its work</w:t>
      </w:r>
      <w:r w:rsidR="000C6857" w:rsidRPr="00AE3FF3">
        <w:rPr>
          <w:strike/>
        </w:rPr>
        <w:t>, the business ceases or the location of works ceases its operations</w:t>
      </w:r>
      <w:r w:rsidRPr="00AE3FF3">
        <w:rPr>
          <w:strike/>
        </w:rPr>
        <w:t xml:space="preserve"> (CIPD, 2024</w:t>
      </w:r>
      <w:r w:rsidR="000C6857" w:rsidRPr="00AE3FF3">
        <w:rPr>
          <w:strike/>
        </w:rPr>
        <w:t>a</w:t>
      </w:r>
      <w:r w:rsidRPr="00AE3FF3">
        <w:rPr>
          <w:strike/>
        </w:rPr>
        <w:t xml:space="preserve">). Employers need to follow the correct procedures and ensure that they </w:t>
      </w:r>
      <w:r w:rsidR="000C6857" w:rsidRPr="00AE3FF3">
        <w:rPr>
          <w:strike/>
        </w:rPr>
        <w:t xml:space="preserve">make every attempt to avoid </w:t>
      </w:r>
      <w:r w:rsidR="00CA043D" w:rsidRPr="00AE3FF3">
        <w:rPr>
          <w:strike/>
        </w:rPr>
        <w:t>redundancies</w:t>
      </w:r>
      <w:r w:rsidRPr="00AE3FF3">
        <w:rPr>
          <w:strike/>
        </w:rPr>
        <w:t xml:space="preserve">. If they do not, </w:t>
      </w:r>
      <w:r w:rsidR="00CA043D" w:rsidRPr="00AE3FF3">
        <w:rPr>
          <w:strike/>
        </w:rPr>
        <w:t xml:space="preserve">they could receive an </w:t>
      </w:r>
      <w:r w:rsidRPr="00AE3FF3">
        <w:rPr>
          <w:strike/>
        </w:rPr>
        <w:t>unfair dismissal claim to Employment Tribunal</w:t>
      </w:r>
      <w:r w:rsidR="000C6857" w:rsidRPr="00AE3FF3">
        <w:rPr>
          <w:strike/>
        </w:rPr>
        <w:t xml:space="preserve"> (ET)</w:t>
      </w:r>
      <w:r w:rsidRPr="00AE3FF3">
        <w:rPr>
          <w:strike/>
        </w:rPr>
        <w:t xml:space="preserve"> especially if the</w:t>
      </w:r>
      <w:r w:rsidR="00CA043D" w:rsidRPr="00AE3FF3">
        <w:rPr>
          <w:strike/>
        </w:rPr>
        <w:t xml:space="preserve"> employee</w:t>
      </w:r>
      <w:r w:rsidRPr="00AE3FF3">
        <w:rPr>
          <w:strike/>
        </w:rPr>
        <w:t xml:space="preserve"> ha</w:t>
      </w:r>
      <w:r w:rsidR="00CA043D" w:rsidRPr="00AE3FF3">
        <w:rPr>
          <w:strike/>
        </w:rPr>
        <w:t>s</w:t>
      </w:r>
      <w:r w:rsidRPr="00AE3FF3">
        <w:rPr>
          <w:strike/>
        </w:rPr>
        <w:t xml:space="preserve"> been made redundant due to a protected characteristic. </w:t>
      </w:r>
    </w:p>
    <w:p w14:paraId="3904B6AE" w14:textId="347CD37D" w:rsidR="0077242A" w:rsidRPr="00AE3FF3" w:rsidRDefault="0077242A" w:rsidP="000C6857">
      <w:pPr>
        <w:pStyle w:val="Nornal"/>
        <w:rPr>
          <w:strike/>
        </w:rPr>
      </w:pPr>
      <w:r w:rsidRPr="00AE3FF3">
        <w:rPr>
          <w:strike/>
        </w:rPr>
        <w:t xml:space="preserve">The procedure of a redundancy </w:t>
      </w:r>
      <w:r w:rsidR="000C6857" w:rsidRPr="00AE3FF3">
        <w:rPr>
          <w:strike/>
        </w:rPr>
        <w:t>varies</w:t>
      </w:r>
      <w:r w:rsidR="00CA043D" w:rsidRPr="00AE3FF3">
        <w:rPr>
          <w:strike/>
        </w:rPr>
        <w:t xml:space="preserve"> dependent on the</w:t>
      </w:r>
      <w:r w:rsidRPr="00AE3FF3">
        <w:rPr>
          <w:strike/>
        </w:rPr>
        <w:t xml:space="preserve"> size of the redundanc</w:t>
      </w:r>
      <w:r w:rsidR="000C6857" w:rsidRPr="00AE3FF3">
        <w:rPr>
          <w:strike/>
        </w:rPr>
        <w:t>y</w:t>
      </w:r>
      <w:r w:rsidRPr="00AE3FF3">
        <w:rPr>
          <w:strike/>
        </w:rPr>
        <w:t>,</w:t>
      </w:r>
      <w:r w:rsidR="000C6857" w:rsidRPr="00AE3FF3">
        <w:rPr>
          <w:strike/>
        </w:rPr>
        <w:t xml:space="preserve"> it is good practice for businesses to create and follow a redundancy policy</w:t>
      </w:r>
      <w:r w:rsidR="00CA043D" w:rsidRPr="00AE3FF3">
        <w:rPr>
          <w:strike/>
        </w:rPr>
        <w:t xml:space="preserve"> </w:t>
      </w:r>
      <w:r w:rsidR="000C6857" w:rsidRPr="00AE3FF3">
        <w:rPr>
          <w:strike/>
        </w:rPr>
        <w:t>with the assistance of a trade union (CIPD, 2024b). I</w:t>
      </w:r>
      <w:r w:rsidRPr="00AE3FF3">
        <w:rPr>
          <w:strike/>
        </w:rPr>
        <w:t>f an employee is being made redundant, they are entitled to a consultation with their employer, have the option to move into a different role, have a notice period and be given the time to explore opportunities outside of the business (</w:t>
      </w:r>
      <w:r w:rsidR="000C6857" w:rsidRPr="00AE3FF3">
        <w:rPr>
          <w:strike/>
        </w:rPr>
        <w:t>ACAS</w:t>
      </w:r>
      <w:r w:rsidRPr="00AE3FF3">
        <w:rPr>
          <w:strike/>
        </w:rPr>
        <w:t>, 2024</w:t>
      </w:r>
      <w:r w:rsidR="000C6857" w:rsidRPr="00AE3FF3">
        <w:rPr>
          <w:strike/>
        </w:rPr>
        <w:t>d</w:t>
      </w:r>
      <w:r w:rsidRPr="00AE3FF3">
        <w:rPr>
          <w:strike/>
        </w:rPr>
        <w:t xml:space="preserve">). </w:t>
      </w:r>
      <w:r w:rsidR="000C6857" w:rsidRPr="00AE3FF3">
        <w:rPr>
          <w:strike/>
        </w:rPr>
        <w:t xml:space="preserve">Employers </w:t>
      </w:r>
      <w:proofErr w:type="gramStart"/>
      <w:r w:rsidR="00CA043D" w:rsidRPr="00AE3FF3">
        <w:rPr>
          <w:strike/>
        </w:rPr>
        <w:t>have to</w:t>
      </w:r>
      <w:proofErr w:type="gramEnd"/>
      <w:r w:rsidR="00CA043D" w:rsidRPr="00AE3FF3">
        <w:rPr>
          <w:strike/>
        </w:rPr>
        <w:t xml:space="preserve"> </w:t>
      </w:r>
      <w:r w:rsidR="000C6857" w:rsidRPr="00AE3FF3">
        <w:rPr>
          <w:strike/>
        </w:rPr>
        <w:t xml:space="preserve">pay statutory redundancy pay, outstanding holiday pay, notice pay or pay in lieu of notice (PILON) (CIPD, 2024b). </w:t>
      </w:r>
      <w:r w:rsidRPr="00AE3FF3">
        <w:rPr>
          <w:strike/>
        </w:rPr>
        <w:t xml:space="preserve">Employees </w:t>
      </w:r>
      <w:r w:rsidR="000C6857" w:rsidRPr="00AE3FF3">
        <w:rPr>
          <w:strike/>
        </w:rPr>
        <w:t>will</w:t>
      </w:r>
      <w:r w:rsidRPr="00AE3FF3">
        <w:rPr>
          <w:strike/>
        </w:rPr>
        <w:t xml:space="preserve"> receive statutory redundancy payment if they have </w:t>
      </w:r>
      <w:r w:rsidR="00CA043D" w:rsidRPr="00AE3FF3">
        <w:rPr>
          <w:strike/>
        </w:rPr>
        <w:t xml:space="preserve">over </w:t>
      </w:r>
      <w:r w:rsidRPr="00AE3FF3">
        <w:rPr>
          <w:strike/>
        </w:rPr>
        <w:t>2 years</w:t>
      </w:r>
      <w:r w:rsidR="00CA043D" w:rsidRPr="00AE3FF3">
        <w:rPr>
          <w:strike/>
        </w:rPr>
        <w:t>’</w:t>
      </w:r>
      <w:r w:rsidRPr="00AE3FF3">
        <w:rPr>
          <w:strike/>
        </w:rPr>
        <w:t xml:space="preserve"> </w:t>
      </w:r>
      <w:r w:rsidR="00CA043D" w:rsidRPr="00AE3FF3">
        <w:rPr>
          <w:strike/>
        </w:rPr>
        <w:t xml:space="preserve">service </w:t>
      </w:r>
      <w:r w:rsidRPr="00AE3FF3">
        <w:rPr>
          <w:strike/>
        </w:rPr>
        <w:t xml:space="preserve">and it is worked out </w:t>
      </w:r>
      <w:r w:rsidR="00CA043D" w:rsidRPr="00AE3FF3">
        <w:rPr>
          <w:strike/>
        </w:rPr>
        <w:t>based on</w:t>
      </w:r>
      <w:r w:rsidRPr="00AE3FF3">
        <w:rPr>
          <w:strike/>
        </w:rPr>
        <w:t xml:space="preserve"> </w:t>
      </w:r>
      <w:r w:rsidR="000C6857" w:rsidRPr="00AE3FF3">
        <w:rPr>
          <w:strike/>
        </w:rPr>
        <w:t>their</w:t>
      </w:r>
      <w:r w:rsidRPr="00AE3FF3">
        <w:rPr>
          <w:strike/>
        </w:rPr>
        <w:t xml:space="preserve"> continuous service, </w:t>
      </w:r>
      <w:proofErr w:type="gramStart"/>
      <w:r w:rsidRPr="00AE3FF3">
        <w:rPr>
          <w:strike/>
        </w:rPr>
        <w:t>age</w:t>
      </w:r>
      <w:proofErr w:type="gramEnd"/>
      <w:r w:rsidRPr="00AE3FF3">
        <w:rPr>
          <w:strike/>
        </w:rPr>
        <w:t xml:space="preserve"> and weekly pay.</w:t>
      </w:r>
    </w:p>
    <w:p w14:paraId="039D8D8F" w14:textId="59B9DC57" w:rsidR="004E3E61" w:rsidRPr="00AE3FF3" w:rsidRDefault="0077242A" w:rsidP="0077242A">
      <w:pPr>
        <w:pStyle w:val="Nornal"/>
        <w:rPr>
          <w:strike/>
        </w:rPr>
      </w:pPr>
      <w:r w:rsidRPr="00AE3FF3">
        <w:rPr>
          <w:strike/>
        </w:rPr>
        <w:t>Charlotte and Madeline</w:t>
      </w:r>
      <w:r w:rsidR="000C6857" w:rsidRPr="00AE3FF3">
        <w:rPr>
          <w:strike/>
        </w:rPr>
        <w:t xml:space="preserve"> should seek whether a redundancy process is required and should explore alternative options first such as employee relocation. They will need to alert employees that they are going into a redundancy process and communicate the redundancy plan and process in writing whilst individually consulting with the employees. </w:t>
      </w:r>
      <w:r w:rsidRPr="00AE3FF3">
        <w:rPr>
          <w:strike/>
        </w:rPr>
        <w:t xml:space="preserve">Angelica has 8 </w:t>
      </w:r>
      <w:r w:rsidR="000C6857" w:rsidRPr="00AE3FF3">
        <w:rPr>
          <w:strike/>
        </w:rPr>
        <w:t>years’ service</w:t>
      </w:r>
      <w:r w:rsidRPr="00AE3FF3">
        <w:rPr>
          <w:strike/>
        </w:rPr>
        <w:t xml:space="preserve"> and receives a salary of £700 per week, she would therefore receive 1.5 weeks of pay per year as she is over 41 years old, totalling £8,400. Saffron has 5 </w:t>
      </w:r>
      <w:r w:rsidR="000C6857" w:rsidRPr="00AE3FF3">
        <w:rPr>
          <w:strike/>
        </w:rPr>
        <w:t xml:space="preserve">years’ </w:t>
      </w:r>
      <w:proofErr w:type="gramStart"/>
      <w:r w:rsidR="000C6857" w:rsidRPr="00AE3FF3">
        <w:rPr>
          <w:strike/>
        </w:rPr>
        <w:t>service</w:t>
      </w:r>
      <w:proofErr w:type="gramEnd"/>
      <w:r w:rsidRPr="00AE3FF3">
        <w:rPr>
          <w:strike/>
        </w:rPr>
        <w:t xml:space="preserve"> and her salary is £350 per week, she would therefore receive 1 </w:t>
      </w:r>
      <w:r w:rsidR="000C6857" w:rsidRPr="00AE3FF3">
        <w:rPr>
          <w:strike/>
        </w:rPr>
        <w:t>weeks’</w:t>
      </w:r>
      <w:r w:rsidRPr="00AE3FF3">
        <w:rPr>
          <w:strike/>
        </w:rPr>
        <w:t xml:space="preserve"> pay per year as she is over the age of 22, totalling £1,750. Chip, Cherry, Reese and Carmel have less than 2 </w:t>
      </w:r>
      <w:r w:rsidR="000C6857" w:rsidRPr="00AE3FF3">
        <w:rPr>
          <w:strike/>
        </w:rPr>
        <w:t>years’ service,</w:t>
      </w:r>
      <w:r w:rsidRPr="00AE3FF3">
        <w:rPr>
          <w:strike/>
        </w:rPr>
        <w:t xml:space="preserve"> so they are not entitled to statutory redundancy pay. The below payments will be made to the employees when they leave the business including their 2 weeks’ notice pay.</w:t>
      </w:r>
      <w:r w:rsidR="000C6857" w:rsidRPr="00AE3FF3">
        <w:rPr>
          <w:strike/>
        </w:rPr>
        <w:t xml:space="preserve"> All employees should also receive payment of holidays accrued up to their termination date and pay in lieu of notice (PILON).</w:t>
      </w:r>
    </w:p>
    <w:p w14:paraId="4A2CAF2B" w14:textId="60447154" w:rsidR="000C6857" w:rsidRDefault="00AE3FF3" w:rsidP="0077242A">
      <w:pPr>
        <w:pStyle w:val="Nornal"/>
      </w:pPr>
      <w:r>
        <w:rPr>
          <w:noProof/>
          <w14:ligatures w14:val="standardContextual"/>
        </w:rPr>
        <w:lastRenderedPageBreak/>
        <mc:AlternateContent>
          <mc:Choice Requires="wps">
            <w:drawing>
              <wp:anchor distT="0" distB="0" distL="114300" distR="114300" simplePos="0" relativeHeight="251661312" behindDoc="0" locked="0" layoutInCell="1" allowOverlap="1" wp14:anchorId="74900E4E" wp14:editId="38C0928F">
                <wp:simplePos x="0" y="0"/>
                <wp:positionH relativeFrom="column">
                  <wp:posOffset>-25400</wp:posOffset>
                </wp:positionH>
                <wp:positionV relativeFrom="paragraph">
                  <wp:posOffset>25400</wp:posOffset>
                </wp:positionV>
                <wp:extent cx="5289550" cy="1181100"/>
                <wp:effectExtent l="19050" t="19050" r="25400" b="19050"/>
                <wp:wrapNone/>
                <wp:docPr id="2121659938" name="Straight Connector 1"/>
                <wp:cNvGraphicFramePr/>
                <a:graphic xmlns:a="http://schemas.openxmlformats.org/drawingml/2006/main">
                  <a:graphicData uri="http://schemas.microsoft.com/office/word/2010/wordprocessingShape">
                    <wps:wsp>
                      <wps:cNvCnPr/>
                      <wps:spPr>
                        <a:xfrm>
                          <a:off x="0" y="0"/>
                          <a:ext cx="5289550" cy="1181100"/>
                        </a:xfrm>
                        <a:prstGeom prst="line">
                          <a:avLst/>
                        </a:prstGeom>
                        <a:ln w="3810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8CCCEA"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2pt" to="414.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" strokecolor="black [3213]" strokeweight="3pt">
                <v:stroke joinstyle="miter"/>
              </v:line>
            </w:pict>
          </mc:Fallback>
        </mc:AlternateContent>
      </w:r>
      <w:r>
        <w:rPr>
          <w:noProof/>
          <w14:ligatures w14:val="standardContextual"/>
        </w:rPr>
        <mc:AlternateContent>
          <mc:Choice Requires="wps">
            <w:drawing>
              <wp:anchor distT="0" distB="0" distL="114300" distR="114300" simplePos="0" relativeHeight="251659264" behindDoc="0" locked="0" layoutInCell="1" allowOverlap="1" wp14:anchorId="5BEEDB81" wp14:editId="1A37A0ED">
                <wp:simplePos x="0" y="0"/>
                <wp:positionH relativeFrom="column">
                  <wp:posOffset>-57150</wp:posOffset>
                </wp:positionH>
                <wp:positionV relativeFrom="paragraph">
                  <wp:posOffset>25400</wp:posOffset>
                </wp:positionV>
                <wp:extent cx="5365750" cy="1193800"/>
                <wp:effectExtent l="19050" t="19050" r="25400" b="25400"/>
                <wp:wrapNone/>
                <wp:docPr id="1600721259" name="Straight Connector 1"/>
                <wp:cNvGraphicFramePr/>
                <a:graphic xmlns:a="http://schemas.openxmlformats.org/drawingml/2006/main">
                  <a:graphicData uri="http://schemas.microsoft.com/office/word/2010/wordprocessingShape">
                    <wps:wsp>
                      <wps:cNvCnPr/>
                      <wps:spPr>
                        <a:xfrm flipV="1">
                          <a:off x="0" y="0"/>
                          <a:ext cx="5365750" cy="1193800"/>
                        </a:xfrm>
                        <a:prstGeom prst="line">
                          <a:avLst/>
                        </a:prstGeom>
                        <a:ln w="3810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F8850E"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2pt" to="418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" strokecolor="black [3213]" strokeweight="3pt">
                <v:stroke joinstyle="miter"/>
              </v:line>
            </w:pict>
          </mc:Fallback>
        </mc:AlternateContent>
      </w:r>
      <w:r w:rsidR="000C6857">
        <w:rPr>
          <w:noProof/>
          <w14:ligatures w14:val="standardContextual"/>
        </w:rPr>
        <w:drawing>
          <wp:inline distT="0" distB="0" distL="0" distR="0" wp14:anchorId="2ED5B619" wp14:editId="20EBDED8">
            <wp:extent cx="5232400" cy="1265352"/>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4-05-19 at 20.37.01.png"/>
                    <pic:cNvPicPr/>
                  </pic:nvPicPr>
                  <pic:blipFill rotWithShape="1">
                    <a:blip r:embed="rId5">
                      <a:extLst>
                        <a:ext uri="{28A0092B-C50C-407E-A947-70E740481C1C}">
                          <a14:useLocalDpi xmlns:a14="http://schemas.microsoft.com/office/drawing/2010/main" val="0"/>
                        </a:ext>
                      </a:extLst>
                    </a:blip>
                    <a:srcRect l="57832" t="54955" r="8266" b="31927"/>
                    <a:stretch/>
                  </pic:blipFill>
                  <pic:spPr bwMode="auto">
                    <a:xfrm>
                      <a:off x="0" y="0"/>
                      <a:ext cx="5284789" cy="1278021"/>
                    </a:xfrm>
                    <a:prstGeom prst="rect">
                      <a:avLst/>
                    </a:prstGeom>
                    <a:ln>
                      <a:noFill/>
                    </a:ln>
                    <a:extLst>
                      <a:ext uri="{53640926-AAD7-44D8-BBD7-CCE9431645EC}">
                        <a14:shadowObscured xmlns:a14="http://schemas.microsoft.com/office/drawing/2010/main"/>
                      </a:ext>
                    </a:extLst>
                  </pic:spPr>
                </pic:pic>
              </a:graphicData>
            </a:graphic>
          </wp:inline>
        </w:drawing>
      </w:r>
    </w:p>
    <w:p w14:paraId="291A8301" w14:textId="77777777" w:rsidR="008D73DF" w:rsidRDefault="008D73DF" w:rsidP="00AE3FF3">
      <w:pPr>
        <w:pStyle w:val="Nornal"/>
        <w:rPr>
          <w:color w:val="FF0000"/>
        </w:rPr>
      </w:pPr>
    </w:p>
    <w:p w14:paraId="6ED1C00A" w14:textId="77777777" w:rsidR="008D73DF" w:rsidRDefault="008D73DF" w:rsidP="00AE3FF3">
      <w:pPr>
        <w:pStyle w:val="Nornal"/>
        <w:rPr>
          <w:color w:val="FF0000"/>
        </w:rPr>
      </w:pPr>
    </w:p>
    <w:p w14:paraId="49C89FD7" w14:textId="79207FBF" w:rsidR="00AE3FF3" w:rsidRPr="008D73DF" w:rsidRDefault="00AE3FF3" w:rsidP="00AE3FF3">
      <w:pPr>
        <w:pStyle w:val="Nornal"/>
        <w:rPr>
          <w:color w:val="FF0000"/>
        </w:rPr>
      </w:pPr>
      <w:r w:rsidRPr="008D73DF">
        <w:rPr>
          <w:color w:val="FF0000"/>
        </w:rPr>
        <w:t xml:space="preserve">Redundancies are a way of managing change in a business and are a fair reason for dismissal, as noted in the Employment Rights Act (1996). Redundancies occur when a business needs to reduce its work, ceases or the location of works ceases (CIPD, 2024a). Employers must follow the correct procedures and ensure that they attempt to avoid redundancies. If they do not, they could receive an unfair dismissal claim to Employment Tribunal (ET) especially if the employee has been made redundant due to a protected characteristic. </w:t>
      </w:r>
    </w:p>
    <w:p w14:paraId="30A8DF96" w14:textId="77777777" w:rsidR="00AE3FF3" w:rsidRPr="008D73DF" w:rsidRDefault="00AE3FF3" w:rsidP="00AE3FF3">
      <w:pPr>
        <w:pStyle w:val="Nornal"/>
        <w:rPr>
          <w:color w:val="FF0000"/>
        </w:rPr>
      </w:pPr>
      <w:r w:rsidRPr="008D73DF">
        <w:rPr>
          <w:color w:val="FF0000"/>
        </w:rPr>
        <w:t xml:space="preserve">Businesses should create and follow a redundancy policy with the assistance of a trade union (CIPD, 2024b). If employees are being made redundant, they are entitled to a consultation with their employer, have the option to move into a different role, have a notice period and be given the time to explore external opportunities (ACAS, 2024d). Employers must pay statutory redundancy pay, outstanding holiday pay, notice pay or pay in lieu of notice (PILON) (CIPD, 2024b). Employees will receive statutory redundancy payment if they have over 2 years’ service which is based on their continuous service, </w:t>
      </w:r>
      <w:proofErr w:type="gramStart"/>
      <w:r w:rsidRPr="008D73DF">
        <w:rPr>
          <w:color w:val="FF0000"/>
        </w:rPr>
        <w:t>age</w:t>
      </w:r>
      <w:proofErr w:type="gramEnd"/>
      <w:r w:rsidRPr="008D73DF">
        <w:rPr>
          <w:color w:val="FF0000"/>
        </w:rPr>
        <w:t xml:space="preserve"> and weekly pay.</w:t>
      </w:r>
    </w:p>
    <w:p w14:paraId="59964738" w14:textId="77777777" w:rsidR="00AE3FF3" w:rsidRPr="008D73DF" w:rsidRDefault="00AE3FF3" w:rsidP="00AE3FF3">
      <w:pPr>
        <w:pStyle w:val="Nornal"/>
        <w:rPr>
          <w:color w:val="FF0000"/>
        </w:rPr>
      </w:pPr>
      <w:r w:rsidRPr="008D73DF">
        <w:rPr>
          <w:color w:val="FF0000"/>
        </w:rPr>
        <w:t>Charlotte and Madeline should seek whether a redundancy process is required and should explore alternative options first. They will need to alert employees that they are going into a redundancy process and communicate the plan and process in writing whilst individually consulting with the employees.</w:t>
      </w:r>
    </w:p>
    <w:p w14:paraId="7537255A" w14:textId="77777777" w:rsidR="00AE3FF3" w:rsidRPr="008D73DF" w:rsidRDefault="00AE3FF3" w:rsidP="00AE3FF3">
      <w:pPr>
        <w:pStyle w:val="Nornal"/>
        <w:rPr>
          <w:color w:val="FF0000"/>
        </w:rPr>
      </w:pPr>
      <w:r w:rsidRPr="008D73DF">
        <w:rPr>
          <w:color w:val="FF0000"/>
        </w:rPr>
        <w:t>Angelica and Saffron would receive statutory redundancy payments as they have over 2 years’ service that is tax free. Angelica would receive £8,400 as she has 8 years’ service and is paid at a rate of 1.5 weeks per year as she is over 41 years old. Saffron would receive £1,750 as she has 5 years’ service and would receive 1 week per year as she is 30 years old. Due to their length of service, Angelica and Saffron would also have a statutory notice period of 1 week per year of employment which could be worked or paid as PILON, this is taxable. Chip, Cherry, Reese and Carmel have less than 2 years’ service, so they are not entitled to statutory redundancy. Their contractual notice of 2 weeks is higher than the statutory notice that they would receive. All employees must also receive any outstanding holiday and contractual benefit payments accrued up to their termination date and any outstanding wages, which are taxable.</w:t>
      </w:r>
    </w:p>
    <w:p w14:paraId="7B8005A2" w14:textId="77777777" w:rsidR="00AE3FF3" w:rsidRDefault="00AE3FF3" w:rsidP="00DA3205">
      <w:pPr>
        <w:rPr>
          <w:b/>
          <w:bCs/>
          <w:color w:val="000000" w:themeColor="text1"/>
          <w:u w:val="single"/>
        </w:rPr>
      </w:pPr>
      <w:r w:rsidRPr="00AE3FF3">
        <w:rPr>
          <w:rFonts w:ascii="Arial" w:hAnsi="Arial" w:cs="Arial"/>
          <w:kern w:val="0"/>
          <w14:ligatures w14:val="none"/>
        </w:rPr>
        <w:lastRenderedPageBreak/>
        <w:drawing>
          <wp:inline distT="0" distB="0" distL="0" distR="0" wp14:anchorId="26B5F055" wp14:editId="03ADB5F4">
            <wp:extent cx="5229955" cy="2686425"/>
            <wp:effectExtent l="0" t="0" r="8890" b="0"/>
            <wp:docPr id="1695718783" name="Picture 1" descr="A table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718783" name="Picture 1" descr="A table with text and numbers&#10;&#10;Description automatically generated"/>
                    <pic:cNvPicPr/>
                  </pic:nvPicPr>
                  <pic:blipFill>
                    <a:blip r:embed="rId6"/>
                    <a:stretch>
                      <a:fillRect/>
                    </a:stretch>
                  </pic:blipFill>
                  <pic:spPr>
                    <a:xfrm>
                      <a:off x="0" y="0"/>
                      <a:ext cx="5229955" cy="2686425"/>
                    </a:xfrm>
                    <a:prstGeom prst="rect">
                      <a:avLst/>
                    </a:prstGeom>
                  </pic:spPr>
                </pic:pic>
              </a:graphicData>
            </a:graphic>
          </wp:inline>
        </w:drawing>
      </w:r>
    </w:p>
    <w:p w14:paraId="3181A019" w14:textId="77777777" w:rsidR="008D73DF" w:rsidRDefault="008D73DF" w:rsidP="00DA3205">
      <w:pPr>
        <w:rPr>
          <w:b/>
          <w:bCs/>
          <w:color w:val="000000" w:themeColor="text1"/>
          <w:u w:val="single"/>
        </w:rPr>
      </w:pPr>
    </w:p>
    <w:p w14:paraId="3F144BB5" w14:textId="7FC130FF" w:rsidR="007B6F20" w:rsidRPr="00CA043D" w:rsidRDefault="00BB1EEA" w:rsidP="00DA3205">
      <w:pPr>
        <w:rPr>
          <w:b/>
          <w:bCs/>
          <w:color w:val="000000" w:themeColor="text1"/>
          <w:u w:val="single"/>
        </w:rPr>
      </w:pPr>
      <w:r w:rsidRPr="00CA043D">
        <w:rPr>
          <w:b/>
          <w:bCs/>
          <w:color w:val="000000" w:themeColor="text1"/>
          <w:u w:val="single"/>
        </w:rPr>
        <w:t>TUPE (AC.3.2)</w:t>
      </w:r>
    </w:p>
    <w:p w14:paraId="4CC63314" w14:textId="5252B27B" w:rsidR="004E3E61" w:rsidRDefault="004E3E61" w:rsidP="004E3E61">
      <w:pPr>
        <w:pStyle w:val="Nornal"/>
      </w:pPr>
      <w:r>
        <w:t>A Transfer of Undertakings (Protection of Employment) otherwise known as a TUPE occurs during a ‘relevant’ business transfer or a service provision change (CIPD, 2023</w:t>
      </w:r>
      <w:r w:rsidR="00CA043D">
        <w:t>c</w:t>
      </w:r>
      <w:r>
        <w:t>). This legislation was first brought forth in 1981 but has had many amendments, up until most recently in 2014 (</w:t>
      </w:r>
      <w:r w:rsidR="00CA043D">
        <w:t>Daniels, 2022, p.207</w:t>
      </w:r>
      <w:r>
        <w:t xml:space="preserve">). The TUPE agreement covers the rights of the employees that are being transferred over to a new business. When employees transfer over to a new business, their terms and conditions and any contractual benefits are also transferred over. As per the </w:t>
      </w:r>
      <w:r w:rsidRPr="00CA043D">
        <w:rPr>
          <w:i/>
        </w:rPr>
        <w:t>Ponticelli v Gallagher case</w:t>
      </w:r>
      <w:r>
        <w:t xml:space="preserve"> (2022), the employer failed to transfer a contractual benefit and the employment tribunal sided with the claimant. The transferor and transferee must ensure to consult with the affected employees to ensure that they understand the process and the risks of the TUPE process and also the measures that the transferor and transferee are going to take during this process. If they fail to consult with employees, then an employment tribunal can award up to 13-</w:t>
      </w:r>
      <w:proofErr w:type="spellStart"/>
      <w:r>
        <w:t>weeks</w:t>
      </w:r>
      <w:proofErr w:type="spellEnd"/>
      <w:r>
        <w:t xml:space="preserve"> pay per employee as a means of compensation for the lack of communication (</w:t>
      </w:r>
      <w:r w:rsidR="00CA043D">
        <w:t>Daniels, 2022, p.211)</w:t>
      </w:r>
      <w:r>
        <w:t xml:space="preserve">. </w:t>
      </w:r>
    </w:p>
    <w:p w14:paraId="6AA266C6" w14:textId="4138EB66" w:rsidR="004E3E61" w:rsidRDefault="004E3E61" w:rsidP="004E3E61">
      <w:pPr>
        <w:pStyle w:val="Nornal"/>
      </w:pPr>
      <w:r>
        <w:t xml:space="preserve">In this TUPE situation, the employees of Crumbly </w:t>
      </w:r>
      <w:r w:rsidR="00CA043D">
        <w:t>C</w:t>
      </w:r>
      <w:r>
        <w:t xml:space="preserve">akes are protected by the TUPE legislation that protects employee’s terms and conditions that they received before the transfer and their continuity of service. If they fail to </w:t>
      </w:r>
      <w:r w:rsidR="00CA043D">
        <w:t>transfer these terms and conditions</w:t>
      </w:r>
      <w:r>
        <w:t xml:space="preserve"> then it would be a breach of contract and the employee can claim that they are being discriminated against at an employment tribunal (GOV</w:t>
      </w:r>
      <w:r w:rsidR="00CA043D">
        <w:t>, n.d.</w:t>
      </w:r>
      <w:r>
        <w:t>). The new employer can change employee’s terms and conditions if it is due to an economic, technical or organisational reason (ETO) which relate to the daily running of the organisation. These could be relating to profitability, production processes, or organisational structure (</w:t>
      </w:r>
      <w:r w:rsidR="00CA043D">
        <w:t>Daniels, 2022, p.</w:t>
      </w:r>
      <w:r>
        <w:t xml:space="preserve">207). </w:t>
      </w:r>
      <w:r w:rsidR="00CA043D">
        <w:t>Charlotte and Madeline would need to consult with the new employees and their representatives to ensure that the proposed changes are reasonable.</w:t>
      </w:r>
    </w:p>
    <w:p w14:paraId="63CA7237" w14:textId="77777777" w:rsidR="00BB1EEA" w:rsidRDefault="00BB1EEA" w:rsidP="00DA3205">
      <w:pPr>
        <w:rPr>
          <w:b/>
          <w:bCs/>
          <w:color w:val="000000" w:themeColor="text1"/>
          <w:u w:val="single"/>
        </w:rPr>
      </w:pPr>
    </w:p>
    <w:p w14:paraId="5577EC64" w14:textId="77777777" w:rsidR="008D73DF" w:rsidRDefault="008D73DF" w:rsidP="00DA3205">
      <w:pPr>
        <w:rPr>
          <w:b/>
          <w:bCs/>
          <w:color w:val="000000" w:themeColor="text1"/>
          <w:u w:val="single"/>
        </w:rPr>
      </w:pPr>
    </w:p>
    <w:p w14:paraId="526E9E38" w14:textId="77777777" w:rsidR="008D73DF" w:rsidRDefault="008D73DF" w:rsidP="00DA3205">
      <w:pPr>
        <w:rPr>
          <w:b/>
          <w:bCs/>
          <w:color w:val="000000" w:themeColor="text1"/>
          <w:u w:val="single"/>
        </w:rPr>
      </w:pPr>
    </w:p>
    <w:p w14:paraId="5DDE77FD" w14:textId="77777777" w:rsidR="008D73DF" w:rsidRDefault="008D73DF" w:rsidP="00DA3205">
      <w:pPr>
        <w:rPr>
          <w:b/>
          <w:bCs/>
          <w:color w:val="000000" w:themeColor="text1"/>
          <w:u w:val="single"/>
        </w:rPr>
      </w:pPr>
    </w:p>
    <w:p w14:paraId="1A944050" w14:textId="715E2D95" w:rsidR="00BB1EEA" w:rsidRDefault="00CA043D" w:rsidP="00DA3205">
      <w:pPr>
        <w:rPr>
          <w:b/>
          <w:bCs/>
          <w:color w:val="000000" w:themeColor="text1"/>
          <w:u w:val="single"/>
        </w:rPr>
      </w:pPr>
      <w:r>
        <w:rPr>
          <w:b/>
          <w:bCs/>
          <w:color w:val="000000" w:themeColor="text1"/>
          <w:u w:val="single"/>
        </w:rPr>
        <w:lastRenderedPageBreak/>
        <w:t>National Minimum Wage</w:t>
      </w:r>
      <w:r w:rsidR="00BB1EEA">
        <w:rPr>
          <w:b/>
          <w:bCs/>
          <w:color w:val="000000" w:themeColor="text1"/>
          <w:u w:val="single"/>
        </w:rPr>
        <w:t xml:space="preserve"> (AC 4.1)</w:t>
      </w:r>
    </w:p>
    <w:p w14:paraId="38C68155" w14:textId="63E3A78C" w:rsidR="000C6857" w:rsidRDefault="00483B30" w:rsidP="00483B30">
      <w:pPr>
        <w:pStyle w:val="Nornal"/>
        <w:rPr>
          <w:rFonts w:asciiTheme="minorHAnsi" w:hAnsiTheme="minorHAnsi" w:cstheme="minorHAnsi"/>
        </w:rPr>
      </w:pPr>
      <w:r>
        <w:rPr>
          <w:rFonts w:asciiTheme="minorHAnsi" w:hAnsiTheme="minorHAnsi" w:cstheme="minorHAnsi"/>
        </w:rPr>
        <w:t xml:space="preserve">The National Minimum Wage Act </w:t>
      </w:r>
      <w:r w:rsidR="00CA043D">
        <w:rPr>
          <w:rFonts w:asciiTheme="minorHAnsi" w:hAnsiTheme="minorHAnsi" w:cstheme="minorHAnsi"/>
        </w:rPr>
        <w:t xml:space="preserve">(NMW) </w:t>
      </w:r>
      <w:r>
        <w:rPr>
          <w:rFonts w:asciiTheme="minorHAnsi" w:hAnsiTheme="minorHAnsi" w:cstheme="minorHAnsi"/>
        </w:rPr>
        <w:t xml:space="preserve">(1998) was introduced </w:t>
      </w:r>
      <w:r w:rsidR="00CA043D">
        <w:rPr>
          <w:rFonts w:asciiTheme="minorHAnsi" w:hAnsiTheme="minorHAnsi" w:cstheme="minorHAnsi"/>
        </w:rPr>
        <w:t xml:space="preserve">so that employees were earning a fair and consistent wage. The Low Pay Commission help set the national minimum wage (CIPD, 2023), this changes on an annual basis and can be dependent on age. As of April 2024, the NMW for apprentices and those aged 16-17 is £6.40, 18-20-year olds is £8.60 (GOV, 2024a). </w:t>
      </w:r>
      <w:r>
        <w:rPr>
          <w:rFonts w:asciiTheme="minorHAnsi" w:hAnsiTheme="minorHAnsi" w:cstheme="minorHAnsi"/>
        </w:rPr>
        <w:t>If an employee is over the age of 21 t</w:t>
      </w:r>
      <w:r w:rsidR="00CA043D">
        <w:rPr>
          <w:rFonts w:asciiTheme="minorHAnsi" w:hAnsiTheme="minorHAnsi" w:cstheme="minorHAnsi"/>
        </w:rPr>
        <w:t xml:space="preserve">hey will receive a National Living Wage which is slightly </w:t>
      </w:r>
      <w:r>
        <w:rPr>
          <w:rFonts w:asciiTheme="minorHAnsi" w:hAnsiTheme="minorHAnsi" w:cstheme="minorHAnsi"/>
        </w:rPr>
        <w:t xml:space="preserve">higher than the </w:t>
      </w:r>
      <w:r w:rsidR="00CA043D">
        <w:rPr>
          <w:rFonts w:asciiTheme="minorHAnsi" w:hAnsiTheme="minorHAnsi" w:cstheme="minorHAnsi"/>
        </w:rPr>
        <w:t>NMW</w:t>
      </w:r>
      <w:r>
        <w:rPr>
          <w:rFonts w:asciiTheme="minorHAnsi" w:hAnsiTheme="minorHAnsi" w:cstheme="minorHAnsi"/>
        </w:rPr>
        <w:t xml:space="preserve"> (ACAS, 2024</w:t>
      </w:r>
      <w:r w:rsidR="00CA043D">
        <w:rPr>
          <w:rFonts w:asciiTheme="minorHAnsi" w:hAnsiTheme="minorHAnsi" w:cstheme="minorHAnsi"/>
        </w:rPr>
        <w:t>e</w:t>
      </w:r>
      <w:r>
        <w:rPr>
          <w:rFonts w:asciiTheme="minorHAnsi" w:hAnsiTheme="minorHAnsi" w:cstheme="minorHAnsi"/>
        </w:rPr>
        <w:t>)</w:t>
      </w:r>
      <w:r w:rsidR="00CA043D">
        <w:rPr>
          <w:rFonts w:asciiTheme="minorHAnsi" w:hAnsiTheme="minorHAnsi" w:cstheme="minorHAnsi"/>
        </w:rPr>
        <w:t xml:space="preserve"> and is £11.44. </w:t>
      </w:r>
      <w:r>
        <w:rPr>
          <w:rFonts w:asciiTheme="minorHAnsi" w:hAnsiTheme="minorHAnsi" w:cstheme="minorHAnsi"/>
        </w:rPr>
        <w:t>Employers</w:t>
      </w:r>
      <w:r w:rsidR="000C6857">
        <w:rPr>
          <w:rFonts w:asciiTheme="minorHAnsi" w:hAnsiTheme="minorHAnsi" w:cstheme="minorHAnsi"/>
        </w:rPr>
        <w:t xml:space="preserve"> cannot include extra gratuities to bulk up an employees’ basic rate of pay, the basic rate needs to be at the national minimum, as seen in the </w:t>
      </w:r>
      <w:r w:rsidRPr="00CA043D">
        <w:rPr>
          <w:rFonts w:asciiTheme="minorHAnsi" w:hAnsiTheme="minorHAnsi" w:cstheme="minorHAnsi"/>
          <w:i/>
        </w:rPr>
        <w:t>Aviation and Airport Services V Bellfield and others</w:t>
      </w:r>
      <w:r>
        <w:rPr>
          <w:rFonts w:asciiTheme="minorHAnsi" w:hAnsiTheme="minorHAnsi" w:cstheme="minorHAnsi"/>
        </w:rPr>
        <w:t xml:space="preserve"> (2001) case.</w:t>
      </w:r>
      <w:r w:rsidR="000C6857">
        <w:rPr>
          <w:rFonts w:asciiTheme="minorHAnsi" w:hAnsiTheme="minorHAnsi" w:cstheme="minorHAnsi"/>
        </w:rPr>
        <w:t xml:space="preserve"> If </w:t>
      </w:r>
      <w:r w:rsidR="00CA043D">
        <w:rPr>
          <w:rFonts w:asciiTheme="minorHAnsi" w:hAnsiTheme="minorHAnsi" w:cstheme="minorHAnsi"/>
        </w:rPr>
        <w:t xml:space="preserve">an </w:t>
      </w:r>
      <w:r w:rsidR="000C6857">
        <w:rPr>
          <w:rFonts w:asciiTheme="minorHAnsi" w:hAnsiTheme="minorHAnsi" w:cstheme="minorHAnsi"/>
        </w:rPr>
        <w:t xml:space="preserve">employee believe that they are not being paid the </w:t>
      </w:r>
      <w:r w:rsidR="00CA043D">
        <w:rPr>
          <w:rFonts w:asciiTheme="minorHAnsi" w:hAnsiTheme="minorHAnsi" w:cstheme="minorHAnsi"/>
        </w:rPr>
        <w:t>NMW</w:t>
      </w:r>
      <w:r w:rsidR="000C6857">
        <w:rPr>
          <w:rFonts w:asciiTheme="minorHAnsi" w:hAnsiTheme="minorHAnsi" w:cstheme="minorHAnsi"/>
        </w:rPr>
        <w:t xml:space="preserve"> they can take it to an</w:t>
      </w:r>
      <w:r w:rsidR="00CA043D">
        <w:rPr>
          <w:rFonts w:asciiTheme="minorHAnsi" w:hAnsiTheme="minorHAnsi" w:cstheme="minorHAnsi"/>
        </w:rPr>
        <w:t xml:space="preserve"> </w:t>
      </w:r>
      <w:r w:rsidR="000C6857">
        <w:rPr>
          <w:rFonts w:asciiTheme="minorHAnsi" w:hAnsiTheme="minorHAnsi" w:cstheme="minorHAnsi"/>
        </w:rPr>
        <w:t>Employment Tribunal (ET) and receive fines up to £20,000 (Daniels, 2022, p.99)</w:t>
      </w:r>
      <w:r w:rsidR="00CA043D">
        <w:rPr>
          <w:rFonts w:asciiTheme="minorHAnsi" w:hAnsiTheme="minorHAnsi" w:cstheme="minorHAnsi"/>
        </w:rPr>
        <w:t>.</w:t>
      </w:r>
    </w:p>
    <w:p w14:paraId="0A4B9F02" w14:textId="1B69E003" w:rsidR="00CA043D" w:rsidRDefault="00CA043D" w:rsidP="00CA043D">
      <w:pPr>
        <w:pStyle w:val="Nornal"/>
        <w:rPr>
          <w:rFonts w:asciiTheme="minorHAnsi" w:hAnsiTheme="minorHAnsi" w:cstheme="minorHAnsi"/>
        </w:rPr>
      </w:pPr>
      <w:r>
        <w:rPr>
          <w:rFonts w:asciiTheme="minorHAnsi" w:hAnsiTheme="minorHAnsi" w:cstheme="minorHAnsi"/>
        </w:rPr>
        <w:t xml:space="preserve">As per the Employment Rights Act (1996), from the first day of employment employees have the right to have an itemised payslip to show how much they will receive over a certain period of time and the deductions of national insurance and tax from their wage (ACAS, 2024f). All salaried changes must be available to see such as the hours worked, different rates of pay and overtime worked. If there are any errors with the payslip, these would need to be addressed immediately to adjust correctly. </w:t>
      </w:r>
    </w:p>
    <w:p w14:paraId="452D81EC" w14:textId="2E7D1EF7" w:rsidR="00483B30" w:rsidRDefault="00483B30" w:rsidP="00483B30">
      <w:pPr>
        <w:pStyle w:val="Nornal"/>
        <w:rPr>
          <w:rFonts w:asciiTheme="minorHAnsi" w:hAnsiTheme="minorHAnsi" w:cstheme="minorHAnsi"/>
        </w:rPr>
      </w:pPr>
      <w:r>
        <w:rPr>
          <w:rFonts w:asciiTheme="minorHAnsi" w:hAnsiTheme="minorHAnsi" w:cstheme="minorHAnsi"/>
        </w:rPr>
        <w:t xml:space="preserve">In this circumstance, as per the new </w:t>
      </w:r>
      <w:r w:rsidR="00CA043D">
        <w:rPr>
          <w:rFonts w:asciiTheme="minorHAnsi" w:hAnsiTheme="minorHAnsi" w:cstheme="minorHAnsi"/>
        </w:rPr>
        <w:t>NMW</w:t>
      </w:r>
      <w:r>
        <w:rPr>
          <w:rFonts w:asciiTheme="minorHAnsi" w:hAnsiTheme="minorHAnsi" w:cstheme="minorHAnsi"/>
        </w:rPr>
        <w:t xml:space="preserve"> rates that were introduced, employees over the age of 21 should be paid £11.42 and those over 18-20 should be paid £8.60 per hour. </w:t>
      </w:r>
      <w:r w:rsidR="00CA043D">
        <w:rPr>
          <w:rFonts w:asciiTheme="minorHAnsi" w:hAnsiTheme="minorHAnsi" w:cstheme="minorHAnsi"/>
        </w:rPr>
        <w:t xml:space="preserve">If Charlotte and Madeline refuse to pay in accordance to the NMW, they are going against legislation and workers can either make a complaint to HMRC directly or take the claim to an ET, either way there will be a financial loss for the business. </w:t>
      </w:r>
      <w:r>
        <w:rPr>
          <w:rFonts w:asciiTheme="minorHAnsi" w:hAnsiTheme="minorHAnsi" w:cstheme="minorHAnsi"/>
        </w:rPr>
        <w:t xml:space="preserve">It would be </w:t>
      </w:r>
      <w:r w:rsidR="00CA043D">
        <w:rPr>
          <w:rFonts w:asciiTheme="minorHAnsi" w:hAnsiTheme="minorHAnsi" w:cstheme="minorHAnsi"/>
        </w:rPr>
        <w:t>beneficial to</w:t>
      </w:r>
      <w:r>
        <w:rPr>
          <w:rFonts w:asciiTheme="minorHAnsi" w:hAnsiTheme="minorHAnsi" w:cstheme="minorHAnsi"/>
        </w:rPr>
        <w:t xml:space="preserve"> complet</w:t>
      </w:r>
      <w:r w:rsidR="00CA043D">
        <w:rPr>
          <w:rFonts w:asciiTheme="minorHAnsi" w:hAnsiTheme="minorHAnsi" w:cstheme="minorHAnsi"/>
        </w:rPr>
        <w:t>e</w:t>
      </w:r>
      <w:r>
        <w:rPr>
          <w:rFonts w:asciiTheme="minorHAnsi" w:hAnsiTheme="minorHAnsi" w:cstheme="minorHAnsi"/>
        </w:rPr>
        <w:t xml:space="preserve"> an audit on current employees to ensure that they are legally paying employees the correct rate and age dependent. If a colleague’s age changes and they move into a different age bracket they will need to be paid the higher rate. It is legal to be paying employees equally as long as they are above the </w:t>
      </w:r>
      <w:r w:rsidR="00CA043D">
        <w:rPr>
          <w:rFonts w:asciiTheme="minorHAnsi" w:hAnsiTheme="minorHAnsi" w:cstheme="minorHAnsi"/>
        </w:rPr>
        <w:t>NMW thresholds for their age.</w:t>
      </w:r>
    </w:p>
    <w:p w14:paraId="736C7DA0" w14:textId="77777777" w:rsidR="004E3E61" w:rsidRDefault="004E3E61" w:rsidP="00483B30">
      <w:pPr>
        <w:pStyle w:val="Nornal"/>
        <w:rPr>
          <w:rFonts w:asciiTheme="minorHAnsi" w:hAnsiTheme="minorHAnsi" w:cstheme="minorHAnsi"/>
        </w:rPr>
      </w:pPr>
    </w:p>
    <w:p w14:paraId="71C52A1E" w14:textId="034B04A6" w:rsidR="004E3E61" w:rsidRPr="00CA043D" w:rsidRDefault="004E3E61" w:rsidP="004E3E61">
      <w:pPr>
        <w:rPr>
          <w:b/>
          <w:bCs/>
          <w:color w:val="000000" w:themeColor="text1"/>
          <w:u w:val="single"/>
        </w:rPr>
      </w:pPr>
      <w:r w:rsidRPr="00CA043D">
        <w:rPr>
          <w:b/>
          <w:bCs/>
          <w:color w:val="000000" w:themeColor="text1"/>
          <w:u w:val="single"/>
        </w:rPr>
        <w:t>Working Time Regulations (AC 4.2)</w:t>
      </w:r>
    </w:p>
    <w:p w14:paraId="4BC607B0" w14:textId="77777777" w:rsidR="00CA043D" w:rsidRDefault="004E3E61" w:rsidP="004E3E61">
      <w:pPr>
        <w:spacing w:after="120" w:line="264" w:lineRule="auto"/>
      </w:pPr>
      <w:r>
        <w:t>The health and safety of employees should be the main priority for employers and attempts should be made to prevent employees from burning out and overworking to the detriment of their health. The Working Time Regulations (1998)</w:t>
      </w:r>
      <w:r w:rsidR="00CA043D">
        <w:t xml:space="preserve"> </w:t>
      </w:r>
      <w:r>
        <w:t xml:space="preserve">introduced rules for employers to follow to protect the health and wellbeing of employees. </w:t>
      </w:r>
    </w:p>
    <w:p w14:paraId="7E27634C" w14:textId="45DFEB95" w:rsidR="004E3E61" w:rsidRDefault="004E3E61" w:rsidP="004E3E61">
      <w:pPr>
        <w:spacing w:after="120" w:line="264" w:lineRule="auto"/>
      </w:pPr>
      <w:r>
        <w:t xml:space="preserve">In the UK, employees are entitled to 5.6 weeks of paid leave per year including </w:t>
      </w:r>
      <w:r w:rsidR="00CA043D">
        <w:t>e</w:t>
      </w:r>
      <w:r>
        <w:t xml:space="preserve">ight bank holiday days. Employees are also entitled to receive an extra payment of holiday pay if they work variable hours averaged over a 52-week period. All workers are entitled to have sufficient rest periods and should have at least 11 hours rest during a 24-hour period, for young workers under 18 this increases to 12 hours. They are also entitled to have a 24-hour break in a 7-day period, this can be spread over a 14-day period. </w:t>
      </w:r>
      <w:r w:rsidR="00CA043D">
        <w:t>Employees</w:t>
      </w:r>
      <w:r>
        <w:t xml:space="preserve"> should have a break after 6 hours of work for at least 20 minutes of uninterrupted break (</w:t>
      </w:r>
      <w:r w:rsidR="00CA043D">
        <w:t>Daniels, 2022, pp.</w:t>
      </w:r>
      <w:r>
        <w:t>89-91).</w:t>
      </w:r>
      <w:r w:rsidRPr="00682DDC">
        <w:t xml:space="preserve"> </w:t>
      </w:r>
      <w:r>
        <w:t>This legislation protects employees by enabling them to limit their working hours to work no more than 48 hours averaged over a 17-week period, they also have the choice to opt out of this – this is referred to as the Working Time Directive (Gov, 2024</w:t>
      </w:r>
      <w:r w:rsidR="00CA043D">
        <w:t>b</w:t>
      </w:r>
      <w:r>
        <w:t>). An employer cannot treat an</w:t>
      </w:r>
      <w:r w:rsidR="00CA043D">
        <w:t xml:space="preserve"> </w:t>
      </w:r>
      <w:r>
        <w:t xml:space="preserve">employee unfairly if they decide to opt in to this agreement, as portrayed in the </w:t>
      </w:r>
      <w:r w:rsidRPr="00CA043D">
        <w:rPr>
          <w:i/>
        </w:rPr>
        <w:t>Barber and others v RJB mining case (1999).</w:t>
      </w:r>
      <w:r>
        <w:t xml:space="preserve"> If an employer fails to follow these </w:t>
      </w:r>
      <w:r>
        <w:lastRenderedPageBreak/>
        <w:t>rules, the employee could raise a formal complaint which could potentially give grounds for an employment tribunal c</w:t>
      </w:r>
      <w:r w:rsidR="00CA043D">
        <w:t>laim</w:t>
      </w:r>
      <w:r>
        <w:t xml:space="preserve"> (ACAS, 2024</w:t>
      </w:r>
      <w:r w:rsidR="00CA043D">
        <w:t>g</w:t>
      </w:r>
      <w:r>
        <w:t xml:space="preserve">). </w:t>
      </w:r>
    </w:p>
    <w:p w14:paraId="48195232" w14:textId="3A5D8D32" w:rsidR="004E3E61" w:rsidRDefault="004E3E61" w:rsidP="004E3E61">
      <w:pPr>
        <w:spacing w:after="120" w:line="264" w:lineRule="auto"/>
      </w:pPr>
      <w:r>
        <w:t xml:space="preserve">Kit could have grounds for a </w:t>
      </w:r>
      <w:r w:rsidR="00CA043D">
        <w:t>claim</w:t>
      </w:r>
      <w:r>
        <w:t xml:space="preserve"> on the groun</w:t>
      </w:r>
      <w:r w:rsidR="00CA043D">
        <w:t>ds</w:t>
      </w:r>
      <w:r>
        <w:t xml:space="preserve"> of the working time legislation if he has evidence to prove that he is not having adequate breaks as referenced above. Kit </w:t>
      </w:r>
      <w:r w:rsidR="00CA043D">
        <w:t>potentially is not</w:t>
      </w:r>
      <w:r>
        <w:t xml:space="preserve"> having enough rest time in between his shifts if he is covering his supervisors’ holiday and should be having a 24-hour break in a week period </w:t>
      </w:r>
      <w:r w:rsidR="00CA043D">
        <w:t xml:space="preserve">or </w:t>
      </w:r>
      <w:r>
        <w:t>48 hours split over a 2-week period. According to ACAS (2024</w:t>
      </w:r>
      <w:r w:rsidR="00CA043D">
        <w:t>g</w:t>
      </w:r>
      <w:r>
        <w:t xml:space="preserve">), employers should keep a record to prove that their employees are not working more than the 48-hour weekly maximum if they have opted in to this agreement. As kit is working over the 48-hour limit, he should be given the option to opt in or opt out of this, as the employer you can ask the employee to opt </w:t>
      </w:r>
      <w:proofErr w:type="gramStart"/>
      <w:r>
        <w:t>out</w:t>
      </w:r>
      <w:proofErr w:type="gramEnd"/>
      <w:r>
        <w:t xml:space="preserve"> but you cannot treat them unfairly if they decide to limit their hours.</w:t>
      </w:r>
    </w:p>
    <w:p w14:paraId="02222D83" w14:textId="3B405F51" w:rsidR="004E3E61" w:rsidRDefault="004E3E61" w:rsidP="004E3E61">
      <w:pPr>
        <w:spacing w:after="120" w:line="264" w:lineRule="auto"/>
      </w:pPr>
    </w:p>
    <w:p w14:paraId="2F958CEE" w14:textId="77777777" w:rsidR="00CA043D" w:rsidRDefault="00CA043D" w:rsidP="004E3E61">
      <w:pPr>
        <w:spacing w:after="120" w:line="264" w:lineRule="auto"/>
      </w:pPr>
    </w:p>
    <w:p w14:paraId="6F9E555A" w14:textId="3BCCC1BC" w:rsidR="004E3E61" w:rsidRPr="00CA043D" w:rsidRDefault="004E3E61" w:rsidP="004E3E61">
      <w:pPr>
        <w:rPr>
          <w:b/>
          <w:bCs/>
          <w:color w:val="000000" w:themeColor="text1"/>
          <w:u w:val="single"/>
        </w:rPr>
      </w:pPr>
      <w:r w:rsidRPr="00CA043D">
        <w:rPr>
          <w:b/>
          <w:bCs/>
          <w:color w:val="000000" w:themeColor="text1"/>
          <w:u w:val="single"/>
        </w:rPr>
        <w:t>Maternity Leave (AC 4.3)</w:t>
      </w:r>
    </w:p>
    <w:p w14:paraId="25495425" w14:textId="6FA15528" w:rsidR="00CA043D" w:rsidRDefault="004E3E61" w:rsidP="004E3E61">
      <w:r>
        <w:t xml:space="preserve">There are certain entitlements </w:t>
      </w:r>
      <w:r w:rsidR="000962D6">
        <w:t>that</w:t>
      </w:r>
      <w:r w:rsidR="00CA043D">
        <w:t xml:space="preserve"> expecting parents are entitled to, </w:t>
      </w:r>
      <w:r>
        <w:t>one of which is the right to maternity leave and maternity pay</w:t>
      </w:r>
      <w:r w:rsidR="00CA043D">
        <w:t>.</w:t>
      </w:r>
      <w:r>
        <w:t xml:space="preserve"> There are three types of maternity leave that </w:t>
      </w:r>
      <w:r w:rsidR="00CA043D">
        <w:t xml:space="preserve">pregnant women </w:t>
      </w:r>
      <w:r>
        <w:t>are entitled regardless of their length of service which are CML, OML and AML. Compulsory maternity leave (CML) is a 2-week period after a mother has given birth that they must take off at a minimum (G</w:t>
      </w:r>
      <w:r w:rsidR="00CA043D">
        <w:t>ov,</w:t>
      </w:r>
      <w:r>
        <w:t xml:space="preserve"> 2024</w:t>
      </w:r>
      <w:r w:rsidR="00CA043D">
        <w:t>c</w:t>
      </w:r>
      <w:r>
        <w:t>). Ordinary maternity leave (OML) is a 26-week period after the birth of the baby, Additional maternity leave (AML) is the 26-week period which starts at the end of the OML and continues up to 52 weeks (</w:t>
      </w:r>
      <w:r w:rsidR="00CA043D">
        <w:t>Daniels, 2022, p.</w:t>
      </w:r>
      <w:r>
        <w:t xml:space="preserve">103), employees have the right to receive all benefits whilst on maternity leave. </w:t>
      </w:r>
    </w:p>
    <w:p w14:paraId="139ED2C5" w14:textId="58CB0A64" w:rsidR="004E3E61" w:rsidRDefault="00CA043D" w:rsidP="004E3E61">
      <w:r>
        <w:t>E</w:t>
      </w:r>
      <w:r w:rsidR="004E3E61">
        <w:t>mployees are also entitled to receive Statutory Maternity Pay (SMP) for a 39-week period which is 90% of the employee’s wage for the first 6 weeks and then £184.03 for the following 33-week period (G</w:t>
      </w:r>
      <w:r>
        <w:t>ov</w:t>
      </w:r>
      <w:r w:rsidR="004E3E61">
        <w:t>, 2024</w:t>
      </w:r>
      <w:r>
        <w:t>c</w:t>
      </w:r>
      <w:r w:rsidR="004E3E61">
        <w:t>). This is dependent on whether the employee has worked for the business for 26 weeks prior to the 15</w:t>
      </w:r>
      <w:r w:rsidR="004E3E61" w:rsidRPr="00EB62F4">
        <w:rPr>
          <w:vertAlign w:val="superscript"/>
        </w:rPr>
        <w:t>th</w:t>
      </w:r>
      <w:r w:rsidR="004E3E61">
        <w:t xml:space="preserve"> week before the expected week of childbirth (EWC) and employers can also pay employees more than the statutory entitlement. Employers can reclaim 92% of this payment or they can apply for an advance if the employer thinks that it cannot afford the payments. Men also have certain rights in regard to paid paternity leave if they are eligible and there are also rights to those who are adopting a child – these are similar to maternity leave.</w:t>
      </w:r>
    </w:p>
    <w:p w14:paraId="4F0878C7" w14:textId="19DAD6AE" w:rsidR="004E3E61" w:rsidRDefault="004E3E61" w:rsidP="004E3E61">
      <w:r>
        <w:t xml:space="preserve">Coco legally has to take 2 weeks off after she has the baby, this would </w:t>
      </w:r>
      <w:r w:rsidR="00CA043D">
        <w:t>include a</w:t>
      </w:r>
      <w:r>
        <w:t xml:space="preserve"> statutory payment and would not be taken out of her holidays as she has a right to receive this.</w:t>
      </w:r>
      <w:r w:rsidR="00CA043D">
        <w:t xml:space="preserve"> S</w:t>
      </w:r>
      <w:r>
        <w:t>he is legally entitled to take up to 52 weeks of maternity leave, 39 weeks of which would be paid to her if she has been employed for 26 weeks before the 15 weeks before her EWC. There are maternity protections that cover a pregnant woman before, throughout and during her maternity leave that prevent any mistreatment or discrimination due to their pregnancy (</w:t>
      </w:r>
      <w:r w:rsidR="00CA043D">
        <w:t>Daniels, 2022, p.1</w:t>
      </w:r>
      <w:r>
        <w:t xml:space="preserve">01). If the employer fails to accept the amount that they have chosen to take off for maternity leave, this could be pregnancy discrimination and the employee could take the employer to an employment tribunal. As per the </w:t>
      </w:r>
      <w:r w:rsidRPr="00CA043D">
        <w:rPr>
          <w:i/>
        </w:rPr>
        <w:t xml:space="preserve">Gomez v Continental </w:t>
      </w:r>
      <w:proofErr w:type="spellStart"/>
      <w:r w:rsidRPr="00CA043D">
        <w:rPr>
          <w:i/>
        </w:rPr>
        <w:t>Industrias</w:t>
      </w:r>
      <w:proofErr w:type="spellEnd"/>
      <w:r w:rsidRPr="00CA043D">
        <w:rPr>
          <w:i/>
        </w:rPr>
        <w:t xml:space="preserve"> del Caucho SA case (2004),</w:t>
      </w:r>
      <w:r>
        <w:t xml:space="preserve"> an employer failed to pay an employee her holidays and overlapped an employee’s maternity leave and holidays, this was seen as pregnancy discrimination.</w:t>
      </w:r>
    </w:p>
    <w:p w14:paraId="49F27709" w14:textId="75CD761F" w:rsidR="004E3E61" w:rsidRDefault="004E3E61" w:rsidP="004E3E61"/>
    <w:p w14:paraId="401E5CE8" w14:textId="77777777" w:rsidR="008D73DF" w:rsidRDefault="008D73DF" w:rsidP="004E3E61"/>
    <w:p w14:paraId="700A7629" w14:textId="77777777" w:rsidR="008D73DF" w:rsidRDefault="008D73DF" w:rsidP="004E3E61"/>
    <w:p w14:paraId="48BCEF3C" w14:textId="1331EF18" w:rsidR="004E3E61" w:rsidRPr="00CA043D" w:rsidRDefault="004E3E61" w:rsidP="004E3E61">
      <w:pPr>
        <w:rPr>
          <w:b/>
          <w:bCs/>
          <w:color w:val="000000" w:themeColor="text1"/>
          <w:u w:val="single"/>
        </w:rPr>
      </w:pPr>
      <w:r w:rsidRPr="00CA043D">
        <w:rPr>
          <w:b/>
          <w:bCs/>
          <w:color w:val="000000" w:themeColor="text1"/>
          <w:u w:val="single"/>
        </w:rPr>
        <w:lastRenderedPageBreak/>
        <w:t>Flexible Working (AC 4.4)</w:t>
      </w:r>
    </w:p>
    <w:p w14:paraId="08B93AE7" w14:textId="2D575EAD" w:rsidR="00CA043D" w:rsidRDefault="004E3E61" w:rsidP="004E3E61">
      <w:pPr>
        <w:pStyle w:val="Nornal"/>
      </w:pPr>
      <w:r>
        <w:t xml:space="preserve">Employees value </w:t>
      </w:r>
      <w:r w:rsidR="00CA043D">
        <w:t xml:space="preserve">the </w:t>
      </w:r>
      <w:r>
        <w:t>balance between their working and personal lives</w:t>
      </w:r>
      <w:r w:rsidR="00CA043D">
        <w:t>, t</w:t>
      </w:r>
      <w:r>
        <w:t xml:space="preserve">he Flexible Working Regulations (2014) was introduced so that anyone with over 26 weeks service has the right to request amendments for more flexibility </w:t>
      </w:r>
      <w:r w:rsidR="00CA043D">
        <w:t>(Daniels, 2022, p.</w:t>
      </w:r>
      <w:r>
        <w:t xml:space="preserve">74). </w:t>
      </w:r>
      <w:r w:rsidR="00CA043D">
        <w:t>T</w:t>
      </w:r>
      <w:r>
        <w:t xml:space="preserve">his has recently changed in April 2024 so that employees </w:t>
      </w:r>
      <w:r w:rsidR="00CA043D">
        <w:t xml:space="preserve">can </w:t>
      </w:r>
      <w:r>
        <w:t>request a change from their first day of employment and can make two claims within a year period (ACAS, 2024</w:t>
      </w:r>
      <w:r w:rsidR="00CA043D">
        <w:t>h</w:t>
      </w:r>
      <w:r>
        <w:t xml:space="preserve">). Employees have a statutory right to request to make a change to their working hours, time and location in writing to their employer. </w:t>
      </w:r>
    </w:p>
    <w:p w14:paraId="4684B524" w14:textId="7F18067D" w:rsidR="004E3E61" w:rsidRDefault="004E3E61" w:rsidP="004E3E61">
      <w:pPr>
        <w:pStyle w:val="Nornal"/>
      </w:pPr>
      <w:r>
        <w:t xml:space="preserve">The employer must consult and consider </w:t>
      </w:r>
      <w:r w:rsidR="00CA043D">
        <w:t>the</w:t>
      </w:r>
      <w:r>
        <w:t xml:space="preserve"> request, before accepting, partially accepting or rejecting the request within a two-month period – using a specific agreed trial period could help to show the benefits or disadvantages </w:t>
      </w:r>
      <w:r w:rsidR="00CA043D">
        <w:t>of the proposed change</w:t>
      </w:r>
      <w:r>
        <w:t xml:space="preserve">. If the employer wishes to reject the request, they must provide proper reasoning as to why the request was </w:t>
      </w:r>
      <w:r w:rsidR="00CA043D">
        <w:t>denied. As</w:t>
      </w:r>
      <w:r>
        <w:t xml:space="preserve"> per the </w:t>
      </w:r>
      <w:r w:rsidRPr="00CA043D">
        <w:rPr>
          <w:i/>
        </w:rPr>
        <w:t>Commotion Ltd v Rutty case (2006),</w:t>
      </w:r>
      <w:r>
        <w:t xml:space="preserve"> the employer failed to follow the correct procedure and went ahead and denied the request without proper reasoning, the claimant was successful</w:t>
      </w:r>
      <w:r w:rsidR="00CA043D">
        <w:t xml:space="preserve"> in their case.</w:t>
      </w:r>
    </w:p>
    <w:p w14:paraId="1D6832C0" w14:textId="61EFDF8E" w:rsidR="00491CC8" w:rsidRDefault="004E3E61" w:rsidP="00CA043D">
      <w:pPr>
        <w:pStyle w:val="Nornal"/>
      </w:pPr>
      <w:r>
        <w:t xml:space="preserve">Chelsea has a statutory right to request flexible working in writing and as her employer, Charlotte’s reasoning would not be a reasonable excuse in an </w:t>
      </w:r>
      <w:r w:rsidR="00CA043D">
        <w:t>ET</w:t>
      </w:r>
      <w:r>
        <w:t xml:space="preserve">. Charlotte would need to take every request seriously and she would need to conduct a meeting with Chelsea to discuss the pros and cons of the proposed change within two months. </w:t>
      </w:r>
      <w:r w:rsidR="00CA043D">
        <w:t>A t</w:t>
      </w:r>
      <w:r>
        <w:t xml:space="preserve">rial period </w:t>
      </w:r>
      <w:r w:rsidR="00CA043D">
        <w:t>could be an option so that</w:t>
      </w:r>
      <w:r>
        <w:t xml:space="preserve"> Chelsea can work the part time hours, </w:t>
      </w:r>
      <w:r w:rsidR="00CA043D">
        <w:t>this</w:t>
      </w:r>
      <w:r>
        <w:t xml:space="preserve"> would outline the </w:t>
      </w:r>
      <w:r w:rsidR="00CA043D">
        <w:t>a</w:t>
      </w:r>
      <w:r>
        <w:t xml:space="preserve">ffects that this change would have on the business – it could also show that that Chelsea’s full-time hours are not needed and it could be a saving for the business. If the trial period is successful, Chelsea’s contractual agreement would need to be updated to reflect the new terms of employment. If unsuccessful, Charlotte would need to provide reasoning that is valid such as; inability to meet customer demand, cannot delegate tasks between the existing team, impacting </w:t>
      </w:r>
      <w:r w:rsidR="00CA043D">
        <w:t>employee’s</w:t>
      </w:r>
      <w:r>
        <w:t xml:space="preserve"> performance and quality of work and inability to recruit another part time member (</w:t>
      </w:r>
      <w:r w:rsidR="00CA043D">
        <w:t>Daniels, 2022, p.75</w:t>
      </w:r>
      <w:r>
        <w:t xml:space="preserve">). By considering the request and by </w:t>
      </w:r>
      <w:proofErr w:type="spellStart"/>
      <w:r>
        <w:t>trialing</w:t>
      </w:r>
      <w:proofErr w:type="spellEnd"/>
      <w:r>
        <w:t xml:space="preserve"> and giving valid reasoning would provide enough evidence that the process has been fair.</w:t>
      </w:r>
    </w:p>
    <w:p w14:paraId="72659EC8" w14:textId="77777777" w:rsidR="00491CC8" w:rsidRDefault="00491CC8" w:rsidP="004E3E61">
      <w:pPr>
        <w:spacing w:after="120" w:line="264" w:lineRule="auto"/>
      </w:pPr>
    </w:p>
    <w:p w14:paraId="7F9ED874" w14:textId="77777777" w:rsidR="008D73DF" w:rsidRDefault="008D73DF" w:rsidP="004E3E61">
      <w:pPr>
        <w:spacing w:after="120" w:line="264" w:lineRule="auto"/>
      </w:pPr>
    </w:p>
    <w:p w14:paraId="165870E4" w14:textId="77777777" w:rsidR="008D73DF" w:rsidRDefault="008D73DF" w:rsidP="004E3E61">
      <w:pPr>
        <w:spacing w:after="120" w:line="264" w:lineRule="auto"/>
      </w:pPr>
    </w:p>
    <w:p w14:paraId="5932957A" w14:textId="77777777" w:rsidR="008D73DF" w:rsidRDefault="008D73DF" w:rsidP="004E3E61">
      <w:pPr>
        <w:spacing w:after="120" w:line="264" w:lineRule="auto"/>
      </w:pPr>
    </w:p>
    <w:p w14:paraId="21E99944" w14:textId="77777777" w:rsidR="008D73DF" w:rsidRDefault="008D73DF" w:rsidP="004E3E61">
      <w:pPr>
        <w:spacing w:after="120" w:line="264" w:lineRule="auto"/>
      </w:pPr>
    </w:p>
    <w:p w14:paraId="164FC33D" w14:textId="77777777" w:rsidR="008D73DF" w:rsidRDefault="008D73DF" w:rsidP="004E3E61">
      <w:pPr>
        <w:spacing w:after="120" w:line="264" w:lineRule="auto"/>
      </w:pPr>
    </w:p>
    <w:p w14:paraId="15DA4647" w14:textId="77777777" w:rsidR="008D73DF" w:rsidRDefault="008D73DF" w:rsidP="004E3E61">
      <w:pPr>
        <w:spacing w:after="120" w:line="264" w:lineRule="auto"/>
      </w:pPr>
    </w:p>
    <w:p w14:paraId="70AD63B2" w14:textId="77777777" w:rsidR="008D73DF" w:rsidRDefault="008D73DF" w:rsidP="004E3E61">
      <w:pPr>
        <w:spacing w:after="120" w:line="264" w:lineRule="auto"/>
      </w:pPr>
    </w:p>
    <w:p w14:paraId="2F1ABE48" w14:textId="77777777" w:rsidR="008D73DF" w:rsidRDefault="008D73DF" w:rsidP="004E3E61">
      <w:pPr>
        <w:spacing w:after="120" w:line="264" w:lineRule="auto"/>
      </w:pPr>
    </w:p>
    <w:p w14:paraId="6FF5DC2E" w14:textId="77777777" w:rsidR="008D73DF" w:rsidRDefault="008D73DF" w:rsidP="004E3E61">
      <w:pPr>
        <w:spacing w:after="120" w:line="264" w:lineRule="auto"/>
      </w:pPr>
    </w:p>
    <w:p w14:paraId="70EEBE69" w14:textId="77777777" w:rsidR="008D73DF" w:rsidRDefault="008D73DF" w:rsidP="004E3E61">
      <w:pPr>
        <w:spacing w:after="120" w:line="264" w:lineRule="auto"/>
      </w:pPr>
    </w:p>
    <w:p w14:paraId="65995FC4" w14:textId="77777777" w:rsidR="008D73DF" w:rsidRDefault="008D73DF" w:rsidP="004E3E61">
      <w:pPr>
        <w:spacing w:after="120" w:line="264" w:lineRule="auto"/>
      </w:pPr>
    </w:p>
    <w:p w14:paraId="24E1A4B0" w14:textId="77777777" w:rsidR="008D73DF" w:rsidRDefault="008D73DF" w:rsidP="004E3E61">
      <w:pPr>
        <w:spacing w:after="120" w:line="264" w:lineRule="auto"/>
      </w:pPr>
    </w:p>
    <w:p w14:paraId="62E47764" w14:textId="2D366119" w:rsidR="004E3E61" w:rsidRDefault="004E3E61" w:rsidP="00483B30">
      <w:pPr>
        <w:pStyle w:val="Nornal"/>
        <w:rPr>
          <w:rFonts w:asciiTheme="minorHAnsi" w:hAnsiTheme="minorHAnsi" w:cstheme="minorHAnsi"/>
          <w:b/>
          <w:u w:val="single"/>
        </w:rPr>
      </w:pPr>
      <w:r>
        <w:rPr>
          <w:rFonts w:asciiTheme="minorHAnsi" w:hAnsiTheme="minorHAnsi" w:cstheme="minorHAnsi"/>
          <w:b/>
          <w:u w:val="single"/>
        </w:rPr>
        <w:lastRenderedPageBreak/>
        <w:t>References</w:t>
      </w:r>
    </w:p>
    <w:p w14:paraId="33E467EF" w14:textId="77777777" w:rsidR="00855773" w:rsidRDefault="00855773" w:rsidP="00855773">
      <w:pPr>
        <w:pStyle w:val="Nornal"/>
        <w:numPr>
          <w:ilvl w:val="0"/>
          <w:numId w:val="1"/>
        </w:numPr>
        <w:spacing w:after="0"/>
        <w:rPr>
          <w:rFonts w:asciiTheme="minorHAnsi" w:hAnsiTheme="minorHAnsi" w:cstheme="minorHAnsi"/>
        </w:rPr>
      </w:pPr>
      <w:r>
        <w:rPr>
          <w:rFonts w:asciiTheme="minorHAnsi" w:hAnsiTheme="minorHAnsi" w:cstheme="minorHAnsi"/>
        </w:rPr>
        <w:t xml:space="preserve">‘Aviation &amp; Airport Services Ltd V Bell-Field &amp; ORS’ (2001) United Kingdom Employment Tribunal Appeal. Case 194/00/1403. Available at: </w:t>
      </w:r>
      <w:hyperlink r:id="rId7" w:history="1">
        <w:r w:rsidRPr="00381388">
          <w:rPr>
            <w:rStyle w:val="Hyperlink"/>
            <w:rFonts w:asciiTheme="minorHAnsi" w:hAnsiTheme="minorHAnsi" w:cstheme="minorHAnsi"/>
          </w:rPr>
          <w:t>https://www.casemine.com/judgement/uk/5a8ff78d60d03e7f57eaefc9</w:t>
        </w:r>
      </w:hyperlink>
      <w:r>
        <w:rPr>
          <w:rFonts w:asciiTheme="minorHAnsi" w:hAnsiTheme="minorHAnsi" w:cstheme="minorHAnsi"/>
        </w:rPr>
        <w:t xml:space="preserve"> (Accessed 28th April 2024). </w:t>
      </w:r>
    </w:p>
    <w:p w14:paraId="5C740674" w14:textId="77777777" w:rsidR="00855773" w:rsidRDefault="00855773" w:rsidP="00855773">
      <w:pPr>
        <w:pStyle w:val="Nornal"/>
        <w:numPr>
          <w:ilvl w:val="0"/>
          <w:numId w:val="1"/>
        </w:numPr>
        <w:spacing w:after="0"/>
        <w:rPr>
          <w:rFonts w:asciiTheme="minorHAnsi" w:hAnsiTheme="minorHAnsi" w:cstheme="minorHAnsi"/>
        </w:rPr>
      </w:pPr>
      <w:r>
        <w:rPr>
          <w:rFonts w:asciiTheme="minorHAnsi" w:hAnsiTheme="minorHAnsi" w:cstheme="minorHAnsi"/>
        </w:rPr>
        <w:t xml:space="preserve">‘Barber and others v RJB Mining (UK) Ltd (1999). High Court of Justice. Case 679. Available at: </w:t>
      </w:r>
      <w:hyperlink r:id="rId8" w:history="1">
        <w:r w:rsidRPr="00381388">
          <w:rPr>
            <w:rStyle w:val="Hyperlink"/>
            <w:rFonts w:asciiTheme="minorHAnsi" w:hAnsiTheme="minorHAnsi" w:cstheme="minorHAnsi"/>
          </w:rPr>
          <w:t>https://app.croneri.co.uk/law-and-guidance/case-reports/barber-and-others-v-rjb-mining-uk-ltd-1999-irlr-308-hc?topic=3309</w:t>
        </w:r>
      </w:hyperlink>
      <w:r>
        <w:rPr>
          <w:rFonts w:asciiTheme="minorHAnsi" w:hAnsiTheme="minorHAnsi" w:cstheme="minorHAnsi"/>
        </w:rPr>
        <w:t xml:space="preserve"> (Accessed 6</w:t>
      </w:r>
      <w:r w:rsidRPr="00CA043D">
        <w:rPr>
          <w:rFonts w:asciiTheme="minorHAnsi" w:hAnsiTheme="minorHAnsi" w:cstheme="minorHAnsi"/>
          <w:vertAlign w:val="superscript"/>
        </w:rPr>
        <w:t>th</w:t>
      </w:r>
      <w:r>
        <w:rPr>
          <w:rFonts w:asciiTheme="minorHAnsi" w:hAnsiTheme="minorHAnsi" w:cstheme="minorHAnsi"/>
        </w:rPr>
        <w:t xml:space="preserve"> May 2024). </w:t>
      </w:r>
    </w:p>
    <w:p w14:paraId="6A2866AE" w14:textId="77777777" w:rsidR="00855773" w:rsidRDefault="00855773" w:rsidP="00855773">
      <w:pPr>
        <w:pStyle w:val="Nornal"/>
        <w:numPr>
          <w:ilvl w:val="0"/>
          <w:numId w:val="1"/>
        </w:numPr>
        <w:spacing w:after="0"/>
        <w:rPr>
          <w:rFonts w:asciiTheme="minorHAnsi" w:hAnsiTheme="minorHAnsi" w:cstheme="minorHAnsi"/>
        </w:rPr>
      </w:pPr>
      <w:r>
        <w:rPr>
          <w:rFonts w:asciiTheme="minorHAnsi" w:hAnsiTheme="minorHAnsi" w:cstheme="minorHAnsi"/>
        </w:rPr>
        <w:t xml:space="preserve">‘Commotion Ltd V Rutty’ (2005) United Kingdom Employment Appeal Tribunal. Case 0418/05. Available at: </w:t>
      </w:r>
      <w:hyperlink r:id="rId9" w:history="1">
        <w:r w:rsidRPr="00381388">
          <w:rPr>
            <w:rStyle w:val="Hyperlink"/>
            <w:rFonts w:asciiTheme="minorHAnsi" w:hAnsiTheme="minorHAnsi" w:cstheme="minorHAnsi"/>
          </w:rPr>
          <w:t>https://www.casemine.com/judgement/uk/5a8ff76c60d03e7f57eac552</w:t>
        </w:r>
      </w:hyperlink>
      <w:r>
        <w:rPr>
          <w:rFonts w:asciiTheme="minorHAnsi" w:hAnsiTheme="minorHAnsi" w:cstheme="minorHAnsi"/>
        </w:rPr>
        <w:t xml:space="preserve"> (Accessed 17th May 2024). </w:t>
      </w:r>
    </w:p>
    <w:p w14:paraId="2AF8198C" w14:textId="77777777" w:rsidR="00855773" w:rsidRDefault="00855773" w:rsidP="00855773">
      <w:pPr>
        <w:pStyle w:val="Nornal"/>
        <w:numPr>
          <w:ilvl w:val="0"/>
          <w:numId w:val="1"/>
        </w:numPr>
        <w:spacing w:after="0"/>
        <w:rPr>
          <w:rFonts w:asciiTheme="minorHAnsi" w:hAnsiTheme="minorHAnsi" w:cstheme="minorHAnsi"/>
        </w:rPr>
      </w:pPr>
      <w:r>
        <w:rPr>
          <w:rFonts w:asciiTheme="minorHAnsi" w:hAnsiTheme="minorHAnsi" w:cstheme="minorHAnsi"/>
        </w:rPr>
        <w:t xml:space="preserve">‘Gomez v Continental </w:t>
      </w:r>
      <w:proofErr w:type="spellStart"/>
      <w:r>
        <w:rPr>
          <w:rFonts w:asciiTheme="minorHAnsi" w:hAnsiTheme="minorHAnsi" w:cstheme="minorHAnsi"/>
        </w:rPr>
        <w:t>Industrias</w:t>
      </w:r>
      <w:proofErr w:type="spellEnd"/>
      <w:r>
        <w:rPr>
          <w:rFonts w:asciiTheme="minorHAnsi" w:hAnsiTheme="minorHAnsi" w:cstheme="minorHAnsi"/>
        </w:rPr>
        <w:t xml:space="preserve"> del Caucho SA (2004)’ European Court of Justice. Case 342/01. </w:t>
      </w:r>
      <w:r>
        <w:rPr>
          <w:rFonts w:asciiTheme="minorHAnsi" w:hAnsiTheme="minorHAnsi" w:cstheme="minorHAnsi"/>
          <w:i/>
        </w:rPr>
        <w:t xml:space="preserve">Eversheds HR Group. </w:t>
      </w:r>
      <w:r>
        <w:rPr>
          <w:rFonts w:asciiTheme="minorHAnsi" w:hAnsiTheme="minorHAnsi" w:cstheme="minorHAnsi"/>
        </w:rPr>
        <w:t xml:space="preserve">Available at: </w:t>
      </w:r>
      <w:hyperlink r:id="rId10" w:history="1">
        <w:r w:rsidRPr="00381388">
          <w:rPr>
            <w:rStyle w:val="Hyperlink"/>
            <w:rFonts w:asciiTheme="minorHAnsi" w:hAnsiTheme="minorHAnsi" w:cstheme="minorHAnsi"/>
          </w:rPr>
          <w:t>https://www.personneltoday.com/hr/gomez-v-continental-industrias-del-caucho-sa-ecj-c-34201/</w:t>
        </w:r>
      </w:hyperlink>
      <w:r>
        <w:rPr>
          <w:rFonts w:asciiTheme="minorHAnsi" w:hAnsiTheme="minorHAnsi" w:cstheme="minorHAnsi"/>
        </w:rPr>
        <w:t xml:space="preserve"> (Accessed 8</w:t>
      </w:r>
      <w:r w:rsidRPr="00CA043D">
        <w:rPr>
          <w:rFonts w:asciiTheme="minorHAnsi" w:hAnsiTheme="minorHAnsi" w:cstheme="minorHAnsi"/>
          <w:vertAlign w:val="superscript"/>
        </w:rPr>
        <w:t>th</w:t>
      </w:r>
      <w:r>
        <w:rPr>
          <w:rFonts w:asciiTheme="minorHAnsi" w:hAnsiTheme="minorHAnsi" w:cstheme="minorHAnsi"/>
        </w:rPr>
        <w:t xml:space="preserve"> May 2024). </w:t>
      </w:r>
    </w:p>
    <w:p w14:paraId="0AF8DEC3" w14:textId="77777777" w:rsidR="00855773" w:rsidRPr="00F80FEA" w:rsidRDefault="00855773" w:rsidP="00855773">
      <w:pPr>
        <w:pStyle w:val="Nornal"/>
        <w:numPr>
          <w:ilvl w:val="0"/>
          <w:numId w:val="1"/>
        </w:numPr>
        <w:spacing w:after="0"/>
        <w:rPr>
          <w:rFonts w:asciiTheme="minorHAnsi" w:hAnsiTheme="minorHAnsi" w:cstheme="minorHAnsi"/>
        </w:rPr>
      </w:pPr>
      <w:r>
        <w:rPr>
          <w:rFonts w:asciiTheme="minorHAnsi" w:hAnsiTheme="minorHAnsi" w:cstheme="minorHAnsi"/>
        </w:rPr>
        <w:t>‘Mr N Mc</w:t>
      </w:r>
      <w:r w:rsidRPr="00F80FEA">
        <w:t xml:space="preserve">Clements V </w:t>
      </w:r>
      <w:r>
        <w:t xml:space="preserve">Guy’s and St Thomas’ </w:t>
      </w:r>
      <w:r w:rsidRPr="00F80FEA">
        <w:t>NHS Foundation Trust</w:t>
      </w:r>
      <w:r>
        <w:t>’</w:t>
      </w:r>
      <w:r w:rsidRPr="00F80FEA">
        <w:t xml:space="preserve"> (2020)</w:t>
      </w:r>
      <w:r>
        <w:t xml:space="preserve"> London South Employment Tribunal, case 2303535/2018. </w:t>
      </w:r>
      <w:r w:rsidRPr="00F80FEA">
        <w:rPr>
          <w:i/>
        </w:rPr>
        <w:t>HM Courts &amp; Tribunal Service</w:t>
      </w:r>
      <w:r>
        <w:t xml:space="preserve">. Available at: </w:t>
      </w:r>
      <w:hyperlink r:id="rId11" w:history="1">
        <w:r w:rsidRPr="00381388">
          <w:rPr>
            <w:rStyle w:val="Hyperlink"/>
          </w:rPr>
          <w:t>https://www.gov.uk/employment-tribunal-decisions/mr-n-clements-v-guy-s-and-st-thomas-nhs-foundation-trust-2303535-2018</w:t>
        </w:r>
      </w:hyperlink>
      <w:r>
        <w:t xml:space="preserve"> (Accessed April 19th 2024). </w:t>
      </w:r>
    </w:p>
    <w:p w14:paraId="08869C96" w14:textId="77777777" w:rsidR="00855773" w:rsidRDefault="00855773" w:rsidP="00855773">
      <w:pPr>
        <w:pStyle w:val="Nornal"/>
        <w:numPr>
          <w:ilvl w:val="0"/>
          <w:numId w:val="1"/>
        </w:numPr>
        <w:spacing w:after="0"/>
        <w:rPr>
          <w:rFonts w:asciiTheme="minorHAnsi" w:hAnsiTheme="minorHAnsi" w:cstheme="minorHAnsi"/>
        </w:rPr>
      </w:pPr>
      <w:r>
        <w:rPr>
          <w:rFonts w:asciiTheme="minorHAnsi" w:hAnsiTheme="minorHAnsi" w:cstheme="minorHAnsi"/>
        </w:rPr>
        <w:t xml:space="preserve">‘Ponticelli UK Ltd v Mr A Gallagher’ (2022) Employment Appeal Tribunal. Case 140. </w:t>
      </w:r>
      <w:r>
        <w:rPr>
          <w:rFonts w:asciiTheme="minorHAnsi" w:hAnsiTheme="minorHAnsi" w:cstheme="minorHAnsi"/>
          <w:i/>
        </w:rPr>
        <w:t xml:space="preserve">HM Courts and Tribunals Service. </w:t>
      </w:r>
      <w:r>
        <w:rPr>
          <w:rFonts w:asciiTheme="minorHAnsi" w:hAnsiTheme="minorHAnsi" w:cstheme="minorHAnsi"/>
        </w:rPr>
        <w:t xml:space="preserve">Available at </w:t>
      </w:r>
      <w:hyperlink r:id="rId12" w:history="1">
        <w:r w:rsidRPr="00381388">
          <w:rPr>
            <w:rStyle w:val="Hyperlink"/>
            <w:rFonts w:asciiTheme="minorHAnsi" w:hAnsiTheme="minorHAnsi" w:cstheme="minorHAnsi"/>
          </w:rPr>
          <w:t>https://assets.publishing.service.gov.uk/media/631f2e718fa8f5020c4015ad/Ponticelli_UK_Ltd_v_Mr_A_Gallagher_2022_EAT_141.pdf</w:t>
        </w:r>
      </w:hyperlink>
      <w:r>
        <w:rPr>
          <w:rFonts w:asciiTheme="minorHAnsi" w:hAnsiTheme="minorHAnsi" w:cstheme="minorHAnsi"/>
        </w:rPr>
        <w:t xml:space="preserve"> (Accessed 16th May 2024). </w:t>
      </w:r>
    </w:p>
    <w:p w14:paraId="2F31CD62" w14:textId="77777777" w:rsidR="00855773" w:rsidRDefault="00855773" w:rsidP="00855773">
      <w:pPr>
        <w:pStyle w:val="Nornal"/>
        <w:numPr>
          <w:ilvl w:val="0"/>
          <w:numId w:val="1"/>
        </w:numPr>
        <w:spacing w:after="0"/>
        <w:rPr>
          <w:rFonts w:asciiTheme="minorHAnsi" w:hAnsiTheme="minorHAnsi" w:cstheme="minorHAnsi"/>
        </w:rPr>
      </w:pPr>
      <w:r>
        <w:rPr>
          <w:rFonts w:asciiTheme="minorHAnsi" w:hAnsiTheme="minorHAnsi" w:cstheme="minorHAnsi"/>
        </w:rPr>
        <w:t xml:space="preserve">‘William Ball Ltd V Wood &amp; ORS’ (2002) United Kingdom Employment Appeal Tribunal. Case 89/01/21012. Available at: </w:t>
      </w:r>
      <w:hyperlink r:id="rId13" w:history="1">
        <w:r w:rsidRPr="00381388">
          <w:rPr>
            <w:rStyle w:val="Hyperlink"/>
            <w:rFonts w:asciiTheme="minorHAnsi" w:hAnsiTheme="minorHAnsi" w:cstheme="minorHAnsi"/>
          </w:rPr>
          <w:t>https://www.bailii.org/uk/cases/UKEAT/2002/89_01_2102.html</w:t>
        </w:r>
      </w:hyperlink>
      <w:r>
        <w:rPr>
          <w:rFonts w:asciiTheme="minorHAnsi" w:hAnsiTheme="minorHAnsi" w:cstheme="minorHAnsi"/>
        </w:rPr>
        <w:t>. (Accessed 18</w:t>
      </w:r>
      <w:r w:rsidRPr="000C6857">
        <w:rPr>
          <w:rFonts w:asciiTheme="minorHAnsi" w:hAnsiTheme="minorHAnsi" w:cstheme="minorHAnsi"/>
          <w:vertAlign w:val="superscript"/>
        </w:rPr>
        <w:t>th</w:t>
      </w:r>
      <w:r>
        <w:rPr>
          <w:rFonts w:asciiTheme="minorHAnsi" w:hAnsiTheme="minorHAnsi" w:cstheme="minorHAnsi"/>
        </w:rPr>
        <w:t xml:space="preserve"> May 2024). </w:t>
      </w:r>
    </w:p>
    <w:p w14:paraId="24A0E67F" w14:textId="77777777" w:rsidR="00855773" w:rsidRDefault="00855773" w:rsidP="00855773">
      <w:pPr>
        <w:pStyle w:val="Nornal"/>
        <w:numPr>
          <w:ilvl w:val="0"/>
          <w:numId w:val="1"/>
        </w:numPr>
        <w:spacing w:after="0"/>
        <w:rPr>
          <w:rFonts w:asciiTheme="minorHAnsi" w:hAnsiTheme="minorHAnsi" w:cstheme="minorHAnsi"/>
        </w:rPr>
      </w:pPr>
      <w:r>
        <w:rPr>
          <w:rFonts w:asciiTheme="minorHAnsi" w:hAnsiTheme="minorHAnsi" w:cstheme="minorHAnsi"/>
        </w:rPr>
        <w:t xml:space="preserve">ACAS (2022) </w:t>
      </w:r>
      <w:r>
        <w:rPr>
          <w:rFonts w:asciiTheme="minorHAnsi" w:hAnsiTheme="minorHAnsi" w:cstheme="minorHAnsi"/>
          <w:i/>
        </w:rPr>
        <w:t xml:space="preserve">Early Conciliation: How the process works. </w:t>
      </w:r>
      <w:r>
        <w:rPr>
          <w:rFonts w:asciiTheme="minorHAnsi" w:hAnsiTheme="minorHAnsi" w:cstheme="minorHAnsi"/>
        </w:rPr>
        <w:t xml:space="preserve">Available at: </w:t>
      </w:r>
      <w:hyperlink r:id="rId14" w:history="1">
        <w:r w:rsidRPr="00381388">
          <w:rPr>
            <w:rStyle w:val="Hyperlink"/>
            <w:rFonts w:asciiTheme="minorHAnsi" w:hAnsiTheme="minorHAnsi" w:cstheme="minorHAnsi"/>
          </w:rPr>
          <w:t>https://www.acas.org.uk/early-conciliation/how-early-conciliation-works</w:t>
        </w:r>
      </w:hyperlink>
      <w:r>
        <w:rPr>
          <w:rFonts w:asciiTheme="minorHAnsi" w:hAnsiTheme="minorHAnsi" w:cstheme="minorHAnsi"/>
        </w:rPr>
        <w:t xml:space="preserve"> (Accessed 19th April 2024).</w:t>
      </w:r>
    </w:p>
    <w:p w14:paraId="4BB74AF6" w14:textId="77777777" w:rsidR="00855773" w:rsidRDefault="00855773" w:rsidP="00855773">
      <w:pPr>
        <w:pStyle w:val="Nornal"/>
        <w:numPr>
          <w:ilvl w:val="0"/>
          <w:numId w:val="1"/>
        </w:numPr>
        <w:spacing w:after="0"/>
        <w:rPr>
          <w:rFonts w:asciiTheme="minorHAnsi" w:hAnsiTheme="minorHAnsi" w:cstheme="minorHAnsi"/>
        </w:rPr>
      </w:pPr>
      <w:r>
        <w:rPr>
          <w:rFonts w:asciiTheme="minorHAnsi" w:hAnsiTheme="minorHAnsi" w:cstheme="minorHAnsi"/>
        </w:rPr>
        <w:t xml:space="preserve">ACAS (2023) </w:t>
      </w:r>
      <w:r>
        <w:rPr>
          <w:rFonts w:asciiTheme="minorHAnsi" w:hAnsiTheme="minorHAnsi" w:cstheme="minorHAnsi"/>
          <w:i/>
        </w:rPr>
        <w:t xml:space="preserve">Following discrimination law. </w:t>
      </w:r>
      <w:r>
        <w:rPr>
          <w:rFonts w:asciiTheme="minorHAnsi" w:hAnsiTheme="minorHAnsi" w:cstheme="minorHAnsi"/>
        </w:rPr>
        <w:t xml:space="preserve">Available at: </w:t>
      </w:r>
      <w:hyperlink r:id="rId15" w:history="1">
        <w:r w:rsidRPr="00381388">
          <w:rPr>
            <w:rStyle w:val="Hyperlink"/>
            <w:rFonts w:asciiTheme="minorHAnsi" w:hAnsiTheme="minorHAnsi" w:cstheme="minorHAnsi"/>
          </w:rPr>
          <w:t>https://www.acas.org.uk/hiring-someone/follow-discrimination-law</w:t>
        </w:r>
      </w:hyperlink>
      <w:r>
        <w:rPr>
          <w:rFonts w:asciiTheme="minorHAnsi" w:hAnsiTheme="minorHAnsi" w:cstheme="minorHAnsi"/>
        </w:rPr>
        <w:t xml:space="preserve"> (Accessed 18th May 2024). </w:t>
      </w:r>
    </w:p>
    <w:p w14:paraId="51C39B61" w14:textId="77777777" w:rsidR="00855773" w:rsidRDefault="00855773" w:rsidP="00855773">
      <w:pPr>
        <w:pStyle w:val="Nornal"/>
        <w:numPr>
          <w:ilvl w:val="0"/>
          <w:numId w:val="1"/>
        </w:numPr>
        <w:spacing w:after="0"/>
        <w:rPr>
          <w:rFonts w:asciiTheme="minorHAnsi" w:hAnsiTheme="minorHAnsi" w:cstheme="minorHAnsi"/>
        </w:rPr>
      </w:pPr>
      <w:r>
        <w:rPr>
          <w:rFonts w:asciiTheme="minorHAnsi" w:hAnsiTheme="minorHAnsi" w:cstheme="minorHAnsi"/>
        </w:rPr>
        <w:t xml:space="preserve">ACAS (2024a) </w:t>
      </w:r>
      <w:r>
        <w:rPr>
          <w:rFonts w:asciiTheme="minorHAnsi" w:hAnsiTheme="minorHAnsi" w:cstheme="minorHAnsi"/>
          <w:i/>
        </w:rPr>
        <w:t xml:space="preserve">Settlement agreement guidance and templates. </w:t>
      </w:r>
      <w:r>
        <w:rPr>
          <w:rFonts w:asciiTheme="minorHAnsi" w:hAnsiTheme="minorHAnsi" w:cstheme="minorHAnsi"/>
        </w:rPr>
        <w:t xml:space="preserve">Available at: </w:t>
      </w:r>
      <w:hyperlink r:id="rId16" w:history="1">
        <w:r w:rsidRPr="00381388">
          <w:rPr>
            <w:rStyle w:val="Hyperlink"/>
            <w:rFonts w:asciiTheme="minorHAnsi" w:hAnsiTheme="minorHAnsi" w:cstheme="minorHAnsi"/>
          </w:rPr>
          <w:t>https://www.acas.org.uk/settlement-agreements</w:t>
        </w:r>
      </w:hyperlink>
      <w:r>
        <w:rPr>
          <w:rFonts w:asciiTheme="minorHAnsi" w:hAnsiTheme="minorHAnsi" w:cstheme="minorHAnsi"/>
        </w:rPr>
        <w:t>. (Accessed 18</w:t>
      </w:r>
      <w:r w:rsidRPr="00491CC8">
        <w:rPr>
          <w:rFonts w:asciiTheme="minorHAnsi" w:hAnsiTheme="minorHAnsi" w:cstheme="minorHAnsi"/>
          <w:vertAlign w:val="superscript"/>
        </w:rPr>
        <w:t>th</w:t>
      </w:r>
      <w:r>
        <w:rPr>
          <w:rFonts w:asciiTheme="minorHAnsi" w:hAnsiTheme="minorHAnsi" w:cstheme="minorHAnsi"/>
        </w:rPr>
        <w:t xml:space="preserve"> May 2024). </w:t>
      </w:r>
    </w:p>
    <w:p w14:paraId="582CB42D" w14:textId="77777777" w:rsidR="00855773" w:rsidRDefault="00855773" w:rsidP="00855773">
      <w:pPr>
        <w:pStyle w:val="Nornal"/>
        <w:numPr>
          <w:ilvl w:val="0"/>
          <w:numId w:val="1"/>
        </w:numPr>
        <w:spacing w:after="0"/>
        <w:rPr>
          <w:rFonts w:asciiTheme="minorHAnsi" w:hAnsiTheme="minorHAnsi" w:cstheme="minorHAnsi"/>
        </w:rPr>
      </w:pPr>
      <w:r>
        <w:rPr>
          <w:rFonts w:asciiTheme="minorHAnsi" w:hAnsiTheme="minorHAnsi" w:cstheme="minorHAnsi"/>
        </w:rPr>
        <w:t>ACAS (2024b)</w:t>
      </w:r>
      <w:r>
        <w:rPr>
          <w:rFonts w:asciiTheme="minorHAnsi" w:hAnsiTheme="minorHAnsi" w:cstheme="minorHAnsi"/>
          <w:i/>
        </w:rPr>
        <w:t xml:space="preserve"> Equal Paw and the law. </w:t>
      </w:r>
      <w:r>
        <w:rPr>
          <w:rFonts w:asciiTheme="minorHAnsi" w:hAnsiTheme="minorHAnsi" w:cstheme="minorHAnsi"/>
        </w:rPr>
        <w:t xml:space="preserve">Available at: </w:t>
      </w:r>
      <w:hyperlink r:id="rId17" w:history="1">
        <w:r w:rsidRPr="00381388">
          <w:rPr>
            <w:rStyle w:val="Hyperlink"/>
            <w:rFonts w:asciiTheme="minorHAnsi" w:hAnsiTheme="minorHAnsi" w:cstheme="minorHAnsi"/>
          </w:rPr>
          <w:t>https://www.acas.org.uk/equal-pay/equal-pay-law</w:t>
        </w:r>
      </w:hyperlink>
      <w:r>
        <w:rPr>
          <w:rFonts w:asciiTheme="minorHAnsi" w:hAnsiTheme="minorHAnsi" w:cstheme="minorHAnsi"/>
        </w:rPr>
        <w:t xml:space="preserve"> (Accessed April 22nd</w:t>
      </w:r>
      <w:proofErr w:type="gramStart"/>
      <w:r>
        <w:rPr>
          <w:rFonts w:asciiTheme="minorHAnsi" w:hAnsiTheme="minorHAnsi" w:cstheme="minorHAnsi"/>
        </w:rPr>
        <w:t xml:space="preserve"> 2024</w:t>
      </w:r>
      <w:proofErr w:type="gramEnd"/>
      <w:r>
        <w:rPr>
          <w:rFonts w:asciiTheme="minorHAnsi" w:hAnsiTheme="minorHAnsi" w:cstheme="minorHAnsi"/>
        </w:rPr>
        <w:t>).</w:t>
      </w:r>
    </w:p>
    <w:p w14:paraId="4608F751" w14:textId="77777777" w:rsidR="00855773" w:rsidRDefault="00855773" w:rsidP="00855773">
      <w:pPr>
        <w:pStyle w:val="Nornal"/>
        <w:numPr>
          <w:ilvl w:val="0"/>
          <w:numId w:val="1"/>
        </w:numPr>
        <w:spacing w:after="0"/>
        <w:rPr>
          <w:rFonts w:asciiTheme="minorHAnsi" w:hAnsiTheme="minorHAnsi" w:cstheme="minorHAnsi"/>
        </w:rPr>
      </w:pPr>
      <w:r>
        <w:rPr>
          <w:rFonts w:asciiTheme="minorHAnsi" w:hAnsiTheme="minorHAnsi" w:cstheme="minorHAnsi"/>
        </w:rPr>
        <w:t xml:space="preserve">ACAS (2024c) </w:t>
      </w:r>
      <w:r>
        <w:rPr>
          <w:rFonts w:asciiTheme="minorHAnsi" w:hAnsiTheme="minorHAnsi" w:cstheme="minorHAnsi"/>
          <w:i/>
        </w:rPr>
        <w:t xml:space="preserve">Equal Pay: employer responsibilities: Preventing issues. </w:t>
      </w:r>
      <w:r>
        <w:rPr>
          <w:rFonts w:asciiTheme="minorHAnsi" w:hAnsiTheme="minorHAnsi" w:cstheme="minorHAnsi"/>
        </w:rPr>
        <w:t xml:space="preserve">Available at: </w:t>
      </w:r>
      <w:hyperlink r:id="rId18" w:history="1">
        <w:r w:rsidRPr="00381388">
          <w:rPr>
            <w:rStyle w:val="Hyperlink"/>
            <w:rFonts w:asciiTheme="minorHAnsi" w:hAnsiTheme="minorHAnsi" w:cstheme="minorHAnsi"/>
          </w:rPr>
          <w:t>https://www.acas.org.uk/equal-pay/employer-responsibilities</w:t>
        </w:r>
      </w:hyperlink>
      <w:r>
        <w:rPr>
          <w:rFonts w:asciiTheme="minorHAnsi" w:hAnsiTheme="minorHAnsi" w:cstheme="minorHAnsi"/>
        </w:rPr>
        <w:t xml:space="preserve"> (Accessed April 22nd</w:t>
      </w:r>
      <w:proofErr w:type="gramStart"/>
      <w:r>
        <w:rPr>
          <w:rFonts w:asciiTheme="minorHAnsi" w:hAnsiTheme="minorHAnsi" w:cstheme="minorHAnsi"/>
        </w:rPr>
        <w:t xml:space="preserve"> 2024</w:t>
      </w:r>
      <w:proofErr w:type="gramEnd"/>
      <w:r>
        <w:rPr>
          <w:rFonts w:asciiTheme="minorHAnsi" w:hAnsiTheme="minorHAnsi" w:cstheme="minorHAnsi"/>
        </w:rPr>
        <w:t>).</w:t>
      </w:r>
    </w:p>
    <w:p w14:paraId="6104B784" w14:textId="77777777" w:rsidR="00855773" w:rsidRDefault="00855773" w:rsidP="00855773">
      <w:pPr>
        <w:pStyle w:val="Nornal"/>
        <w:numPr>
          <w:ilvl w:val="0"/>
          <w:numId w:val="1"/>
        </w:numPr>
        <w:spacing w:after="0"/>
        <w:rPr>
          <w:rFonts w:asciiTheme="minorHAnsi" w:hAnsiTheme="minorHAnsi" w:cstheme="minorHAnsi"/>
        </w:rPr>
      </w:pPr>
      <w:r>
        <w:rPr>
          <w:rFonts w:asciiTheme="minorHAnsi" w:hAnsiTheme="minorHAnsi" w:cstheme="minorHAnsi"/>
        </w:rPr>
        <w:t xml:space="preserve">ACAS (2024d) </w:t>
      </w:r>
      <w:r>
        <w:rPr>
          <w:rFonts w:asciiTheme="minorHAnsi" w:hAnsiTheme="minorHAnsi" w:cstheme="minorHAnsi"/>
          <w:i/>
        </w:rPr>
        <w:t xml:space="preserve">Managing staff redundancies. </w:t>
      </w:r>
      <w:r>
        <w:rPr>
          <w:rFonts w:asciiTheme="minorHAnsi" w:hAnsiTheme="minorHAnsi" w:cstheme="minorHAnsi"/>
        </w:rPr>
        <w:t xml:space="preserve">Available at: </w:t>
      </w:r>
      <w:hyperlink r:id="rId19" w:history="1">
        <w:r w:rsidRPr="00381388">
          <w:rPr>
            <w:rStyle w:val="Hyperlink"/>
            <w:rFonts w:asciiTheme="minorHAnsi" w:hAnsiTheme="minorHAnsi" w:cstheme="minorHAnsi"/>
          </w:rPr>
          <w:t>https://www.acas.org.uk/manage-staff-redundancies</w:t>
        </w:r>
      </w:hyperlink>
      <w:r>
        <w:rPr>
          <w:rFonts w:asciiTheme="minorHAnsi" w:hAnsiTheme="minorHAnsi" w:cstheme="minorHAnsi"/>
        </w:rPr>
        <w:t xml:space="preserve"> (Accessed 22nd April 2024).</w:t>
      </w:r>
    </w:p>
    <w:p w14:paraId="0D011BAC" w14:textId="77777777" w:rsidR="00855773" w:rsidRDefault="00855773" w:rsidP="00855773">
      <w:pPr>
        <w:pStyle w:val="Nornal"/>
        <w:numPr>
          <w:ilvl w:val="0"/>
          <w:numId w:val="1"/>
        </w:numPr>
        <w:spacing w:after="0"/>
        <w:rPr>
          <w:rFonts w:asciiTheme="minorHAnsi" w:hAnsiTheme="minorHAnsi" w:cstheme="minorHAnsi"/>
        </w:rPr>
      </w:pPr>
      <w:r>
        <w:rPr>
          <w:rFonts w:asciiTheme="minorHAnsi" w:hAnsiTheme="minorHAnsi" w:cstheme="minorHAnsi"/>
        </w:rPr>
        <w:t xml:space="preserve">ACAS (2024e) </w:t>
      </w:r>
      <w:r>
        <w:rPr>
          <w:rFonts w:asciiTheme="minorHAnsi" w:hAnsiTheme="minorHAnsi" w:cstheme="minorHAnsi"/>
          <w:i/>
        </w:rPr>
        <w:t xml:space="preserve">National Minimum Wage: what is the minimum wage. </w:t>
      </w:r>
      <w:r>
        <w:rPr>
          <w:rFonts w:asciiTheme="minorHAnsi" w:hAnsiTheme="minorHAnsi" w:cstheme="minorHAnsi"/>
        </w:rPr>
        <w:t xml:space="preserve">Available at: </w:t>
      </w:r>
      <w:hyperlink r:id="rId20" w:history="1">
        <w:r w:rsidRPr="00381388">
          <w:rPr>
            <w:rStyle w:val="Hyperlink"/>
            <w:rFonts w:asciiTheme="minorHAnsi" w:hAnsiTheme="minorHAnsi" w:cstheme="minorHAnsi"/>
          </w:rPr>
          <w:t>https://www.acas.org.uk/national-minimum-wage-entitlement</w:t>
        </w:r>
      </w:hyperlink>
      <w:r>
        <w:rPr>
          <w:rFonts w:asciiTheme="minorHAnsi" w:hAnsiTheme="minorHAnsi" w:cstheme="minorHAnsi"/>
        </w:rPr>
        <w:t xml:space="preserve"> (Accessed 28th April 2024). </w:t>
      </w:r>
    </w:p>
    <w:p w14:paraId="7E8F4B5B" w14:textId="77777777" w:rsidR="00855773" w:rsidRDefault="00855773" w:rsidP="00855773">
      <w:pPr>
        <w:pStyle w:val="Nornal"/>
        <w:numPr>
          <w:ilvl w:val="0"/>
          <w:numId w:val="1"/>
        </w:numPr>
        <w:spacing w:after="0"/>
        <w:rPr>
          <w:rFonts w:asciiTheme="minorHAnsi" w:hAnsiTheme="minorHAnsi" w:cstheme="minorHAnsi"/>
        </w:rPr>
      </w:pPr>
      <w:r>
        <w:rPr>
          <w:rFonts w:asciiTheme="minorHAnsi" w:hAnsiTheme="minorHAnsi" w:cstheme="minorHAnsi"/>
        </w:rPr>
        <w:t xml:space="preserve">ACAS (2024f) </w:t>
      </w:r>
      <w:r>
        <w:rPr>
          <w:rFonts w:asciiTheme="minorHAnsi" w:hAnsiTheme="minorHAnsi" w:cstheme="minorHAnsi"/>
          <w:i/>
        </w:rPr>
        <w:t xml:space="preserve">Payslips. </w:t>
      </w:r>
      <w:r>
        <w:rPr>
          <w:rFonts w:asciiTheme="minorHAnsi" w:hAnsiTheme="minorHAnsi" w:cstheme="minorHAnsi"/>
        </w:rPr>
        <w:t xml:space="preserve">Available at: </w:t>
      </w:r>
      <w:hyperlink r:id="rId21" w:history="1">
        <w:r w:rsidRPr="00381388">
          <w:rPr>
            <w:rStyle w:val="Hyperlink"/>
            <w:rFonts w:asciiTheme="minorHAnsi" w:hAnsiTheme="minorHAnsi" w:cstheme="minorHAnsi"/>
          </w:rPr>
          <w:t>https://www.acas.org.uk/payslips</w:t>
        </w:r>
      </w:hyperlink>
      <w:r>
        <w:rPr>
          <w:rFonts w:asciiTheme="minorHAnsi" w:hAnsiTheme="minorHAnsi" w:cstheme="minorHAnsi"/>
        </w:rPr>
        <w:t xml:space="preserve"> (Accessed 28th April 2024). </w:t>
      </w:r>
    </w:p>
    <w:p w14:paraId="5A4AD2E6" w14:textId="77777777" w:rsidR="00855773" w:rsidRDefault="00855773" w:rsidP="00855773">
      <w:pPr>
        <w:pStyle w:val="Nornal"/>
        <w:numPr>
          <w:ilvl w:val="0"/>
          <w:numId w:val="1"/>
        </w:numPr>
        <w:spacing w:after="0"/>
        <w:rPr>
          <w:rFonts w:asciiTheme="minorHAnsi" w:hAnsiTheme="minorHAnsi" w:cstheme="minorHAnsi"/>
        </w:rPr>
      </w:pPr>
      <w:r>
        <w:rPr>
          <w:rFonts w:asciiTheme="minorHAnsi" w:hAnsiTheme="minorHAnsi" w:cstheme="minorHAnsi"/>
        </w:rPr>
        <w:t xml:space="preserve">ACAS (2024g) </w:t>
      </w:r>
      <w:r>
        <w:rPr>
          <w:rFonts w:asciiTheme="minorHAnsi" w:hAnsiTheme="minorHAnsi" w:cstheme="minorHAnsi"/>
          <w:i/>
        </w:rPr>
        <w:t xml:space="preserve">Working time rules: Understanding the Working Time Regulations. </w:t>
      </w:r>
      <w:r>
        <w:rPr>
          <w:rFonts w:asciiTheme="minorHAnsi" w:hAnsiTheme="minorHAnsi" w:cstheme="minorHAnsi"/>
        </w:rPr>
        <w:t xml:space="preserve">Available at: </w:t>
      </w:r>
      <w:hyperlink r:id="rId22" w:history="1">
        <w:r w:rsidRPr="00381388">
          <w:rPr>
            <w:rStyle w:val="Hyperlink"/>
            <w:rFonts w:asciiTheme="minorHAnsi" w:hAnsiTheme="minorHAnsi" w:cstheme="minorHAnsi"/>
          </w:rPr>
          <w:t>https://www.acas.org.uk/working-time-rules</w:t>
        </w:r>
      </w:hyperlink>
      <w:r>
        <w:rPr>
          <w:rFonts w:asciiTheme="minorHAnsi" w:hAnsiTheme="minorHAnsi" w:cstheme="minorHAnsi"/>
        </w:rPr>
        <w:t xml:space="preserve"> (Accessed 6th May 2024). </w:t>
      </w:r>
    </w:p>
    <w:p w14:paraId="0389B0AD" w14:textId="77777777" w:rsidR="00855773" w:rsidRDefault="00855773" w:rsidP="00855773">
      <w:pPr>
        <w:pStyle w:val="Nornal"/>
        <w:numPr>
          <w:ilvl w:val="0"/>
          <w:numId w:val="1"/>
        </w:numPr>
        <w:spacing w:after="0"/>
        <w:rPr>
          <w:rFonts w:asciiTheme="minorHAnsi" w:hAnsiTheme="minorHAnsi" w:cstheme="minorHAnsi"/>
        </w:rPr>
      </w:pPr>
      <w:r>
        <w:rPr>
          <w:rFonts w:asciiTheme="minorHAnsi" w:hAnsiTheme="minorHAnsi" w:cstheme="minorHAnsi"/>
        </w:rPr>
        <w:lastRenderedPageBreak/>
        <w:t xml:space="preserve">ACAS (2024h) </w:t>
      </w:r>
      <w:r>
        <w:rPr>
          <w:rFonts w:asciiTheme="minorHAnsi" w:hAnsiTheme="minorHAnsi" w:cstheme="minorHAnsi"/>
          <w:i/>
        </w:rPr>
        <w:t xml:space="preserve">Statutory flexible working requests: Options for agreeing changes. </w:t>
      </w:r>
      <w:r>
        <w:rPr>
          <w:rFonts w:asciiTheme="minorHAnsi" w:hAnsiTheme="minorHAnsi" w:cstheme="minorHAnsi"/>
        </w:rPr>
        <w:t xml:space="preserve">Available at: </w:t>
      </w:r>
      <w:hyperlink r:id="rId23" w:history="1">
        <w:r w:rsidRPr="00381388">
          <w:rPr>
            <w:rStyle w:val="Hyperlink"/>
            <w:rFonts w:asciiTheme="minorHAnsi" w:hAnsiTheme="minorHAnsi" w:cstheme="minorHAnsi"/>
          </w:rPr>
          <w:t>https://www.acas.org.uk/statutory-flexible-working-requests/options-for-agreeing-changes</w:t>
        </w:r>
      </w:hyperlink>
      <w:r>
        <w:rPr>
          <w:rFonts w:asciiTheme="minorHAnsi" w:hAnsiTheme="minorHAnsi" w:cstheme="minorHAnsi"/>
        </w:rPr>
        <w:t xml:space="preserve"> (Accessed 17th May 2024). </w:t>
      </w:r>
    </w:p>
    <w:p w14:paraId="544B9EA2" w14:textId="77777777" w:rsidR="00855773" w:rsidRDefault="00855773" w:rsidP="00855773">
      <w:pPr>
        <w:pStyle w:val="Nornal"/>
        <w:numPr>
          <w:ilvl w:val="0"/>
          <w:numId w:val="1"/>
        </w:numPr>
        <w:spacing w:after="0"/>
        <w:rPr>
          <w:rFonts w:asciiTheme="minorHAnsi" w:hAnsiTheme="minorHAnsi" w:cstheme="minorHAnsi"/>
        </w:rPr>
      </w:pPr>
      <w:r>
        <w:rPr>
          <w:rFonts w:asciiTheme="minorHAnsi" w:hAnsiTheme="minorHAnsi" w:cstheme="minorHAnsi"/>
        </w:rPr>
        <w:t xml:space="preserve">CIPD (2017) </w:t>
      </w:r>
      <w:r>
        <w:rPr>
          <w:rFonts w:asciiTheme="minorHAnsi" w:hAnsiTheme="minorHAnsi" w:cstheme="minorHAnsi"/>
          <w:i/>
        </w:rPr>
        <w:t xml:space="preserve">Employment regulation in the UK: burden or </w:t>
      </w:r>
      <w:proofErr w:type="gramStart"/>
      <w:r>
        <w:rPr>
          <w:rFonts w:asciiTheme="minorHAnsi" w:hAnsiTheme="minorHAnsi" w:cstheme="minorHAnsi"/>
          <w:i/>
        </w:rPr>
        <w:t>benefit?.</w:t>
      </w:r>
      <w:proofErr w:type="gramEnd"/>
      <w:r>
        <w:rPr>
          <w:rFonts w:asciiTheme="minorHAnsi" w:hAnsiTheme="minorHAnsi" w:cstheme="minorHAnsi"/>
          <w:i/>
        </w:rPr>
        <w:t xml:space="preserve"> </w:t>
      </w:r>
      <w:r>
        <w:rPr>
          <w:rFonts w:asciiTheme="minorHAnsi" w:hAnsiTheme="minorHAnsi" w:cstheme="minorHAnsi"/>
        </w:rPr>
        <w:t xml:space="preserve">Available at: </w:t>
      </w:r>
      <w:hyperlink r:id="rId24" w:history="1">
        <w:r w:rsidRPr="00381388">
          <w:rPr>
            <w:rStyle w:val="Hyperlink"/>
            <w:rFonts w:asciiTheme="minorHAnsi" w:hAnsiTheme="minorHAnsi" w:cstheme="minorHAnsi"/>
          </w:rPr>
          <w:t>https://www.cipd.org/uk/knowledge/reports/employment-regulation-in-the-uk-burden-or-benefit/</w:t>
        </w:r>
      </w:hyperlink>
      <w:r>
        <w:rPr>
          <w:rFonts w:asciiTheme="minorHAnsi" w:hAnsiTheme="minorHAnsi" w:cstheme="minorHAnsi"/>
        </w:rPr>
        <w:t xml:space="preserve"> (Accessed: 19</w:t>
      </w:r>
      <w:r w:rsidRPr="00491CC8">
        <w:rPr>
          <w:rFonts w:asciiTheme="minorHAnsi" w:hAnsiTheme="minorHAnsi" w:cstheme="minorHAnsi"/>
          <w:vertAlign w:val="superscript"/>
        </w:rPr>
        <w:t>th</w:t>
      </w:r>
      <w:r>
        <w:rPr>
          <w:rFonts w:asciiTheme="minorHAnsi" w:hAnsiTheme="minorHAnsi" w:cstheme="minorHAnsi"/>
        </w:rPr>
        <w:t xml:space="preserve"> April 2024). </w:t>
      </w:r>
    </w:p>
    <w:p w14:paraId="7411991F" w14:textId="77777777" w:rsidR="00855773" w:rsidRDefault="00855773" w:rsidP="00855773">
      <w:pPr>
        <w:pStyle w:val="Nornal"/>
        <w:numPr>
          <w:ilvl w:val="0"/>
          <w:numId w:val="1"/>
        </w:numPr>
        <w:spacing w:after="0"/>
        <w:rPr>
          <w:rFonts w:asciiTheme="minorHAnsi" w:hAnsiTheme="minorHAnsi" w:cstheme="minorHAnsi"/>
        </w:rPr>
      </w:pPr>
      <w:r>
        <w:rPr>
          <w:rFonts w:asciiTheme="minorHAnsi" w:hAnsiTheme="minorHAnsi" w:cstheme="minorHAnsi"/>
        </w:rPr>
        <w:t xml:space="preserve">CIPD (2023a) </w:t>
      </w:r>
      <w:r>
        <w:rPr>
          <w:rFonts w:asciiTheme="minorHAnsi" w:hAnsiTheme="minorHAnsi" w:cstheme="minorHAnsi"/>
          <w:i/>
        </w:rPr>
        <w:t xml:space="preserve">Employment Law in the UK: The court system. </w:t>
      </w:r>
      <w:r>
        <w:rPr>
          <w:rFonts w:asciiTheme="minorHAnsi" w:hAnsiTheme="minorHAnsi" w:cstheme="minorHAnsi"/>
        </w:rPr>
        <w:t xml:space="preserve">Available at: </w:t>
      </w:r>
      <w:hyperlink r:id="rId25" w:history="1">
        <w:r w:rsidRPr="00381388">
          <w:rPr>
            <w:rStyle w:val="Hyperlink"/>
            <w:rFonts w:asciiTheme="minorHAnsi" w:hAnsiTheme="minorHAnsi" w:cstheme="minorHAnsi"/>
          </w:rPr>
          <w:t>https://www.cipd.org/uk/knowledge/factsheets/uk-court-system-factsheet/</w:t>
        </w:r>
      </w:hyperlink>
      <w:r>
        <w:rPr>
          <w:rFonts w:asciiTheme="minorHAnsi" w:hAnsiTheme="minorHAnsi" w:cstheme="minorHAnsi"/>
        </w:rPr>
        <w:t xml:space="preserve"> (Accessed 19</w:t>
      </w:r>
      <w:r w:rsidRPr="00491CC8">
        <w:rPr>
          <w:rFonts w:asciiTheme="minorHAnsi" w:hAnsiTheme="minorHAnsi" w:cstheme="minorHAnsi"/>
          <w:vertAlign w:val="superscript"/>
        </w:rPr>
        <w:t>th</w:t>
      </w:r>
      <w:r>
        <w:rPr>
          <w:rFonts w:asciiTheme="minorHAnsi" w:hAnsiTheme="minorHAnsi" w:cstheme="minorHAnsi"/>
        </w:rPr>
        <w:t xml:space="preserve"> April 2024).</w:t>
      </w:r>
    </w:p>
    <w:p w14:paraId="622C2628" w14:textId="77777777" w:rsidR="00855773" w:rsidRDefault="00855773" w:rsidP="00855773">
      <w:pPr>
        <w:pStyle w:val="Nornal"/>
        <w:numPr>
          <w:ilvl w:val="0"/>
          <w:numId w:val="1"/>
        </w:numPr>
        <w:spacing w:after="0"/>
        <w:rPr>
          <w:rFonts w:asciiTheme="minorHAnsi" w:hAnsiTheme="minorHAnsi" w:cstheme="minorHAnsi"/>
        </w:rPr>
      </w:pPr>
      <w:r>
        <w:rPr>
          <w:rFonts w:asciiTheme="minorHAnsi" w:hAnsiTheme="minorHAnsi" w:cstheme="minorHAnsi"/>
        </w:rPr>
        <w:t xml:space="preserve">CIPD (2023b) </w:t>
      </w:r>
      <w:r>
        <w:rPr>
          <w:rFonts w:asciiTheme="minorHAnsi" w:hAnsiTheme="minorHAnsi" w:cstheme="minorHAnsi"/>
          <w:i/>
        </w:rPr>
        <w:t xml:space="preserve">The role of employment tribunals. </w:t>
      </w:r>
      <w:r>
        <w:rPr>
          <w:rFonts w:asciiTheme="minorHAnsi" w:hAnsiTheme="minorHAnsi" w:cstheme="minorHAnsi"/>
        </w:rPr>
        <w:t xml:space="preserve">Available at: </w:t>
      </w:r>
      <w:hyperlink r:id="rId26" w:anchor="Settlement" w:history="1">
        <w:r w:rsidRPr="00381388">
          <w:rPr>
            <w:rStyle w:val="Hyperlink"/>
            <w:rFonts w:asciiTheme="minorHAnsi" w:hAnsiTheme="minorHAnsi" w:cstheme="minorHAnsi"/>
          </w:rPr>
          <w:t>https://www.cipd.org/uk/knowledge/factsheets/tribunals-factsheet/#Settlement</w:t>
        </w:r>
      </w:hyperlink>
      <w:r>
        <w:rPr>
          <w:rFonts w:asciiTheme="minorHAnsi" w:hAnsiTheme="minorHAnsi" w:cstheme="minorHAnsi"/>
        </w:rPr>
        <w:t>. (Accessed 18</w:t>
      </w:r>
      <w:r w:rsidRPr="00491CC8">
        <w:rPr>
          <w:rFonts w:asciiTheme="minorHAnsi" w:hAnsiTheme="minorHAnsi" w:cstheme="minorHAnsi"/>
          <w:vertAlign w:val="superscript"/>
        </w:rPr>
        <w:t>th</w:t>
      </w:r>
      <w:r>
        <w:rPr>
          <w:rFonts w:asciiTheme="minorHAnsi" w:hAnsiTheme="minorHAnsi" w:cstheme="minorHAnsi"/>
        </w:rPr>
        <w:t xml:space="preserve"> May 2024).</w:t>
      </w:r>
    </w:p>
    <w:p w14:paraId="52C0BBF3" w14:textId="77777777" w:rsidR="00855773" w:rsidRDefault="00855773" w:rsidP="00855773">
      <w:pPr>
        <w:pStyle w:val="Nornal"/>
        <w:numPr>
          <w:ilvl w:val="0"/>
          <w:numId w:val="1"/>
        </w:numPr>
        <w:spacing w:after="0"/>
        <w:rPr>
          <w:rFonts w:asciiTheme="minorHAnsi" w:hAnsiTheme="minorHAnsi" w:cstheme="minorHAnsi"/>
        </w:rPr>
      </w:pPr>
      <w:r>
        <w:rPr>
          <w:rFonts w:asciiTheme="minorHAnsi" w:hAnsiTheme="minorHAnsi" w:cstheme="minorHAnsi"/>
        </w:rPr>
        <w:t xml:space="preserve">CIPD (2023c) </w:t>
      </w:r>
      <w:r>
        <w:rPr>
          <w:rFonts w:asciiTheme="minorHAnsi" w:hAnsiTheme="minorHAnsi" w:cstheme="minorHAnsi"/>
          <w:i/>
        </w:rPr>
        <w:t xml:space="preserve">TUPE (Transfer of undertakings): An introduction. </w:t>
      </w:r>
      <w:r>
        <w:rPr>
          <w:rFonts w:asciiTheme="minorHAnsi" w:hAnsiTheme="minorHAnsi" w:cstheme="minorHAnsi"/>
        </w:rPr>
        <w:t xml:space="preserve">Available at: </w:t>
      </w:r>
      <w:hyperlink r:id="rId27" w:history="1">
        <w:r w:rsidRPr="00381388">
          <w:rPr>
            <w:rStyle w:val="Hyperlink"/>
            <w:rFonts w:asciiTheme="minorHAnsi" w:hAnsiTheme="minorHAnsi" w:cstheme="minorHAnsi"/>
          </w:rPr>
          <w:t>https://www.cipd.org/uk/knowledge/factsheets/tupe-factsheet/</w:t>
        </w:r>
      </w:hyperlink>
      <w:r>
        <w:rPr>
          <w:rFonts w:asciiTheme="minorHAnsi" w:hAnsiTheme="minorHAnsi" w:cstheme="minorHAnsi"/>
        </w:rPr>
        <w:t xml:space="preserve"> (Accessed 16</w:t>
      </w:r>
      <w:r w:rsidRPr="00CA043D">
        <w:rPr>
          <w:rFonts w:asciiTheme="minorHAnsi" w:hAnsiTheme="minorHAnsi" w:cstheme="minorHAnsi"/>
          <w:vertAlign w:val="superscript"/>
        </w:rPr>
        <w:t>th</w:t>
      </w:r>
      <w:r>
        <w:rPr>
          <w:rFonts w:asciiTheme="minorHAnsi" w:hAnsiTheme="minorHAnsi" w:cstheme="minorHAnsi"/>
        </w:rPr>
        <w:t xml:space="preserve"> May 2024).</w:t>
      </w:r>
    </w:p>
    <w:p w14:paraId="46F736F0" w14:textId="77777777" w:rsidR="00855773" w:rsidRDefault="00855773" w:rsidP="00855773">
      <w:pPr>
        <w:pStyle w:val="Nornal"/>
        <w:numPr>
          <w:ilvl w:val="0"/>
          <w:numId w:val="1"/>
        </w:numPr>
        <w:spacing w:after="0"/>
        <w:rPr>
          <w:rFonts w:asciiTheme="minorHAnsi" w:hAnsiTheme="minorHAnsi" w:cstheme="minorHAnsi"/>
        </w:rPr>
      </w:pPr>
      <w:r>
        <w:rPr>
          <w:rFonts w:asciiTheme="minorHAnsi" w:hAnsiTheme="minorHAnsi" w:cstheme="minorHAnsi"/>
        </w:rPr>
        <w:t xml:space="preserve">CIPD (2024a) </w:t>
      </w:r>
      <w:r>
        <w:rPr>
          <w:rFonts w:asciiTheme="minorHAnsi" w:hAnsiTheme="minorHAnsi" w:cstheme="minorHAnsi"/>
          <w:i/>
        </w:rPr>
        <w:t xml:space="preserve">Redundancy: an introduction. </w:t>
      </w:r>
      <w:r>
        <w:rPr>
          <w:rFonts w:asciiTheme="minorHAnsi" w:hAnsiTheme="minorHAnsi" w:cstheme="minorHAnsi"/>
        </w:rPr>
        <w:t xml:space="preserve">Available at: </w:t>
      </w:r>
      <w:hyperlink r:id="rId28" w:anchor="redundancy" w:history="1">
        <w:r w:rsidRPr="00381388">
          <w:rPr>
            <w:rStyle w:val="Hyperlink"/>
            <w:rFonts w:asciiTheme="minorHAnsi" w:hAnsiTheme="minorHAnsi" w:cstheme="minorHAnsi"/>
          </w:rPr>
          <w:t>https://www.cipd.org/uk/knowledge/factsheets/redundancy-factsheet/#redundancy</w:t>
        </w:r>
      </w:hyperlink>
      <w:r>
        <w:rPr>
          <w:rFonts w:asciiTheme="minorHAnsi" w:hAnsiTheme="minorHAnsi" w:cstheme="minorHAnsi"/>
        </w:rPr>
        <w:t xml:space="preserve"> (Accessed 22</w:t>
      </w:r>
      <w:r w:rsidRPr="000C6857">
        <w:rPr>
          <w:rFonts w:asciiTheme="minorHAnsi" w:hAnsiTheme="minorHAnsi" w:cstheme="minorHAnsi"/>
          <w:vertAlign w:val="superscript"/>
        </w:rPr>
        <w:t>nd</w:t>
      </w:r>
      <w:r>
        <w:rPr>
          <w:rFonts w:asciiTheme="minorHAnsi" w:hAnsiTheme="minorHAnsi" w:cstheme="minorHAnsi"/>
        </w:rPr>
        <w:t xml:space="preserve"> April 2024).</w:t>
      </w:r>
    </w:p>
    <w:p w14:paraId="150370FA" w14:textId="77777777" w:rsidR="00855773" w:rsidRDefault="00855773" w:rsidP="00855773">
      <w:pPr>
        <w:pStyle w:val="Nornal"/>
        <w:numPr>
          <w:ilvl w:val="0"/>
          <w:numId w:val="1"/>
        </w:numPr>
        <w:spacing w:after="0"/>
        <w:rPr>
          <w:rFonts w:asciiTheme="minorHAnsi" w:hAnsiTheme="minorHAnsi" w:cstheme="minorHAnsi"/>
        </w:rPr>
      </w:pPr>
      <w:r>
        <w:rPr>
          <w:rFonts w:asciiTheme="minorHAnsi" w:hAnsiTheme="minorHAnsi" w:cstheme="minorHAnsi"/>
        </w:rPr>
        <w:t xml:space="preserve">CIPD (2024b) </w:t>
      </w:r>
      <w:r>
        <w:rPr>
          <w:rFonts w:asciiTheme="minorHAnsi" w:hAnsiTheme="minorHAnsi" w:cstheme="minorHAnsi"/>
          <w:i/>
        </w:rPr>
        <w:t xml:space="preserve">Redundancy: Guidance for people professionals. </w:t>
      </w:r>
      <w:r>
        <w:rPr>
          <w:rFonts w:asciiTheme="minorHAnsi" w:hAnsiTheme="minorHAnsi" w:cstheme="minorHAnsi"/>
        </w:rPr>
        <w:t xml:space="preserve">Available at: </w:t>
      </w:r>
      <w:hyperlink r:id="rId29" w:history="1">
        <w:r w:rsidRPr="00381388">
          <w:rPr>
            <w:rStyle w:val="Hyperlink"/>
            <w:rFonts w:asciiTheme="minorHAnsi" w:hAnsiTheme="minorHAnsi" w:cstheme="minorHAnsi"/>
          </w:rPr>
          <w:t>https://www.cipd.org/uk/knowledge/guides/managing-the-redundancy-process/</w:t>
        </w:r>
      </w:hyperlink>
      <w:r>
        <w:rPr>
          <w:rFonts w:asciiTheme="minorHAnsi" w:hAnsiTheme="minorHAnsi" w:cstheme="minorHAnsi"/>
        </w:rPr>
        <w:t xml:space="preserve"> (Accessed 22</w:t>
      </w:r>
      <w:r w:rsidRPr="000C6857">
        <w:rPr>
          <w:rFonts w:asciiTheme="minorHAnsi" w:hAnsiTheme="minorHAnsi" w:cstheme="minorHAnsi"/>
          <w:vertAlign w:val="superscript"/>
        </w:rPr>
        <w:t>nd</w:t>
      </w:r>
      <w:r>
        <w:rPr>
          <w:rFonts w:asciiTheme="minorHAnsi" w:hAnsiTheme="minorHAnsi" w:cstheme="minorHAnsi"/>
        </w:rPr>
        <w:t xml:space="preserve"> April 2024).</w:t>
      </w:r>
    </w:p>
    <w:p w14:paraId="4011EDDA" w14:textId="77777777" w:rsidR="00855773" w:rsidRDefault="00855773" w:rsidP="00855773">
      <w:pPr>
        <w:pStyle w:val="Nornal"/>
        <w:numPr>
          <w:ilvl w:val="0"/>
          <w:numId w:val="1"/>
        </w:numPr>
        <w:spacing w:after="0"/>
        <w:rPr>
          <w:rFonts w:asciiTheme="minorHAnsi" w:hAnsiTheme="minorHAnsi" w:cstheme="minorHAnsi"/>
        </w:rPr>
      </w:pPr>
      <w:r>
        <w:rPr>
          <w:rFonts w:asciiTheme="minorHAnsi" w:hAnsiTheme="minorHAnsi" w:cstheme="minorHAnsi"/>
        </w:rPr>
        <w:t xml:space="preserve">Daniels, K. (2022) </w:t>
      </w:r>
      <w:r>
        <w:rPr>
          <w:rFonts w:asciiTheme="minorHAnsi" w:hAnsiTheme="minorHAnsi" w:cstheme="minorHAnsi"/>
          <w:i/>
        </w:rPr>
        <w:t xml:space="preserve">Introduction to Employment Law: fundamentals for HR and business students. </w:t>
      </w:r>
      <w:r>
        <w:rPr>
          <w:rFonts w:asciiTheme="minorHAnsi" w:hAnsiTheme="minorHAnsi" w:cstheme="minorHAnsi"/>
        </w:rPr>
        <w:t>6</w:t>
      </w:r>
      <w:r w:rsidRPr="004E3E61">
        <w:rPr>
          <w:rFonts w:asciiTheme="minorHAnsi" w:hAnsiTheme="minorHAnsi" w:cstheme="minorHAnsi"/>
          <w:vertAlign w:val="superscript"/>
        </w:rPr>
        <w:t>th</w:t>
      </w:r>
      <w:r>
        <w:rPr>
          <w:rFonts w:asciiTheme="minorHAnsi" w:hAnsiTheme="minorHAnsi" w:cstheme="minorHAnsi"/>
        </w:rPr>
        <w:t xml:space="preserve"> </w:t>
      </w:r>
      <w:proofErr w:type="spellStart"/>
      <w:r>
        <w:rPr>
          <w:rFonts w:asciiTheme="minorHAnsi" w:hAnsiTheme="minorHAnsi" w:cstheme="minorHAnsi"/>
        </w:rPr>
        <w:t>edn</w:t>
      </w:r>
      <w:proofErr w:type="spellEnd"/>
      <w:r>
        <w:rPr>
          <w:rFonts w:asciiTheme="minorHAnsi" w:hAnsiTheme="minorHAnsi" w:cstheme="minorHAnsi"/>
        </w:rPr>
        <w:t>. Kogan Page: London.</w:t>
      </w:r>
    </w:p>
    <w:p w14:paraId="0ADEA588" w14:textId="77777777" w:rsidR="00855773" w:rsidRDefault="00855773" w:rsidP="00855773">
      <w:pPr>
        <w:pStyle w:val="Nornal"/>
        <w:numPr>
          <w:ilvl w:val="0"/>
          <w:numId w:val="1"/>
        </w:numPr>
        <w:spacing w:after="0"/>
        <w:rPr>
          <w:rFonts w:asciiTheme="minorHAnsi" w:hAnsiTheme="minorHAnsi" w:cstheme="minorHAnsi"/>
        </w:rPr>
      </w:pPr>
      <w:r>
        <w:rPr>
          <w:rFonts w:asciiTheme="minorHAnsi" w:hAnsiTheme="minorHAnsi" w:cstheme="minorHAnsi"/>
        </w:rPr>
        <w:t xml:space="preserve">Employment Rights Act 1996, c.18. Available at </w:t>
      </w:r>
      <w:hyperlink r:id="rId30" w:history="1">
        <w:r w:rsidRPr="00381388">
          <w:rPr>
            <w:rStyle w:val="Hyperlink"/>
            <w:rFonts w:asciiTheme="minorHAnsi" w:hAnsiTheme="minorHAnsi" w:cstheme="minorHAnsi"/>
          </w:rPr>
          <w:t>https://www.legislation.gov.uk/ukpga/1996/18/contents</w:t>
        </w:r>
      </w:hyperlink>
      <w:r>
        <w:rPr>
          <w:rFonts w:asciiTheme="minorHAnsi" w:hAnsiTheme="minorHAnsi" w:cstheme="minorHAnsi"/>
        </w:rPr>
        <w:t xml:space="preserve"> (accessed 18th May 2024). </w:t>
      </w:r>
    </w:p>
    <w:p w14:paraId="1A810403" w14:textId="77777777" w:rsidR="00855773" w:rsidRDefault="00855773" w:rsidP="00855773">
      <w:pPr>
        <w:pStyle w:val="Nornal"/>
        <w:numPr>
          <w:ilvl w:val="0"/>
          <w:numId w:val="1"/>
        </w:numPr>
        <w:spacing w:after="0"/>
        <w:rPr>
          <w:rFonts w:asciiTheme="minorHAnsi" w:hAnsiTheme="minorHAnsi" w:cstheme="minorHAnsi"/>
        </w:rPr>
      </w:pPr>
      <w:r>
        <w:rPr>
          <w:rFonts w:asciiTheme="minorHAnsi" w:hAnsiTheme="minorHAnsi" w:cstheme="minorHAnsi"/>
        </w:rPr>
        <w:t xml:space="preserve">Enterprise and Regulatory Reform Act 2013, c.24. Available at: </w:t>
      </w:r>
      <w:hyperlink r:id="rId31" w:history="1">
        <w:r w:rsidRPr="00381388">
          <w:rPr>
            <w:rStyle w:val="Hyperlink"/>
            <w:rFonts w:asciiTheme="minorHAnsi" w:hAnsiTheme="minorHAnsi" w:cstheme="minorHAnsi"/>
          </w:rPr>
          <w:t>https://www.legislation.gov.uk/ukpga/2013/24/contents/enacted</w:t>
        </w:r>
      </w:hyperlink>
      <w:r>
        <w:rPr>
          <w:rFonts w:asciiTheme="minorHAnsi" w:hAnsiTheme="minorHAnsi" w:cstheme="minorHAnsi"/>
        </w:rPr>
        <w:t xml:space="preserve"> (accessed 20th April 2024).</w:t>
      </w:r>
    </w:p>
    <w:p w14:paraId="6283A401" w14:textId="77777777" w:rsidR="00855773" w:rsidRDefault="00855773" w:rsidP="00855773">
      <w:pPr>
        <w:pStyle w:val="Nornal"/>
        <w:numPr>
          <w:ilvl w:val="0"/>
          <w:numId w:val="1"/>
        </w:numPr>
        <w:spacing w:after="0"/>
        <w:rPr>
          <w:rFonts w:asciiTheme="minorHAnsi" w:hAnsiTheme="minorHAnsi" w:cstheme="minorHAnsi"/>
        </w:rPr>
      </w:pPr>
      <w:r>
        <w:rPr>
          <w:rFonts w:asciiTheme="minorHAnsi" w:hAnsiTheme="minorHAnsi" w:cstheme="minorHAnsi"/>
        </w:rPr>
        <w:t xml:space="preserve">Equality Act 2010, c15. Available at: </w:t>
      </w:r>
      <w:hyperlink r:id="rId32" w:history="1">
        <w:r w:rsidRPr="00381388">
          <w:rPr>
            <w:rStyle w:val="Hyperlink"/>
            <w:rFonts w:asciiTheme="minorHAnsi" w:hAnsiTheme="minorHAnsi" w:cstheme="minorHAnsi"/>
          </w:rPr>
          <w:t>https://www.legislation.gov.uk/ukpga/2010/15/contents</w:t>
        </w:r>
      </w:hyperlink>
      <w:r>
        <w:rPr>
          <w:rFonts w:asciiTheme="minorHAnsi" w:hAnsiTheme="minorHAnsi" w:cstheme="minorHAnsi"/>
        </w:rPr>
        <w:t xml:space="preserve"> (Accessed: 19</w:t>
      </w:r>
      <w:proofErr w:type="gramStart"/>
      <w:r w:rsidRPr="00491CC8">
        <w:rPr>
          <w:rFonts w:asciiTheme="minorHAnsi" w:hAnsiTheme="minorHAnsi" w:cstheme="minorHAnsi"/>
          <w:vertAlign w:val="superscript"/>
        </w:rPr>
        <w:t>th</w:t>
      </w:r>
      <w:r>
        <w:rPr>
          <w:rFonts w:asciiTheme="minorHAnsi" w:hAnsiTheme="minorHAnsi" w:cstheme="minorHAnsi"/>
        </w:rPr>
        <w:t xml:space="preserve">  April</w:t>
      </w:r>
      <w:proofErr w:type="gramEnd"/>
      <w:r>
        <w:rPr>
          <w:rFonts w:asciiTheme="minorHAnsi" w:hAnsiTheme="minorHAnsi" w:cstheme="minorHAnsi"/>
        </w:rPr>
        <w:t xml:space="preserve"> 2024).</w:t>
      </w:r>
    </w:p>
    <w:p w14:paraId="6F37AE0D" w14:textId="77777777" w:rsidR="00855773" w:rsidRDefault="00855773" w:rsidP="00855773">
      <w:pPr>
        <w:pStyle w:val="Nornal"/>
        <w:numPr>
          <w:ilvl w:val="0"/>
          <w:numId w:val="1"/>
        </w:numPr>
        <w:spacing w:after="0"/>
        <w:rPr>
          <w:rFonts w:asciiTheme="minorHAnsi" w:hAnsiTheme="minorHAnsi" w:cstheme="minorHAnsi"/>
        </w:rPr>
      </w:pPr>
      <w:r>
        <w:rPr>
          <w:rFonts w:asciiTheme="minorHAnsi" w:hAnsiTheme="minorHAnsi" w:cstheme="minorHAnsi"/>
        </w:rPr>
        <w:t xml:space="preserve">Gov (2015) </w:t>
      </w:r>
      <w:r>
        <w:rPr>
          <w:rFonts w:asciiTheme="minorHAnsi" w:hAnsiTheme="minorHAnsi" w:cstheme="minorHAnsi"/>
          <w:i/>
        </w:rPr>
        <w:t xml:space="preserve">Equality Act 2010: guidance. </w:t>
      </w:r>
      <w:r>
        <w:rPr>
          <w:rFonts w:asciiTheme="minorHAnsi" w:hAnsiTheme="minorHAnsi" w:cstheme="minorHAnsi"/>
        </w:rPr>
        <w:t xml:space="preserve">Available at: </w:t>
      </w:r>
      <w:hyperlink r:id="rId33" w:anchor="age-discrimination" w:history="1">
        <w:r w:rsidRPr="00381388">
          <w:rPr>
            <w:rStyle w:val="Hyperlink"/>
            <w:rFonts w:asciiTheme="minorHAnsi" w:hAnsiTheme="minorHAnsi" w:cstheme="minorHAnsi"/>
          </w:rPr>
          <w:t>https://www.gov.uk/guidance/equality-act-2010-guidance#age-discrimination</w:t>
        </w:r>
      </w:hyperlink>
      <w:r>
        <w:rPr>
          <w:rFonts w:asciiTheme="minorHAnsi" w:hAnsiTheme="minorHAnsi" w:cstheme="minorHAnsi"/>
        </w:rPr>
        <w:t xml:space="preserve"> (Accessed 19</w:t>
      </w:r>
      <w:r w:rsidRPr="00F80FEA">
        <w:rPr>
          <w:rFonts w:asciiTheme="minorHAnsi" w:hAnsiTheme="minorHAnsi" w:cstheme="minorHAnsi"/>
          <w:vertAlign w:val="superscript"/>
        </w:rPr>
        <w:t>th</w:t>
      </w:r>
      <w:r>
        <w:rPr>
          <w:rFonts w:asciiTheme="minorHAnsi" w:hAnsiTheme="minorHAnsi" w:cstheme="minorHAnsi"/>
        </w:rPr>
        <w:t xml:space="preserve"> April 2024).</w:t>
      </w:r>
    </w:p>
    <w:p w14:paraId="461D13F2" w14:textId="77777777" w:rsidR="00855773" w:rsidRDefault="00855773" w:rsidP="00855773">
      <w:pPr>
        <w:pStyle w:val="Nornal"/>
        <w:numPr>
          <w:ilvl w:val="0"/>
          <w:numId w:val="1"/>
        </w:numPr>
        <w:spacing w:after="0"/>
        <w:rPr>
          <w:rFonts w:asciiTheme="minorHAnsi" w:hAnsiTheme="minorHAnsi" w:cstheme="minorHAnsi"/>
        </w:rPr>
      </w:pPr>
      <w:r>
        <w:rPr>
          <w:rFonts w:asciiTheme="minorHAnsi" w:hAnsiTheme="minorHAnsi" w:cstheme="minorHAnsi"/>
        </w:rPr>
        <w:t xml:space="preserve">GOV (2024) </w:t>
      </w:r>
      <w:r>
        <w:rPr>
          <w:rFonts w:asciiTheme="minorHAnsi" w:hAnsiTheme="minorHAnsi" w:cstheme="minorHAnsi"/>
          <w:i/>
        </w:rPr>
        <w:t xml:space="preserve">Minimum wage rates for 2024. </w:t>
      </w:r>
      <w:r>
        <w:rPr>
          <w:rFonts w:asciiTheme="minorHAnsi" w:hAnsiTheme="minorHAnsi" w:cstheme="minorHAnsi"/>
        </w:rPr>
        <w:t xml:space="preserve">Available at: </w:t>
      </w:r>
      <w:hyperlink r:id="rId34" w:history="1">
        <w:r w:rsidRPr="00381388">
          <w:rPr>
            <w:rStyle w:val="Hyperlink"/>
            <w:rFonts w:asciiTheme="minorHAnsi" w:hAnsiTheme="minorHAnsi" w:cstheme="minorHAnsi"/>
          </w:rPr>
          <w:t>https://www.gov.uk/government/publications/minimum-wage-rates-for-2024</w:t>
        </w:r>
      </w:hyperlink>
      <w:r>
        <w:rPr>
          <w:rFonts w:asciiTheme="minorHAnsi" w:hAnsiTheme="minorHAnsi" w:cstheme="minorHAnsi"/>
        </w:rPr>
        <w:t xml:space="preserve"> (Accessed 28th April 2024). </w:t>
      </w:r>
    </w:p>
    <w:p w14:paraId="6493020E" w14:textId="77777777" w:rsidR="00855773" w:rsidRDefault="00855773" w:rsidP="00855773">
      <w:pPr>
        <w:pStyle w:val="Nornal"/>
        <w:numPr>
          <w:ilvl w:val="0"/>
          <w:numId w:val="1"/>
        </w:numPr>
        <w:spacing w:after="0"/>
        <w:rPr>
          <w:rFonts w:asciiTheme="minorHAnsi" w:hAnsiTheme="minorHAnsi" w:cstheme="minorHAnsi"/>
        </w:rPr>
      </w:pPr>
      <w:r>
        <w:rPr>
          <w:rFonts w:asciiTheme="minorHAnsi" w:hAnsiTheme="minorHAnsi" w:cstheme="minorHAnsi"/>
        </w:rPr>
        <w:t xml:space="preserve">Gov (2024b) </w:t>
      </w:r>
      <w:r>
        <w:rPr>
          <w:rFonts w:asciiTheme="minorHAnsi" w:hAnsiTheme="minorHAnsi" w:cstheme="minorHAnsi"/>
          <w:i/>
        </w:rPr>
        <w:t xml:space="preserve">Maximum weekly working hours. </w:t>
      </w:r>
      <w:r>
        <w:rPr>
          <w:rFonts w:asciiTheme="minorHAnsi" w:hAnsiTheme="minorHAnsi" w:cstheme="minorHAnsi"/>
        </w:rPr>
        <w:t xml:space="preserve">Available at: </w:t>
      </w:r>
      <w:hyperlink r:id="rId35" w:history="1">
        <w:r w:rsidRPr="00381388">
          <w:rPr>
            <w:rStyle w:val="Hyperlink"/>
            <w:rFonts w:asciiTheme="minorHAnsi" w:hAnsiTheme="minorHAnsi" w:cstheme="minorHAnsi"/>
          </w:rPr>
          <w:t>https://www.gov.uk/maximum-weekly-working-hours</w:t>
        </w:r>
      </w:hyperlink>
      <w:r>
        <w:rPr>
          <w:rFonts w:asciiTheme="minorHAnsi" w:hAnsiTheme="minorHAnsi" w:cstheme="minorHAnsi"/>
        </w:rPr>
        <w:t xml:space="preserve"> (Accessed 6th May 2024). </w:t>
      </w:r>
    </w:p>
    <w:p w14:paraId="76C2B670" w14:textId="77777777" w:rsidR="00855773" w:rsidRDefault="00855773" w:rsidP="00855773">
      <w:pPr>
        <w:pStyle w:val="Nornal"/>
        <w:numPr>
          <w:ilvl w:val="0"/>
          <w:numId w:val="1"/>
        </w:numPr>
        <w:spacing w:after="0"/>
        <w:rPr>
          <w:rFonts w:asciiTheme="minorHAnsi" w:hAnsiTheme="minorHAnsi" w:cstheme="minorHAnsi"/>
        </w:rPr>
      </w:pPr>
      <w:r>
        <w:rPr>
          <w:rFonts w:asciiTheme="minorHAnsi" w:hAnsiTheme="minorHAnsi" w:cstheme="minorHAnsi"/>
        </w:rPr>
        <w:t xml:space="preserve">Gov (2024c) </w:t>
      </w:r>
      <w:r>
        <w:rPr>
          <w:rFonts w:asciiTheme="minorHAnsi" w:hAnsiTheme="minorHAnsi" w:cstheme="minorHAnsi"/>
          <w:i/>
        </w:rPr>
        <w:t xml:space="preserve">Maternity pay and leave. </w:t>
      </w:r>
      <w:r>
        <w:rPr>
          <w:rFonts w:asciiTheme="minorHAnsi" w:hAnsiTheme="minorHAnsi" w:cstheme="minorHAnsi"/>
        </w:rPr>
        <w:t xml:space="preserve">Available at: </w:t>
      </w:r>
      <w:hyperlink r:id="rId36" w:history="1">
        <w:r w:rsidRPr="00381388">
          <w:rPr>
            <w:rStyle w:val="Hyperlink"/>
            <w:rFonts w:asciiTheme="minorHAnsi" w:hAnsiTheme="minorHAnsi" w:cstheme="minorHAnsi"/>
          </w:rPr>
          <w:t>https://www.gov.uk/maternity-pay-leave/leave</w:t>
        </w:r>
      </w:hyperlink>
      <w:r>
        <w:rPr>
          <w:rFonts w:asciiTheme="minorHAnsi" w:hAnsiTheme="minorHAnsi" w:cstheme="minorHAnsi"/>
        </w:rPr>
        <w:t xml:space="preserve"> (Accessed 8th May 2024).</w:t>
      </w:r>
    </w:p>
    <w:p w14:paraId="26DDE159" w14:textId="77777777" w:rsidR="00855773" w:rsidRDefault="00855773" w:rsidP="00855773">
      <w:pPr>
        <w:pStyle w:val="Nornal"/>
        <w:numPr>
          <w:ilvl w:val="0"/>
          <w:numId w:val="1"/>
        </w:numPr>
        <w:spacing w:after="0"/>
        <w:rPr>
          <w:rFonts w:asciiTheme="minorHAnsi" w:hAnsiTheme="minorHAnsi" w:cstheme="minorHAnsi"/>
        </w:rPr>
      </w:pPr>
      <w:r>
        <w:rPr>
          <w:rFonts w:asciiTheme="minorHAnsi" w:hAnsiTheme="minorHAnsi" w:cstheme="minorHAnsi"/>
        </w:rPr>
        <w:t xml:space="preserve">Gov (n.d.) </w:t>
      </w:r>
      <w:r>
        <w:rPr>
          <w:rFonts w:asciiTheme="minorHAnsi" w:hAnsiTheme="minorHAnsi" w:cstheme="minorHAnsi"/>
          <w:i/>
        </w:rPr>
        <w:t xml:space="preserve">Business transfers, </w:t>
      </w:r>
      <w:proofErr w:type="gramStart"/>
      <w:r>
        <w:rPr>
          <w:rFonts w:asciiTheme="minorHAnsi" w:hAnsiTheme="minorHAnsi" w:cstheme="minorHAnsi"/>
          <w:i/>
        </w:rPr>
        <w:t>takeovers</w:t>
      </w:r>
      <w:proofErr w:type="gramEnd"/>
      <w:r>
        <w:rPr>
          <w:rFonts w:asciiTheme="minorHAnsi" w:hAnsiTheme="minorHAnsi" w:cstheme="minorHAnsi"/>
          <w:i/>
        </w:rPr>
        <w:t xml:space="preserve"> and TUPE. </w:t>
      </w:r>
      <w:r>
        <w:rPr>
          <w:rFonts w:asciiTheme="minorHAnsi" w:hAnsiTheme="minorHAnsi" w:cstheme="minorHAnsi"/>
        </w:rPr>
        <w:t xml:space="preserve">Available at: </w:t>
      </w:r>
      <w:hyperlink r:id="rId37" w:history="1">
        <w:r w:rsidRPr="00381388">
          <w:rPr>
            <w:rStyle w:val="Hyperlink"/>
            <w:rFonts w:asciiTheme="minorHAnsi" w:hAnsiTheme="minorHAnsi" w:cstheme="minorHAnsi"/>
          </w:rPr>
          <w:t>https://www.gov.uk/transfers-takeovers/transfers-of-employment-contracts</w:t>
        </w:r>
      </w:hyperlink>
      <w:r>
        <w:rPr>
          <w:rFonts w:asciiTheme="minorHAnsi" w:hAnsiTheme="minorHAnsi" w:cstheme="minorHAnsi"/>
        </w:rPr>
        <w:t xml:space="preserve"> (Accessed 16th May 2024). </w:t>
      </w:r>
    </w:p>
    <w:p w14:paraId="291AD426" w14:textId="77777777" w:rsidR="00855773" w:rsidRDefault="00855773" w:rsidP="00855773">
      <w:pPr>
        <w:pStyle w:val="Nornal"/>
        <w:numPr>
          <w:ilvl w:val="0"/>
          <w:numId w:val="1"/>
        </w:numPr>
        <w:spacing w:after="0"/>
        <w:rPr>
          <w:rFonts w:asciiTheme="minorHAnsi" w:hAnsiTheme="minorHAnsi" w:cstheme="minorHAnsi"/>
        </w:rPr>
      </w:pPr>
      <w:r>
        <w:rPr>
          <w:rFonts w:asciiTheme="minorHAnsi" w:hAnsiTheme="minorHAnsi" w:cstheme="minorHAnsi"/>
        </w:rPr>
        <w:t xml:space="preserve">Health and Safety at Work etc. Act 1974, c37. Available at: </w:t>
      </w:r>
      <w:hyperlink r:id="rId38" w:history="1">
        <w:r w:rsidRPr="00381388">
          <w:rPr>
            <w:rStyle w:val="Hyperlink"/>
            <w:rFonts w:asciiTheme="minorHAnsi" w:hAnsiTheme="minorHAnsi" w:cstheme="minorHAnsi"/>
          </w:rPr>
          <w:t>https://www.legislation.gov.uk/ukpga/1974/37/contents</w:t>
        </w:r>
      </w:hyperlink>
      <w:r>
        <w:rPr>
          <w:rFonts w:asciiTheme="minorHAnsi" w:hAnsiTheme="minorHAnsi" w:cstheme="minorHAnsi"/>
        </w:rPr>
        <w:t xml:space="preserve"> (Accessed 19</w:t>
      </w:r>
      <w:proofErr w:type="gramStart"/>
      <w:r w:rsidRPr="00491CC8">
        <w:rPr>
          <w:rFonts w:asciiTheme="minorHAnsi" w:hAnsiTheme="minorHAnsi" w:cstheme="minorHAnsi"/>
          <w:vertAlign w:val="superscript"/>
        </w:rPr>
        <w:t>th</w:t>
      </w:r>
      <w:r>
        <w:rPr>
          <w:rFonts w:asciiTheme="minorHAnsi" w:hAnsiTheme="minorHAnsi" w:cstheme="minorHAnsi"/>
        </w:rPr>
        <w:t xml:space="preserve">  April</w:t>
      </w:r>
      <w:proofErr w:type="gramEnd"/>
      <w:r w:rsidRPr="00491CC8">
        <w:rPr>
          <w:rFonts w:asciiTheme="minorHAnsi" w:hAnsiTheme="minorHAnsi" w:cstheme="minorHAnsi"/>
        </w:rPr>
        <w:t xml:space="preserve"> 2024).</w:t>
      </w:r>
    </w:p>
    <w:p w14:paraId="05496DDB" w14:textId="77777777" w:rsidR="00855773" w:rsidRDefault="00855773" w:rsidP="00855773">
      <w:pPr>
        <w:pStyle w:val="Nornal"/>
        <w:numPr>
          <w:ilvl w:val="0"/>
          <w:numId w:val="1"/>
        </w:numPr>
        <w:spacing w:after="0"/>
        <w:rPr>
          <w:rFonts w:asciiTheme="minorHAnsi" w:hAnsiTheme="minorHAnsi" w:cstheme="minorHAnsi"/>
        </w:rPr>
      </w:pPr>
      <w:r>
        <w:rPr>
          <w:rFonts w:asciiTheme="minorHAnsi" w:hAnsiTheme="minorHAnsi" w:cstheme="minorHAnsi"/>
        </w:rPr>
        <w:lastRenderedPageBreak/>
        <w:t xml:space="preserve">HM Revenue and Customs (2023) </w:t>
      </w:r>
      <w:r>
        <w:rPr>
          <w:rFonts w:asciiTheme="minorHAnsi" w:hAnsiTheme="minorHAnsi" w:cstheme="minorHAnsi"/>
          <w:i/>
        </w:rPr>
        <w:t>ESM7010 – Case Law: Brief History</w:t>
      </w:r>
      <w:r>
        <w:rPr>
          <w:rFonts w:asciiTheme="minorHAnsi" w:hAnsiTheme="minorHAnsi" w:cstheme="minorHAnsi"/>
        </w:rPr>
        <w:t xml:space="preserve">. Available at: </w:t>
      </w:r>
      <w:r w:rsidRPr="00491CC8">
        <w:rPr>
          <w:rFonts w:asciiTheme="minorHAnsi" w:hAnsiTheme="minorHAnsi" w:cstheme="minorHAnsi"/>
        </w:rPr>
        <w:t xml:space="preserve">https://www.gov.uk/hmrc-internal-manuals/employment-status-manual/esm7010 </w:t>
      </w:r>
      <w:r>
        <w:rPr>
          <w:rFonts w:asciiTheme="minorHAnsi" w:hAnsiTheme="minorHAnsi" w:cstheme="minorHAnsi"/>
        </w:rPr>
        <w:t>(Accessed: 19th April 2024).</w:t>
      </w:r>
    </w:p>
    <w:p w14:paraId="6D0818F0" w14:textId="77777777" w:rsidR="00855773" w:rsidRDefault="00855773" w:rsidP="00855773">
      <w:pPr>
        <w:pStyle w:val="Nornal"/>
        <w:numPr>
          <w:ilvl w:val="0"/>
          <w:numId w:val="1"/>
        </w:numPr>
        <w:spacing w:after="0"/>
        <w:rPr>
          <w:rFonts w:asciiTheme="minorHAnsi" w:hAnsiTheme="minorHAnsi" w:cstheme="minorHAnsi"/>
        </w:rPr>
      </w:pPr>
      <w:r>
        <w:rPr>
          <w:rFonts w:asciiTheme="minorHAnsi" w:hAnsiTheme="minorHAnsi" w:cstheme="minorHAnsi"/>
        </w:rPr>
        <w:t xml:space="preserve">National Minimum Wage Act 1998, c.39. Available at: </w:t>
      </w:r>
      <w:hyperlink r:id="rId39" w:history="1">
        <w:r w:rsidRPr="00381388">
          <w:rPr>
            <w:rStyle w:val="Hyperlink"/>
            <w:rFonts w:asciiTheme="minorHAnsi" w:hAnsiTheme="minorHAnsi" w:cstheme="minorHAnsi"/>
          </w:rPr>
          <w:t>https://www.legislation.gov.uk/ukpga/1998/39/contents</w:t>
        </w:r>
      </w:hyperlink>
      <w:r>
        <w:rPr>
          <w:rFonts w:asciiTheme="minorHAnsi" w:hAnsiTheme="minorHAnsi" w:cstheme="minorHAnsi"/>
        </w:rPr>
        <w:t xml:space="preserve"> (Accessed 28th April 2024).</w:t>
      </w:r>
    </w:p>
    <w:p w14:paraId="6AB199BC" w14:textId="77777777" w:rsidR="00855773" w:rsidRDefault="00855773" w:rsidP="00855773">
      <w:pPr>
        <w:pStyle w:val="Nornal"/>
        <w:numPr>
          <w:ilvl w:val="0"/>
          <w:numId w:val="1"/>
        </w:numPr>
        <w:spacing w:after="0"/>
        <w:rPr>
          <w:rFonts w:asciiTheme="minorHAnsi" w:hAnsiTheme="minorHAnsi" w:cstheme="minorHAnsi"/>
        </w:rPr>
      </w:pPr>
      <w:r>
        <w:rPr>
          <w:rFonts w:asciiTheme="minorHAnsi" w:hAnsiTheme="minorHAnsi" w:cstheme="minorHAnsi"/>
        </w:rPr>
        <w:t xml:space="preserve">National Minimum Wage Act 1998, c39. Available at: </w:t>
      </w:r>
      <w:hyperlink r:id="rId40" w:history="1">
        <w:r w:rsidRPr="00381388">
          <w:rPr>
            <w:rStyle w:val="Hyperlink"/>
            <w:rFonts w:asciiTheme="minorHAnsi" w:hAnsiTheme="minorHAnsi" w:cstheme="minorHAnsi"/>
          </w:rPr>
          <w:t>https://www.legislation.gov.uk/ukpga/1998/39/contents</w:t>
        </w:r>
      </w:hyperlink>
      <w:r>
        <w:rPr>
          <w:rFonts w:asciiTheme="minorHAnsi" w:hAnsiTheme="minorHAnsi" w:cstheme="minorHAnsi"/>
        </w:rPr>
        <w:t xml:space="preserve"> (Accessed 19</w:t>
      </w:r>
      <w:proofErr w:type="gramStart"/>
      <w:r w:rsidRPr="00491CC8">
        <w:rPr>
          <w:rFonts w:asciiTheme="minorHAnsi" w:hAnsiTheme="minorHAnsi" w:cstheme="minorHAnsi"/>
          <w:vertAlign w:val="superscript"/>
        </w:rPr>
        <w:t>th</w:t>
      </w:r>
      <w:r>
        <w:rPr>
          <w:rFonts w:asciiTheme="minorHAnsi" w:hAnsiTheme="minorHAnsi" w:cstheme="minorHAnsi"/>
        </w:rPr>
        <w:t xml:space="preserve">  April</w:t>
      </w:r>
      <w:proofErr w:type="gramEnd"/>
      <w:r>
        <w:rPr>
          <w:rFonts w:asciiTheme="minorHAnsi" w:hAnsiTheme="minorHAnsi" w:cstheme="minorHAnsi"/>
        </w:rPr>
        <w:t xml:space="preserve"> 2024). </w:t>
      </w:r>
    </w:p>
    <w:p w14:paraId="3A63A687" w14:textId="77777777" w:rsidR="00855773" w:rsidRDefault="00855773" w:rsidP="00855773">
      <w:pPr>
        <w:pStyle w:val="Nornal"/>
        <w:numPr>
          <w:ilvl w:val="0"/>
          <w:numId w:val="1"/>
        </w:numPr>
        <w:spacing w:after="0"/>
        <w:rPr>
          <w:rFonts w:asciiTheme="minorHAnsi" w:hAnsiTheme="minorHAnsi" w:cstheme="minorHAnsi"/>
        </w:rPr>
      </w:pPr>
      <w:r>
        <w:rPr>
          <w:rFonts w:asciiTheme="minorHAnsi" w:hAnsiTheme="minorHAnsi" w:cstheme="minorHAnsi"/>
        </w:rPr>
        <w:t xml:space="preserve">The Flexible Working Regulations 2014, no.1398. Available at: </w:t>
      </w:r>
      <w:hyperlink r:id="rId41" w:history="1">
        <w:r w:rsidRPr="00381388">
          <w:rPr>
            <w:rStyle w:val="Hyperlink"/>
            <w:rFonts w:asciiTheme="minorHAnsi" w:hAnsiTheme="minorHAnsi" w:cstheme="minorHAnsi"/>
          </w:rPr>
          <w:t>https://www.legislation.gov.uk/uksi/2014/1398/made</w:t>
        </w:r>
      </w:hyperlink>
      <w:r>
        <w:rPr>
          <w:rFonts w:asciiTheme="minorHAnsi" w:hAnsiTheme="minorHAnsi" w:cstheme="minorHAnsi"/>
        </w:rPr>
        <w:t xml:space="preserve"> (Accessed 17th May 2024).</w:t>
      </w:r>
    </w:p>
    <w:p w14:paraId="1BF84BBB" w14:textId="77777777" w:rsidR="00855773" w:rsidRDefault="00855773" w:rsidP="00855773">
      <w:pPr>
        <w:pStyle w:val="Nornal"/>
        <w:numPr>
          <w:ilvl w:val="0"/>
          <w:numId w:val="1"/>
        </w:numPr>
        <w:spacing w:after="0"/>
        <w:rPr>
          <w:rFonts w:asciiTheme="minorHAnsi" w:hAnsiTheme="minorHAnsi" w:cstheme="minorHAnsi"/>
        </w:rPr>
      </w:pPr>
      <w:r>
        <w:rPr>
          <w:rFonts w:asciiTheme="minorHAnsi" w:hAnsiTheme="minorHAnsi" w:cstheme="minorHAnsi"/>
        </w:rPr>
        <w:t xml:space="preserve">The Working Time Regulations 1998, no,1833. Available at: </w:t>
      </w:r>
      <w:hyperlink r:id="rId42" w:history="1">
        <w:r w:rsidRPr="00381388">
          <w:rPr>
            <w:rStyle w:val="Hyperlink"/>
            <w:rFonts w:asciiTheme="minorHAnsi" w:hAnsiTheme="minorHAnsi" w:cstheme="minorHAnsi"/>
          </w:rPr>
          <w:t>https://www.legislation.gov.uk/uksi/1998/1833/contents/made</w:t>
        </w:r>
      </w:hyperlink>
      <w:r>
        <w:rPr>
          <w:rFonts w:asciiTheme="minorHAnsi" w:hAnsiTheme="minorHAnsi" w:cstheme="minorHAnsi"/>
        </w:rPr>
        <w:t xml:space="preserve"> (Accessed 6th May 2024).</w:t>
      </w:r>
    </w:p>
    <w:p w14:paraId="1DAFB517" w14:textId="77777777" w:rsidR="00CA043D" w:rsidRPr="00CA043D" w:rsidRDefault="00CA043D" w:rsidP="00CA043D">
      <w:pPr>
        <w:pStyle w:val="Nornal"/>
        <w:ind w:left="720"/>
        <w:rPr>
          <w:rFonts w:asciiTheme="minorHAnsi" w:hAnsiTheme="minorHAnsi" w:cstheme="minorHAnsi"/>
        </w:rPr>
      </w:pPr>
    </w:p>
    <w:p w14:paraId="1F6B520D" w14:textId="77777777" w:rsidR="00A543A8" w:rsidRPr="00DB3E85" w:rsidRDefault="00A543A8">
      <w:pPr>
        <w:rPr>
          <w:b/>
          <w:bCs/>
          <w:u w:val="single"/>
          <w:lang w:val="en-US"/>
        </w:rPr>
      </w:pPr>
    </w:p>
    <w:sectPr w:rsidR="00A543A8" w:rsidRPr="00DB3E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F4029A"/>
    <w:multiLevelType w:val="hybridMultilevel"/>
    <w:tmpl w:val="10587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654661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059"/>
    <w:rsid w:val="00006059"/>
    <w:rsid w:val="000962D6"/>
    <w:rsid w:val="000C6857"/>
    <w:rsid w:val="000E6AD9"/>
    <w:rsid w:val="00276EFB"/>
    <w:rsid w:val="00483B30"/>
    <w:rsid w:val="00491CC8"/>
    <w:rsid w:val="004E3E61"/>
    <w:rsid w:val="004F2ABE"/>
    <w:rsid w:val="00620D36"/>
    <w:rsid w:val="006624D0"/>
    <w:rsid w:val="0077242A"/>
    <w:rsid w:val="00787DE1"/>
    <w:rsid w:val="007B6F20"/>
    <w:rsid w:val="00855773"/>
    <w:rsid w:val="008D73DF"/>
    <w:rsid w:val="009A0FEC"/>
    <w:rsid w:val="009F1CDA"/>
    <w:rsid w:val="00A543A8"/>
    <w:rsid w:val="00AE3FF3"/>
    <w:rsid w:val="00B21089"/>
    <w:rsid w:val="00BB1EEA"/>
    <w:rsid w:val="00CA043D"/>
    <w:rsid w:val="00D927E3"/>
    <w:rsid w:val="00DA3205"/>
    <w:rsid w:val="00DB3E85"/>
    <w:rsid w:val="00E62340"/>
    <w:rsid w:val="00E82812"/>
    <w:rsid w:val="00ED1390"/>
    <w:rsid w:val="00F53968"/>
    <w:rsid w:val="00F80F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B8EB7"/>
  <w15:chartTrackingRefBased/>
  <w15:docId w15:val="{51EB8AE3-0067-4762-BDD5-44554CDD3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3205"/>
    <w:rPr>
      <w:color w:val="0000FF"/>
      <w:u w:val="single"/>
    </w:rPr>
  </w:style>
  <w:style w:type="paragraph" w:customStyle="1" w:styleId="Nornal">
    <w:name w:val="Nornal"/>
    <w:basedOn w:val="Normal"/>
    <w:link w:val="NornalChar"/>
    <w:qFormat/>
    <w:rsid w:val="006624D0"/>
    <w:pPr>
      <w:spacing w:line="264" w:lineRule="auto"/>
    </w:pPr>
    <w:rPr>
      <w:rFonts w:ascii="Arial" w:hAnsi="Arial" w:cs="Arial"/>
      <w:kern w:val="0"/>
      <w14:ligatures w14:val="none"/>
    </w:rPr>
  </w:style>
  <w:style w:type="character" w:customStyle="1" w:styleId="NornalChar">
    <w:name w:val="Nornal Char"/>
    <w:basedOn w:val="DefaultParagraphFont"/>
    <w:link w:val="Nornal"/>
    <w:rsid w:val="006624D0"/>
    <w:rPr>
      <w:rFonts w:ascii="Arial" w:hAnsi="Arial" w:cs="Arial"/>
      <w:kern w:val="0"/>
      <w14:ligatures w14:val="none"/>
    </w:rPr>
  </w:style>
  <w:style w:type="table" w:styleId="TableGrid">
    <w:name w:val="Table Grid"/>
    <w:basedOn w:val="TableNormal"/>
    <w:uiPriority w:val="39"/>
    <w:rsid w:val="007724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91CC8"/>
    <w:rPr>
      <w:color w:val="605E5C"/>
      <w:shd w:val="clear" w:color="auto" w:fill="E1DFDD"/>
    </w:rPr>
  </w:style>
  <w:style w:type="character" w:styleId="FollowedHyperlink">
    <w:name w:val="FollowedHyperlink"/>
    <w:basedOn w:val="DefaultParagraphFont"/>
    <w:uiPriority w:val="99"/>
    <w:semiHidden/>
    <w:unhideWhenUsed/>
    <w:rsid w:val="000C685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ailii.org/uk/cases/UKEAT/2002/89_01_2102.html" TargetMode="External"/><Relationship Id="rId18" Type="http://schemas.openxmlformats.org/officeDocument/2006/relationships/hyperlink" Target="https://www.acas.org.uk/equal-pay/employer-responsibilities" TargetMode="External"/><Relationship Id="rId26" Type="http://schemas.openxmlformats.org/officeDocument/2006/relationships/hyperlink" Target="https://www.cipd.org/uk/knowledge/factsheets/tribunals-factsheet/" TargetMode="External"/><Relationship Id="rId39" Type="http://schemas.openxmlformats.org/officeDocument/2006/relationships/hyperlink" Target="https://www.legislation.gov.uk/ukpga/1998/39/contents" TargetMode="External"/><Relationship Id="rId21" Type="http://schemas.openxmlformats.org/officeDocument/2006/relationships/hyperlink" Target="https://www.acas.org.uk/payslips" TargetMode="External"/><Relationship Id="rId34" Type="http://schemas.openxmlformats.org/officeDocument/2006/relationships/hyperlink" Target="https://www.gov.uk/government/publications/minimum-wage-rates-for-2024" TargetMode="External"/><Relationship Id="rId42" Type="http://schemas.openxmlformats.org/officeDocument/2006/relationships/hyperlink" Target="https://www.legislation.gov.uk/uksi/1998/1833/contents/made" TargetMode="External"/><Relationship Id="rId7" Type="http://schemas.openxmlformats.org/officeDocument/2006/relationships/hyperlink" Target="https://www.casemine.com/judgement/uk/5a8ff78d60d03e7f57eaefc9" TargetMode="External"/><Relationship Id="rId2" Type="http://schemas.openxmlformats.org/officeDocument/2006/relationships/styles" Target="styles.xml"/><Relationship Id="rId16" Type="http://schemas.openxmlformats.org/officeDocument/2006/relationships/hyperlink" Target="https://www.acas.org.uk/settlement-agreements" TargetMode="External"/><Relationship Id="rId20" Type="http://schemas.openxmlformats.org/officeDocument/2006/relationships/hyperlink" Target="https://www.acas.org.uk/national-minimum-wage-entitlement" TargetMode="External"/><Relationship Id="rId29" Type="http://schemas.openxmlformats.org/officeDocument/2006/relationships/hyperlink" Target="https://www.cipd.org/uk/knowledge/guides/managing-the-redundancy-process/" TargetMode="External"/><Relationship Id="rId41" Type="http://schemas.openxmlformats.org/officeDocument/2006/relationships/hyperlink" Target="https://www.legislation.gov.uk/uksi/2014/1398/made"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gov.uk/employment-tribunal-decisions/mr-n-clements-v-guy-s-and-st-thomas-nhs-foundation-trust-2303535-2018" TargetMode="External"/><Relationship Id="rId24" Type="http://schemas.openxmlformats.org/officeDocument/2006/relationships/hyperlink" Target="https://www.cipd.org/uk/knowledge/reports/employment-regulation-in-the-uk-burden-or-benefit/" TargetMode="External"/><Relationship Id="rId32" Type="http://schemas.openxmlformats.org/officeDocument/2006/relationships/hyperlink" Target="https://www.legislation.gov.uk/ukpga/2010/15/contents" TargetMode="External"/><Relationship Id="rId37" Type="http://schemas.openxmlformats.org/officeDocument/2006/relationships/hyperlink" Target="https://www.gov.uk/transfers-takeovers/transfers-of-employment-contracts" TargetMode="External"/><Relationship Id="rId40" Type="http://schemas.openxmlformats.org/officeDocument/2006/relationships/hyperlink" Target="https://www.legislation.gov.uk/ukpga/1998/39/contents" TargetMode="External"/><Relationship Id="rId5" Type="http://schemas.openxmlformats.org/officeDocument/2006/relationships/image" Target="media/image1.png"/><Relationship Id="rId15" Type="http://schemas.openxmlformats.org/officeDocument/2006/relationships/hyperlink" Target="https://www.acas.org.uk/hiring-someone/follow-discrimination-law" TargetMode="External"/><Relationship Id="rId23" Type="http://schemas.openxmlformats.org/officeDocument/2006/relationships/hyperlink" Target="https://www.acas.org.uk/statutory-flexible-working-requests/options-for-agreeing-changes" TargetMode="External"/><Relationship Id="rId28" Type="http://schemas.openxmlformats.org/officeDocument/2006/relationships/hyperlink" Target="https://www.cipd.org/uk/knowledge/factsheets/redundancy-factsheet/" TargetMode="External"/><Relationship Id="rId36" Type="http://schemas.openxmlformats.org/officeDocument/2006/relationships/hyperlink" Target="https://www.gov.uk/maternity-pay-leave/leave" TargetMode="External"/><Relationship Id="rId10" Type="http://schemas.openxmlformats.org/officeDocument/2006/relationships/hyperlink" Target="https://www.personneltoday.com/hr/gomez-v-continental-industrias-del-caucho-sa-ecj-c-34201/" TargetMode="External"/><Relationship Id="rId19" Type="http://schemas.openxmlformats.org/officeDocument/2006/relationships/hyperlink" Target="https://www.acas.org.uk/manage-staff-redundancies" TargetMode="External"/><Relationship Id="rId31" Type="http://schemas.openxmlformats.org/officeDocument/2006/relationships/hyperlink" Target="https://www.legislation.gov.uk/ukpga/2013/24/contents/enacted"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asemine.com/judgement/uk/5a8ff76c60d03e7f57eac552" TargetMode="External"/><Relationship Id="rId14" Type="http://schemas.openxmlformats.org/officeDocument/2006/relationships/hyperlink" Target="https://www.acas.org.uk/early-conciliation/how-early-conciliation-works" TargetMode="External"/><Relationship Id="rId22" Type="http://schemas.openxmlformats.org/officeDocument/2006/relationships/hyperlink" Target="https://www.acas.org.uk/working-time-rules" TargetMode="External"/><Relationship Id="rId27" Type="http://schemas.openxmlformats.org/officeDocument/2006/relationships/hyperlink" Target="https://www.cipd.org/uk/knowledge/factsheets/tupe-factsheet/" TargetMode="External"/><Relationship Id="rId30" Type="http://schemas.openxmlformats.org/officeDocument/2006/relationships/hyperlink" Target="https://www.legislation.gov.uk/ukpga/1996/18/contents" TargetMode="External"/><Relationship Id="rId35" Type="http://schemas.openxmlformats.org/officeDocument/2006/relationships/hyperlink" Target="https://www.gov.uk/maximum-weekly-working-hours" TargetMode="External"/><Relationship Id="rId43" Type="http://schemas.openxmlformats.org/officeDocument/2006/relationships/fontTable" Target="fontTable.xml"/><Relationship Id="rId8" Type="http://schemas.openxmlformats.org/officeDocument/2006/relationships/hyperlink" Target="https://app.croneri.co.uk/law-and-guidance/case-reports/barber-and-others-v-rjb-mining-uk-ltd-1999-irlr-308-hc?topic=3309" TargetMode="External"/><Relationship Id="rId3" Type="http://schemas.openxmlformats.org/officeDocument/2006/relationships/settings" Target="settings.xml"/><Relationship Id="rId12" Type="http://schemas.openxmlformats.org/officeDocument/2006/relationships/hyperlink" Target="https://assets.publishing.service.gov.uk/media/631f2e718fa8f5020c4015ad/Ponticelli_UK_Ltd_v_Mr_A_Gallagher_2022_EAT_141.pdf" TargetMode="External"/><Relationship Id="rId17" Type="http://schemas.openxmlformats.org/officeDocument/2006/relationships/hyperlink" Target="https://www.acas.org.uk/equal-pay/equal-pay-law" TargetMode="External"/><Relationship Id="rId25" Type="http://schemas.openxmlformats.org/officeDocument/2006/relationships/hyperlink" Target="https://www.cipd.org/uk/knowledge/factsheets/uk-court-system-factsheet/" TargetMode="External"/><Relationship Id="rId33" Type="http://schemas.openxmlformats.org/officeDocument/2006/relationships/hyperlink" Target="https://www.gov.uk/guidance/equality-act-2010-guidance" TargetMode="External"/><Relationship Id="rId38" Type="http://schemas.openxmlformats.org/officeDocument/2006/relationships/hyperlink" Target="https://www.legislation.gov.uk/ukpga/1974/37/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5607</Words>
  <Characters>31960</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Hitchings, Chloe</dc:creator>
  <cp:keywords/>
  <dc:description/>
  <cp:lastModifiedBy>Hitchings, Chloe</cp:lastModifiedBy>
  <cp:revision>2</cp:revision>
  <dcterms:created xsi:type="dcterms:W3CDTF">2024-07-10T19:57:00Z</dcterms:created>
  <dcterms:modified xsi:type="dcterms:W3CDTF">2024-07-10T19:57:00Z</dcterms:modified>
</cp:coreProperties>
</file>