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2F703" w14:textId="10653DF5" w:rsidR="0050565F" w:rsidRPr="0050565F" w:rsidRDefault="00033EE7" w:rsidP="00167C80">
      <w:pPr>
        <w:pStyle w:val="NormalWeb"/>
        <w:spacing w:line="360" w:lineRule="auto"/>
        <w:jc w:val="center"/>
        <w:rPr>
          <w:u w:val="single"/>
        </w:rPr>
      </w:pPr>
      <w:r w:rsidRPr="00695059">
        <w:rPr>
          <w:u w:val="single"/>
        </w:rPr>
        <w:t>To what extent does the media contribute towards violent and aggressive behaviour in an individual?</w:t>
      </w:r>
    </w:p>
    <w:p w14:paraId="06850B55" w14:textId="094C16CA" w:rsidR="005709A0" w:rsidRDefault="005709A0" w:rsidP="005709A0">
      <w:pPr>
        <w:pStyle w:val="NormalWeb"/>
        <w:spacing w:line="360" w:lineRule="auto"/>
        <w:contextualSpacing/>
        <w:jc w:val="both"/>
      </w:pPr>
      <w:r>
        <w:t xml:space="preserve">The media is more prominent in our lives now, more than ever before, </w:t>
      </w:r>
      <w:r w:rsidR="00C943C8">
        <w:t>so</w:t>
      </w:r>
      <w:r>
        <w:t xml:space="preserve"> it is not surprising that the effects of it are “the biggest area of research in media psychology” (Giles, 2010, p. 31). According to Ludlow and Gutierrez </w:t>
      </w:r>
      <w:r w:rsidRPr="0011003E">
        <w:t>(</w:t>
      </w:r>
      <w:r>
        <w:t>2014), humans learn behaviours, including aggressive and violent ones, from observing and imitating others, especially if they perceive the other person as admirable. Bandura et al. (1961, 1963) demonstrated this concept with the</w:t>
      </w:r>
      <w:r w:rsidR="002A0EA7">
        <w:t xml:space="preserve"> famous</w:t>
      </w:r>
      <w:r>
        <w:t xml:space="preserve"> ‘Bobo doll experiment’, show</w:t>
      </w:r>
      <w:r w:rsidR="00EE4B22">
        <w:t>casing</w:t>
      </w:r>
      <w:r>
        <w:t xml:space="preserve"> “how a child’s aggressive tendencies can be strengthened through vicarious reinforcement” (Gross, 1987/2020, p.</w:t>
      </w:r>
      <w:r w:rsidR="00E959AA">
        <w:t xml:space="preserve"> 489</w:t>
      </w:r>
      <w:r>
        <w:t xml:space="preserve">). </w:t>
      </w:r>
      <w:r w:rsidR="00C943C8">
        <w:t xml:space="preserve">Therefore, it is expected that constant exposure to violent media content will have an impact on human behaviour. </w:t>
      </w:r>
      <w:r>
        <w:t xml:space="preserve">In fact, </w:t>
      </w:r>
      <w:r w:rsidR="00C943C8">
        <w:t>Bandura’s</w:t>
      </w:r>
      <w:r>
        <w:t xml:space="preserve"> experiment was the beginning of scientific research into the influence of media on aggressive behaviour (Baron, 1977</w:t>
      </w:r>
      <w:r w:rsidR="005956D0">
        <w:t>,</w:t>
      </w:r>
      <w:r>
        <w:t xml:space="preserve"> as cited in Gross, 1987/2020).</w:t>
      </w:r>
      <w:r w:rsidR="00C943C8">
        <w:t xml:space="preserve"> </w:t>
      </w:r>
      <w:r>
        <w:t>With that in mind, this essay will discuss the extent to which the media contributes towards violence and aggression</w:t>
      </w:r>
      <w:r w:rsidR="005956D0">
        <w:t xml:space="preserve">. </w:t>
      </w:r>
    </w:p>
    <w:p w14:paraId="48241864" w14:textId="51170884" w:rsidR="007C73AC" w:rsidRDefault="005709A0" w:rsidP="00290A0F">
      <w:pPr>
        <w:pStyle w:val="NormalWeb"/>
        <w:spacing w:line="360" w:lineRule="auto"/>
        <w:contextualSpacing/>
        <w:jc w:val="both"/>
      </w:pPr>
      <w:r>
        <w:t xml:space="preserve">As stated by Bender et al. (2018), there have been decades of research, including </w:t>
      </w:r>
      <w:r w:rsidR="00410380">
        <w:t>“</w:t>
      </w:r>
      <w:r>
        <w:t>cross-sectional, experimental and longitudinal studies and meta-analytical reviews</w:t>
      </w:r>
      <w:r w:rsidR="00410380">
        <w:t>”</w:t>
      </w:r>
      <w:r>
        <w:t xml:space="preserve"> </w:t>
      </w:r>
      <w:r w:rsidR="00647C91">
        <w:t xml:space="preserve">(p. 104) </w:t>
      </w:r>
      <w:r>
        <w:t>which support the causal link between exposure to the media and aggressive behaviour. Since this evidence has been so conclusive, it has meant that researchers believe</w:t>
      </w:r>
      <w:r w:rsidR="005956D0">
        <w:t xml:space="preserve"> that</w:t>
      </w:r>
      <w:r>
        <w:t xml:space="preserve"> the link is “as strong as th</w:t>
      </w:r>
      <w:r w:rsidR="00915A42">
        <w:t xml:space="preserve">at between </w:t>
      </w:r>
      <w:r>
        <w:t>smoking and lung cancer”</w:t>
      </w:r>
      <w:r w:rsidR="00647C91">
        <w:t xml:space="preserve"> (</w:t>
      </w:r>
      <w:r w:rsidR="00915A42">
        <w:t xml:space="preserve">Eron, 1993, as cited in </w:t>
      </w:r>
      <w:r w:rsidR="00647C91">
        <w:t>Giles, 2010, p. 32)</w:t>
      </w:r>
      <w:r>
        <w:t>, which implies that the debate is over</w:t>
      </w:r>
      <w:r w:rsidR="00647C91">
        <w:t xml:space="preserve">. </w:t>
      </w:r>
      <w:r>
        <w:t xml:space="preserve">Additionally, Bender et al. (2018) claimed that this has caused health organisations, such as the American Medical Association and the American Academy of Paediatrics to state that “media violence is a causal risk factor for aggression” (p. 104). Due to this alone, it would be reasonable to say that the extent </w:t>
      </w:r>
      <w:r w:rsidR="002A0EA7">
        <w:t xml:space="preserve">that the </w:t>
      </w:r>
      <w:r>
        <w:t xml:space="preserve">media </w:t>
      </w:r>
      <w:r w:rsidR="002A0EA7">
        <w:t xml:space="preserve">can </w:t>
      </w:r>
      <w:r>
        <w:t>influenc</w:t>
      </w:r>
      <w:r w:rsidR="002A0EA7">
        <w:t>e</w:t>
      </w:r>
      <w:r>
        <w:t xml:space="preserve"> violent and aggressive behaviour is significant.</w:t>
      </w:r>
      <w:r w:rsidR="002A0EA7">
        <w:t xml:space="preserve"> </w:t>
      </w:r>
    </w:p>
    <w:p w14:paraId="6752B549" w14:textId="037D539C" w:rsidR="008F1CDA" w:rsidRDefault="005709A0" w:rsidP="00290A0F">
      <w:pPr>
        <w:pStyle w:val="NormalWeb"/>
        <w:spacing w:line="360" w:lineRule="auto"/>
        <w:contextualSpacing/>
        <w:jc w:val="both"/>
      </w:pPr>
      <w:r>
        <w:t xml:space="preserve">Anderson et al. (2003), stated that the research base for the effects of media on aggression is compelling since it is “diverse in methods, samples and media genres” (p. 81). They explained that research has focused largely on television and movies, and the findings </w:t>
      </w:r>
      <w:r w:rsidR="00EE4B22">
        <w:t>typically</w:t>
      </w:r>
      <w:r>
        <w:t xml:space="preserve"> show that adolescents who are exposed to TV and movie violence are more aggressive in terms of their behaviour, thoughts and emotions, in comparison to those who are not. Anderson et al. proceeded by explaining that one “typical experimental paradigm”</w:t>
      </w:r>
      <w:r w:rsidR="00647C91">
        <w:t xml:space="preserve"> (p. 84)</w:t>
      </w:r>
      <w:r>
        <w:t xml:space="preserve"> is that participants watch either a violent or nonviolent film and are later analysed regarding their interaction with others. They described one study by Bjorkqvist (1985) which investigated how 5- to 6-year-old Finnish children would behave after watching violent or nonviolent films. The findings showed that those who were exposed to the violent film were much more aggressive </w:t>
      </w:r>
      <w:r>
        <w:lastRenderedPageBreak/>
        <w:t>afterwards and they were rated highly on physical assaul</w:t>
      </w:r>
      <w:r w:rsidR="007B4937">
        <w:t>t</w:t>
      </w:r>
      <w:r w:rsidR="005956D0">
        <w:t xml:space="preserve"> (Anderson et al., 2003)</w:t>
      </w:r>
      <w:r>
        <w:t xml:space="preserve">, which supports </w:t>
      </w:r>
      <w:r w:rsidR="005956D0">
        <w:t>the link between violent media content and antisocial behaviour.</w:t>
      </w:r>
    </w:p>
    <w:p w14:paraId="366D6D5A" w14:textId="21D47C52" w:rsidR="00167C80" w:rsidRDefault="0038178A" w:rsidP="0038178A">
      <w:pPr>
        <w:pStyle w:val="NormalWeb"/>
        <w:spacing w:line="360" w:lineRule="auto"/>
        <w:contextualSpacing/>
        <w:jc w:val="both"/>
      </w:pPr>
      <w:r>
        <w:t>However, it is important to understand how TV and film exert these effects. According to Gross (1987/2020), Huesmann et al. (2003) “identified a number of psychological processes which underlie either the short-term or long-term effects of TV exposure and other media” (p. 490). The underlying processes for short-term effects include cognitive priming, immediate imitation and excitation transfer. Bushman and Green (1990, as cited in Giles, 2010) stated that cognitive priming can occur from the scripts that violent films provide</w:t>
      </w:r>
      <w:r w:rsidR="009F795E">
        <w:t>, meaning viewers later act these out</w:t>
      </w:r>
      <w:r>
        <w:t xml:space="preserve"> in “ambiguous social encounters”</w:t>
      </w:r>
      <w:r w:rsidR="005956D0">
        <w:t xml:space="preserve"> (p. 36)</w:t>
      </w:r>
      <w:r w:rsidR="009F795E">
        <w:t>. This c</w:t>
      </w:r>
      <w:r>
        <w:t>ould explain why Bjorkqvist (1985) found that children were more abusive after watching a violent film</w:t>
      </w:r>
      <w:r w:rsidR="005956D0">
        <w:t xml:space="preserve">. </w:t>
      </w:r>
      <w:r>
        <w:t>Furthermore, the underlying processes for long-term effects include “observational learning of behavioural scripts, world schemas and normative beliefs”</w:t>
      </w:r>
      <w:r w:rsidR="00647C91" w:rsidRPr="00647C91">
        <w:t xml:space="preserve"> </w:t>
      </w:r>
      <w:r w:rsidR="00647C91">
        <w:t>(Huesmann et al</w:t>
      </w:r>
      <w:r w:rsidR="00BB30A0">
        <w:t>.</w:t>
      </w:r>
      <w:r w:rsidR="00647C91">
        <w:t>, 2003, as cited in Gross, 1987/2020)</w:t>
      </w:r>
      <w:r>
        <w:t>, desensitisation and didactic learning</w:t>
      </w:r>
      <w:r w:rsidR="00647C91">
        <w:t>.</w:t>
      </w:r>
    </w:p>
    <w:p w14:paraId="5DCBCF73" w14:textId="6FB2195F" w:rsidR="0038178A" w:rsidRDefault="0038178A" w:rsidP="0038178A">
      <w:pPr>
        <w:pStyle w:val="NormalWeb"/>
        <w:spacing w:line="360" w:lineRule="auto"/>
        <w:contextualSpacing/>
        <w:jc w:val="both"/>
      </w:pPr>
      <w:r>
        <w:t xml:space="preserve">According to Giles (2010), desensitisation is a “frequently cited effect of media violence…towards violence in general” (p. 36). This means that repeated exposure to violent media content can result in “lowered emotional arousal and produces a ‘drugging’ effect similar to addiction” (Murray, 2008, as cited in Gross, 1987/2020). A study by Krahé et al. (2011) which investigated the </w:t>
      </w:r>
      <w:r w:rsidR="00F70D95">
        <w:t>association of</w:t>
      </w:r>
      <w:r>
        <w:t xml:space="preserve"> desensitisation </w:t>
      </w:r>
      <w:r w:rsidR="00F70D95">
        <w:t>with</w:t>
      </w:r>
      <w:r>
        <w:t xml:space="preserve"> violent media and habitual media violence in undergraduates, supported this idea. They stated that their findings showed that “the more individuals habitually used violent media contents, the less physiological reactivity they showed to a violent film clip” (</w:t>
      </w:r>
      <w:r w:rsidR="00366535">
        <w:t xml:space="preserve">Krahé, 2011, </w:t>
      </w:r>
      <w:r>
        <w:t>p. 642). This effect could then lead to individuals having reduced “physiological arousal reactions to real-world violence” (Dubow et al</w:t>
      </w:r>
      <w:r w:rsidR="00BB30A0">
        <w:t>.</w:t>
      </w:r>
      <w:r>
        <w:t>, 2007, as cited in Gross, 1987/2020) and therefore, increase their aggressive behaviour because they think it is acceptable. However, the evidence would suggest that those who use social media less frequently, would not suffer these effects to the same extent. It could also be proposed that since the sample only consisted of undergraduates, different effects may be found in other age groups, i.e., children and older adults.</w:t>
      </w:r>
    </w:p>
    <w:p w14:paraId="146E75CB" w14:textId="22A64CE7" w:rsidR="0038178A" w:rsidRDefault="0038178A" w:rsidP="0038178A">
      <w:pPr>
        <w:pStyle w:val="NormalWeb"/>
        <w:spacing w:line="360" w:lineRule="auto"/>
        <w:contextualSpacing/>
        <w:jc w:val="both"/>
      </w:pPr>
      <w:r>
        <w:t xml:space="preserve">Therefore, it is vital to consider the effects that the media has on different ages. Huesmann et al. (2003), focused on the adult population when they investigated the “longitudinal relations between TV violence viewing at ages 6 to 10 and adult aggressive behaviour about 15 years later” (p. 201). They used a sample of both male and female participants growing up in the 1970s and 1980s, which differentiates from past longitudinal studies which usually only focused on boys (Huesmann et al., 2003, p. 201). As stated by the researchers, the findings showed that exposure to media violence during childhood can predict adult </w:t>
      </w:r>
      <w:r>
        <w:lastRenderedPageBreak/>
        <w:t>aggressive behaviour in both males and females. This evidence would also support that Huesmann’s underlying psychological processes</w:t>
      </w:r>
      <w:r w:rsidR="005956D0">
        <w:t xml:space="preserve"> for</w:t>
      </w:r>
      <w:r>
        <w:t xml:space="preserve"> long-term media effects, such as desensitisation, are relevant to older adults, as well as undergraduate students. Additionally, the study also adds important</w:t>
      </w:r>
      <w:r w:rsidR="005956D0">
        <w:t xml:space="preserve"> </w:t>
      </w:r>
      <w:r>
        <w:t>empirical evidence</w:t>
      </w:r>
      <w:r w:rsidR="005956D0">
        <w:t xml:space="preserve"> </w:t>
      </w:r>
      <w:r>
        <w:t xml:space="preserve">that females can also be </w:t>
      </w:r>
      <w:r w:rsidR="00546151">
        <w:t xml:space="preserve">highly </w:t>
      </w:r>
      <w:r>
        <w:t>influenced by what they view during childhood</w:t>
      </w:r>
      <w:r w:rsidR="00B16FDD">
        <w:t>, which</w:t>
      </w:r>
      <w:r w:rsidR="00CE6CC7">
        <w:t xml:space="preserve"> also</w:t>
      </w:r>
      <w:r w:rsidR="00B16FDD">
        <w:t xml:space="preserve"> </w:t>
      </w:r>
      <w:r w:rsidR="005956D0">
        <w:t>increase</w:t>
      </w:r>
      <w:r w:rsidR="00B16FDD">
        <w:t>s</w:t>
      </w:r>
      <w:r w:rsidR="005956D0">
        <w:t xml:space="preserve"> the generalisability of</w:t>
      </w:r>
      <w:r w:rsidR="00B16FDD">
        <w:t xml:space="preserve"> other</w:t>
      </w:r>
      <w:r w:rsidR="005956D0">
        <w:t xml:space="preserve"> research evidence. </w:t>
      </w:r>
    </w:p>
    <w:p w14:paraId="5C79A6F3" w14:textId="40FFB203" w:rsidR="0084036F" w:rsidRDefault="0084036F" w:rsidP="0084036F">
      <w:pPr>
        <w:pStyle w:val="NormalWeb"/>
        <w:spacing w:line="360" w:lineRule="auto"/>
        <w:contextualSpacing/>
        <w:jc w:val="both"/>
      </w:pPr>
      <w:r>
        <w:t>Moreover, Paik and Comstock (1994) investigated children and adolescents in the “most comprehensive meta-analysis up to that time of the link between…TV violence and aggressive or antisocial behaviour” (Gross, 1987/2020, p. 492). As explained by Gross, the researchers analysed 217 studies, consisting of surveys and laboratory and field experiments, between the years of 1957 and 1990. He stated that the findings showed highly significant effects for “pre-schoolers through to college students”</w:t>
      </w:r>
      <w:r w:rsidR="005956D0">
        <w:t xml:space="preserve"> (</w:t>
      </w:r>
      <w:r w:rsidR="007E398C">
        <w:t xml:space="preserve">Gross, 1987/2020, </w:t>
      </w:r>
      <w:r w:rsidR="005956D0">
        <w:t>p. 492)</w:t>
      </w:r>
      <w:r>
        <w:t>, which is typically ages 3 to 21</w:t>
      </w:r>
      <w:r w:rsidR="005956D0">
        <w:t xml:space="preserve">. </w:t>
      </w:r>
      <w:r>
        <w:t xml:space="preserve">It is clear from these results that the effects of the media can impact a range of ages, </w:t>
      </w:r>
      <w:r w:rsidR="004C3BC6">
        <w:t xml:space="preserve">including the youngest of viewers. This would explain why Anderson et al. (2003) claimed that </w:t>
      </w:r>
      <w:r w:rsidR="00915A42">
        <w:t>“</w:t>
      </w:r>
      <w:r w:rsidR="004C3BC6">
        <w:t>no one is wholly immune to the effects</w:t>
      </w:r>
      <w:r w:rsidR="00915A42">
        <w:t xml:space="preserve"> of media violence</w:t>
      </w:r>
      <w:r w:rsidR="004C3BC6">
        <w:t>”</w:t>
      </w:r>
      <w:r w:rsidR="003547BD">
        <w:t xml:space="preserve"> (p. 81)</w:t>
      </w:r>
      <w:r w:rsidR="004C3BC6">
        <w:t>.</w:t>
      </w:r>
    </w:p>
    <w:p w14:paraId="75AACC93" w14:textId="6CBE3B29" w:rsidR="005709A0" w:rsidRDefault="005709A0" w:rsidP="005709A0">
      <w:pPr>
        <w:pStyle w:val="NormalWeb"/>
        <w:spacing w:line="360" w:lineRule="auto"/>
        <w:contextualSpacing/>
        <w:jc w:val="both"/>
      </w:pPr>
      <w:r>
        <w:t xml:space="preserve">On that note, it is also important to consider cross-cultural findings, </w:t>
      </w:r>
      <w:r w:rsidR="00CE6CC7">
        <w:t xml:space="preserve">to help distinguish the true </w:t>
      </w:r>
      <w:r>
        <w:t>extent of violent media effects</w:t>
      </w:r>
      <w:r w:rsidR="00CE6CC7">
        <w:t xml:space="preserve"> on aggressive behaviour</w:t>
      </w:r>
      <w:r>
        <w:t xml:space="preserve">. As stated by Krahé (2016), “despite differences in cultural norms…the evidence for a link between violent media use and aggression is remarkably consistent across different countries” (p. 439). For instance, Bender et al. (2018) explained that research has investigated Belgian, Mexican American and South Korean samples, and found similar media effects in all. They added that these results were even found in </w:t>
      </w:r>
      <w:r w:rsidR="00285E88">
        <w:t xml:space="preserve">troubled countries, </w:t>
      </w:r>
      <w:r w:rsidR="003F3DD4">
        <w:t xml:space="preserve">such as Beirut. </w:t>
      </w:r>
      <w:r>
        <w:t xml:space="preserve">For example, a survey conducted using a sample of Lebanese school children showed that exposure to violent media could be linked with “pro-violence attitudes above and beyond the impact of real-world violence” (Bender et al., 2018, p. 104). This evidence is critical since it demonstrates that even in countries with a high level of crime and violence, the media has more of an influence on aggressive behaviour. </w:t>
      </w:r>
    </w:p>
    <w:p w14:paraId="68FCDABD" w14:textId="340AC565" w:rsidR="005709A0" w:rsidRDefault="005709A0" w:rsidP="005709A0">
      <w:pPr>
        <w:pStyle w:val="NormalWeb"/>
        <w:spacing w:line="360" w:lineRule="auto"/>
        <w:contextualSpacing/>
        <w:jc w:val="both"/>
      </w:pPr>
      <w:r>
        <w:t>Additionally, Anderson et al. (2017) discussed a study which investigated the “cultural generality versus specificity of media violence effects on aggression”</w:t>
      </w:r>
      <w:r w:rsidR="00647C91">
        <w:t xml:space="preserve"> (p. 986)</w:t>
      </w:r>
      <w:r>
        <w:t xml:space="preserve"> across seven nations namely, Australia, China, Croatia, Germany, Japan, Romania, and Americ</w:t>
      </w:r>
      <w:r w:rsidR="00647C91">
        <w:t>a</w:t>
      </w:r>
      <w:r>
        <w:t>. They explained that the study required participants to report their aggression, media use habits and certain risk and protective factors. The findings showed that violent media content and aggression were positively associated across the nations, even after controlling for other relevant risk</w:t>
      </w:r>
      <w:r w:rsidR="00546151">
        <w:t xml:space="preserve"> </w:t>
      </w:r>
      <w:r>
        <w:t>and protective factors, such as peer delinquency (Anderson et al.</w:t>
      </w:r>
      <w:r w:rsidR="00BB30A0">
        <w:t>,</w:t>
      </w:r>
      <w:r>
        <w:t xml:space="preserve"> 2017). Furthermore, Krahé (2016) reported that in other research, Anderson et al</w:t>
      </w:r>
      <w:r w:rsidR="00B16FDD">
        <w:t>.</w:t>
      </w:r>
      <w:r>
        <w:t xml:space="preserve"> (2010) compared studies “from Western countries with studies from Japan, China and Singapore”</w:t>
      </w:r>
      <w:r w:rsidR="003547BD">
        <w:t xml:space="preserve"> (p. 440)</w:t>
      </w:r>
      <w:r>
        <w:t xml:space="preserve"> and found </w:t>
      </w:r>
      <w:r>
        <w:lastRenderedPageBreak/>
        <w:t xml:space="preserve">substantial evidence that there is a “longitudinal association between violent video game use and aggressive behaviour that were not moderated by culture” (p. 440). It is evident that these studies highlight how cultural differences do not seem to impact the effects of violent media content on aggression, and so </w:t>
      </w:r>
      <w:r w:rsidR="00B16FDD">
        <w:t>it is</w:t>
      </w:r>
      <w:r>
        <w:t xml:space="preserve"> essentially </w:t>
      </w:r>
      <w:r w:rsidR="00546151">
        <w:t xml:space="preserve">a </w:t>
      </w:r>
      <w:r>
        <w:t>worldwide</w:t>
      </w:r>
      <w:r w:rsidR="00B16FDD">
        <w:t xml:space="preserve"> issue</w:t>
      </w:r>
      <w:r>
        <w:t xml:space="preserve">. </w:t>
      </w:r>
    </w:p>
    <w:p w14:paraId="4E7EFA50" w14:textId="17177EFE" w:rsidR="00536203" w:rsidRDefault="005709A0" w:rsidP="005709A0">
      <w:pPr>
        <w:pStyle w:val="NormalWeb"/>
        <w:spacing w:line="360" w:lineRule="auto"/>
        <w:contextualSpacing/>
        <w:jc w:val="both"/>
      </w:pPr>
      <w:r>
        <w:t>After discussing the meta-analysis by Anderson et al. (2010), which focused on violent video games, it seems necessary to consider this genre, as it supports the</w:t>
      </w:r>
      <w:r w:rsidR="00546151">
        <w:t xml:space="preserve"> strong</w:t>
      </w:r>
      <w:r>
        <w:t xml:space="preserve"> link between media and aggression. According to Anderson et al. (2003), the evidence from video games has expanded rapidly over the past decade, which is no surprise considering the video game industry has experienced an “enormous worldwide growth”</w:t>
      </w:r>
      <w:r w:rsidR="003547BD">
        <w:t xml:space="preserve"> (Giles, 201</w:t>
      </w:r>
      <w:r w:rsidR="00D44DDF">
        <w:t>0</w:t>
      </w:r>
      <w:r w:rsidR="003547BD">
        <w:t>, p. 38)</w:t>
      </w:r>
      <w:r>
        <w:t xml:space="preserve"> during this time</w:t>
      </w:r>
      <w:r w:rsidR="003547BD">
        <w:t xml:space="preserve">. </w:t>
      </w:r>
      <w:r>
        <w:t>Anderson et al. (2003) added that the research has shown very similar findings to that of TV and films so far, despite the experiences being quite different since the individual gets to “control the action directly”</w:t>
      </w:r>
      <w:r w:rsidR="003547BD">
        <w:t xml:space="preserve"> (Giles, 201</w:t>
      </w:r>
      <w:r w:rsidR="00D44DDF">
        <w:t>0</w:t>
      </w:r>
      <w:r w:rsidR="003547BD">
        <w:t>, p. 38)</w:t>
      </w:r>
      <w:r>
        <w:t xml:space="preserve"> in video games</w:t>
      </w:r>
      <w:r w:rsidR="003547BD">
        <w:t xml:space="preserve">. </w:t>
      </w:r>
      <w:r>
        <w:t xml:space="preserve">Nevertheless, Giles </w:t>
      </w:r>
      <w:r w:rsidR="00D44DDF">
        <w:t xml:space="preserve">(2010) </w:t>
      </w:r>
      <w:r>
        <w:t xml:space="preserve">mentioned that researchers tend to use the same </w:t>
      </w:r>
      <w:r w:rsidR="00546151">
        <w:t>“</w:t>
      </w:r>
      <w:r>
        <w:t>theoretical models and methodologies</w:t>
      </w:r>
      <w:r w:rsidR="00546151" w:rsidRPr="0011003E">
        <w:t>”</w:t>
      </w:r>
      <w:r w:rsidRPr="0011003E">
        <w:t xml:space="preserve"> </w:t>
      </w:r>
      <w:r w:rsidR="00546151" w:rsidRPr="0011003E">
        <w:t xml:space="preserve">(p. 38) </w:t>
      </w:r>
      <w:r w:rsidRPr="0011003E">
        <w:t>as</w:t>
      </w:r>
      <w:r>
        <w:t xml:space="preserve"> TV and film</w:t>
      </w:r>
      <w:r w:rsidR="00B16FDD">
        <w:t xml:space="preserve"> studies</w:t>
      </w:r>
      <w:r>
        <w:t xml:space="preserve">, for video game research, </w:t>
      </w:r>
      <w:r w:rsidR="00B16FDD">
        <w:t xml:space="preserve">even though it is expected that the </w:t>
      </w:r>
      <w:r>
        <w:t>psychological processing</w:t>
      </w:r>
      <w:r w:rsidR="00B16FDD">
        <w:t xml:space="preserve"> is different</w:t>
      </w:r>
      <w:r w:rsidR="00647C91">
        <w:t xml:space="preserve">. </w:t>
      </w:r>
      <w:r>
        <w:t>Therefore, it could be proposed that video games w</w:t>
      </w:r>
      <w:r w:rsidR="00B16FDD">
        <w:t>ould</w:t>
      </w:r>
      <w:r>
        <w:t xml:space="preserve"> show a bigger influence on antisocial behaviour, in comparison to TV and film, </w:t>
      </w:r>
      <w:r w:rsidR="00B16FDD">
        <w:t>if</w:t>
      </w:r>
      <w:r>
        <w:t xml:space="preserve"> the research methods </w:t>
      </w:r>
      <w:r w:rsidR="00B16FDD">
        <w:t>were</w:t>
      </w:r>
      <w:r w:rsidR="00536203">
        <w:t xml:space="preserve"> adapted</w:t>
      </w:r>
      <w:r>
        <w:t>.</w:t>
      </w:r>
    </w:p>
    <w:p w14:paraId="5C62E921" w14:textId="061DA643" w:rsidR="005709A0" w:rsidRDefault="005709A0" w:rsidP="005709A0">
      <w:pPr>
        <w:pStyle w:val="NormalWeb"/>
        <w:spacing w:line="360" w:lineRule="auto"/>
        <w:contextualSpacing/>
        <w:jc w:val="both"/>
      </w:pPr>
      <w:r>
        <w:t>On the other hand, research evidence has already proven that video game violence has a major influence on aggression, despite the possible flaws in its methodology. For example, Anderson and Bushman (2001) conducted the first comprehensive meta-analytic review which “combined the results of empirical studies of violent video game effects on five types of outcome variables” (Anderson, 2004, p. 114). He explained that these five variables were aggressive behaviour, aggressive cognition, aggressive affect, helping behaviour and physiological arousal and that they found “significant effects of violent video games on each of these” (</w:t>
      </w:r>
      <w:r w:rsidR="00D44DDF">
        <w:t xml:space="preserve">Anderson, 2004, </w:t>
      </w:r>
      <w:r>
        <w:t xml:space="preserve">p. 114). Anderson added that these effects were </w:t>
      </w:r>
      <w:r w:rsidR="00647C91">
        <w:t xml:space="preserve">similar </w:t>
      </w:r>
      <w:r>
        <w:t xml:space="preserve">for both males and females, and those under the age of 18, as well as older participants. However, it should be noted that the research </w:t>
      </w:r>
      <w:r w:rsidR="00546151">
        <w:t>usually</w:t>
      </w:r>
      <w:r>
        <w:t xml:space="preserve"> focuses on younger generations, since </w:t>
      </w:r>
      <w:r w:rsidR="003D0DE2">
        <w:t xml:space="preserve">they are more likely </w:t>
      </w:r>
      <w:r>
        <w:t>to play video gam</w:t>
      </w:r>
      <w:r w:rsidR="003D0DE2">
        <w:t xml:space="preserve">es </w:t>
      </w:r>
      <w:r>
        <w:t>(Anderson et al., 2007). The findings from a study of 3,442 6 - 64-year-olds in the United Kingdom revealed this, “with 100% of 6 to 10-year-olds, 97% of 11 to 15-year-olds and 82% of 16 to 24-year-olds playing video games at least occasionally” (Pratchett, 2005</w:t>
      </w:r>
      <w:r w:rsidR="00CE6CC7">
        <w:t>,</w:t>
      </w:r>
      <w:r>
        <w:t xml:space="preserve"> </w:t>
      </w:r>
      <w:r w:rsidR="00CE6CC7">
        <w:t>a</w:t>
      </w:r>
      <w:r>
        <w:t xml:space="preserve">s cited in Anderson et al., 2007, p. 7). This also suggests that the research evidence </w:t>
      </w:r>
      <w:r w:rsidR="00CE6CC7">
        <w:t xml:space="preserve">for video games </w:t>
      </w:r>
      <w:r>
        <w:t xml:space="preserve">may not be generalisable across all ages, which should be taken into account. </w:t>
      </w:r>
    </w:p>
    <w:p w14:paraId="5B5BE6D5" w14:textId="2208FFE5" w:rsidR="002D031A" w:rsidRPr="00647C91" w:rsidRDefault="005709A0" w:rsidP="002D031A">
      <w:pPr>
        <w:pStyle w:val="NormalWeb"/>
        <w:spacing w:line="360" w:lineRule="auto"/>
        <w:contextualSpacing/>
        <w:jc w:val="both"/>
      </w:pPr>
      <w:r>
        <w:t>Moreover, recent studies have investigated players of violent video games (VVGs), players of non-violent video games, and non-gamers (Bender et al.</w:t>
      </w:r>
      <w:r w:rsidR="003A2253">
        <w:t>,</w:t>
      </w:r>
      <w:r>
        <w:t xml:space="preserve"> 2018). Bender et al. explained that certain studies have found </w:t>
      </w:r>
      <w:r>
        <w:lastRenderedPageBreak/>
        <w:t>that players of VVGs showed higher levels of aggression than non-gamers and were faster when responding to fearful expressions. They also stated that one study found “habitual players of violent games showed less fMRI activity in emotion centres of the brain when playing a violent game, than did habitual players of non-violent games”</w:t>
      </w:r>
      <w:r w:rsidR="00647C91">
        <w:t xml:space="preserve"> </w:t>
      </w:r>
      <w:r w:rsidRPr="005709A0">
        <w:rPr>
          <w:color w:val="000000" w:themeColor="text1"/>
        </w:rPr>
        <w:t>(</w:t>
      </w:r>
      <w:r w:rsidR="0068095D">
        <w:rPr>
          <w:color w:val="000000" w:themeColor="text1"/>
        </w:rPr>
        <w:t xml:space="preserve">Bender et al., 2018, </w:t>
      </w:r>
      <w:r w:rsidRPr="005709A0">
        <w:rPr>
          <w:color w:val="000000" w:themeColor="text1"/>
        </w:rPr>
        <w:t>p. 105). This type of evidence demonstrates how the effects of VVGs can be physical as well as psychological, providing a substantial cause for aggressive behaviour. Furthermore, Bender et al</w:t>
      </w:r>
      <w:r w:rsidR="00CE6CC7">
        <w:rPr>
          <w:color w:val="000000" w:themeColor="text1"/>
        </w:rPr>
        <w:t>.</w:t>
      </w:r>
      <w:r w:rsidRPr="005709A0">
        <w:rPr>
          <w:color w:val="000000" w:themeColor="text1"/>
        </w:rPr>
        <w:t xml:space="preserve"> </w:t>
      </w:r>
      <w:r w:rsidR="0068095D">
        <w:rPr>
          <w:color w:val="000000" w:themeColor="text1"/>
        </w:rPr>
        <w:t xml:space="preserve">(2018) </w:t>
      </w:r>
      <w:r w:rsidRPr="005709A0">
        <w:rPr>
          <w:color w:val="000000" w:themeColor="text1"/>
        </w:rPr>
        <w:t xml:space="preserve">also added that studies such as this one illustrates how “research is moving beyond the question of </w:t>
      </w:r>
      <w:r w:rsidRPr="0068095D">
        <w:rPr>
          <w:i/>
          <w:iCs/>
          <w:color w:val="000000" w:themeColor="text1"/>
        </w:rPr>
        <w:t>whether</w:t>
      </w:r>
      <w:r w:rsidRPr="005709A0">
        <w:rPr>
          <w:color w:val="000000" w:themeColor="text1"/>
        </w:rPr>
        <w:t xml:space="preserve"> violent content effects exist, to focus instead on the mechanisms explaining </w:t>
      </w:r>
      <w:r w:rsidRPr="0068095D">
        <w:rPr>
          <w:i/>
          <w:iCs/>
          <w:color w:val="000000" w:themeColor="text1"/>
        </w:rPr>
        <w:t xml:space="preserve">how </w:t>
      </w:r>
      <w:r w:rsidRPr="005709A0">
        <w:rPr>
          <w:color w:val="000000" w:themeColor="text1"/>
        </w:rPr>
        <w:t xml:space="preserve">these effects operate” (p. 105). This development in research would not only show the extreme influence that the media has on aggressive behaviour but </w:t>
      </w:r>
      <w:r w:rsidR="009C407F">
        <w:rPr>
          <w:color w:val="000000" w:themeColor="text1"/>
        </w:rPr>
        <w:t xml:space="preserve">would </w:t>
      </w:r>
      <w:r w:rsidRPr="005709A0">
        <w:rPr>
          <w:color w:val="000000" w:themeColor="text1"/>
        </w:rPr>
        <w:t xml:space="preserve">also </w:t>
      </w:r>
      <w:r w:rsidR="009C407F">
        <w:rPr>
          <w:color w:val="000000" w:themeColor="text1"/>
        </w:rPr>
        <w:t xml:space="preserve">help determine </w:t>
      </w:r>
      <w:r w:rsidRPr="005709A0">
        <w:rPr>
          <w:color w:val="000000" w:themeColor="text1"/>
        </w:rPr>
        <w:t xml:space="preserve">what could be implemented to reduce these effects. </w:t>
      </w:r>
    </w:p>
    <w:p w14:paraId="249DA320" w14:textId="24004F55" w:rsidR="002A0EA7" w:rsidRDefault="005709A0" w:rsidP="002A0EA7">
      <w:pPr>
        <w:pStyle w:val="NormalWeb"/>
        <w:spacing w:line="360" w:lineRule="auto"/>
        <w:contextualSpacing/>
        <w:jc w:val="both"/>
        <w:rPr>
          <w:color w:val="000000" w:themeColor="text1"/>
        </w:rPr>
      </w:pPr>
      <w:r w:rsidRPr="005709A0">
        <w:rPr>
          <w:color w:val="000000" w:themeColor="text1"/>
        </w:rPr>
        <w:t>Additionally, it is vital to consider some of the crimes that video game violence is said to have influenced. According to Anderson</w:t>
      </w:r>
      <w:r>
        <w:rPr>
          <w:color w:val="000000" w:themeColor="text1"/>
        </w:rPr>
        <w:t xml:space="preserve"> (2003)</w:t>
      </w:r>
      <w:r w:rsidRPr="005709A0">
        <w:rPr>
          <w:color w:val="000000" w:themeColor="text1"/>
        </w:rPr>
        <w:t xml:space="preserve">, the problem of video game violence can be linked back to school shootings at West Paducah, Kentucky in December 1997, Jonesboro, Arkansas in March 1998, Springfield, Oregon in May 1998 and Littleton, Colorado in April 1999. He also mentioned other crimes, such as five homicides in Long Prairie and Minneapolis during 2003, beating deaths in Ohio (2002), and the Washington, DC. </w:t>
      </w:r>
      <w:r w:rsidR="007A7A9B">
        <w:rPr>
          <w:color w:val="000000" w:themeColor="text1"/>
        </w:rPr>
        <w:t>‘</w:t>
      </w:r>
      <w:r w:rsidRPr="005709A0">
        <w:rPr>
          <w:color w:val="000000" w:themeColor="text1"/>
        </w:rPr>
        <w:t>Beltway</w:t>
      </w:r>
      <w:r w:rsidR="007A7A9B">
        <w:rPr>
          <w:color w:val="000000" w:themeColor="text1"/>
        </w:rPr>
        <w:t>’</w:t>
      </w:r>
      <w:r w:rsidRPr="005709A0">
        <w:rPr>
          <w:color w:val="000000" w:themeColor="text1"/>
        </w:rPr>
        <w:t xml:space="preserve"> sniper shootings in 2002. Anderson </w:t>
      </w:r>
      <w:r w:rsidR="004C4D18">
        <w:rPr>
          <w:color w:val="000000" w:themeColor="text1"/>
        </w:rPr>
        <w:t xml:space="preserve">(2003) </w:t>
      </w:r>
      <w:r w:rsidRPr="005709A0">
        <w:rPr>
          <w:color w:val="000000" w:themeColor="text1"/>
        </w:rPr>
        <w:t>proceeded by saying that “video game-related crimes have also been reported in several other industrialised countries, including Germany</w:t>
      </w:r>
      <w:r w:rsidR="004C4D18">
        <w:rPr>
          <w:color w:val="000000" w:themeColor="text1"/>
        </w:rPr>
        <w:t>…</w:t>
      </w:r>
      <w:r w:rsidRPr="005709A0">
        <w:rPr>
          <w:color w:val="000000" w:themeColor="text1"/>
        </w:rPr>
        <w:t xml:space="preserve"> and Japan</w:t>
      </w:r>
      <w:r w:rsidR="004C4D18">
        <w:rPr>
          <w:color w:val="000000" w:themeColor="text1"/>
        </w:rPr>
        <w:t>” (p. 113).</w:t>
      </w:r>
    </w:p>
    <w:p w14:paraId="684B7B66" w14:textId="1C438571" w:rsidR="0029268E" w:rsidRDefault="005709A0" w:rsidP="0029268E">
      <w:pPr>
        <w:pStyle w:val="NormalWeb"/>
        <w:spacing w:line="360" w:lineRule="auto"/>
        <w:contextualSpacing/>
        <w:jc w:val="both"/>
        <w:rPr>
          <w:color w:val="000000" w:themeColor="text1"/>
        </w:rPr>
      </w:pPr>
      <w:r w:rsidRPr="005709A0">
        <w:rPr>
          <w:color w:val="000000" w:themeColor="text1"/>
        </w:rPr>
        <w:t>However, despite knowing that violent media content can influence these types of acts, it cannot be held fully accountable (Gross, 1987/2020). Prot et al. (2016, as cited in Gross, 1987/2020) stated that aggressive behaviour is complex and is influenced by several risk factors, which is why it would be irrational to say that “media violence is ‘the’ cause of aggression and violence” (p. 494). Furthermore, Anderson et al</w:t>
      </w:r>
      <w:r w:rsidR="009C407F">
        <w:rPr>
          <w:color w:val="000000" w:themeColor="text1"/>
        </w:rPr>
        <w:t>.</w:t>
      </w:r>
      <w:r w:rsidRPr="005709A0">
        <w:rPr>
          <w:color w:val="000000" w:themeColor="text1"/>
        </w:rPr>
        <w:t xml:space="preserve"> (2007, as cited in Gross, 1987/2020) addressed the risk and resilience framework</w:t>
      </w:r>
      <w:r w:rsidR="00647C91">
        <w:rPr>
          <w:color w:val="000000" w:themeColor="text1"/>
        </w:rPr>
        <w:t xml:space="preserve"> </w:t>
      </w:r>
      <w:r w:rsidRPr="005709A0">
        <w:rPr>
          <w:color w:val="000000" w:themeColor="text1"/>
        </w:rPr>
        <w:t xml:space="preserve">which states that behaviour is a product of “protective factors…such as parental involvement” </w:t>
      </w:r>
      <w:r w:rsidR="00940FDD">
        <w:rPr>
          <w:color w:val="000000" w:themeColor="text1"/>
        </w:rPr>
        <w:t xml:space="preserve">(p. 494) </w:t>
      </w:r>
      <w:r w:rsidRPr="005709A0">
        <w:rPr>
          <w:color w:val="000000" w:themeColor="text1"/>
        </w:rPr>
        <w:t>and “risk factors (which disrupt healthy development and increase the risk of maladaptation)” (p. 494). It also claims that “no single risk factor is sufficient to elicit a violent act, but each can increase the risk of violence” (Anderson et al</w:t>
      </w:r>
      <w:r w:rsidR="00BB30A0">
        <w:rPr>
          <w:color w:val="000000" w:themeColor="text1"/>
        </w:rPr>
        <w:t>.</w:t>
      </w:r>
      <w:r w:rsidR="009C407F">
        <w:rPr>
          <w:color w:val="000000" w:themeColor="text1"/>
        </w:rPr>
        <w:t>,</w:t>
      </w:r>
      <w:r w:rsidRPr="005709A0">
        <w:rPr>
          <w:color w:val="000000" w:themeColor="text1"/>
        </w:rPr>
        <w:t xml:space="preserve"> 2007, as cited in Gross, 1987/2020, p.</w:t>
      </w:r>
      <w:r w:rsidR="009C407F">
        <w:rPr>
          <w:color w:val="000000" w:themeColor="text1"/>
        </w:rPr>
        <w:t xml:space="preserve"> </w:t>
      </w:r>
      <w:r w:rsidRPr="005709A0">
        <w:rPr>
          <w:color w:val="000000" w:themeColor="text1"/>
        </w:rPr>
        <w:t xml:space="preserve">494). Therefore, although we can say that violent media content has a major </w:t>
      </w:r>
      <w:r w:rsidR="00536203">
        <w:rPr>
          <w:color w:val="000000" w:themeColor="text1"/>
        </w:rPr>
        <w:t>influence</w:t>
      </w:r>
      <w:r w:rsidRPr="005709A0">
        <w:rPr>
          <w:color w:val="000000" w:themeColor="text1"/>
        </w:rPr>
        <w:t xml:space="preserve"> on such crimes, it cannot be deemed as the sole cause.</w:t>
      </w:r>
    </w:p>
    <w:p w14:paraId="336C18AF" w14:textId="4FF9F102" w:rsidR="0029268E" w:rsidRPr="0029268E" w:rsidRDefault="0029268E" w:rsidP="0029268E">
      <w:pPr>
        <w:pStyle w:val="NormalWeb"/>
        <w:spacing w:line="360" w:lineRule="auto"/>
        <w:contextualSpacing/>
        <w:jc w:val="both"/>
        <w:rPr>
          <w:color w:val="000000" w:themeColor="text1"/>
        </w:rPr>
      </w:pPr>
      <w:r w:rsidRPr="00CF47EE">
        <w:t xml:space="preserve">In conclusion, it is without </w:t>
      </w:r>
      <w:r>
        <w:t xml:space="preserve">a </w:t>
      </w:r>
      <w:r w:rsidRPr="00CF47EE">
        <w:t>doubt that there is an abundance of research evidence which investigates the influence that the media has on aggressive behaviour. The studies within this field have examined a number of different media genres, age groups and cultures, which means that</w:t>
      </w:r>
      <w:r>
        <w:t xml:space="preserve"> the matter has been widely </w:t>
      </w:r>
      <w:r>
        <w:lastRenderedPageBreak/>
        <w:t xml:space="preserve">investigated. The evidence typically shows that the media can significantly impact aggression and violence in both males and females </w:t>
      </w:r>
      <w:r w:rsidR="00F10BC1">
        <w:t xml:space="preserve">of varying ages and cultural backgrounds. </w:t>
      </w:r>
      <w:r>
        <w:t xml:space="preserve">This would suggest that the majority of people who have access to media, especially violent content, are likely to be affected. </w:t>
      </w:r>
      <w:r w:rsidRPr="00CF47EE">
        <w:t xml:space="preserve"> In fact, it is astonishing that the research has even gone so far in revealing that </w:t>
      </w:r>
      <w:r>
        <w:t xml:space="preserve">the media </w:t>
      </w:r>
      <w:r w:rsidR="00F10BC1">
        <w:t>can have</w:t>
      </w:r>
      <w:r>
        <w:t xml:space="preserve"> more of </w:t>
      </w:r>
      <w:r w:rsidRPr="00CF47EE">
        <w:t>an impact on aggressi</w:t>
      </w:r>
      <w:r>
        <w:t>on</w:t>
      </w:r>
      <w:r w:rsidRPr="00CF47EE">
        <w:t xml:space="preserve"> than real-world violence </w:t>
      </w:r>
      <w:r>
        <w:t>for those living in</w:t>
      </w:r>
      <w:r w:rsidR="00F10BC1">
        <w:t xml:space="preserve"> high-risk</w:t>
      </w:r>
      <w:r>
        <w:t xml:space="preserve"> </w:t>
      </w:r>
      <w:r w:rsidRPr="00CF47EE">
        <w:t>countries</w:t>
      </w:r>
      <w:r w:rsidR="00F10BC1">
        <w:t xml:space="preserve">. </w:t>
      </w:r>
      <w:r w:rsidRPr="00CF47EE">
        <w:t>However, as</w:t>
      </w:r>
      <w:r>
        <w:t xml:space="preserve"> mentioned</w:t>
      </w:r>
      <w:r w:rsidRPr="00CF47EE">
        <w:t xml:space="preserve"> previously</w:t>
      </w:r>
      <w:r>
        <w:t>,</w:t>
      </w:r>
      <w:r w:rsidRPr="00CF47EE">
        <w:t xml:space="preserve"> </w:t>
      </w:r>
      <w:r>
        <w:t xml:space="preserve">we cannot claim </w:t>
      </w:r>
      <w:r w:rsidRPr="00CF47EE">
        <w:t xml:space="preserve">that the media is the cause for antisocial </w:t>
      </w:r>
      <w:r>
        <w:t xml:space="preserve">or violent </w:t>
      </w:r>
      <w:r w:rsidRPr="00CF47EE">
        <w:t xml:space="preserve">behaviour, despite the strong link, since there are many other risk factors which are likely to </w:t>
      </w:r>
      <w:r w:rsidR="0005414E">
        <w:t>have an influence</w:t>
      </w:r>
      <w:r w:rsidRPr="00CF47EE">
        <w:t>.</w:t>
      </w:r>
      <w:r>
        <w:t xml:space="preserve"> </w:t>
      </w:r>
      <w:r w:rsidR="009B02A3">
        <w:t xml:space="preserve">Therefore, we can only conclude that the media has a significant </w:t>
      </w:r>
      <w:r w:rsidR="009B02A3" w:rsidRPr="009B02A3">
        <w:rPr>
          <w:i/>
          <w:iCs/>
        </w:rPr>
        <w:t>contribution</w:t>
      </w:r>
      <w:r w:rsidR="009B02A3">
        <w:t xml:space="preserve"> towards aggressive behaviour in individuals. </w:t>
      </w:r>
    </w:p>
    <w:p w14:paraId="05C360FA" w14:textId="77777777" w:rsidR="0029268E" w:rsidRDefault="0029268E" w:rsidP="0029268E">
      <w:pPr>
        <w:pStyle w:val="NormalWeb"/>
        <w:spacing w:line="360" w:lineRule="auto"/>
        <w:contextualSpacing/>
        <w:jc w:val="both"/>
      </w:pPr>
    </w:p>
    <w:p w14:paraId="0499B357" w14:textId="32C9E753" w:rsidR="00167C80" w:rsidRDefault="00167C80" w:rsidP="004E05F4">
      <w:pPr>
        <w:spacing w:line="360" w:lineRule="auto"/>
        <w:jc w:val="both"/>
        <w:rPr>
          <w:rFonts w:ascii="Times New Roman" w:hAnsi="Times New Roman" w:cs="Times New Roman"/>
        </w:rPr>
      </w:pPr>
    </w:p>
    <w:p w14:paraId="06BC2AE1" w14:textId="7BC5B767" w:rsidR="0029268E" w:rsidRDefault="0029268E" w:rsidP="004E05F4">
      <w:pPr>
        <w:spacing w:line="360" w:lineRule="auto"/>
        <w:jc w:val="both"/>
        <w:rPr>
          <w:rFonts w:ascii="Times New Roman" w:hAnsi="Times New Roman" w:cs="Times New Roman"/>
        </w:rPr>
      </w:pPr>
    </w:p>
    <w:p w14:paraId="6B19D710" w14:textId="595C6956" w:rsidR="0029268E" w:rsidRDefault="0029268E" w:rsidP="004E05F4">
      <w:pPr>
        <w:spacing w:line="360" w:lineRule="auto"/>
        <w:jc w:val="both"/>
        <w:rPr>
          <w:rFonts w:ascii="Times New Roman" w:hAnsi="Times New Roman" w:cs="Times New Roman"/>
        </w:rPr>
      </w:pPr>
    </w:p>
    <w:p w14:paraId="4941F111" w14:textId="01C9F771" w:rsidR="0029268E" w:rsidRDefault="0029268E" w:rsidP="004E05F4">
      <w:pPr>
        <w:spacing w:line="360" w:lineRule="auto"/>
        <w:jc w:val="both"/>
        <w:rPr>
          <w:rFonts w:ascii="Times New Roman" w:hAnsi="Times New Roman" w:cs="Times New Roman"/>
        </w:rPr>
      </w:pPr>
    </w:p>
    <w:p w14:paraId="3C264A7F" w14:textId="2404B691" w:rsidR="0029268E" w:rsidRDefault="0029268E" w:rsidP="004E05F4">
      <w:pPr>
        <w:spacing w:line="360" w:lineRule="auto"/>
        <w:jc w:val="both"/>
        <w:rPr>
          <w:rFonts w:ascii="Times New Roman" w:hAnsi="Times New Roman" w:cs="Times New Roman"/>
        </w:rPr>
      </w:pPr>
    </w:p>
    <w:p w14:paraId="63DCADA5" w14:textId="23FE6C08" w:rsidR="0029268E" w:rsidRDefault="0029268E" w:rsidP="004E05F4">
      <w:pPr>
        <w:spacing w:line="360" w:lineRule="auto"/>
        <w:jc w:val="both"/>
        <w:rPr>
          <w:rFonts w:ascii="Times New Roman" w:hAnsi="Times New Roman" w:cs="Times New Roman"/>
        </w:rPr>
      </w:pPr>
    </w:p>
    <w:p w14:paraId="7283479E" w14:textId="315F7B00" w:rsidR="0029268E" w:rsidRDefault="0029268E" w:rsidP="004E05F4">
      <w:pPr>
        <w:spacing w:line="360" w:lineRule="auto"/>
        <w:jc w:val="both"/>
        <w:rPr>
          <w:rFonts w:ascii="Times New Roman" w:hAnsi="Times New Roman" w:cs="Times New Roman"/>
        </w:rPr>
      </w:pPr>
    </w:p>
    <w:p w14:paraId="36FE798E" w14:textId="5B8A0C29" w:rsidR="0029268E" w:rsidRDefault="0029268E" w:rsidP="004E05F4">
      <w:pPr>
        <w:spacing w:line="360" w:lineRule="auto"/>
        <w:jc w:val="both"/>
        <w:rPr>
          <w:rFonts w:ascii="Times New Roman" w:hAnsi="Times New Roman" w:cs="Times New Roman"/>
        </w:rPr>
      </w:pPr>
    </w:p>
    <w:p w14:paraId="5A0156FC" w14:textId="0072F670" w:rsidR="0029268E" w:rsidRDefault="0029268E" w:rsidP="004E05F4">
      <w:pPr>
        <w:spacing w:line="360" w:lineRule="auto"/>
        <w:jc w:val="both"/>
        <w:rPr>
          <w:rFonts w:ascii="Times New Roman" w:hAnsi="Times New Roman" w:cs="Times New Roman"/>
        </w:rPr>
      </w:pPr>
    </w:p>
    <w:p w14:paraId="5564E7F3" w14:textId="1B233723" w:rsidR="0029268E" w:rsidRDefault="0029268E" w:rsidP="004E05F4">
      <w:pPr>
        <w:spacing w:line="360" w:lineRule="auto"/>
        <w:jc w:val="both"/>
        <w:rPr>
          <w:rFonts w:ascii="Times New Roman" w:hAnsi="Times New Roman" w:cs="Times New Roman"/>
        </w:rPr>
      </w:pPr>
    </w:p>
    <w:p w14:paraId="31070133" w14:textId="74C5BFF1" w:rsidR="0029268E" w:rsidRDefault="0029268E" w:rsidP="004E05F4">
      <w:pPr>
        <w:spacing w:line="360" w:lineRule="auto"/>
        <w:jc w:val="both"/>
        <w:rPr>
          <w:rFonts w:ascii="Times New Roman" w:hAnsi="Times New Roman" w:cs="Times New Roman"/>
        </w:rPr>
      </w:pPr>
    </w:p>
    <w:p w14:paraId="61616627" w14:textId="700F993F" w:rsidR="0029268E" w:rsidRDefault="0029268E" w:rsidP="004E05F4">
      <w:pPr>
        <w:spacing w:line="360" w:lineRule="auto"/>
        <w:jc w:val="both"/>
        <w:rPr>
          <w:rFonts w:ascii="Times New Roman" w:hAnsi="Times New Roman" w:cs="Times New Roman"/>
        </w:rPr>
      </w:pPr>
    </w:p>
    <w:p w14:paraId="2176F049" w14:textId="77777777" w:rsidR="00CB5609" w:rsidRDefault="00CB5609" w:rsidP="004E05F4">
      <w:pPr>
        <w:spacing w:line="360" w:lineRule="auto"/>
        <w:jc w:val="both"/>
        <w:rPr>
          <w:rFonts w:ascii="Times New Roman" w:hAnsi="Times New Roman" w:cs="Times New Roman"/>
        </w:rPr>
      </w:pPr>
    </w:p>
    <w:p w14:paraId="30CB4A3A" w14:textId="01EB4F8B" w:rsidR="0029268E" w:rsidRDefault="0029268E" w:rsidP="004E05F4">
      <w:pPr>
        <w:spacing w:line="360" w:lineRule="auto"/>
        <w:jc w:val="both"/>
        <w:rPr>
          <w:rFonts w:ascii="Times New Roman" w:hAnsi="Times New Roman" w:cs="Times New Roman"/>
        </w:rPr>
      </w:pPr>
    </w:p>
    <w:p w14:paraId="3B572B03" w14:textId="1A19EFAE" w:rsidR="0029268E" w:rsidRDefault="0029268E" w:rsidP="004E05F4">
      <w:pPr>
        <w:spacing w:line="360" w:lineRule="auto"/>
        <w:jc w:val="both"/>
        <w:rPr>
          <w:rFonts w:ascii="Times New Roman" w:hAnsi="Times New Roman" w:cs="Times New Roman"/>
        </w:rPr>
      </w:pPr>
    </w:p>
    <w:p w14:paraId="700CABAB" w14:textId="3122A793" w:rsidR="0029268E" w:rsidRDefault="0029268E" w:rsidP="004E05F4">
      <w:pPr>
        <w:spacing w:line="360" w:lineRule="auto"/>
        <w:jc w:val="both"/>
        <w:rPr>
          <w:rFonts w:ascii="Times New Roman" w:hAnsi="Times New Roman" w:cs="Times New Roman"/>
        </w:rPr>
      </w:pPr>
    </w:p>
    <w:p w14:paraId="19836DF9" w14:textId="621EAC71" w:rsidR="0029268E" w:rsidRDefault="0029268E" w:rsidP="004E05F4">
      <w:pPr>
        <w:spacing w:line="360" w:lineRule="auto"/>
        <w:jc w:val="both"/>
        <w:rPr>
          <w:rFonts w:ascii="Times New Roman" w:hAnsi="Times New Roman" w:cs="Times New Roman"/>
        </w:rPr>
      </w:pPr>
    </w:p>
    <w:p w14:paraId="4DCA53BA" w14:textId="65FAD6E4" w:rsidR="0029268E" w:rsidRDefault="0029268E" w:rsidP="004E05F4">
      <w:pPr>
        <w:spacing w:line="360" w:lineRule="auto"/>
        <w:jc w:val="both"/>
        <w:rPr>
          <w:rFonts w:ascii="Times New Roman" w:hAnsi="Times New Roman" w:cs="Times New Roman"/>
        </w:rPr>
      </w:pPr>
    </w:p>
    <w:p w14:paraId="6312DE3D" w14:textId="65E4BC33" w:rsidR="0029268E" w:rsidRDefault="0029268E" w:rsidP="004E05F4">
      <w:pPr>
        <w:spacing w:line="360" w:lineRule="auto"/>
        <w:jc w:val="both"/>
        <w:rPr>
          <w:rFonts w:ascii="Times New Roman" w:hAnsi="Times New Roman" w:cs="Times New Roman"/>
        </w:rPr>
      </w:pPr>
    </w:p>
    <w:p w14:paraId="67913503" w14:textId="77777777" w:rsidR="00C55A4D" w:rsidRDefault="00C55A4D" w:rsidP="004E05F4">
      <w:pPr>
        <w:spacing w:line="360" w:lineRule="auto"/>
        <w:jc w:val="both"/>
        <w:rPr>
          <w:rFonts w:ascii="Times New Roman" w:hAnsi="Times New Roman" w:cs="Times New Roman"/>
        </w:rPr>
      </w:pPr>
    </w:p>
    <w:p w14:paraId="5DBF764E" w14:textId="7082DE25" w:rsidR="0078661B" w:rsidRPr="004E05F4" w:rsidRDefault="00A7204B" w:rsidP="004E05F4">
      <w:pPr>
        <w:spacing w:line="360" w:lineRule="auto"/>
        <w:jc w:val="both"/>
        <w:rPr>
          <w:rFonts w:ascii="Times New Roman" w:hAnsi="Times New Roman" w:cs="Times New Roman"/>
        </w:rPr>
      </w:pPr>
      <w:r w:rsidRPr="004E05F4">
        <w:rPr>
          <w:rFonts w:ascii="Times New Roman" w:hAnsi="Times New Roman" w:cs="Times New Roman"/>
          <w:u w:val="single"/>
        </w:rPr>
        <w:lastRenderedPageBreak/>
        <w:t>References</w:t>
      </w:r>
    </w:p>
    <w:p w14:paraId="64784B1E" w14:textId="77777777" w:rsidR="00A34FFB" w:rsidRDefault="00A34FFB" w:rsidP="00A34FFB">
      <w:pPr>
        <w:spacing w:line="360" w:lineRule="auto"/>
        <w:jc w:val="both"/>
        <w:rPr>
          <w:rFonts w:ascii="Times New Roman" w:hAnsi="Times New Roman" w:cs="Times New Roman"/>
          <w:u w:val="single"/>
        </w:rPr>
      </w:pPr>
    </w:p>
    <w:p w14:paraId="2C6F0E98" w14:textId="186EBA1C" w:rsidR="00FA110D" w:rsidRPr="000C4156" w:rsidRDefault="0078661B" w:rsidP="00A34FFB">
      <w:pPr>
        <w:spacing w:line="360" w:lineRule="auto"/>
        <w:ind w:left="720" w:hanging="720"/>
        <w:rPr>
          <w:rFonts w:ascii="Times New Roman" w:hAnsi="Times New Roman" w:cs="Times New Roman"/>
        </w:rPr>
      </w:pPr>
      <w:r w:rsidRPr="0078661B">
        <w:rPr>
          <w:rFonts w:ascii="Times New Roman" w:hAnsi="Times New Roman" w:cs="Times New Roman"/>
        </w:rPr>
        <w:t>Anderson, C.</w:t>
      </w:r>
      <w:r w:rsidR="000C4156">
        <w:rPr>
          <w:rFonts w:ascii="Times New Roman" w:hAnsi="Times New Roman" w:cs="Times New Roman"/>
        </w:rPr>
        <w:t xml:space="preserve"> A.</w:t>
      </w:r>
      <w:r w:rsidRPr="0078661B">
        <w:rPr>
          <w:rFonts w:ascii="Times New Roman" w:hAnsi="Times New Roman" w:cs="Times New Roman"/>
        </w:rPr>
        <w:t xml:space="preserve"> (200</w:t>
      </w:r>
      <w:r w:rsidR="00616F0A">
        <w:rPr>
          <w:rFonts w:ascii="Times New Roman" w:hAnsi="Times New Roman" w:cs="Times New Roman"/>
        </w:rPr>
        <w:t>3</w:t>
      </w:r>
      <w:r w:rsidRPr="0078661B">
        <w:rPr>
          <w:rFonts w:ascii="Times New Roman" w:hAnsi="Times New Roman" w:cs="Times New Roman"/>
        </w:rPr>
        <w:t xml:space="preserve">). An update on the effects of playing violent video games. </w:t>
      </w:r>
      <w:r w:rsidRPr="0078661B">
        <w:rPr>
          <w:rFonts w:ascii="Times New Roman" w:hAnsi="Times New Roman" w:cs="Times New Roman"/>
          <w:i/>
          <w:iCs/>
        </w:rPr>
        <w:t>Journal of adolescence, 27</w:t>
      </w:r>
      <w:r w:rsidRPr="0078661B">
        <w:rPr>
          <w:rFonts w:ascii="Times New Roman" w:hAnsi="Times New Roman" w:cs="Times New Roman"/>
        </w:rPr>
        <w:t>(1)</w:t>
      </w:r>
      <w:r w:rsidRPr="0078661B">
        <w:rPr>
          <w:rFonts w:ascii="Times New Roman" w:hAnsi="Times New Roman" w:cs="Times New Roman"/>
          <w:i/>
          <w:iCs/>
        </w:rPr>
        <w:t xml:space="preserve">, </w:t>
      </w:r>
      <w:r w:rsidRPr="0078661B">
        <w:rPr>
          <w:rFonts w:ascii="Times New Roman" w:hAnsi="Times New Roman" w:cs="Times New Roman"/>
        </w:rPr>
        <w:t xml:space="preserve">113-22. </w:t>
      </w:r>
      <w:hyperlink r:id="rId7" w:tgtFrame="_blank" w:history="1">
        <w:r w:rsidRPr="00C82B49">
          <w:rPr>
            <w:rStyle w:val="Hyperlink"/>
            <w:rFonts w:ascii="Times New Roman" w:hAnsi="Times New Roman" w:cs="Times New Roman"/>
            <w:color w:val="2E74B5" w:themeColor="accent5" w:themeShade="BF"/>
            <w:bdr w:val="none" w:sz="0" w:space="0" w:color="auto" w:frame="1"/>
          </w:rPr>
          <w:t>10.1016/j.adolescence.2003.10.009</w:t>
        </w:r>
      </w:hyperlink>
    </w:p>
    <w:p w14:paraId="53D43102" w14:textId="494A8EFE" w:rsidR="00FA110D" w:rsidRDefault="00FA110D" w:rsidP="00A34FFB">
      <w:pPr>
        <w:spacing w:line="360" w:lineRule="auto"/>
        <w:ind w:left="720" w:hanging="720"/>
        <w:rPr>
          <w:rFonts w:ascii="Times New Roman" w:eastAsia="Times New Roman" w:hAnsi="Times New Roman" w:cs="Times New Roman"/>
          <w:color w:val="006ACC"/>
          <w:u w:val="single"/>
          <w:lang w:eastAsia="en-GB"/>
        </w:rPr>
      </w:pPr>
      <w:r w:rsidRPr="00FA110D">
        <w:rPr>
          <w:rFonts w:ascii="Times New Roman" w:hAnsi="Times New Roman" w:cs="Times New Roman"/>
        </w:rPr>
        <w:t xml:space="preserve">Anderson, </w:t>
      </w:r>
      <w:r w:rsidR="00832525">
        <w:rPr>
          <w:rFonts w:ascii="Times New Roman" w:hAnsi="Times New Roman" w:cs="Times New Roman"/>
        </w:rPr>
        <w:t>C</w:t>
      </w:r>
      <w:r w:rsidRPr="00FA110D">
        <w:rPr>
          <w:rFonts w:ascii="Times New Roman" w:hAnsi="Times New Roman" w:cs="Times New Roman"/>
        </w:rPr>
        <w:t xml:space="preserve">. </w:t>
      </w:r>
      <w:r w:rsidR="00832525">
        <w:rPr>
          <w:rFonts w:ascii="Times New Roman" w:hAnsi="Times New Roman" w:cs="Times New Roman"/>
        </w:rPr>
        <w:t>A</w:t>
      </w:r>
      <w:r w:rsidRPr="00FA110D">
        <w:rPr>
          <w:rFonts w:ascii="Times New Roman" w:hAnsi="Times New Roman" w:cs="Times New Roman"/>
        </w:rPr>
        <w:t>., Berkowitz, L., Donnerstein, E., Hue</w:t>
      </w:r>
      <w:r>
        <w:rPr>
          <w:rFonts w:ascii="Times New Roman" w:hAnsi="Times New Roman" w:cs="Times New Roman"/>
        </w:rPr>
        <w:t>s</w:t>
      </w:r>
      <w:r w:rsidRPr="00FA110D">
        <w:rPr>
          <w:rFonts w:ascii="Times New Roman" w:hAnsi="Times New Roman" w:cs="Times New Roman"/>
        </w:rPr>
        <w:t>mann, L.</w:t>
      </w:r>
      <w:r w:rsidR="000C4156">
        <w:rPr>
          <w:rFonts w:ascii="Times New Roman" w:hAnsi="Times New Roman" w:cs="Times New Roman"/>
        </w:rPr>
        <w:t xml:space="preserve"> R.</w:t>
      </w:r>
      <w:r w:rsidRPr="00FA110D">
        <w:rPr>
          <w:rFonts w:ascii="Times New Roman" w:hAnsi="Times New Roman" w:cs="Times New Roman"/>
        </w:rPr>
        <w:t xml:space="preserve">, Johnson, </w:t>
      </w:r>
      <w:r w:rsidR="000C4156">
        <w:rPr>
          <w:rFonts w:ascii="Times New Roman" w:hAnsi="Times New Roman" w:cs="Times New Roman"/>
        </w:rPr>
        <w:t>J</w:t>
      </w:r>
      <w:r w:rsidRPr="00FA110D">
        <w:rPr>
          <w:rFonts w:ascii="Times New Roman" w:hAnsi="Times New Roman" w:cs="Times New Roman"/>
        </w:rPr>
        <w:t xml:space="preserve">. </w:t>
      </w:r>
      <w:r w:rsidR="000C4156">
        <w:rPr>
          <w:rFonts w:ascii="Times New Roman" w:hAnsi="Times New Roman" w:cs="Times New Roman"/>
        </w:rPr>
        <w:t>D</w:t>
      </w:r>
      <w:r w:rsidRPr="00FA110D">
        <w:rPr>
          <w:rFonts w:ascii="Times New Roman" w:hAnsi="Times New Roman" w:cs="Times New Roman"/>
        </w:rPr>
        <w:t xml:space="preserve">., Linz, D., Malamuth, </w:t>
      </w:r>
      <w:r w:rsidR="000C4156">
        <w:rPr>
          <w:rFonts w:ascii="Times New Roman" w:hAnsi="Times New Roman" w:cs="Times New Roman"/>
        </w:rPr>
        <w:t>N</w:t>
      </w:r>
      <w:r w:rsidRPr="00FA110D">
        <w:rPr>
          <w:rFonts w:ascii="Times New Roman" w:hAnsi="Times New Roman" w:cs="Times New Roman"/>
        </w:rPr>
        <w:t xml:space="preserve">. </w:t>
      </w:r>
      <w:r w:rsidR="000C4156">
        <w:rPr>
          <w:rFonts w:ascii="Times New Roman" w:hAnsi="Times New Roman" w:cs="Times New Roman"/>
        </w:rPr>
        <w:t>M</w:t>
      </w:r>
      <w:r w:rsidRPr="00FA110D">
        <w:rPr>
          <w:rFonts w:ascii="Times New Roman" w:hAnsi="Times New Roman" w:cs="Times New Roman"/>
        </w:rPr>
        <w:t xml:space="preserve">., &amp; Wartella, E. (2003). The influence of media violence on youth. </w:t>
      </w:r>
      <w:r w:rsidRPr="00FA110D">
        <w:rPr>
          <w:rFonts w:ascii="Times New Roman" w:hAnsi="Times New Roman" w:cs="Times New Roman"/>
          <w:i/>
          <w:iCs/>
        </w:rPr>
        <w:t>Psychological Science in the Public Interest, 4</w:t>
      </w:r>
      <w:r w:rsidRPr="00FA110D">
        <w:rPr>
          <w:rFonts w:ascii="Times New Roman" w:hAnsi="Times New Roman" w:cs="Times New Roman"/>
        </w:rPr>
        <w:t xml:space="preserve">(3), 81-110. </w:t>
      </w:r>
      <w:hyperlink r:id="rId8" w:history="1">
        <w:r w:rsidRPr="00C82B49">
          <w:rPr>
            <w:rFonts w:ascii="Times New Roman" w:eastAsia="Times New Roman" w:hAnsi="Times New Roman" w:cs="Times New Roman"/>
            <w:color w:val="2E74B5" w:themeColor="accent5" w:themeShade="BF"/>
            <w:u w:val="single"/>
            <w:lang w:eastAsia="en-GB"/>
          </w:rPr>
          <w:t>https://doi.org/10.1111/j.1529-1006.2003.pspi_1433.x</w:t>
        </w:r>
      </w:hyperlink>
    </w:p>
    <w:p w14:paraId="1968DE75" w14:textId="75E6A2D3" w:rsidR="00832525" w:rsidRDefault="00832525" w:rsidP="00A34FFB">
      <w:pPr>
        <w:spacing w:line="360" w:lineRule="auto"/>
        <w:ind w:left="720" w:hanging="720"/>
        <w:rPr>
          <w:rStyle w:val="Hyperlink"/>
          <w:rFonts w:ascii="Times New Roman" w:hAnsi="Times New Roman" w:cs="Times New Roman"/>
          <w:color w:val="2E74B5" w:themeColor="accent5" w:themeShade="BF"/>
        </w:rPr>
      </w:pPr>
      <w:r w:rsidRPr="00832525">
        <w:rPr>
          <w:rFonts w:ascii="Times New Roman" w:hAnsi="Times New Roman" w:cs="Times New Roman"/>
          <w:color w:val="000000" w:themeColor="text1"/>
          <w:shd w:val="clear" w:color="auto" w:fill="FFFFFF"/>
        </w:rPr>
        <w:t>Anderson, C. A., Gentile, D. A., &amp; Buckley, K. E. (2007).</w:t>
      </w:r>
      <w:r w:rsidRPr="00832525">
        <w:rPr>
          <w:rStyle w:val="apple-converted-space"/>
          <w:rFonts w:ascii="Times New Roman" w:hAnsi="Times New Roman" w:cs="Times New Roman"/>
          <w:color w:val="000000" w:themeColor="text1"/>
          <w:shd w:val="clear" w:color="auto" w:fill="FFFFFF"/>
        </w:rPr>
        <w:t> </w:t>
      </w:r>
      <w:r w:rsidRPr="00832525">
        <w:rPr>
          <w:rStyle w:val="Emphasis"/>
          <w:rFonts w:ascii="Times New Roman" w:hAnsi="Times New Roman" w:cs="Times New Roman"/>
          <w:color w:val="000000" w:themeColor="text1"/>
        </w:rPr>
        <w:t>Violent video game effects on children and adolescents: Theory, research, and public policy.</w:t>
      </w:r>
      <w:r w:rsidRPr="00832525">
        <w:rPr>
          <w:rStyle w:val="apple-converted-space"/>
          <w:rFonts w:ascii="Times New Roman" w:hAnsi="Times New Roman" w:cs="Times New Roman"/>
          <w:color w:val="000000" w:themeColor="text1"/>
          <w:shd w:val="clear" w:color="auto" w:fill="FFFFFF"/>
        </w:rPr>
        <w:t> </w:t>
      </w:r>
      <w:r w:rsidRPr="00832525">
        <w:rPr>
          <w:rFonts w:ascii="Times New Roman" w:hAnsi="Times New Roman" w:cs="Times New Roman"/>
          <w:color w:val="000000" w:themeColor="text1"/>
          <w:shd w:val="clear" w:color="auto" w:fill="FFFFFF"/>
        </w:rPr>
        <w:t>Oxford University Press.</w:t>
      </w:r>
      <w:r w:rsidRPr="00832525">
        <w:rPr>
          <w:rStyle w:val="apple-converted-space"/>
          <w:rFonts w:ascii="Times New Roman" w:hAnsi="Times New Roman" w:cs="Times New Roman"/>
          <w:color w:val="000000" w:themeColor="text1"/>
          <w:shd w:val="clear" w:color="auto" w:fill="FFFFFF"/>
        </w:rPr>
        <w:t> </w:t>
      </w:r>
      <w:hyperlink r:id="rId9" w:tgtFrame="_blank" w:history="1">
        <w:r w:rsidRPr="00C82B49">
          <w:rPr>
            <w:rStyle w:val="Hyperlink"/>
            <w:rFonts w:ascii="Times New Roman" w:hAnsi="Times New Roman" w:cs="Times New Roman"/>
            <w:color w:val="2E74B5" w:themeColor="accent5" w:themeShade="BF"/>
          </w:rPr>
          <w:t>https://doi.org/10.1093/acprof:oso/9780195309836.001.0001</w:t>
        </w:r>
      </w:hyperlink>
    </w:p>
    <w:p w14:paraId="7D0B2890" w14:textId="30200B95" w:rsidR="00A34FFB" w:rsidRPr="00A34FFB" w:rsidRDefault="00A34FFB" w:rsidP="00A34FFB">
      <w:pPr>
        <w:spacing w:line="360" w:lineRule="auto"/>
        <w:ind w:left="720" w:hanging="720"/>
        <w:rPr>
          <w:rFonts w:ascii="Times New Roman" w:hAnsi="Times New Roman" w:cs="Times New Roman"/>
          <w:color w:val="000000" w:themeColor="text1"/>
        </w:rPr>
      </w:pPr>
      <w:r w:rsidRPr="00A34FFB">
        <w:rPr>
          <w:rFonts w:ascii="Times New Roman" w:hAnsi="Times New Roman" w:cs="Times New Roman"/>
          <w:color w:val="000000" w:themeColor="text1"/>
          <w:shd w:val="clear" w:color="auto" w:fill="FFFFFF"/>
        </w:rPr>
        <w:t xml:space="preserve">Anderson, C. A., Suzuki, K., Swing, E. L., Groves, C. L., Gentile, D. A., Prot, S., Lam, C. P., Sakamoto, A., Horiuchi, Y., Krahé, B., Jelic, M., Liuqing, W., Toma, R., Warburton, W. A., Zhang, X.-M., Tajima, S., Qing, F., &amp; Petrescu, P. (2017). Media </w:t>
      </w:r>
      <w:r>
        <w:rPr>
          <w:rFonts w:ascii="Times New Roman" w:hAnsi="Times New Roman" w:cs="Times New Roman"/>
          <w:color w:val="000000" w:themeColor="text1"/>
          <w:shd w:val="clear" w:color="auto" w:fill="FFFFFF"/>
        </w:rPr>
        <w:t>v</w:t>
      </w:r>
      <w:r w:rsidRPr="00A34FFB">
        <w:rPr>
          <w:rFonts w:ascii="Times New Roman" w:hAnsi="Times New Roman" w:cs="Times New Roman"/>
          <w:color w:val="000000" w:themeColor="text1"/>
          <w:shd w:val="clear" w:color="auto" w:fill="FFFFFF"/>
        </w:rPr>
        <w:t xml:space="preserve">iolence and </w:t>
      </w:r>
      <w:r>
        <w:rPr>
          <w:rFonts w:ascii="Times New Roman" w:hAnsi="Times New Roman" w:cs="Times New Roman"/>
          <w:color w:val="000000" w:themeColor="text1"/>
          <w:shd w:val="clear" w:color="auto" w:fill="FFFFFF"/>
        </w:rPr>
        <w:t>o</w:t>
      </w:r>
      <w:r w:rsidRPr="00A34FFB">
        <w:rPr>
          <w:rFonts w:ascii="Times New Roman" w:hAnsi="Times New Roman" w:cs="Times New Roman"/>
          <w:color w:val="000000" w:themeColor="text1"/>
          <w:shd w:val="clear" w:color="auto" w:fill="FFFFFF"/>
        </w:rPr>
        <w:t xml:space="preserve">ther </w:t>
      </w:r>
      <w:r>
        <w:rPr>
          <w:rFonts w:ascii="Times New Roman" w:hAnsi="Times New Roman" w:cs="Times New Roman"/>
          <w:color w:val="000000" w:themeColor="text1"/>
          <w:shd w:val="clear" w:color="auto" w:fill="FFFFFF"/>
        </w:rPr>
        <w:t>a</w:t>
      </w:r>
      <w:r w:rsidRPr="00A34FFB">
        <w:rPr>
          <w:rFonts w:ascii="Times New Roman" w:hAnsi="Times New Roman" w:cs="Times New Roman"/>
          <w:color w:val="000000" w:themeColor="text1"/>
          <w:shd w:val="clear" w:color="auto" w:fill="FFFFFF"/>
        </w:rPr>
        <w:t xml:space="preserve">ggression </w:t>
      </w:r>
      <w:r>
        <w:rPr>
          <w:rFonts w:ascii="Times New Roman" w:hAnsi="Times New Roman" w:cs="Times New Roman"/>
          <w:color w:val="000000" w:themeColor="text1"/>
          <w:shd w:val="clear" w:color="auto" w:fill="FFFFFF"/>
        </w:rPr>
        <w:t>r</w:t>
      </w:r>
      <w:r w:rsidRPr="00A34FFB">
        <w:rPr>
          <w:rFonts w:ascii="Times New Roman" w:hAnsi="Times New Roman" w:cs="Times New Roman"/>
          <w:color w:val="000000" w:themeColor="text1"/>
          <w:shd w:val="clear" w:color="auto" w:fill="FFFFFF"/>
        </w:rPr>
        <w:t xml:space="preserve">isk </w:t>
      </w:r>
      <w:r>
        <w:rPr>
          <w:rFonts w:ascii="Times New Roman" w:hAnsi="Times New Roman" w:cs="Times New Roman"/>
          <w:color w:val="000000" w:themeColor="text1"/>
          <w:shd w:val="clear" w:color="auto" w:fill="FFFFFF"/>
        </w:rPr>
        <w:t>f</w:t>
      </w:r>
      <w:r w:rsidRPr="00A34FFB">
        <w:rPr>
          <w:rFonts w:ascii="Times New Roman" w:hAnsi="Times New Roman" w:cs="Times New Roman"/>
          <w:color w:val="000000" w:themeColor="text1"/>
          <w:shd w:val="clear" w:color="auto" w:fill="FFFFFF"/>
        </w:rPr>
        <w:t xml:space="preserve">actors in </w:t>
      </w:r>
      <w:r>
        <w:rPr>
          <w:rFonts w:ascii="Times New Roman" w:hAnsi="Times New Roman" w:cs="Times New Roman"/>
          <w:color w:val="000000" w:themeColor="text1"/>
          <w:shd w:val="clear" w:color="auto" w:fill="FFFFFF"/>
        </w:rPr>
        <w:t>s</w:t>
      </w:r>
      <w:r w:rsidRPr="00A34FFB">
        <w:rPr>
          <w:rFonts w:ascii="Times New Roman" w:hAnsi="Times New Roman" w:cs="Times New Roman"/>
          <w:color w:val="000000" w:themeColor="text1"/>
          <w:shd w:val="clear" w:color="auto" w:fill="FFFFFF"/>
        </w:rPr>
        <w:t xml:space="preserve">even </w:t>
      </w:r>
      <w:r>
        <w:rPr>
          <w:rFonts w:ascii="Times New Roman" w:hAnsi="Times New Roman" w:cs="Times New Roman"/>
          <w:color w:val="000000" w:themeColor="text1"/>
          <w:shd w:val="clear" w:color="auto" w:fill="FFFFFF"/>
        </w:rPr>
        <w:t>n</w:t>
      </w:r>
      <w:r w:rsidRPr="00A34FFB">
        <w:rPr>
          <w:rFonts w:ascii="Times New Roman" w:hAnsi="Times New Roman" w:cs="Times New Roman"/>
          <w:color w:val="000000" w:themeColor="text1"/>
          <w:shd w:val="clear" w:color="auto" w:fill="FFFFFF"/>
        </w:rPr>
        <w:t>ations.</w:t>
      </w:r>
      <w:r w:rsidRPr="00A34FFB">
        <w:rPr>
          <w:rStyle w:val="apple-converted-space"/>
          <w:rFonts w:ascii="Times New Roman" w:hAnsi="Times New Roman" w:cs="Times New Roman"/>
          <w:color w:val="000000" w:themeColor="text1"/>
          <w:shd w:val="clear" w:color="auto" w:fill="FFFFFF"/>
        </w:rPr>
        <w:t> </w:t>
      </w:r>
      <w:r w:rsidRPr="00A34FFB">
        <w:rPr>
          <w:rFonts w:ascii="Times New Roman" w:hAnsi="Times New Roman" w:cs="Times New Roman"/>
          <w:i/>
          <w:iCs/>
          <w:color w:val="000000" w:themeColor="text1"/>
        </w:rPr>
        <w:t>Personality and Social Psychology Bulletin</w:t>
      </w:r>
      <w:r w:rsidRPr="00A34FFB">
        <w:rPr>
          <w:rFonts w:ascii="Times New Roman" w:hAnsi="Times New Roman" w:cs="Times New Roman"/>
          <w:color w:val="000000" w:themeColor="text1"/>
          <w:shd w:val="clear" w:color="auto" w:fill="FFFFFF"/>
        </w:rPr>
        <w:t>,</w:t>
      </w:r>
      <w:r w:rsidRPr="00A34FFB">
        <w:rPr>
          <w:rStyle w:val="apple-converted-space"/>
          <w:rFonts w:ascii="Times New Roman" w:hAnsi="Times New Roman" w:cs="Times New Roman"/>
          <w:color w:val="000000" w:themeColor="text1"/>
          <w:shd w:val="clear" w:color="auto" w:fill="FFFFFF"/>
        </w:rPr>
        <w:t> </w:t>
      </w:r>
      <w:r w:rsidRPr="00A34FFB">
        <w:rPr>
          <w:rFonts w:ascii="Times New Roman" w:hAnsi="Times New Roman" w:cs="Times New Roman"/>
          <w:i/>
          <w:iCs/>
          <w:color w:val="000000" w:themeColor="text1"/>
        </w:rPr>
        <w:t>43</w:t>
      </w:r>
      <w:r w:rsidRPr="00A34FFB">
        <w:rPr>
          <w:rFonts w:ascii="Times New Roman" w:hAnsi="Times New Roman" w:cs="Times New Roman"/>
          <w:color w:val="000000" w:themeColor="text1"/>
          <w:shd w:val="clear" w:color="auto" w:fill="FFFFFF"/>
        </w:rPr>
        <w:t>(7), 986–998.</w:t>
      </w:r>
      <w:r w:rsidRPr="00A34FFB">
        <w:rPr>
          <w:rStyle w:val="apple-converted-space"/>
          <w:rFonts w:ascii="Times New Roman" w:hAnsi="Times New Roman" w:cs="Times New Roman"/>
          <w:color w:val="000000" w:themeColor="text1"/>
          <w:shd w:val="clear" w:color="auto" w:fill="FFFFFF"/>
        </w:rPr>
        <w:t> </w:t>
      </w:r>
      <w:hyperlink r:id="rId10" w:history="1">
        <w:r w:rsidRPr="00A34FFB">
          <w:rPr>
            <w:rStyle w:val="Hyperlink"/>
            <w:rFonts w:ascii="Times New Roman" w:hAnsi="Times New Roman" w:cs="Times New Roman"/>
            <w:color w:val="2E74B5" w:themeColor="accent5" w:themeShade="BF"/>
          </w:rPr>
          <w:t>https://doi.org/10.1177/0146167217703064</w:t>
        </w:r>
      </w:hyperlink>
    </w:p>
    <w:p w14:paraId="6C34012A" w14:textId="28AFC6EB" w:rsidR="00DF53DD" w:rsidRDefault="00FA110D" w:rsidP="00A34FFB">
      <w:pPr>
        <w:spacing w:line="360" w:lineRule="auto"/>
        <w:ind w:left="720" w:hanging="720"/>
        <w:rPr>
          <w:rFonts w:ascii="Times New Roman" w:eastAsia="Times New Roman" w:hAnsi="Times New Roman" w:cs="Times New Roman"/>
          <w:lang w:eastAsia="en-GB"/>
        </w:rPr>
      </w:pPr>
      <w:r w:rsidRPr="00FA110D">
        <w:rPr>
          <w:rFonts w:ascii="Times New Roman" w:hAnsi="Times New Roman" w:cs="Times New Roman"/>
        </w:rPr>
        <w:t xml:space="preserve">Bender, </w:t>
      </w:r>
      <w:r w:rsidR="000C4156">
        <w:rPr>
          <w:rFonts w:ascii="Times New Roman" w:hAnsi="Times New Roman" w:cs="Times New Roman"/>
        </w:rPr>
        <w:t>P. K</w:t>
      </w:r>
      <w:r w:rsidRPr="00FA110D">
        <w:rPr>
          <w:rFonts w:ascii="Times New Roman" w:hAnsi="Times New Roman" w:cs="Times New Roman"/>
        </w:rPr>
        <w:t xml:space="preserve">., Plante, C., &amp; Gentile, </w:t>
      </w:r>
      <w:r w:rsidR="000C4156">
        <w:rPr>
          <w:rFonts w:ascii="Times New Roman" w:hAnsi="Times New Roman" w:cs="Times New Roman"/>
        </w:rPr>
        <w:t>D</w:t>
      </w:r>
      <w:r w:rsidRPr="00FA110D">
        <w:rPr>
          <w:rFonts w:ascii="Times New Roman" w:hAnsi="Times New Roman" w:cs="Times New Roman"/>
        </w:rPr>
        <w:t xml:space="preserve">. </w:t>
      </w:r>
      <w:r w:rsidR="000C4156">
        <w:rPr>
          <w:rFonts w:ascii="Times New Roman" w:hAnsi="Times New Roman" w:cs="Times New Roman"/>
        </w:rPr>
        <w:t>A</w:t>
      </w:r>
      <w:r w:rsidRPr="00FA110D">
        <w:rPr>
          <w:rFonts w:ascii="Times New Roman" w:hAnsi="Times New Roman" w:cs="Times New Roman"/>
        </w:rPr>
        <w:t xml:space="preserve">. (2018). The effects of violent media content on aggression. </w:t>
      </w:r>
      <w:r w:rsidRPr="00FA110D">
        <w:rPr>
          <w:rFonts w:ascii="Times New Roman" w:hAnsi="Times New Roman" w:cs="Times New Roman"/>
          <w:i/>
          <w:iCs/>
        </w:rPr>
        <w:t xml:space="preserve">Current Opinion in Psychology, 19, </w:t>
      </w:r>
      <w:r w:rsidRPr="00FA110D">
        <w:rPr>
          <w:rFonts w:ascii="Times New Roman" w:hAnsi="Times New Roman" w:cs="Times New Roman"/>
        </w:rPr>
        <w:t xml:space="preserve">104-108. </w:t>
      </w:r>
      <w:hyperlink r:id="rId11" w:tgtFrame="_blank" w:tooltip="Persistent link using digital object identifier" w:history="1">
        <w:r w:rsidRPr="00FA110D">
          <w:rPr>
            <w:rFonts w:ascii="Times New Roman" w:eastAsia="Times New Roman" w:hAnsi="Times New Roman" w:cs="Times New Roman"/>
            <w:color w:val="0C7DBB"/>
            <w:u w:val="single"/>
            <w:lang w:eastAsia="en-GB"/>
          </w:rPr>
          <w:t>https://doi.org/10.1016/j.copsyc.2017.04.003</w:t>
        </w:r>
      </w:hyperlink>
    </w:p>
    <w:p w14:paraId="613BC173" w14:textId="77777777" w:rsidR="00DF53DD" w:rsidRDefault="00A7204B" w:rsidP="00A34FFB">
      <w:pPr>
        <w:spacing w:line="360" w:lineRule="auto"/>
        <w:ind w:left="720" w:hanging="720"/>
        <w:rPr>
          <w:rFonts w:ascii="Times New Roman" w:eastAsia="Times New Roman" w:hAnsi="Times New Roman" w:cs="Times New Roman"/>
          <w:lang w:eastAsia="en-GB"/>
        </w:rPr>
      </w:pPr>
      <w:r>
        <w:rPr>
          <w:rFonts w:ascii="Times New Roman" w:hAnsi="Times New Roman" w:cs="Times New Roman"/>
        </w:rPr>
        <w:t>Giles</w:t>
      </w:r>
      <w:r w:rsidR="00FD0FAE">
        <w:rPr>
          <w:rFonts w:ascii="Times New Roman" w:hAnsi="Times New Roman" w:cs="Times New Roman"/>
        </w:rPr>
        <w:t>, D.</w:t>
      </w:r>
      <w:r>
        <w:rPr>
          <w:rFonts w:ascii="Times New Roman" w:hAnsi="Times New Roman" w:cs="Times New Roman"/>
        </w:rPr>
        <w:t xml:space="preserve"> </w:t>
      </w:r>
      <w:r w:rsidR="00FD0FAE">
        <w:rPr>
          <w:rFonts w:ascii="Times New Roman" w:hAnsi="Times New Roman" w:cs="Times New Roman"/>
        </w:rPr>
        <w:t>(</w:t>
      </w:r>
      <w:r>
        <w:rPr>
          <w:rFonts w:ascii="Times New Roman" w:hAnsi="Times New Roman" w:cs="Times New Roman"/>
        </w:rPr>
        <w:t>201</w:t>
      </w:r>
      <w:r w:rsidR="000975DF">
        <w:rPr>
          <w:rFonts w:ascii="Times New Roman" w:hAnsi="Times New Roman" w:cs="Times New Roman"/>
        </w:rPr>
        <w:t>0</w:t>
      </w:r>
      <w:r w:rsidR="00FD0FAE">
        <w:rPr>
          <w:rFonts w:ascii="Times New Roman" w:hAnsi="Times New Roman" w:cs="Times New Roman"/>
        </w:rPr>
        <w:t>).</w:t>
      </w:r>
      <w:r w:rsidR="000975DF">
        <w:rPr>
          <w:rFonts w:ascii="Times New Roman" w:hAnsi="Times New Roman" w:cs="Times New Roman"/>
        </w:rPr>
        <w:t xml:space="preserve"> </w:t>
      </w:r>
      <w:r w:rsidR="000975DF">
        <w:rPr>
          <w:rFonts w:ascii="Times New Roman" w:hAnsi="Times New Roman" w:cs="Times New Roman"/>
          <w:i/>
          <w:iCs/>
        </w:rPr>
        <w:t xml:space="preserve">Psychology of the media. </w:t>
      </w:r>
      <w:r w:rsidR="000975DF">
        <w:rPr>
          <w:rFonts w:ascii="Times New Roman" w:hAnsi="Times New Roman" w:cs="Times New Roman"/>
        </w:rPr>
        <w:t xml:space="preserve">Red Globe Press. </w:t>
      </w:r>
    </w:p>
    <w:p w14:paraId="329C5E39" w14:textId="34226579" w:rsidR="00DF53DD" w:rsidRDefault="00A7204B" w:rsidP="00A34FFB">
      <w:pPr>
        <w:spacing w:line="360" w:lineRule="auto"/>
        <w:ind w:left="720" w:hanging="720"/>
        <w:rPr>
          <w:rFonts w:ascii="Times New Roman" w:hAnsi="Times New Roman" w:cs="Times New Roman"/>
        </w:rPr>
      </w:pPr>
      <w:r>
        <w:rPr>
          <w:rFonts w:ascii="Times New Roman" w:hAnsi="Times New Roman" w:cs="Times New Roman"/>
        </w:rPr>
        <w:t xml:space="preserve">Gross, </w:t>
      </w:r>
      <w:r w:rsidR="00FD0FAE">
        <w:rPr>
          <w:rFonts w:ascii="Times New Roman" w:hAnsi="Times New Roman" w:cs="Times New Roman"/>
        </w:rPr>
        <w:t>R. (</w:t>
      </w:r>
      <w:r>
        <w:rPr>
          <w:rFonts w:ascii="Times New Roman" w:hAnsi="Times New Roman" w:cs="Times New Roman"/>
        </w:rPr>
        <w:t>1987/2020</w:t>
      </w:r>
      <w:r w:rsidR="00FD0FAE">
        <w:rPr>
          <w:rFonts w:ascii="Times New Roman" w:hAnsi="Times New Roman" w:cs="Times New Roman"/>
        </w:rPr>
        <w:t xml:space="preserve">). </w:t>
      </w:r>
      <w:r w:rsidR="00FD0FAE" w:rsidRPr="00FD0FAE">
        <w:rPr>
          <w:rFonts w:ascii="Times New Roman" w:hAnsi="Times New Roman" w:cs="Times New Roman"/>
          <w:i/>
          <w:iCs/>
        </w:rPr>
        <w:t>Psychology:</w:t>
      </w:r>
      <w:r w:rsidR="00FD0FAE">
        <w:rPr>
          <w:rFonts w:ascii="Times New Roman" w:hAnsi="Times New Roman" w:cs="Times New Roman"/>
        </w:rPr>
        <w:t xml:space="preserve"> </w:t>
      </w:r>
      <w:r w:rsidR="00FD0FAE">
        <w:rPr>
          <w:rFonts w:ascii="Times New Roman" w:hAnsi="Times New Roman" w:cs="Times New Roman"/>
          <w:i/>
          <w:iCs/>
        </w:rPr>
        <w:t xml:space="preserve">the science of mind and behaviour </w:t>
      </w:r>
      <w:r w:rsidR="00FD0FAE">
        <w:rPr>
          <w:rFonts w:ascii="Times New Roman" w:hAnsi="Times New Roman" w:cs="Times New Roman"/>
        </w:rPr>
        <w:t>(8</w:t>
      </w:r>
      <w:r w:rsidR="00FD0FAE" w:rsidRPr="00FD0FAE">
        <w:rPr>
          <w:rFonts w:ascii="Times New Roman" w:hAnsi="Times New Roman" w:cs="Times New Roman"/>
          <w:vertAlign w:val="superscript"/>
        </w:rPr>
        <w:t>th</w:t>
      </w:r>
      <w:r w:rsidR="00FD0FAE">
        <w:rPr>
          <w:rFonts w:ascii="Times New Roman" w:hAnsi="Times New Roman" w:cs="Times New Roman"/>
        </w:rPr>
        <w:t xml:space="preserve"> ed.). Hodder Education.</w:t>
      </w:r>
    </w:p>
    <w:p w14:paraId="269BA48E" w14:textId="1599E4BB" w:rsidR="00E67263" w:rsidRDefault="00E67263" w:rsidP="00A34FFB">
      <w:pPr>
        <w:spacing w:line="360" w:lineRule="auto"/>
        <w:ind w:left="720" w:hanging="720"/>
        <w:rPr>
          <w:rStyle w:val="Hyperlink"/>
          <w:rFonts w:ascii="Times New Roman" w:hAnsi="Times New Roman" w:cs="Times New Roman"/>
          <w:color w:val="2E74B5" w:themeColor="accent5" w:themeShade="BF"/>
        </w:rPr>
      </w:pPr>
      <w:r w:rsidRPr="00E67263">
        <w:rPr>
          <w:rFonts w:ascii="Times New Roman" w:hAnsi="Times New Roman" w:cs="Times New Roman"/>
          <w:color w:val="000000" w:themeColor="text1"/>
        </w:rPr>
        <w:t xml:space="preserve">Huesmann, </w:t>
      </w:r>
      <w:r w:rsidR="000C4156">
        <w:rPr>
          <w:rFonts w:ascii="Times New Roman" w:hAnsi="Times New Roman" w:cs="Times New Roman"/>
          <w:color w:val="000000" w:themeColor="text1"/>
        </w:rPr>
        <w:t>R</w:t>
      </w:r>
      <w:r w:rsidRPr="00E67263">
        <w:rPr>
          <w:rFonts w:ascii="Times New Roman" w:hAnsi="Times New Roman" w:cs="Times New Roman"/>
          <w:color w:val="000000" w:themeColor="text1"/>
        </w:rPr>
        <w:t xml:space="preserve">. </w:t>
      </w:r>
      <w:r w:rsidR="000C4156">
        <w:rPr>
          <w:rFonts w:ascii="Times New Roman" w:hAnsi="Times New Roman" w:cs="Times New Roman"/>
          <w:color w:val="000000" w:themeColor="text1"/>
        </w:rPr>
        <w:t>L</w:t>
      </w:r>
      <w:r w:rsidRPr="00E67263">
        <w:rPr>
          <w:rFonts w:ascii="Times New Roman" w:hAnsi="Times New Roman" w:cs="Times New Roman"/>
          <w:color w:val="000000" w:themeColor="text1"/>
        </w:rPr>
        <w:t>., Moise-Titus, J., Podolski, C</w:t>
      </w:r>
      <w:r>
        <w:rPr>
          <w:rFonts w:ascii="Times New Roman" w:hAnsi="Times New Roman" w:cs="Times New Roman"/>
          <w:color w:val="000000" w:themeColor="text1"/>
        </w:rPr>
        <w:t>.</w:t>
      </w:r>
      <w:r w:rsidRPr="00E67263">
        <w:rPr>
          <w:rFonts w:ascii="Times New Roman" w:hAnsi="Times New Roman" w:cs="Times New Roman"/>
          <w:color w:val="000000" w:themeColor="text1"/>
        </w:rPr>
        <w:t xml:space="preserve">-L., &amp; Eron, </w:t>
      </w:r>
      <w:r w:rsidR="000C4156">
        <w:rPr>
          <w:rFonts w:ascii="Times New Roman" w:hAnsi="Times New Roman" w:cs="Times New Roman"/>
          <w:color w:val="000000" w:themeColor="text1"/>
        </w:rPr>
        <w:t>D</w:t>
      </w:r>
      <w:r w:rsidRPr="00E67263">
        <w:rPr>
          <w:rFonts w:ascii="Times New Roman" w:hAnsi="Times New Roman" w:cs="Times New Roman"/>
          <w:color w:val="000000" w:themeColor="text1"/>
        </w:rPr>
        <w:t xml:space="preserve">. </w:t>
      </w:r>
      <w:r w:rsidR="000C4156">
        <w:rPr>
          <w:rFonts w:ascii="Times New Roman" w:hAnsi="Times New Roman" w:cs="Times New Roman"/>
          <w:color w:val="000000" w:themeColor="text1"/>
        </w:rPr>
        <w:t>L</w:t>
      </w:r>
      <w:r w:rsidRPr="00E67263">
        <w:rPr>
          <w:rFonts w:ascii="Times New Roman" w:hAnsi="Times New Roman" w:cs="Times New Roman"/>
          <w:color w:val="000000" w:themeColor="text1"/>
        </w:rPr>
        <w:t>. (2003). Longitudinal relations between children's exposure to TV violence and their aggressive and violent behaviour in young adulthood: 1977-1992.</w:t>
      </w:r>
      <w:r w:rsidRPr="00E67263">
        <w:rPr>
          <w:rStyle w:val="apple-converted-space"/>
          <w:rFonts w:ascii="Times New Roman" w:hAnsi="Times New Roman" w:cs="Times New Roman"/>
          <w:color w:val="000000" w:themeColor="text1"/>
        </w:rPr>
        <w:t> </w:t>
      </w:r>
      <w:r w:rsidRPr="00E67263">
        <w:rPr>
          <w:rStyle w:val="Emphasis"/>
          <w:rFonts w:ascii="Times New Roman" w:hAnsi="Times New Roman" w:cs="Times New Roman"/>
          <w:color w:val="000000" w:themeColor="text1"/>
        </w:rPr>
        <w:t>Developmental Psychology, 39</w:t>
      </w:r>
      <w:r w:rsidRPr="00E67263">
        <w:rPr>
          <w:rFonts w:ascii="Times New Roman" w:hAnsi="Times New Roman" w:cs="Times New Roman"/>
          <w:color w:val="000000" w:themeColor="text1"/>
        </w:rPr>
        <w:t>(2), 201–221.</w:t>
      </w:r>
      <w:r w:rsidRPr="00C82B49">
        <w:rPr>
          <w:rStyle w:val="apple-converted-space"/>
          <w:rFonts w:ascii="Times New Roman" w:hAnsi="Times New Roman" w:cs="Times New Roman"/>
          <w:color w:val="2E74B5" w:themeColor="accent5" w:themeShade="BF"/>
        </w:rPr>
        <w:t> </w:t>
      </w:r>
      <w:hyperlink r:id="rId12" w:tgtFrame="_blank" w:history="1">
        <w:r w:rsidRPr="00C82B49">
          <w:rPr>
            <w:rStyle w:val="Hyperlink"/>
            <w:rFonts w:ascii="Times New Roman" w:hAnsi="Times New Roman" w:cs="Times New Roman"/>
            <w:color w:val="2E74B5" w:themeColor="accent5" w:themeShade="BF"/>
          </w:rPr>
          <w:t>https://doi.org/10.1037/0012-1649.39.2.201</w:t>
        </w:r>
      </w:hyperlink>
    </w:p>
    <w:p w14:paraId="1EA7D1BC" w14:textId="77777777" w:rsidR="002D031A" w:rsidRPr="00C55A4D" w:rsidRDefault="004A7BCD" w:rsidP="002D031A">
      <w:pPr>
        <w:spacing w:line="360" w:lineRule="auto"/>
        <w:ind w:left="720" w:hanging="720"/>
        <w:rPr>
          <w:rFonts w:ascii="Times New Roman" w:hAnsi="Times New Roman" w:cs="Times New Roman"/>
          <w:color w:val="2E74B5" w:themeColor="accent5" w:themeShade="BF"/>
        </w:rPr>
      </w:pPr>
      <w:r>
        <w:rPr>
          <w:rFonts w:ascii="Times New Roman" w:hAnsi="Times New Roman" w:cs="Times New Roman"/>
          <w:color w:val="000000" w:themeColor="text1"/>
        </w:rPr>
        <w:t xml:space="preserve">Krahé, B. (2016). Violent media effects on aggression: A commentary from a cross-cultural perspective. </w:t>
      </w:r>
      <w:r>
        <w:rPr>
          <w:rFonts w:ascii="Times New Roman" w:hAnsi="Times New Roman" w:cs="Times New Roman"/>
          <w:i/>
          <w:iCs/>
          <w:color w:val="000000" w:themeColor="text1"/>
        </w:rPr>
        <w:t>Analyses of Social Issues &amp; Public Policy, 16</w:t>
      </w:r>
      <w:r>
        <w:rPr>
          <w:rFonts w:ascii="Times New Roman" w:hAnsi="Times New Roman" w:cs="Times New Roman"/>
          <w:color w:val="000000" w:themeColor="text1"/>
        </w:rPr>
        <w:t xml:space="preserve">(1), 439-442. </w:t>
      </w:r>
      <w:hyperlink r:id="rId13" w:history="1">
        <w:r w:rsidRPr="00C55A4D">
          <w:rPr>
            <w:rStyle w:val="Hyperlink"/>
            <w:rFonts w:ascii="Times New Roman" w:hAnsi="Times New Roman" w:cs="Times New Roman"/>
            <w:color w:val="2E74B5" w:themeColor="accent5" w:themeShade="BF"/>
          </w:rPr>
          <w:t>https://doi-org.ezproxy.uwtsd.ac.uk/10.1111/asap.12107</w:t>
        </w:r>
      </w:hyperlink>
    </w:p>
    <w:p w14:paraId="2706527E" w14:textId="4BCED7BC" w:rsidR="002D031A" w:rsidRPr="00C55A4D" w:rsidRDefault="002A522A" w:rsidP="002D031A">
      <w:pPr>
        <w:spacing w:line="360" w:lineRule="auto"/>
        <w:ind w:left="720" w:hanging="720"/>
        <w:rPr>
          <w:rFonts w:ascii="Times New Roman" w:hAnsi="Times New Roman" w:cs="Times New Roman"/>
          <w:color w:val="2E74B5" w:themeColor="accent5" w:themeShade="BF"/>
        </w:rPr>
      </w:pPr>
      <w:r w:rsidRPr="00C55A4D">
        <w:rPr>
          <w:rFonts w:ascii="Times New Roman" w:eastAsia="Times New Roman" w:hAnsi="Times New Roman" w:cs="Times New Roman"/>
          <w:color w:val="000000" w:themeColor="text1"/>
          <w:lang w:eastAsia="en-GB"/>
        </w:rPr>
        <w:t>Krahé, B., Möller, Ingrid., Huesmann, R. L., Kirwil, L., Felber, Juliane., &amp; Berger, A. (</w:t>
      </w:r>
      <w:r w:rsidRPr="00C55A4D">
        <w:rPr>
          <w:rFonts w:ascii="Times New Roman" w:hAnsi="Times New Roman" w:cs="Times New Roman"/>
          <w:color w:val="000000" w:themeColor="text1"/>
        </w:rPr>
        <w:t>201</w:t>
      </w:r>
      <w:r w:rsidR="00A57435">
        <w:rPr>
          <w:rFonts w:ascii="Times New Roman" w:hAnsi="Times New Roman" w:cs="Times New Roman"/>
          <w:color w:val="000000" w:themeColor="text1"/>
        </w:rPr>
        <w:t>1</w:t>
      </w:r>
      <w:r w:rsidRPr="00C55A4D">
        <w:rPr>
          <w:rFonts w:ascii="Times New Roman" w:eastAsia="Times New Roman" w:hAnsi="Times New Roman" w:cs="Times New Roman"/>
          <w:color w:val="000000" w:themeColor="text1"/>
          <w:lang w:eastAsia="en-GB"/>
        </w:rPr>
        <w:t>).</w:t>
      </w:r>
      <w:r w:rsidRPr="00C55A4D">
        <w:rPr>
          <w:rFonts w:ascii="Times New Roman" w:hAnsi="Times New Roman" w:cs="Times New Roman"/>
          <w:color w:val="000000" w:themeColor="text1"/>
        </w:rPr>
        <w:t xml:space="preserve"> </w:t>
      </w:r>
      <w:r w:rsidRPr="00C55A4D">
        <w:rPr>
          <w:rFonts w:ascii="Times New Roman" w:hAnsi="Times New Roman" w:cs="Times New Roman"/>
        </w:rPr>
        <w:t xml:space="preserve">Desensitisation to media violence: Links with habitual media violence exposure, aggressive cognitions, and aggressive behaviour. </w:t>
      </w:r>
      <w:r w:rsidRPr="00C55A4D">
        <w:rPr>
          <w:rFonts w:ascii="Times New Roman" w:eastAsia="Times New Roman" w:hAnsi="Times New Roman" w:cs="Times New Roman"/>
          <w:i/>
          <w:iCs/>
          <w:color w:val="000000" w:themeColor="text1"/>
          <w:bdr w:val="none" w:sz="0" w:space="0" w:color="auto" w:frame="1"/>
          <w:lang w:eastAsia="en-GB"/>
        </w:rPr>
        <w:t>Journal</w:t>
      </w:r>
      <w:r w:rsidRPr="00C55A4D">
        <w:rPr>
          <w:rFonts w:ascii="Times New Roman" w:eastAsia="Times New Roman" w:hAnsi="Times New Roman" w:cs="Times New Roman"/>
          <w:i/>
          <w:iCs/>
          <w:color w:val="000000" w:themeColor="text1"/>
          <w:lang w:eastAsia="en-GB"/>
        </w:rPr>
        <w:t> of </w:t>
      </w:r>
      <w:r w:rsidRPr="00C55A4D">
        <w:rPr>
          <w:rFonts w:ascii="Times New Roman" w:eastAsia="Times New Roman" w:hAnsi="Times New Roman" w:cs="Times New Roman"/>
          <w:i/>
          <w:iCs/>
          <w:color w:val="000000" w:themeColor="text1"/>
          <w:bdr w:val="none" w:sz="0" w:space="0" w:color="auto" w:frame="1"/>
          <w:lang w:eastAsia="en-GB"/>
        </w:rPr>
        <w:t>Personality</w:t>
      </w:r>
      <w:r w:rsidRPr="00C55A4D">
        <w:rPr>
          <w:rFonts w:ascii="Times New Roman" w:eastAsia="Times New Roman" w:hAnsi="Times New Roman" w:cs="Times New Roman"/>
          <w:i/>
          <w:iCs/>
          <w:color w:val="000000" w:themeColor="text1"/>
          <w:lang w:eastAsia="en-GB"/>
        </w:rPr>
        <w:t> and </w:t>
      </w:r>
      <w:r w:rsidRPr="00C55A4D">
        <w:rPr>
          <w:rFonts w:ascii="Times New Roman" w:eastAsia="Times New Roman" w:hAnsi="Times New Roman" w:cs="Times New Roman"/>
          <w:i/>
          <w:iCs/>
          <w:color w:val="000000" w:themeColor="text1"/>
          <w:bdr w:val="none" w:sz="0" w:space="0" w:color="auto" w:frame="1"/>
          <w:lang w:eastAsia="en-GB"/>
        </w:rPr>
        <w:t>Social</w:t>
      </w:r>
      <w:r w:rsidRPr="00C55A4D">
        <w:rPr>
          <w:rFonts w:ascii="Times New Roman" w:eastAsia="Times New Roman" w:hAnsi="Times New Roman" w:cs="Times New Roman"/>
          <w:i/>
          <w:iCs/>
          <w:color w:val="000000" w:themeColor="text1"/>
          <w:lang w:eastAsia="en-GB"/>
        </w:rPr>
        <w:t> </w:t>
      </w:r>
      <w:r w:rsidRPr="00C55A4D">
        <w:rPr>
          <w:rFonts w:ascii="Times New Roman" w:eastAsia="Times New Roman" w:hAnsi="Times New Roman" w:cs="Times New Roman"/>
          <w:i/>
          <w:iCs/>
          <w:color w:val="000000" w:themeColor="text1"/>
          <w:bdr w:val="none" w:sz="0" w:space="0" w:color="auto" w:frame="1"/>
          <w:lang w:eastAsia="en-GB"/>
        </w:rPr>
        <w:t>Psychology</w:t>
      </w:r>
      <w:r w:rsidRPr="00C55A4D">
        <w:rPr>
          <w:rFonts w:ascii="Times New Roman" w:eastAsia="Times New Roman" w:hAnsi="Times New Roman" w:cs="Times New Roman"/>
          <w:i/>
          <w:iCs/>
          <w:color w:val="000000" w:themeColor="text1"/>
          <w:lang w:eastAsia="en-GB"/>
        </w:rPr>
        <w:t>, 100</w:t>
      </w:r>
      <w:r w:rsidRPr="00C55A4D">
        <w:rPr>
          <w:rFonts w:ascii="Times New Roman" w:eastAsia="Times New Roman" w:hAnsi="Times New Roman" w:cs="Times New Roman"/>
          <w:color w:val="000000" w:themeColor="text1"/>
          <w:lang w:eastAsia="en-GB"/>
        </w:rPr>
        <w:t>(4), 630-646.</w:t>
      </w:r>
      <w:r w:rsidR="002D031A" w:rsidRPr="00C55A4D">
        <w:rPr>
          <w:rFonts w:ascii="Times New Roman" w:hAnsi="Times New Roman" w:cs="Times New Roman"/>
          <w:color w:val="000000" w:themeColor="text1"/>
        </w:rPr>
        <w:t xml:space="preserve"> </w:t>
      </w:r>
      <w:hyperlink r:id="rId14" w:history="1">
        <w:r w:rsidR="002D031A" w:rsidRPr="00C55A4D">
          <w:rPr>
            <w:rStyle w:val="Hyperlink"/>
            <w:rFonts w:ascii="Times New Roman" w:hAnsi="Times New Roman" w:cs="Times New Roman"/>
            <w:color w:val="2E74B5" w:themeColor="accent5" w:themeShade="BF"/>
          </w:rPr>
          <w:t>https://doi.apa.org/doiLanding?doi=10.1037%2Fa0021711</w:t>
        </w:r>
      </w:hyperlink>
    </w:p>
    <w:p w14:paraId="648FE8FC" w14:textId="1781B313" w:rsidR="003172CF" w:rsidRPr="00167C80" w:rsidRDefault="00FA110D" w:rsidP="00167C80">
      <w:pPr>
        <w:spacing w:line="360" w:lineRule="auto"/>
        <w:rPr>
          <w:rFonts w:ascii="Times New Roman" w:hAnsi="Times New Roman" w:cs="Times New Roman"/>
        </w:rPr>
      </w:pPr>
      <w:r>
        <w:rPr>
          <w:rFonts w:ascii="Times New Roman" w:hAnsi="Times New Roman" w:cs="Times New Roman"/>
        </w:rPr>
        <w:t xml:space="preserve">Ludlow, A., &amp; Gutierrez, R. (2014). </w:t>
      </w:r>
      <w:r>
        <w:rPr>
          <w:rFonts w:ascii="Times New Roman" w:hAnsi="Times New Roman" w:cs="Times New Roman"/>
          <w:i/>
          <w:iCs/>
        </w:rPr>
        <w:t xml:space="preserve">Developmental psychology. </w:t>
      </w:r>
      <w:r>
        <w:rPr>
          <w:rFonts w:ascii="Times New Roman" w:hAnsi="Times New Roman" w:cs="Times New Roman"/>
        </w:rPr>
        <w:t xml:space="preserve">Palgrave Macmillan. </w:t>
      </w:r>
    </w:p>
    <w:sectPr w:rsidR="003172CF" w:rsidRPr="00167C80" w:rsidSect="002E7A75">
      <w:footerReference w:type="even" r:id="rId15"/>
      <w:footerReference w:type="default" r:id="rId16"/>
      <w:pgSz w:w="12240" w:h="15840"/>
      <w:pgMar w:top="1440" w:right="1080" w:bottom="1440" w:left="108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03CF7" w14:textId="77777777" w:rsidR="007D4D90" w:rsidRDefault="007D4D90" w:rsidP="00695059">
      <w:r>
        <w:separator/>
      </w:r>
    </w:p>
  </w:endnote>
  <w:endnote w:type="continuationSeparator" w:id="0">
    <w:p w14:paraId="73D2BC61" w14:textId="77777777" w:rsidR="007D4D90" w:rsidRDefault="007D4D90" w:rsidP="00695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0548620"/>
      <w:docPartObj>
        <w:docPartGallery w:val="Page Numbers (Bottom of Page)"/>
        <w:docPartUnique/>
      </w:docPartObj>
    </w:sdtPr>
    <w:sdtEndPr>
      <w:rPr>
        <w:rStyle w:val="PageNumber"/>
      </w:rPr>
    </w:sdtEndPr>
    <w:sdtContent>
      <w:p w14:paraId="5AB43A04" w14:textId="7B20F740" w:rsidR="00695059" w:rsidRDefault="00695059" w:rsidP="00167C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98885D" w14:textId="77777777" w:rsidR="00695059" w:rsidRDefault="00695059" w:rsidP="006950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59347601"/>
      <w:docPartObj>
        <w:docPartGallery w:val="Page Numbers (Bottom of Page)"/>
        <w:docPartUnique/>
      </w:docPartObj>
    </w:sdtPr>
    <w:sdtEndPr>
      <w:rPr>
        <w:rStyle w:val="PageNumber"/>
      </w:rPr>
    </w:sdtEndPr>
    <w:sdtContent>
      <w:p w14:paraId="61935326" w14:textId="7F334E28" w:rsidR="00167C80" w:rsidRDefault="00167C80" w:rsidP="00233C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8E126" w14:textId="77777777" w:rsidR="007D4D90" w:rsidRDefault="007D4D90" w:rsidP="00695059">
      <w:r>
        <w:separator/>
      </w:r>
    </w:p>
  </w:footnote>
  <w:footnote w:type="continuationSeparator" w:id="0">
    <w:p w14:paraId="3859A936" w14:textId="77777777" w:rsidR="007D4D90" w:rsidRDefault="007D4D90" w:rsidP="00695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4340E"/>
    <w:multiLevelType w:val="hybridMultilevel"/>
    <w:tmpl w:val="DEAADE40"/>
    <w:lvl w:ilvl="0" w:tplc="1C8EF5A8">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CE42CD"/>
    <w:multiLevelType w:val="hybridMultilevel"/>
    <w:tmpl w:val="FC784CA6"/>
    <w:lvl w:ilvl="0" w:tplc="49C455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B7B4CE9"/>
    <w:multiLevelType w:val="hybridMultilevel"/>
    <w:tmpl w:val="D1D8C532"/>
    <w:lvl w:ilvl="0" w:tplc="82E04D60">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A53432"/>
    <w:multiLevelType w:val="hybridMultilevel"/>
    <w:tmpl w:val="02FE1388"/>
    <w:lvl w:ilvl="0" w:tplc="F2D8D9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6DD3FB6"/>
    <w:multiLevelType w:val="hybridMultilevel"/>
    <w:tmpl w:val="CE2ACCD2"/>
    <w:lvl w:ilvl="0" w:tplc="A844CC0E">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E6DD8"/>
    <w:multiLevelType w:val="hybridMultilevel"/>
    <w:tmpl w:val="D7DA4C1A"/>
    <w:lvl w:ilvl="0" w:tplc="136C8CB8">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2CF"/>
    <w:rsid w:val="0001466A"/>
    <w:rsid w:val="00014E42"/>
    <w:rsid w:val="00033EE7"/>
    <w:rsid w:val="00033F3A"/>
    <w:rsid w:val="0005414E"/>
    <w:rsid w:val="000901C6"/>
    <w:rsid w:val="00092BDA"/>
    <w:rsid w:val="000975DF"/>
    <w:rsid w:val="000A3A45"/>
    <w:rsid w:val="000C4156"/>
    <w:rsid w:val="000D2E2E"/>
    <w:rsid w:val="000D59DF"/>
    <w:rsid w:val="000E781E"/>
    <w:rsid w:val="000F727F"/>
    <w:rsid w:val="000F783F"/>
    <w:rsid w:val="0011003E"/>
    <w:rsid w:val="00114A52"/>
    <w:rsid w:val="001314F1"/>
    <w:rsid w:val="00167C80"/>
    <w:rsid w:val="001A1738"/>
    <w:rsid w:val="001C697E"/>
    <w:rsid w:val="00200C2D"/>
    <w:rsid w:val="00214FAB"/>
    <w:rsid w:val="0022435E"/>
    <w:rsid w:val="00285E88"/>
    <w:rsid w:val="00290A0F"/>
    <w:rsid w:val="00292272"/>
    <w:rsid w:val="0029268E"/>
    <w:rsid w:val="002A0EA7"/>
    <w:rsid w:val="002A522A"/>
    <w:rsid w:val="002A72AB"/>
    <w:rsid w:val="002B5E17"/>
    <w:rsid w:val="002C798D"/>
    <w:rsid w:val="002D017E"/>
    <w:rsid w:val="002D031A"/>
    <w:rsid w:val="002E7A75"/>
    <w:rsid w:val="003172CF"/>
    <w:rsid w:val="0034229C"/>
    <w:rsid w:val="003463EA"/>
    <w:rsid w:val="003547BD"/>
    <w:rsid w:val="00366535"/>
    <w:rsid w:val="0038178A"/>
    <w:rsid w:val="00397B64"/>
    <w:rsid w:val="003A0AC4"/>
    <w:rsid w:val="003A10B5"/>
    <w:rsid w:val="003A2253"/>
    <w:rsid w:val="003A40BC"/>
    <w:rsid w:val="003D0DE2"/>
    <w:rsid w:val="003D234F"/>
    <w:rsid w:val="003E55CB"/>
    <w:rsid w:val="003F3DD4"/>
    <w:rsid w:val="003F48B9"/>
    <w:rsid w:val="004074C5"/>
    <w:rsid w:val="00410380"/>
    <w:rsid w:val="004441A7"/>
    <w:rsid w:val="004547B0"/>
    <w:rsid w:val="00466FC8"/>
    <w:rsid w:val="00492CE8"/>
    <w:rsid w:val="004A1D6F"/>
    <w:rsid w:val="004A7BCD"/>
    <w:rsid w:val="004C3BC6"/>
    <w:rsid w:val="004C4D18"/>
    <w:rsid w:val="004E05F4"/>
    <w:rsid w:val="004E5294"/>
    <w:rsid w:val="004F640F"/>
    <w:rsid w:val="00502E1E"/>
    <w:rsid w:val="0050565F"/>
    <w:rsid w:val="005057E6"/>
    <w:rsid w:val="00514F9F"/>
    <w:rsid w:val="00536203"/>
    <w:rsid w:val="00546151"/>
    <w:rsid w:val="00553B5B"/>
    <w:rsid w:val="0055629F"/>
    <w:rsid w:val="00562922"/>
    <w:rsid w:val="005709A0"/>
    <w:rsid w:val="005956D0"/>
    <w:rsid w:val="005E18FB"/>
    <w:rsid w:val="005E2433"/>
    <w:rsid w:val="00601C8F"/>
    <w:rsid w:val="00610C11"/>
    <w:rsid w:val="00612B76"/>
    <w:rsid w:val="00616F0A"/>
    <w:rsid w:val="006442BD"/>
    <w:rsid w:val="00647C91"/>
    <w:rsid w:val="0068095D"/>
    <w:rsid w:val="00691224"/>
    <w:rsid w:val="00695059"/>
    <w:rsid w:val="006C5F4E"/>
    <w:rsid w:val="007312F4"/>
    <w:rsid w:val="00762540"/>
    <w:rsid w:val="00766AA0"/>
    <w:rsid w:val="00784B67"/>
    <w:rsid w:val="0078661B"/>
    <w:rsid w:val="007916C8"/>
    <w:rsid w:val="00796F4C"/>
    <w:rsid w:val="007A7A9B"/>
    <w:rsid w:val="007B4937"/>
    <w:rsid w:val="007C73AC"/>
    <w:rsid w:val="007D1E77"/>
    <w:rsid w:val="007D2F3B"/>
    <w:rsid w:val="007D4D90"/>
    <w:rsid w:val="007E398C"/>
    <w:rsid w:val="007F00FB"/>
    <w:rsid w:val="00832525"/>
    <w:rsid w:val="0084036F"/>
    <w:rsid w:val="00840B9E"/>
    <w:rsid w:val="00844FDD"/>
    <w:rsid w:val="00845652"/>
    <w:rsid w:val="00876AD0"/>
    <w:rsid w:val="008A2074"/>
    <w:rsid w:val="008A370C"/>
    <w:rsid w:val="008A4854"/>
    <w:rsid w:val="008E0378"/>
    <w:rsid w:val="008F1CDA"/>
    <w:rsid w:val="008F7954"/>
    <w:rsid w:val="00900F83"/>
    <w:rsid w:val="00915A42"/>
    <w:rsid w:val="0093176F"/>
    <w:rsid w:val="00933439"/>
    <w:rsid w:val="00940FDD"/>
    <w:rsid w:val="0094733E"/>
    <w:rsid w:val="00952E07"/>
    <w:rsid w:val="00970078"/>
    <w:rsid w:val="00986D51"/>
    <w:rsid w:val="009A3414"/>
    <w:rsid w:val="009B02A3"/>
    <w:rsid w:val="009B1793"/>
    <w:rsid w:val="009C407F"/>
    <w:rsid w:val="009D4684"/>
    <w:rsid w:val="009D5F5B"/>
    <w:rsid w:val="009E5CCD"/>
    <w:rsid w:val="009F2848"/>
    <w:rsid w:val="009F795E"/>
    <w:rsid w:val="00A26F80"/>
    <w:rsid w:val="00A34123"/>
    <w:rsid w:val="00A34FFB"/>
    <w:rsid w:val="00A554E8"/>
    <w:rsid w:val="00A57435"/>
    <w:rsid w:val="00A71584"/>
    <w:rsid w:val="00A7204B"/>
    <w:rsid w:val="00A738B4"/>
    <w:rsid w:val="00A80AC4"/>
    <w:rsid w:val="00A82365"/>
    <w:rsid w:val="00AB5C95"/>
    <w:rsid w:val="00AE7D68"/>
    <w:rsid w:val="00AF6FB9"/>
    <w:rsid w:val="00B16FDD"/>
    <w:rsid w:val="00B17692"/>
    <w:rsid w:val="00B17FE2"/>
    <w:rsid w:val="00B502EB"/>
    <w:rsid w:val="00B6113B"/>
    <w:rsid w:val="00B65D7C"/>
    <w:rsid w:val="00B845D5"/>
    <w:rsid w:val="00BB30A0"/>
    <w:rsid w:val="00BC6B4D"/>
    <w:rsid w:val="00BD3EC1"/>
    <w:rsid w:val="00BF53F4"/>
    <w:rsid w:val="00C150F6"/>
    <w:rsid w:val="00C267FC"/>
    <w:rsid w:val="00C26A71"/>
    <w:rsid w:val="00C55A4D"/>
    <w:rsid w:val="00C660BE"/>
    <w:rsid w:val="00C75D3A"/>
    <w:rsid w:val="00C82B49"/>
    <w:rsid w:val="00C943C8"/>
    <w:rsid w:val="00CA5C8A"/>
    <w:rsid w:val="00CB5609"/>
    <w:rsid w:val="00CB590A"/>
    <w:rsid w:val="00CE6CC7"/>
    <w:rsid w:val="00CF6D64"/>
    <w:rsid w:val="00D04744"/>
    <w:rsid w:val="00D121C5"/>
    <w:rsid w:val="00D17D65"/>
    <w:rsid w:val="00D22928"/>
    <w:rsid w:val="00D3782F"/>
    <w:rsid w:val="00D44DDF"/>
    <w:rsid w:val="00D501A4"/>
    <w:rsid w:val="00D60B9B"/>
    <w:rsid w:val="00DA434F"/>
    <w:rsid w:val="00DB3ED6"/>
    <w:rsid w:val="00DC0C57"/>
    <w:rsid w:val="00DE551D"/>
    <w:rsid w:val="00DF4005"/>
    <w:rsid w:val="00DF53DD"/>
    <w:rsid w:val="00E2089F"/>
    <w:rsid w:val="00E33F95"/>
    <w:rsid w:val="00E67263"/>
    <w:rsid w:val="00E75124"/>
    <w:rsid w:val="00E80E85"/>
    <w:rsid w:val="00E959AA"/>
    <w:rsid w:val="00EA64D3"/>
    <w:rsid w:val="00EC219B"/>
    <w:rsid w:val="00EC3360"/>
    <w:rsid w:val="00EC3882"/>
    <w:rsid w:val="00ED0CD3"/>
    <w:rsid w:val="00ED1D84"/>
    <w:rsid w:val="00ED2BC8"/>
    <w:rsid w:val="00EE4B22"/>
    <w:rsid w:val="00EE5889"/>
    <w:rsid w:val="00EF6537"/>
    <w:rsid w:val="00F10BC1"/>
    <w:rsid w:val="00F278D3"/>
    <w:rsid w:val="00F502B3"/>
    <w:rsid w:val="00F5415A"/>
    <w:rsid w:val="00F662C7"/>
    <w:rsid w:val="00F70D95"/>
    <w:rsid w:val="00F83693"/>
    <w:rsid w:val="00FA110D"/>
    <w:rsid w:val="00FB14D5"/>
    <w:rsid w:val="00FC2165"/>
    <w:rsid w:val="00FD0FAE"/>
    <w:rsid w:val="00FE0615"/>
    <w:rsid w:val="00FE7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5C24"/>
  <w15:chartTrackingRefBased/>
  <w15:docId w15:val="{BC2C6504-9CF5-8B4B-AC3F-41A0EE9F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3EE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95059"/>
    <w:pPr>
      <w:ind w:left="720"/>
      <w:contextualSpacing/>
    </w:pPr>
  </w:style>
  <w:style w:type="paragraph" w:styleId="Footer">
    <w:name w:val="footer"/>
    <w:basedOn w:val="Normal"/>
    <w:link w:val="FooterChar"/>
    <w:uiPriority w:val="99"/>
    <w:unhideWhenUsed/>
    <w:rsid w:val="00695059"/>
    <w:pPr>
      <w:tabs>
        <w:tab w:val="center" w:pos="4680"/>
        <w:tab w:val="right" w:pos="9360"/>
      </w:tabs>
    </w:pPr>
  </w:style>
  <w:style w:type="character" w:customStyle="1" w:styleId="FooterChar">
    <w:name w:val="Footer Char"/>
    <w:basedOn w:val="DefaultParagraphFont"/>
    <w:link w:val="Footer"/>
    <w:uiPriority w:val="99"/>
    <w:rsid w:val="00695059"/>
  </w:style>
  <w:style w:type="character" w:styleId="PageNumber">
    <w:name w:val="page number"/>
    <w:basedOn w:val="DefaultParagraphFont"/>
    <w:uiPriority w:val="99"/>
    <w:semiHidden/>
    <w:unhideWhenUsed/>
    <w:rsid w:val="00695059"/>
  </w:style>
  <w:style w:type="character" w:styleId="Hyperlink">
    <w:name w:val="Hyperlink"/>
    <w:basedOn w:val="DefaultParagraphFont"/>
    <w:uiPriority w:val="99"/>
    <w:unhideWhenUsed/>
    <w:rsid w:val="00FA110D"/>
    <w:rPr>
      <w:color w:val="0000FF"/>
      <w:u w:val="single"/>
    </w:rPr>
  </w:style>
  <w:style w:type="character" w:customStyle="1" w:styleId="apple-converted-space">
    <w:name w:val="apple-converted-space"/>
    <w:basedOn w:val="DefaultParagraphFont"/>
    <w:rsid w:val="00E67263"/>
  </w:style>
  <w:style w:type="character" w:styleId="Emphasis">
    <w:name w:val="Emphasis"/>
    <w:basedOn w:val="DefaultParagraphFont"/>
    <w:uiPriority w:val="20"/>
    <w:qFormat/>
    <w:rsid w:val="00E67263"/>
    <w:rPr>
      <w:i/>
      <w:iCs/>
    </w:rPr>
  </w:style>
  <w:style w:type="character" w:styleId="FollowedHyperlink">
    <w:name w:val="FollowedHyperlink"/>
    <w:basedOn w:val="DefaultParagraphFont"/>
    <w:uiPriority w:val="99"/>
    <w:semiHidden/>
    <w:unhideWhenUsed/>
    <w:rsid w:val="00E67263"/>
    <w:rPr>
      <w:color w:val="954F72" w:themeColor="followedHyperlink"/>
      <w:u w:val="single"/>
    </w:rPr>
  </w:style>
  <w:style w:type="character" w:styleId="UnresolvedMention">
    <w:name w:val="Unresolved Mention"/>
    <w:basedOn w:val="DefaultParagraphFont"/>
    <w:uiPriority w:val="99"/>
    <w:semiHidden/>
    <w:unhideWhenUsed/>
    <w:rsid w:val="004A7BCD"/>
    <w:rPr>
      <w:color w:val="605E5C"/>
      <w:shd w:val="clear" w:color="auto" w:fill="E1DFDD"/>
    </w:rPr>
  </w:style>
  <w:style w:type="character" w:styleId="PlaceholderText">
    <w:name w:val="Placeholder Text"/>
    <w:basedOn w:val="DefaultParagraphFont"/>
    <w:uiPriority w:val="99"/>
    <w:semiHidden/>
    <w:rsid w:val="009E5CCD"/>
    <w:rPr>
      <w:color w:val="808080"/>
    </w:rPr>
  </w:style>
  <w:style w:type="character" w:styleId="Strong">
    <w:name w:val="Strong"/>
    <w:basedOn w:val="DefaultParagraphFont"/>
    <w:uiPriority w:val="22"/>
    <w:qFormat/>
    <w:rsid w:val="002A522A"/>
    <w:rPr>
      <w:b/>
      <w:bCs/>
    </w:rPr>
  </w:style>
  <w:style w:type="paragraph" w:styleId="Header">
    <w:name w:val="header"/>
    <w:basedOn w:val="Normal"/>
    <w:link w:val="HeaderChar"/>
    <w:uiPriority w:val="99"/>
    <w:unhideWhenUsed/>
    <w:rsid w:val="002E7A75"/>
    <w:pPr>
      <w:tabs>
        <w:tab w:val="center" w:pos="4680"/>
        <w:tab w:val="right" w:pos="9360"/>
      </w:tabs>
    </w:pPr>
  </w:style>
  <w:style w:type="character" w:customStyle="1" w:styleId="HeaderChar">
    <w:name w:val="Header Char"/>
    <w:basedOn w:val="DefaultParagraphFont"/>
    <w:link w:val="Header"/>
    <w:uiPriority w:val="99"/>
    <w:rsid w:val="002E7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05047">
      <w:bodyDiv w:val="1"/>
      <w:marLeft w:val="0"/>
      <w:marRight w:val="0"/>
      <w:marTop w:val="0"/>
      <w:marBottom w:val="0"/>
      <w:divBdr>
        <w:top w:val="none" w:sz="0" w:space="0" w:color="auto"/>
        <w:left w:val="none" w:sz="0" w:space="0" w:color="auto"/>
        <w:bottom w:val="none" w:sz="0" w:space="0" w:color="auto"/>
        <w:right w:val="none" w:sz="0" w:space="0" w:color="auto"/>
      </w:divBdr>
      <w:divsChild>
        <w:div w:id="821894413">
          <w:marLeft w:val="0"/>
          <w:marRight w:val="0"/>
          <w:marTop w:val="0"/>
          <w:marBottom w:val="0"/>
          <w:divBdr>
            <w:top w:val="none" w:sz="0" w:space="0" w:color="auto"/>
            <w:left w:val="none" w:sz="0" w:space="0" w:color="auto"/>
            <w:bottom w:val="none" w:sz="0" w:space="0" w:color="auto"/>
            <w:right w:val="none" w:sz="0" w:space="0" w:color="auto"/>
          </w:divBdr>
          <w:divsChild>
            <w:div w:id="873617696">
              <w:marLeft w:val="0"/>
              <w:marRight w:val="0"/>
              <w:marTop w:val="0"/>
              <w:marBottom w:val="0"/>
              <w:divBdr>
                <w:top w:val="none" w:sz="0" w:space="0" w:color="auto"/>
                <w:left w:val="none" w:sz="0" w:space="0" w:color="auto"/>
                <w:bottom w:val="none" w:sz="0" w:space="0" w:color="auto"/>
                <w:right w:val="none" w:sz="0" w:space="0" w:color="auto"/>
              </w:divBdr>
              <w:divsChild>
                <w:div w:id="918178419">
                  <w:marLeft w:val="0"/>
                  <w:marRight w:val="0"/>
                  <w:marTop w:val="0"/>
                  <w:marBottom w:val="0"/>
                  <w:divBdr>
                    <w:top w:val="none" w:sz="0" w:space="0" w:color="auto"/>
                    <w:left w:val="none" w:sz="0" w:space="0" w:color="auto"/>
                    <w:bottom w:val="none" w:sz="0" w:space="0" w:color="auto"/>
                    <w:right w:val="none" w:sz="0" w:space="0" w:color="auto"/>
                  </w:divBdr>
                  <w:divsChild>
                    <w:div w:id="146538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96431">
      <w:bodyDiv w:val="1"/>
      <w:marLeft w:val="0"/>
      <w:marRight w:val="0"/>
      <w:marTop w:val="0"/>
      <w:marBottom w:val="0"/>
      <w:divBdr>
        <w:top w:val="none" w:sz="0" w:space="0" w:color="auto"/>
        <w:left w:val="none" w:sz="0" w:space="0" w:color="auto"/>
        <w:bottom w:val="none" w:sz="0" w:space="0" w:color="auto"/>
        <w:right w:val="none" w:sz="0" w:space="0" w:color="auto"/>
      </w:divBdr>
      <w:divsChild>
        <w:div w:id="80031934">
          <w:marLeft w:val="0"/>
          <w:marRight w:val="0"/>
          <w:marTop w:val="0"/>
          <w:marBottom w:val="0"/>
          <w:divBdr>
            <w:top w:val="none" w:sz="0" w:space="0" w:color="auto"/>
            <w:left w:val="none" w:sz="0" w:space="0" w:color="auto"/>
            <w:bottom w:val="none" w:sz="0" w:space="0" w:color="auto"/>
            <w:right w:val="none" w:sz="0" w:space="0" w:color="auto"/>
          </w:divBdr>
          <w:divsChild>
            <w:div w:id="844443468">
              <w:marLeft w:val="0"/>
              <w:marRight w:val="0"/>
              <w:marTop w:val="0"/>
              <w:marBottom w:val="0"/>
              <w:divBdr>
                <w:top w:val="none" w:sz="0" w:space="0" w:color="auto"/>
                <w:left w:val="none" w:sz="0" w:space="0" w:color="auto"/>
                <w:bottom w:val="none" w:sz="0" w:space="0" w:color="auto"/>
                <w:right w:val="none" w:sz="0" w:space="0" w:color="auto"/>
              </w:divBdr>
              <w:divsChild>
                <w:div w:id="1694379763">
                  <w:marLeft w:val="0"/>
                  <w:marRight w:val="0"/>
                  <w:marTop w:val="0"/>
                  <w:marBottom w:val="0"/>
                  <w:divBdr>
                    <w:top w:val="none" w:sz="0" w:space="0" w:color="auto"/>
                    <w:left w:val="none" w:sz="0" w:space="0" w:color="auto"/>
                    <w:bottom w:val="none" w:sz="0" w:space="0" w:color="auto"/>
                    <w:right w:val="none" w:sz="0" w:space="0" w:color="auto"/>
                  </w:divBdr>
                  <w:divsChild>
                    <w:div w:id="18009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35834">
      <w:bodyDiv w:val="1"/>
      <w:marLeft w:val="0"/>
      <w:marRight w:val="0"/>
      <w:marTop w:val="0"/>
      <w:marBottom w:val="0"/>
      <w:divBdr>
        <w:top w:val="none" w:sz="0" w:space="0" w:color="auto"/>
        <w:left w:val="none" w:sz="0" w:space="0" w:color="auto"/>
        <w:bottom w:val="none" w:sz="0" w:space="0" w:color="auto"/>
        <w:right w:val="none" w:sz="0" w:space="0" w:color="auto"/>
      </w:divBdr>
      <w:divsChild>
        <w:div w:id="488517869">
          <w:marLeft w:val="0"/>
          <w:marRight w:val="0"/>
          <w:marTop w:val="0"/>
          <w:marBottom w:val="0"/>
          <w:divBdr>
            <w:top w:val="none" w:sz="0" w:space="0" w:color="auto"/>
            <w:left w:val="none" w:sz="0" w:space="0" w:color="auto"/>
            <w:bottom w:val="none" w:sz="0" w:space="0" w:color="auto"/>
            <w:right w:val="none" w:sz="0" w:space="0" w:color="auto"/>
          </w:divBdr>
          <w:divsChild>
            <w:div w:id="1175922708">
              <w:marLeft w:val="0"/>
              <w:marRight w:val="0"/>
              <w:marTop w:val="0"/>
              <w:marBottom w:val="0"/>
              <w:divBdr>
                <w:top w:val="none" w:sz="0" w:space="0" w:color="auto"/>
                <w:left w:val="none" w:sz="0" w:space="0" w:color="auto"/>
                <w:bottom w:val="none" w:sz="0" w:space="0" w:color="auto"/>
                <w:right w:val="none" w:sz="0" w:space="0" w:color="auto"/>
              </w:divBdr>
              <w:divsChild>
                <w:div w:id="1268809188">
                  <w:marLeft w:val="0"/>
                  <w:marRight w:val="0"/>
                  <w:marTop w:val="0"/>
                  <w:marBottom w:val="0"/>
                  <w:divBdr>
                    <w:top w:val="none" w:sz="0" w:space="0" w:color="auto"/>
                    <w:left w:val="none" w:sz="0" w:space="0" w:color="auto"/>
                    <w:bottom w:val="none" w:sz="0" w:space="0" w:color="auto"/>
                    <w:right w:val="none" w:sz="0" w:space="0" w:color="auto"/>
                  </w:divBdr>
                  <w:divsChild>
                    <w:div w:id="125871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894191">
      <w:bodyDiv w:val="1"/>
      <w:marLeft w:val="0"/>
      <w:marRight w:val="0"/>
      <w:marTop w:val="0"/>
      <w:marBottom w:val="0"/>
      <w:divBdr>
        <w:top w:val="none" w:sz="0" w:space="0" w:color="auto"/>
        <w:left w:val="none" w:sz="0" w:space="0" w:color="auto"/>
        <w:bottom w:val="none" w:sz="0" w:space="0" w:color="auto"/>
        <w:right w:val="none" w:sz="0" w:space="0" w:color="auto"/>
      </w:divBdr>
      <w:divsChild>
        <w:div w:id="1211918200">
          <w:marLeft w:val="0"/>
          <w:marRight w:val="0"/>
          <w:marTop w:val="0"/>
          <w:marBottom w:val="0"/>
          <w:divBdr>
            <w:top w:val="none" w:sz="0" w:space="0" w:color="auto"/>
            <w:left w:val="none" w:sz="0" w:space="0" w:color="auto"/>
            <w:bottom w:val="none" w:sz="0" w:space="0" w:color="auto"/>
            <w:right w:val="none" w:sz="0" w:space="0" w:color="auto"/>
          </w:divBdr>
          <w:divsChild>
            <w:div w:id="2068185523">
              <w:marLeft w:val="0"/>
              <w:marRight w:val="0"/>
              <w:marTop w:val="0"/>
              <w:marBottom w:val="0"/>
              <w:divBdr>
                <w:top w:val="none" w:sz="0" w:space="0" w:color="auto"/>
                <w:left w:val="none" w:sz="0" w:space="0" w:color="auto"/>
                <w:bottom w:val="none" w:sz="0" w:space="0" w:color="auto"/>
                <w:right w:val="none" w:sz="0" w:space="0" w:color="auto"/>
              </w:divBdr>
              <w:divsChild>
                <w:div w:id="181434993">
                  <w:marLeft w:val="0"/>
                  <w:marRight w:val="0"/>
                  <w:marTop w:val="0"/>
                  <w:marBottom w:val="0"/>
                  <w:divBdr>
                    <w:top w:val="none" w:sz="0" w:space="0" w:color="auto"/>
                    <w:left w:val="none" w:sz="0" w:space="0" w:color="auto"/>
                    <w:bottom w:val="none" w:sz="0" w:space="0" w:color="auto"/>
                    <w:right w:val="none" w:sz="0" w:space="0" w:color="auto"/>
                  </w:divBdr>
                  <w:divsChild>
                    <w:div w:id="103075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209799">
      <w:bodyDiv w:val="1"/>
      <w:marLeft w:val="0"/>
      <w:marRight w:val="0"/>
      <w:marTop w:val="0"/>
      <w:marBottom w:val="0"/>
      <w:divBdr>
        <w:top w:val="none" w:sz="0" w:space="0" w:color="auto"/>
        <w:left w:val="none" w:sz="0" w:space="0" w:color="auto"/>
        <w:bottom w:val="none" w:sz="0" w:space="0" w:color="auto"/>
        <w:right w:val="none" w:sz="0" w:space="0" w:color="auto"/>
      </w:divBdr>
      <w:divsChild>
        <w:div w:id="1019430564">
          <w:marLeft w:val="0"/>
          <w:marRight w:val="0"/>
          <w:marTop w:val="0"/>
          <w:marBottom w:val="0"/>
          <w:divBdr>
            <w:top w:val="none" w:sz="0" w:space="0" w:color="auto"/>
            <w:left w:val="none" w:sz="0" w:space="0" w:color="auto"/>
            <w:bottom w:val="none" w:sz="0" w:space="0" w:color="auto"/>
            <w:right w:val="none" w:sz="0" w:space="0" w:color="auto"/>
          </w:divBdr>
          <w:divsChild>
            <w:div w:id="1096247578">
              <w:marLeft w:val="0"/>
              <w:marRight w:val="0"/>
              <w:marTop w:val="0"/>
              <w:marBottom w:val="0"/>
              <w:divBdr>
                <w:top w:val="none" w:sz="0" w:space="0" w:color="auto"/>
                <w:left w:val="none" w:sz="0" w:space="0" w:color="auto"/>
                <w:bottom w:val="none" w:sz="0" w:space="0" w:color="auto"/>
                <w:right w:val="none" w:sz="0" w:space="0" w:color="auto"/>
              </w:divBdr>
              <w:divsChild>
                <w:div w:id="1099760031">
                  <w:marLeft w:val="0"/>
                  <w:marRight w:val="0"/>
                  <w:marTop w:val="0"/>
                  <w:marBottom w:val="0"/>
                  <w:divBdr>
                    <w:top w:val="none" w:sz="0" w:space="0" w:color="auto"/>
                    <w:left w:val="none" w:sz="0" w:space="0" w:color="auto"/>
                    <w:bottom w:val="none" w:sz="0" w:space="0" w:color="auto"/>
                    <w:right w:val="none" w:sz="0" w:space="0" w:color="auto"/>
                  </w:divBdr>
                  <w:divsChild>
                    <w:div w:id="10180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700514">
      <w:bodyDiv w:val="1"/>
      <w:marLeft w:val="0"/>
      <w:marRight w:val="0"/>
      <w:marTop w:val="0"/>
      <w:marBottom w:val="0"/>
      <w:divBdr>
        <w:top w:val="none" w:sz="0" w:space="0" w:color="auto"/>
        <w:left w:val="none" w:sz="0" w:space="0" w:color="auto"/>
        <w:bottom w:val="none" w:sz="0" w:space="0" w:color="auto"/>
        <w:right w:val="none" w:sz="0" w:space="0" w:color="auto"/>
      </w:divBdr>
      <w:divsChild>
        <w:div w:id="287518707">
          <w:marLeft w:val="0"/>
          <w:marRight w:val="0"/>
          <w:marTop w:val="0"/>
          <w:marBottom w:val="0"/>
          <w:divBdr>
            <w:top w:val="none" w:sz="0" w:space="0" w:color="auto"/>
            <w:left w:val="none" w:sz="0" w:space="0" w:color="auto"/>
            <w:bottom w:val="none" w:sz="0" w:space="0" w:color="auto"/>
            <w:right w:val="none" w:sz="0" w:space="0" w:color="auto"/>
          </w:divBdr>
          <w:divsChild>
            <w:div w:id="30307520">
              <w:marLeft w:val="0"/>
              <w:marRight w:val="0"/>
              <w:marTop w:val="0"/>
              <w:marBottom w:val="0"/>
              <w:divBdr>
                <w:top w:val="none" w:sz="0" w:space="0" w:color="auto"/>
                <w:left w:val="none" w:sz="0" w:space="0" w:color="auto"/>
                <w:bottom w:val="none" w:sz="0" w:space="0" w:color="auto"/>
                <w:right w:val="none" w:sz="0" w:space="0" w:color="auto"/>
              </w:divBdr>
              <w:divsChild>
                <w:div w:id="143616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960115">
      <w:bodyDiv w:val="1"/>
      <w:marLeft w:val="0"/>
      <w:marRight w:val="0"/>
      <w:marTop w:val="0"/>
      <w:marBottom w:val="0"/>
      <w:divBdr>
        <w:top w:val="none" w:sz="0" w:space="0" w:color="auto"/>
        <w:left w:val="none" w:sz="0" w:space="0" w:color="auto"/>
        <w:bottom w:val="none" w:sz="0" w:space="0" w:color="auto"/>
        <w:right w:val="none" w:sz="0" w:space="0" w:color="auto"/>
      </w:divBdr>
      <w:divsChild>
        <w:div w:id="1342196680">
          <w:marLeft w:val="0"/>
          <w:marRight w:val="0"/>
          <w:marTop w:val="0"/>
          <w:marBottom w:val="0"/>
          <w:divBdr>
            <w:top w:val="none" w:sz="0" w:space="0" w:color="auto"/>
            <w:left w:val="none" w:sz="0" w:space="0" w:color="auto"/>
            <w:bottom w:val="none" w:sz="0" w:space="0" w:color="auto"/>
            <w:right w:val="none" w:sz="0" w:space="0" w:color="auto"/>
          </w:divBdr>
          <w:divsChild>
            <w:div w:id="1797720934">
              <w:marLeft w:val="0"/>
              <w:marRight w:val="0"/>
              <w:marTop w:val="0"/>
              <w:marBottom w:val="0"/>
              <w:divBdr>
                <w:top w:val="none" w:sz="0" w:space="0" w:color="auto"/>
                <w:left w:val="none" w:sz="0" w:space="0" w:color="auto"/>
                <w:bottom w:val="none" w:sz="0" w:space="0" w:color="auto"/>
                <w:right w:val="none" w:sz="0" w:space="0" w:color="auto"/>
              </w:divBdr>
              <w:divsChild>
                <w:div w:id="1529485019">
                  <w:marLeft w:val="0"/>
                  <w:marRight w:val="0"/>
                  <w:marTop w:val="0"/>
                  <w:marBottom w:val="0"/>
                  <w:divBdr>
                    <w:top w:val="none" w:sz="0" w:space="0" w:color="auto"/>
                    <w:left w:val="none" w:sz="0" w:space="0" w:color="auto"/>
                    <w:bottom w:val="none" w:sz="0" w:space="0" w:color="auto"/>
                    <w:right w:val="none" w:sz="0" w:space="0" w:color="auto"/>
                  </w:divBdr>
                  <w:divsChild>
                    <w:div w:id="140267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052012">
          <w:marLeft w:val="0"/>
          <w:marRight w:val="0"/>
          <w:marTop w:val="0"/>
          <w:marBottom w:val="0"/>
          <w:divBdr>
            <w:top w:val="none" w:sz="0" w:space="0" w:color="auto"/>
            <w:left w:val="none" w:sz="0" w:space="0" w:color="auto"/>
            <w:bottom w:val="none" w:sz="0" w:space="0" w:color="auto"/>
            <w:right w:val="none" w:sz="0" w:space="0" w:color="auto"/>
          </w:divBdr>
          <w:divsChild>
            <w:div w:id="1895850378">
              <w:marLeft w:val="0"/>
              <w:marRight w:val="0"/>
              <w:marTop w:val="0"/>
              <w:marBottom w:val="0"/>
              <w:divBdr>
                <w:top w:val="none" w:sz="0" w:space="0" w:color="auto"/>
                <w:left w:val="none" w:sz="0" w:space="0" w:color="auto"/>
                <w:bottom w:val="none" w:sz="0" w:space="0" w:color="auto"/>
                <w:right w:val="none" w:sz="0" w:space="0" w:color="auto"/>
              </w:divBdr>
              <w:divsChild>
                <w:div w:id="1376853354">
                  <w:marLeft w:val="0"/>
                  <w:marRight w:val="0"/>
                  <w:marTop w:val="0"/>
                  <w:marBottom w:val="0"/>
                  <w:divBdr>
                    <w:top w:val="none" w:sz="0" w:space="0" w:color="auto"/>
                    <w:left w:val="none" w:sz="0" w:space="0" w:color="auto"/>
                    <w:bottom w:val="none" w:sz="0" w:space="0" w:color="auto"/>
                    <w:right w:val="none" w:sz="0" w:space="0" w:color="auto"/>
                  </w:divBdr>
                </w:div>
              </w:divsChild>
            </w:div>
            <w:div w:id="1439061614">
              <w:marLeft w:val="0"/>
              <w:marRight w:val="0"/>
              <w:marTop w:val="0"/>
              <w:marBottom w:val="0"/>
              <w:divBdr>
                <w:top w:val="none" w:sz="0" w:space="0" w:color="auto"/>
                <w:left w:val="none" w:sz="0" w:space="0" w:color="auto"/>
                <w:bottom w:val="none" w:sz="0" w:space="0" w:color="auto"/>
                <w:right w:val="none" w:sz="0" w:space="0" w:color="auto"/>
              </w:divBdr>
              <w:divsChild>
                <w:div w:id="166099809">
                  <w:marLeft w:val="0"/>
                  <w:marRight w:val="0"/>
                  <w:marTop w:val="0"/>
                  <w:marBottom w:val="0"/>
                  <w:divBdr>
                    <w:top w:val="none" w:sz="0" w:space="0" w:color="auto"/>
                    <w:left w:val="none" w:sz="0" w:space="0" w:color="auto"/>
                    <w:bottom w:val="none" w:sz="0" w:space="0" w:color="auto"/>
                    <w:right w:val="none" w:sz="0" w:space="0" w:color="auto"/>
                  </w:divBdr>
                  <w:divsChild>
                    <w:div w:id="29329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843703">
      <w:bodyDiv w:val="1"/>
      <w:marLeft w:val="0"/>
      <w:marRight w:val="0"/>
      <w:marTop w:val="0"/>
      <w:marBottom w:val="0"/>
      <w:divBdr>
        <w:top w:val="none" w:sz="0" w:space="0" w:color="auto"/>
        <w:left w:val="none" w:sz="0" w:space="0" w:color="auto"/>
        <w:bottom w:val="none" w:sz="0" w:space="0" w:color="auto"/>
        <w:right w:val="none" w:sz="0" w:space="0" w:color="auto"/>
      </w:divBdr>
      <w:divsChild>
        <w:div w:id="445346965">
          <w:marLeft w:val="0"/>
          <w:marRight w:val="0"/>
          <w:marTop w:val="0"/>
          <w:marBottom w:val="0"/>
          <w:divBdr>
            <w:top w:val="none" w:sz="0" w:space="0" w:color="auto"/>
            <w:left w:val="none" w:sz="0" w:space="0" w:color="auto"/>
            <w:bottom w:val="none" w:sz="0" w:space="0" w:color="auto"/>
            <w:right w:val="none" w:sz="0" w:space="0" w:color="auto"/>
          </w:divBdr>
          <w:divsChild>
            <w:div w:id="1795640192">
              <w:marLeft w:val="0"/>
              <w:marRight w:val="0"/>
              <w:marTop w:val="0"/>
              <w:marBottom w:val="0"/>
              <w:divBdr>
                <w:top w:val="none" w:sz="0" w:space="0" w:color="auto"/>
                <w:left w:val="none" w:sz="0" w:space="0" w:color="auto"/>
                <w:bottom w:val="none" w:sz="0" w:space="0" w:color="auto"/>
                <w:right w:val="none" w:sz="0" w:space="0" w:color="auto"/>
              </w:divBdr>
              <w:divsChild>
                <w:div w:id="1558466198">
                  <w:marLeft w:val="0"/>
                  <w:marRight w:val="0"/>
                  <w:marTop w:val="0"/>
                  <w:marBottom w:val="0"/>
                  <w:divBdr>
                    <w:top w:val="none" w:sz="0" w:space="0" w:color="auto"/>
                    <w:left w:val="none" w:sz="0" w:space="0" w:color="auto"/>
                    <w:bottom w:val="none" w:sz="0" w:space="0" w:color="auto"/>
                    <w:right w:val="none" w:sz="0" w:space="0" w:color="auto"/>
                  </w:divBdr>
                  <w:divsChild>
                    <w:div w:id="10918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758501">
      <w:bodyDiv w:val="1"/>
      <w:marLeft w:val="0"/>
      <w:marRight w:val="0"/>
      <w:marTop w:val="0"/>
      <w:marBottom w:val="0"/>
      <w:divBdr>
        <w:top w:val="none" w:sz="0" w:space="0" w:color="auto"/>
        <w:left w:val="none" w:sz="0" w:space="0" w:color="auto"/>
        <w:bottom w:val="none" w:sz="0" w:space="0" w:color="auto"/>
        <w:right w:val="none" w:sz="0" w:space="0" w:color="auto"/>
      </w:divBdr>
      <w:divsChild>
        <w:div w:id="1348171629">
          <w:marLeft w:val="0"/>
          <w:marRight w:val="0"/>
          <w:marTop w:val="0"/>
          <w:marBottom w:val="0"/>
          <w:divBdr>
            <w:top w:val="none" w:sz="0" w:space="0" w:color="auto"/>
            <w:left w:val="none" w:sz="0" w:space="0" w:color="auto"/>
            <w:bottom w:val="none" w:sz="0" w:space="0" w:color="auto"/>
            <w:right w:val="none" w:sz="0" w:space="0" w:color="auto"/>
          </w:divBdr>
          <w:divsChild>
            <w:div w:id="1385643565">
              <w:marLeft w:val="0"/>
              <w:marRight w:val="0"/>
              <w:marTop w:val="0"/>
              <w:marBottom w:val="0"/>
              <w:divBdr>
                <w:top w:val="none" w:sz="0" w:space="0" w:color="auto"/>
                <w:left w:val="none" w:sz="0" w:space="0" w:color="auto"/>
                <w:bottom w:val="none" w:sz="0" w:space="0" w:color="auto"/>
                <w:right w:val="none" w:sz="0" w:space="0" w:color="auto"/>
              </w:divBdr>
              <w:divsChild>
                <w:div w:id="1461460085">
                  <w:marLeft w:val="0"/>
                  <w:marRight w:val="0"/>
                  <w:marTop w:val="0"/>
                  <w:marBottom w:val="0"/>
                  <w:divBdr>
                    <w:top w:val="none" w:sz="0" w:space="0" w:color="auto"/>
                    <w:left w:val="none" w:sz="0" w:space="0" w:color="auto"/>
                    <w:bottom w:val="none" w:sz="0" w:space="0" w:color="auto"/>
                    <w:right w:val="none" w:sz="0" w:space="0" w:color="auto"/>
                  </w:divBdr>
                  <w:divsChild>
                    <w:div w:id="142260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855829">
      <w:bodyDiv w:val="1"/>
      <w:marLeft w:val="0"/>
      <w:marRight w:val="0"/>
      <w:marTop w:val="0"/>
      <w:marBottom w:val="0"/>
      <w:divBdr>
        <w:top w:val="none" w:sz="0" w:space="0" w:color="auto"/>
        <w:left w:val="none" w:sz="0" w:space="0" w:color="auto"/>
        <w:bottom w:val="none" w:sz="0" w:space="0" w:color="auto"/>
        <w:right w:val="none" w:sz="0" w:space="0" w:color="auto"/>
      </w:divBdr>
    </w:div>
    <w:div w:id="903563685">
      <w:bodyDiv w:val="1"/>
      <w:marLeft w:val="0"/>
      <w:marRight w:val="0"/>
      <w:marTop w:val="0"/>
      <w:marBottom w:val="0"/>
      <w:divBdr>
        <w:top w:val="none" w:sz="0" w:space="0" w:color="auto"/>
        <w:left w:val="none" w:sz="0" w:space="0" w:color="auto"/>
        <w:bottom w:val="none" w:sz="0" w:space="0" w:color="auto"/>
        <w:right w:val="none" w:sz="0" w:space="0" w:color="auto"/>
      </w:divBdr>
      <w:divsChild>
        <w:div w:id="315375805">
          <w:marLeft w:val="0"/>
          <w:marRight w:val="0"/>
          <w:marTop w:val="0"/>
          <w:marBottom w:val="0"/>
          <w:divBdr>
            <w:top w:val="none" w:sz="0" w:space="0" w:color="auto"/>
            <w:left w:val="none" w:sz="0" w:space="0" w:color="auto"/>
            <w:bottom w:val="none" w:sz="0" w:space="0" w:color="auto"/>
            <w:right w:val="none" w:sz="0" w:space="0" w:color="auto"/>
          </w:divBdr>
          <w:divsChild>
            <w:div w:id="1239829349">
              <w:marLeft w:val="0"/>
              <w:marRight w:val="0"/>
              <w:marTop w:val="0"/>
              <w:marBottom w:val="0"/>
              <w:divBdr>
                <w:top w:val="none" w:sz="0" w:space="0" w:color="auto"/>
                <w:left w:val="none" w:sz="0" w:space="0" w:color="auto"/>
                <w:bottom w:val="none" w:sz="0" w:space="0" w:color="auto"/>
                <w:right w:val="none" w:sz="0" w:space="0" w:color="auto"/>
              </w:divBdr>
              <w:divsChild>
                <w:div w:id="269244017">
                  <w:marLeft w:val="0"/>
                  <w:marRight w:val="0"/>
                  <w:marTop w:val="0"/>
                  <w:marBottom w:val="0"/>
                  <w:divBdr>
                    <w:top w:val="none" w:sz="0" w:space="0" w:color="auto"/>
                    <w:left w:val="none" w:sz="0" w:space="0" w:color="auto"/>
                    <w:bottom w:val="none" w:sz="0" w:space="0" w:color="auto"/>
                    <w:right w:val="none" w:sz="0" w:space="0" w:color="auto"/>
                  </w:divBdr>
                  <w:divsChild>
                    <w:div w:id="85203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087650">
      <w:bodyDiv w:val="1"/>
      <w:marLeft w:val="0"/>
      <w:marRight w:val="0"/>
      <w:marTop w:val="0"/>
      <w:marBottom w:val="0"/>
      <w:divBdr>
        <w:top w:val="none" w:sz="0" w:space="0" w:color="auto"/>
        <w:left w:val="none" w:sz="0" w:space="0" w:color="auto"/>
        <w:bottom w:val="none" w:sz="0" w:space="0" w:color="auto"/>
        <w:right w:val="none" w:sz="0" w:space="0" w:color="auto"/>
      </w:divBdr>
      <w:divsChild>
        <w:div w:id="370107551">
          <w:marLeft w:val="0"/>
          <w:marRight w:val="0"/>
          <w:marTop w:val="0"/>
          <w:marBottom w:val="0"/>
          <w:divBdr>
            <w:top w:val="none" w:sz="0" w:space="0" w:color="auto"/>
            <w:left w:val="none" w:sz="0" w:space="0" w:color="auto"/>
            <w:bottom w:val="none" w:sz="0" w:space="0" w:color="auto"/>
            <w:right w:val="none" w:sz="0" w:space="0" w:color="auto"/>
          </w:divBdr>
          <w:divsChild>
            <w:div w:id="2071032720">
              <w:marLeft w:val="0"/>
              <w:marRight w:val="0"/>
              <w:marTop w:val="0"/>
              <w:marBottom w:val="0"/>
              <w:divBdr>
                <w:top w:val="none" w:sz="0" w:space="0" w:color="auto"/>
                <w:left w:val="none" w:sz="0" w:space="0" w:color="auto"/>
                <w:bottom w:val="none" w:sz="0" w:space="0" w:color="auto"/>
                <w:right w:val="none" w:sz="0" w:space="0" w:color="auto"/>
              </w:divBdr>
              <w:divsChild>
                <w:div w:id="1805997579">
                  <w:marLeft w:val="0"/>
                  <w:marRight w:val="0"/>
                  <w:marTop w:val="0"/>
                  <w:marBottom w:val="0"/>
                  <w:divBdr>
                    <w:top w:val="none" w:sz="0" w:space="0" w:color="auto"/>
                    <w:left w:val="none" w:sz="0" w:space="0" w:color="auto"/>
                    <w:bottom w:val="none" w:sz="0" w:space="0" w:color="auto"/>
                    <w:right w:val="none" w:sz="0" w:space="0" w:color="auto"/>
                  </w:divBdr>
                  <w:divsChild>
                    <w:div w:id="141617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533751">
      <w:bodyDiv w:val="1"/>
      <w:marLeft w:val="0"/>
      <w:marRight w:val="0"/>
      <w:marTop w:val="0"/>
      <w:marBottom w:val="0"/>
      <w:divBdr>
        <w:top w:val="none" w:sz="0" w:space="0" w:color="auto"/>
        <w:left w:val="none" w:sz="0" w:space="0" w:color="auto"/>
        <w:bottom w:val="none" w:sz="0" w:space="0" w:color="auto"/>
        <w:right w:val="none" w:sz="0" w:space="0" w:color="auto"/>
      </w:divBdr>
    </w:div>
    <w:div w:id="1150901831">
      <w:bodyDiv w:val="1"/>
      <w:marLeft w:val="0"/>
      <w:marRight w:val="0"/>
      <w:marTop w:val="0"/>
      <w:marBottom w:val="0"/>
      <w:divBdr>
        <w:top w:val="none" w:sz="0" w:space="0" w:color="auto"/>
        <w:left w:val="none" w:sz="0" w:space="0" w:color="auto"/>
        <w:bottom w:val="none" w:sz="0" w:space="0" w:color="auto"/>
        <w:right w:val="none" w:sz="0" w:space="0" w:color="auto"/>
      </w:divBdr>
      <w:divsChild>
        <w:div w:id="260340509">
          <w:marLeft w:val="0"/>
          <w:marRight w:val="0"/>
          <w:marTop w:val="0"/>
          <w:marBottom w:val="0"/>
          <w:divBdr>
            <w:top w:val="none" w:sz="0" w:space="0" w:color="auto"/>
            <w:left w:val="none" w:sz="0" w:space="0" w:color="auto"/>
            <w:bottom w:val="none" w:sz="0" w:space="0" w:color="auto"/>
            <w:right w:val="none" w:sz="0" w:space="0" w:color="auto"/>
          </w:divBdr>
          <w:divsChild>
            <w:div w:id="390811560">
              <w:marLeft w:val="0"/>
              <w:marRight w:val="0"/>
              <w:marTop w:val="0"/>
              <w:marBottom w:val="0"/>
              <w:divBdr>
                <w:top w:val="none" w:sz="0" w:space="0" w:color="auto"/>
                <w:left w:val="none" w:sz="0" w:space="0" w:color="auto"/>
                <w:bottom w:val="none" w:sz="0" w:space="0" w:color="auto"/>
                <w:right w:val="none" w:sz="0" w:space="0" w:color="auto"/>
              </w:divBdr>
              <w:divsChild>
                <w:div w:id="1549878991">
                  <w:marLeft w:val="0"/>
                  <w:marRight w:val="0"/>
                  <w:marTop w:val="0"/>
                  <w:marBottom w:val="0"/>
                  <w:divBdr>
                    <w:top w:val="none" w:sz="0" w:space="0" w:color="auto"/>
                    <w:left w:val="none" w:sz="0" w:space="0" w:color="auto"/>
                    <w:bottom w:val="none" w:sz="0" w:space="0" w:color="auto"/>
                    <w:right w:val="none" w:sz="0" w:space="0" w:color="auto"/>
                  </w:divBdr>
                  <w:divsChild>
                    <w:div w:id="86849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001652">
      <w:bodyDiv w:val="1"/>
      <w:marLeft w:val="0"/>
      <w:marRight w:val="0"/>
      <w:marTop w:val="0"/>
      <w:marBottom w:val="0"/>
      <w:divBdr>
        <w:top w:val="none" w:sz="0" w:space="0" w:color="auto"/>
        <w:left w:val="none" w:sz="0" w:space="0" w:color="auto"/>
        <w:bottom w:val="none" w:sz="0" w:space="0" w:color="auto"/>
        <w:right w:val="none" w:sz="0" w:space="0" w:color="auto"/>
      </w:divBdr>
    </w:div>
    <w:div w:id="1412972016">
      <w:bodyDiv w:val="1"/>
      <w:marLeft w:val="0"/>
      <w:marRight w:val="0"/>
      <w:marTop w:val="0"/>
      <w:marBottom w:val="0"/>
      <w:divBdr>
        <w:top w:val="none" w:sz="0" w:space="0" w:color="auto"/>
        <w:left w:val="none" w:sz="0" w:space="0" w:color="auto"/>
        <w:bottom w:val="none" w:sz="0" w:space="0" w:color="auto"/>
        <w:right w:val="none" w:sz="0" w:space="0" w:color="auto"/>
      </w:divBdr>
    </w:div>
    <w:div w:id="1504934195">
      <w:bodyDiv w:val="1"/>
      <w:marLeft w:val="0"/>
      <w:marRight w:val="0"/>
      <w:marTop w:val="0"/>
      <w:marBottom w:val="0"/>
      <w:divBdr>
        <w:top w:val="none" w:sz="0" w:space="0" w:color="auto"/>
        <w:left w:val="none" w:sz="0" w:space="0" w:color="auto"/>
        <w:bottom w:val="none" w:sz="0" w:space="0" w:color="auto"/>
        <w:right w:val="none" w:sz="0" w:space="0" w:color="auto"/>
      </w:divBdr>
      <w:divsChild>
        <w:div w:id="1809122904">
          <w:marLeft w:val="0"/>
          <w:marRight w:val="0"/>
          <w:marTop w:val="0"/>
          <w:marBottom w:val="0"/>
          <w:divBdr>
            <w:top w:val="none" w:sz="0" w:space="0" w:color="auto"/>
            <w:left w:val="none" w:sz="0" w:space="0" w:color="auto"/>
            <w:bottom w:val="none" w:sz="0" w:space="0" w:color="auto"/>
            <w:right w:val="none" w:sz="0" w:space="0" w:color="auto"/>
          </w:divBdr>
          <w:divsChild>
            <w:div w:id="1985305572">
              <w:marLeft w:val="0"/>
              <w:marRight w:val="0"/>
              <w:marTop w:val="0"/>
              <w:marBottom w:val="0"/>
              <w:divBdr>
                <w:top w:val="none" w:sz="0" w:space="0" w:color="auto"/>
                <w:left w:val="none" w:sz="0" w:space="0" w:color="auto"/>
                <w:bottom w:val="none" w:sz="0" w:space="0" w:color="auto"/>
                <w:right w:val="none" w:sz="0" w:space="0" w:color="auto"/>
              </w:divBdr>
              <w:divsChild>
                <w:div w:id="125006492">
                  <w:marLeft w:val="0"/>
                  <w:marRight w:val="0"/>
                  <w:marTop w:val="0"/>
                  <w:marBottom w:val="0"/>
                  <w:divBdr>
                    <w:top w:val="none" w:sz="0" w:space="0" w:color="auto"/>
                    <w:left w:val="none" w:sz="0" w:space="0" w:color="auto"/>
                    <w:bottom w:val="none" w:sz="0" w:space="0" w:color="auto"/>
                    <w:right w:val="none" w:sz="0" w:space="0" w:color="auto"/>
                  </w:divBdr>
                  <w:divsChild>
                    <w:div w:id="145968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285095">
      <w:bodyDiv w:val="1"/>
      <w:marLeft w:val="0"/>
      <w:marRight w:val="0"/>
      <w:marTop w:val="0"/>
      <w:marBottom w:val="0"/>
      <w:divBdr>
        <w:top w:val="none" w:sz="0" w:space="0" w:color="auto"/>
        <w:left w:val="none" w:sz="0" w:space="0" w:color="auto"/>
        <w:bottom w:val="none" w:sz="0" w:space="0" w:color="auto"/>
        <w:right w:val="none" w:sz="0" w:space="0" w:color="auto"/>
      </w:divBdr>
    </w:div>
    <w:div w:id="1727678070">
      <w:bodyDiv w:val="1"/>
      <w:marLeft w:val="0"/>
      <w:marRight w:val="0"/>
      <w:marTop w:val="0"/>
      <w:marBottom w:val="0"/>
      <w:divBdr>
        <w:top w:val="none" w:sz="0" w:space="0" w:color="auto"/>
        <w:left w:val="none" w:sz="0" w:space="0" w:color="auto"/>
        <w:bottom w:val="none" w:sz="0" w:space="0" w:color="auto"/>
        <w:right w:val="none" w:sz="0" w:space="0" w:color="auto"/>
      </w:divBdr>
    </w:div>
    <w:div w:id="1774007415">
      <w:bodyDiv w:val="1"/>
      <w:marLeft w:val="0"/>
      <w:marRight w:val="0"/>
      <w:marTop w:val="0"/>
      <w:marBottom w:val="0"/>
      <w:divBdr>
        <w:top w:val="none" w:sz="0" w:space="0" w:color="auto"/>
        <w:left w:val="none" w:sz="0" w:space="0" w:color="auto"/>
        <w:bottom w:val="none" w:sz="0" w:space="0" w:color="auto"/>
        <w:right w:val="none" w:sz="0" w:space="0" w:color="auto"/>
      </w:divBdr>
    </w:div>
    <w:div w:id="1789161283">
      <w:bodyDiv w:val="1"/>
      <w:marLeft w:val="0"/>
      <w:marRight w:val="0"/>
      <w:marTop w:val="0"/>
      <w:marBottom w:val="0"/>
      <w:divBdr>
        <w:top w:val="none" w:sz="0" w:space="0" w:color="auto"/>
        <w:left w:val="none" w:sz="0" w:space="0" w:color="auto"/>
        <w:bottom w:val="none" w:sz="0" w:space="0" w:color="auto"/>
        <w:right w:val="none" w:sz="0" w:space="0" w:color="auto"/>
      </w:divBdr>
    </w:div>
    <w:div w:id="1839424612">
      <w:bodyDiv w:val="1"/>
      <w:marLeft w:val="0"/>
      <w:marRight w:val="0"/>
      <w:marTop w:val="0"/>
      <w:marBottom w:val="0"/>
      <w:divBdr>
        <w:top w:val="none" w:sz="0" w:space="0" w:color="auto"/>
        <w:left w:val="none" w:sz="0" w:space="0" w:color="auto"/>
        <w:bottom w:val="none" w:sz="0" w:space="0" w:color="auto"/>
        <w:right w:val="none" w:sz="0" w:space="0" w:color="auto"/>
      </w:divBdr>
      <w:divsChild>
        <w:div w:id="789651">
          <w:marLeft w:val="0"/>
          <w:marRight w:val="0"/>
          <w:marTop w:val="0"/>
          <w:marBottom w:val="0"/>
          <w:divBdr>
            <w:top w:val="none" w:sz="0" w:space="0" w:color="auto"/>
            <w:left w:val="none" w:sz="0" w:space="0" w:color="auto"/>
            <w:bottom w:val="none" w:sz="0" w:space="0" w:color="auto"/>
            <w:right w:val="none" w:sz="0" w:space="0" w:color="auto"/>
          </w:divBdr>
          <w:divsChild>
            <w:div w:id="1615552192">
              <w:marLeft w:val="0"/>
              <w:marRight w:val="0"/>
              <w:marTop w:val="0"/>
              <w:marBottom w:val="0"/>
              <w:divBdr>
                <w:top w:val="none" w:sz="0" w:space="0" w:color="auto"/>
                <w:left w:val="none" w:sz="0" w:space="0" w:color="auto"/>
                <w:bottom w:val="none" w:sz="0" w:space="0" w:color="auto"/>
                <w:right w:val="none" w:sz="0" w:space="0" w:color="auto"/>
              </w:divBdr>
              <w:divsChild>
                <w:div w:id="286744702">
                  <w:marLeft w:val="0"/>
                  <w:marRight w:val="0"/>
                  <w:marTop w:val="0"/>
                  <w:marBottom w:val="0"/>
                  <w:divBdr>
                    <w:top w:val="none" w:sz="0" w:space="0" w:color="auto"/>
                    <w:left w:val="none" w:sz="0" w:space="0" w:color="auto"/>
                    <w:bottom w:val="none" w:sz="0" w:space="0" w:color="auto"/>
                    <w:right w:val="none" w:sz="0" w:space="0" w:color="auto"/>
                  </w:divBdr>
                  <w:divsChild>
                    <w:div w:id="12005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99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2Fj.1529-1006.2003.pspi_1433.x" TargetMode="External"/><Relationship Id="rId13" Type="http://schemas.openxmlformats.org/officeDocument/2006/relationships/hyperlink" Target="https://doi-org.ezproxy.uwtsd.ac.uk/10.1111/asap.1210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deref/http%3A%2F%2Fdx.doi.org%2F10.1016%2Fj.adolescence.2003.10.009" TargetMode="External"/><Relationship Id="rId12" Type="http://schemas.openxmlformats.org/officeDocument/2006/relationships/hyperlink" Target="https://psycnet.apa.org/doi/10.1037/0012-1649.39.2.20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opsyc.2017.04.00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177/0146167217703064" TargetMode="External"/><Relationship Id="rId4" Type="http://schemas.openxmlformats.org/officeDocument/2006/relationships/webSettings" Target="webSettings.xml"/><Relationship Id="rId9" Type="http://schemas.openxmlformats.org/officeDocument/2006/relationships/hyperlink" Target="https://psycnet.apa.org/doi/10.1093/acprof:oso/9780195309836.001.0001" TargetMode="External"/><Relationship Id="rId14" Type="http://schemas.openxmlformats.org/officeDocument/2006/relationships/hyperlink" Target="https://doi.apa.org/doiLanding?doi=10.1037%2Fa00217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1649</TotalTime>
  <Pages>7</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Clayton (2003591)</dc:creator>
  <cp:keywords/>
  <dc:description/>
  <cp:lastModifiedBy>Hannah Clayton (2003591)</cp:lastModifiedBy>
  <cp:revision>85</cp:revision>
  <cp:lastPrinted>2021-02-18T14:05:00Z</cp:lastPrinted>
  <dcterms:created xsi:type="dcterms:W3CDTF">2021-02-06T15:55:00Z</dcterms:created>
  <dcterms:modified xsi:type="dcterms:W3CDTF">2021-02-19T15:46:00Z</dcterms:modified>
</cp:coreProperties>
</file>