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Normal (Web)"/>
        <w:spacing w:before="0" w:after="0"/>
        <w:rPr>
          <w:rFonts w:ascii="Trebuchet MS" w:cs="Trebuchet MS" w:hAnsi="Trebuchet MS" w:eastAsia="Trebuchet MS"/>
          <w:sz w:val="24"/>
          <w:szCs w:val="24"/>
        </w:rPr>
      </w:pPr>
      <w: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1"/>
        <w:jc w:val="center"/>
      </w:pPr>
      <w:r>
        <w:rPr>
          <w:rtl w:val="0"/>
          <w:lang w:val="en-US"/>
        </w:rPr>
        <w:t>Undergraduate assignment feedback fo</w:t>
      </w:r>
    </w:p>
    <w:tbl>
      <w:tblPr>
        <w:tblW w:w="862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19"/>
        <w:gridCol w:w="1952"/>
        <w:gridCol w:w="1958"/>
      </w:tblGrid>
      <w:tr>
        <w:tblPrEx>
          <w:shd w:val="clear" w:color="auto" w:fill="ced7e7"/>
        </w:tblPrEx>
        <w:trPr>
          <w:trHeight w:val="601"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pPr>
            <w:r>
              <w:rPr>
                <w:rFonts w:ascii="Calibri" w:cs="Calibri" w:hAnsi="Calibri" w:eastAsia="Calibri"/>
                <w:i w:val="1"/>
                <w:iCs w:val="1"/>
                <w:sz w:val="24"/>
                <w:szCs w:val="24"/>
                <w:rtl w:val="0"/>
                <w:lang w:val="en-US"/>
              </w:rPr>
              <w:t xml:space="preserve">Student Name: </w:t>
            </w:r>
            <w:r>
              <w:rPr>
                <w:rFonts w:ascii="Times New Roman" w:hAnsi="Times New Roman"/>
                <w:b w:val="1"/>
                <w:bCs w:val="1"/>
                <w:sz w:val="24"/>
                <w:szCs w:val="24"/>
                <w:rtl w:val="0"/>
                <w:lang w:val="en-US"/>
              </w:rPr>
              <w:t>Hannah Ewing</w:t>
            </w:r>
          </w:p>
        </w:tc>
      </w:tr>
      <w:tr>
        <w:tblPrEx>
          <w:shd w:val="clear" w:color="auto" w:fill="ced7e7"/>
        </w:tblPrEx>
        <w:trPr>
          <w:trHeight w:val="1183" w:hRule="atLeast"/>
        </w:trPr>
        <w:tc>
          <w:tcPr>
            <w:tcW w:type="dxa" w:w="47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Module Code: </w:t>
            </w:r>
            <w:r>
              <w:rPr>
                <w:rFonts w:ascii="Times New Roman" w:cs="Calibri" w:hAnsi="Times New Roman" w:eastAsia="Calibri"/>
                <w:b w:val="1"/>
                <w:bCs w:val="1"/>
                <w:i w:val="0"/>
                <w:iCs w:val="0"/>
                <w:sz w:val="24"/>
                <w:szCs w:val="24"/>
                <w:rtl w:val="0"/>
                <w:lang w:val="en-US"/>
              </w:rPr>
              <w:t>HPPH6003</w:t>
            </w:r>
          </w:p>
          <w:p>
            <w:pPr>
              <w:pStyle w:val="Normal (Web)"/>
              <w:spacing w:before="0" w:after="0"/>
              <w:ind w:right="34"/>
              <w:rPr>
                <w:rFonts w:ascii="Calibri" w:cs="Calibri" w:hAnsi="Calibri" w:eastAsia="Calibri"/>
                <w:i w:val="1"/>
                <w:iCs w:val="1"/>
                <w:sz w:val="24"/>
                <w:szCs w:val="24"/>
                <w:lang w:val="en-US"/>
              </w:rPr>
            </w:pPr>
          </w:p>
          <w:p>
            <w:pPr>
              <w:pStyle w:val="Normal (Web)"/>
              <w:spacing w:before="0" w:after="0"/>
              <w:ind w:right="34"/>
            </w:pPr>
            <w:r>
              <w:rPr>
                <w:rFonts w:ascii="Calibri" w:cs="Calibri" w:hAnsi="Calibri" w:eastAsia="Calibri"/>
                <w:i w:val="1"/>
                <w:iCs w:val="1"/>
                <w:sz w:val="24"/>
                <w:szCs w:val="24"/>
                <w:rtl w:val="0"/>
                <w:lang w:val="en-US"/>
              </w:rPr>
              <w:t xml:space="preserve">Module title: </w:t>
            </w:r>
            <w:r>
              <w:rPr>
                <w:rFonts w:ascii="Times New Roman" w:hAnsi="Times New Roman"/>
                <w:b w:val="1"/>
                <w:bCs w:val="1"/>
                <w:sz w:val="24"/>
                <w:szCs w:val="24"/>
                <w:rtl w:val="0"/>
                <w:lang w:val="en-US"/>
              </w:rPr>
              <w:t>Ethics &amp; Global Justice</w:t>
            </w:r>
          </w:p>
        </w:tc>
        <w:tc>
          <w:tcPr>
            <w:tcW w:type="dxa" w:w="39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Calibri" w:cs="Calibri" w:hAnsi="Calibri" w:eastAsia="Calibri"/>
                <w:i w:val="1"/>
                <w:iCs w:val="1"/>
                <w:sz w:val="24"/>
                <w:szCs w:val="24"/>
                <w:rtl w:val="0"/>
                <w:lang w:val="en-US"/>
              </w:rPr>
              <w:t xml:space="preserve">Student number: </w:t>
            </w:r>
            <w:r>
              <w:rPr>
                <w:rFonts w:ascii="Times New Roman" w:hAnsi="Times New Roman"/>
                <w:b w:val="1"/>
                <w:bCs w:val="1"/>
                <w:sz w:val="24"/>
                <w:szCs w:val="24"/>
                <w:rtl w:val="0"/>
                <w:lang w:val="en-US"/>
              </w:rPr>
              <w:t>1703387</w:t>
            </w:r>
          </w:p>
        </w:tc>
      </w:tr>
      <w:tr>
        <w:tblPrEx>
          <w:shd w:val="clear" w:color="auto" w:fill="ced7e7"/>
        </w:tblPrEx>
        <w:trPr>
          <w:trHeight w:val="486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Calibri" w:cs="Calibri" w:hAnsi="Calibri" w:eastAsia="Calibri"/>
                <w:i w:val="1"/>
                <w:iCs w:val="1"/>
                <w:sz w:val="24"/>
                <w:szCs w:val="24"/>
              </w:rPr>
            </w:pPr>
            <w:r>
              <w:rPr>
                <w:rFonts w:ascii="Calibri" w:cs="Calibri" w:hAnsi="Calibri" w:eastAsia="Calibri"/>
                <w:i w:val="1"/>
                <w:iCs w:val="1"/>
                <w:sz w:val="24"/>
                <w:szCs w:val="24"/>
                <w:rtl w:val="0"/>
                <w:lang w:val="en-US"/>
              </w:rPr>
              <w:t>For completion by marker:</w:t>
            </w:r>
          </w:p>
          <w:p>
            <w:pPr>
              <w:pStyle w:val="Normal (Web)"/>
              <w:bidi w:val="0"/>
              <w:ind w:left="0" w:right="0" w:firstLine="0"/>
              <w:jc w:val="left"/>
              <w:rPr>
                <w:rFonts w:ascii="Calibri" w:cs="Calibri" w:hAnsi="Calibri" w:eastAsia="Calibri"/>
                <w:i w:val="1"/>
                <w:iCs w:val="1"/>
                <w:sz w:val="24"/>
                <w:szCs w:val="24"/>
                <w:rtl w:val="0"/>
              </w:rPr>
            </w:pPr>
            <w:r>
              <w:rPr>
                <w:rFonts w:ascii="Calibri" w:cs="Calibri" w:hAnsi="Calibri" w:eastAsia="Calibri"/>
                <w:i w:val="1"/>
                <w:iCs w:val="1"/>
                <w:sz w:val="24"/>
                <w:szCs w:val="24"/>
                <w:rtl w:val="0"/>
                <w:lang w:val="en-US"/>
              </w:rPr>
              <w:t>Comments:</w:t>
            </w: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pPr>
            <w:r>
              <w:rPr>
                <w:rFonts w:ascii="Calibri" w:cs="Calibri" w:hAnsi="Calibri" w:eastAsia="Calibri"/>
                <w:i w:val="1"/>
                <w:iCs w:val="1"/>
                <w:sz w:val="24"/>
                <w:szCs w:val="24"/>
                <w:lang w:val="en-US"/>
              </w:rPr>
            </w:r>
          </w:p>
        </w:tc>
      </w:tr>
      <w:tr>
        <w:tblPrEx>
          <w:shd w:val="clear" w:color="auto" w:fill="ced7e7"/>
        </w:tblPrEx>
        <w:trPr>
          <w:trHeight w:val="352" w:hRule="atLeast"/>
        </w:trPr>
        <w:tc>
          <w:tcPr>
            <w:tcW w:type="dxa" w:w="6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Marker</w:t>
            </w:r>
            <w:r>
              <w:rPr>
                <w:rFonts w:ascii="Calibri" w:cs="Calibri" w:hAnsi="Calibri" w:eastAsia="Calibri"/>
                <w:i w:val="1"/>
                <w:iCs w:val="1"/>
                <w:sz w:val="24"/>
                <w:szCs w:val="24"/>
                <w:rtl w:val="0"/>
                <w:lang w:val="en-US"/>
              </w:rPr>
              <w:t>’</w:t>
            </w:r>
            <w:r>
              <w:rPr>
                <w:rFonts w:ascii="Calibri" w:cs="Calibri" w:hAnsi="Calibri" w:eastAsia="Calibri"/>
                <w:i w:val="1"/>
                <w:iCs w:val="1"/>
                <w:sz w:val="24"/>
                <w:szCs w:val="24"/>
                <w:rtl w:val="0"/>
                <w:lang w:val="en-US"/>
              </w:rPr>
              <w:t>s signature:</w:t>
            </w:r>
          </w:p>
        </w:tc>
        <w:tc>
          <w:tcPr>
            <w:tcW w:type="dxa" w:w="19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Date:</w:t>
            </w:r>
          </w:p>
        </w:tc>
      </w:tr>
      <w:tr>
        <w:tblPrEx>
          <w:shd w:val="clear" w:color="auto" w:fill="ced7e7"/>
        </w:tblPrEx>
        <w:trPr>
          <w:trHeight w:val="86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spacing w:before="0" w:after="0"/>
              <w:ind w:left="142" w:right="34" w:firstLine="0"/>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Provisional mark: </w:t>
            </w:r>
          </w:p>
          <w:p>
            <w:pPr>
              <w:pStyle w:val="Normal (Web)"/>
              <w:spacing w:before="0" w:after="0"/>
              <w:ind w:left="142" w:right="34" w:firstLine="0"/>
            </w:pPr>
            <w:r>
              <w:rPr>
                <w:rFonts w:ascii="Calibri" w:cs="Calibri" w:hAnsi="Calibri" w:eastAsia="Calibri"/>
                <w:b w:val="1"/>
                <w:bCs w:val="1"/>
                <w:i w:val="1"/>
                <w:iCs w:val="1"/>
                <w:sz w:val="24"/>
                <w:szCs w:val="24"/>
                <w:rtl w:val="0"/>
                <w:lang w:val="en-US"/>
              </w:rPr>
              <w:t>NB.</w:t>
            </w:r>
            <w:r>
              <w:rPr>
                <w:rFonts w:ascii="Calibri" w:cs="Calibri" w:hAnsi="Calibri" w:eastAsia="Calibri"/>
                <w:i w:val="1"/>
                <w:iCs w:val="1"/>
                <w:sz w:val="24"/>
                <w:szCs w:val="24"/>
                <w:rtl w:val="0"/>
                <w:lang w:val="en-US"/>
              </w:rPr>
              <w:t xml:space="preserve">  All marks are provisional until confirmed by the final examination board. </w:t>
            </w:r>
          </w:p>
        </w:tc>
      </w:tr>
    </w:tbl>
    <w:p>
      <w:pPr>
        <w:pStyle w:val="Normal.0"/>
        <w:jc w:val="center"/>
        <w:rPr>
          <w:rFonts w:ascii="Arial" w:cs="Arial" w:hAnsi="Arial" w:eastAsia="Arial"/>
          <w:b w:val="1"/>
          <w:bCs w:val="1"/>
        </w:rPr>
      </w:pPr>
      <w:r>
        <w:rPr>
          <w:rtl w:val="0"/>
          <w:lang w:val="en-US"/>
        </w:rPr>
        <w:t>rm</w:t>
      </w:r>
      <w:r>
        <w:rPr>
          <w:rFonts w:ascii="Arial" w:hAnsi="Arial"/>
          <w:b w:val="1"/>
          <w:bCs w:val="1"/>
          <w:rtl w:val="0"/>
          <w:lang w:val="en-US"/>
        </w:rPr>
        <w:t>(to be completed by marker)</w:t>
      </w:r>
    </w:p>
    <w:p>
      <w:pPr>
        <w:pStyle w:val="Normal.0"/>
        <w:jc w:val="center"/>
        <w:rPr>
          <w:rFonts w:ascii="Arial" w:cs="Arial" w:hAnsi="Arial" w:eastAsia="Arial"/>
          <w:b w:val="1"/>
          <w:bCs w:val="1"/>
        </w:rPr>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Body A"/>
        <w:jc w:val="center"/>
        <w:rPr>
          <w:rFonts w:ascii="Times New Roman" w:cs="Times New Roman" w:hAnsi="Times New Roman" w:eastAsia="Times New Roman"/>
          <w:sz w:val="30"/>
          <w:szCs w:val="30"/>
        </w:rPr>
      </w:pPr>
      <w:r>
        <w:rPr>
          <w:rFonts w:ascii="Times New Roman" w:hAnsi="Times New Roman"/>
          <w:sz w:val="30"/>
          <w:szCs w:val="30"/>
          <w:rtl w:val="0"/>
          <w:lang w:val="en-US"/>
        </w:rPr>
        <w:t>Is there a morally significant difference between active and passive euthanasia?</w:t>
      </w:r>
    </w:p>
    <w:p>
      <w:pPr>
        <w:pStyle w:val="Body A"/>
        <w:rPr>
          <w:rFonts w:ascii="Times New Roman" w:cs="Times New Roman" w:hAnsi="Times New Roman" w:eastAsia="Times New Roman"/>
          <w:b w:val="1"/>
          <w:bCs w:val="1"/>
          <w:sz w:val="30"/>
          <w:szCs w:val="30"/>
        </w:rPr>
      </w:pPr>
    </w:p>
    <w:p>
      <w:pPr>
        <w:pStyle w:val="Body A"/>
        <w:rPr>
          <w:rFonts w:ascii="Times New Roman" w:cs="Times New Roman" w:hAnsi="Times New Roman" w:eastAsia="Times New Roman"/>
          <w:color w:val="3845ff"/>
          <w:sz w:val="24"/>
          <w:szCs w:val="24"/>
          <w:u w:color="3845ff"/>
        </w:rPr>
      </w:pPr>
      <w:r>
        <w:rPr>
          <w:rFonts w:ascii="Times New Roman" w:hAnsi="Times New Roman"/>
          <w:sz w:val="24"/>
          <w:szCs w:val="24"/>
          <w:rtl w:val="0"/>
          <w:lang w:val="en-US"/>
        </w:rPr>
        <w:t>In questioning the moral significance of death and killing, the debate of active and passive euthanasia seems a strong place to begin. This comparison is often viewed as the difference between killing and letting die, with active euthanasia being referred to as murder, and passive euthanasia being more morally acceptable. Under United Kingdom law, it is illegal to council or assist anyone in the taking of their own life. That being said, the omission of an action to save someone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life, such as the case with passive euthanasia, like turning off a </w:t>
      </w:r>
      <w:r>
        <w:rPr>
          <w:rFonts w:ascii="Times New Roman" w:hAnsi="Times New Roman"/>
          <w:sz w:val="24"/>
          <w:szCs w:val="24"/>
          <w:rtl w:val="0"/>
          <w:lang w:val="it-IT"/>
        </w:rPr>
        <w:t>medical ventilator</w:t>
      </w:r>
      <w:r>
        <w:rPr>
          <w:rFonts w:ascii="Times New Roman" w:hAnsi="Times New Roman"/>
          <w:sz w:val="24"/>
          <w:szCs w:val="24"/>
          <w:rtl w:val="0"/>
          <w:lang w:val="en-US"/>
        </w:rPr>
        <w:t xml:space="preserve"> or stopping the disbursement of a life-sustaining drug, is often given special treatment under moral and civil law. Some may argue that passive euthanasia does not constitute murder because no deliberate action is taken to end a life. That argument, however, seems to stand on weary ground, as the decision to refrain from action is an action in itself. Whether the desired result is achieved through the omission of an act or the execution of one, both fall under the category of conscious effort. It can also be said that passive euthanasia may actually prolong the suffering of an individual in ways that could be regarded as torturous. As euthanasia is intended to be a peaceful and respectful death for those who are suffering, it does not follow that it should </w:t>
      </w:r>
      <w:r>
        <w:rPr>
          <w:rFonts w:ascii="Times New Roman" w:hAnsi="Times New Roman"/>
          <w:sz w:val="24"/>
          <w:szCs w:val="24"/>
          <w:rtl w:val="0"/>
          <w:lang w:val="en-US"/>
        </w:rPr>
        <w:t>extend the duration of suffering, as is sometimes the case with passive euthanasia</w:t>
      </w:r>
      <w:r>
        <w:rPr>
          <w:rFonts w:ascii="Times New Roman" w:hAnsi="Times New Roman"/>
          <w:sz w:val="24"/>
          <w:szCs w:val="24"/>
          <w:rtl w:val="0"/>
          <w:lang w:val="en-US"/>
        </w:rPr>
        <w:t>. Some may argue that the guilt or side-effects associated with the act of killing make it morally unacceptable to expect of an individual to carry out. Even if one life ends, the life that remains is forever affected by the action that they took. Much of this argument rests on the societal barriers that surround death; the idea that death is a negative occurrence, something to be mourned or feared. But this guilt only exists if we agree with the distinction between killing and letting die, and once that distinction is proven inadequate so too will the justification of guilt</w:t>
      </w:r>
      <w:r>
        <w:rPr>
          <w:rFonts w:ascii="Times New Roman" w:hAnsi="Times New Roman"/>
          <w:sz w:val="24"/>
          <w:szCs w:val="24"/>
          <w:rtl w:val="0"/>
          <w:lang w:val="en-US"/>
        </w:rPr>
        <w:t>.</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We can begin this line of thinking by paying further attention to the opposing arguments. In </w:t>
      </w:r>
      <w:r>
        <w:rPr>
          <w:rFonts w:ascii="Times New Roman" w:hAnsi="Times New Roman"/>
          <w:i w:val="1"/>
          <w:iCs w:val="1"/>
          <w:sz w:val="24"/>
          <w:szCs w:val="24"/>
          <w:rtl w:val="0"/>
          <w:lang w:val="en-US"/>
        </w:rPr>
        <w:t xml:space="preserve">Ending Lives </w:t>
      </w:r>
      <w:r>
        <w:rPr>
          <w:rFonts w:ascii="Times New Roman" w:hAnsi="Times New Roman"/>
          <w:sz w:val="24"/>
          <w:szCs w:val="24"/>
          <w:rtl w:val="0"/>
          <w:lang w:val="en-US"/>
        </w:rPr>
        <w:t xml:space="preserve">by Robert Campbell and Diane Collinson, they argue that passive euthanasia is not aimed at the killing of the patient, whereas active euthanasia is. The difference between the actions can be said to be significant in their intention. </w:t>
      </w:r>
      <w:r>
        <w:rPr>
          <w:rFonts w:ascii="Times New Roman" w:hAnsi="Times New Roman" w:hint="default"/>
          <w:sz w:val="24"/>
          <w:szCs w:val="24"/>
          <w:rtl w:val="0"/>
          <w:lang w:val="en-US"/>
        </w:rPr>
        <w:t>“</w:t>
      </w:r>
      <w:r>
        <w:rPr>
          <w:rFonts w:ascii="Times New Roman" w:hAnsi="Times New Roman"/>
          <w:sz w:val="24"/>
          <w:szCs w:val="24"/>
          <w:rtl w:val="0"/>
          <w:lang w:val="en-US"/>
        </w:rPr>
        <w:t>If letting him die is in fact the end that the doctor is aiming at, then killing him is not a way of achieving it.</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
      </w:r>
      <w:r>
        <w:rPr>
          <w:rFonts w:ascii="Times New Roman" w:hAnsi="Times New Roman"/>
          <w:sz w:val="24"/>
          <w:szCs w:val="24"/>
          <w:rtl w:val="0"/>
          <w:lang w:val="en-US"/>
        </w:rPr>
        <w:t xml:space="preserve"> This argument focuses itself on the language of the situation </w:t>
      </w:r>
      <w:r>
        <w:rPr>
          <w:rFonts w:ascii="Times New Roman" w:hAnsi="Times New Roman"/>
          <w:sz w:val="24"/>
          <w:szCs w:val="24"/>
          <w:rtl w:val="0"/>
          <w:lang w:val="en-US"/>
        </w:rPr>
        <w:t>but does not seem to make any real distinction between killing and letting die. I</w:t>
      </w:r>
      <w:r>
        <w:rPr>
          <w:rFonts w:ascii="Times New Roman" w:hAnsi="Times New Roman"/>
          <w:sz w:val="24"/>
          <w:szCs w:val="24"/>
          <w:rtl w:val="0"/>
          <w:lang w:val="en-US"/>
        </w:rPr>
        <w:t>n both</w:t>
      </w:r>
      <w:r>
        <w:rPr>
          <w:rFonts w:ascii="Times New Roman" w:hAnsi="Times New Roman"/>
          <w:sz w:val="24"/>
          <w:szCs w:val="24"/>
          <w:rtl w:val="0"/>
          <w:lang w:val="en-US"/>
        </w:rPr>
        <w:t xml:space="preserve"> situations the action taken by the doctor is aimed at bringing about the death of the patient. Whether this person dies quickly or slowly, or by direct action or omission, is simply a side-effect of the obvious intention.</w:t>
      </w:r>
      <w:r>
        <w:rPr>
          <w:rFonts w:ascii="Times New Roman" w:hAnsi="Times New Roman"/>
          <w:sz w:val="24"/>
          <w:szCs w:val="24"/>
          <w:rtl w:val="0"/>
          <w:lang w:val="en-US"/>
        </w:rPr>
        <w:t xml:space="preserve"> A doctor who is in charge of administering a patient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drug supply should be just as culpable for their death whether he stopped giving the drug or upped the dosage, based on the fact that both constitute </w:t>
      </w:r>
      <w:r>
        <w:rPr>
          <w:rFonts w:ascii="Times New Roman" w:hAnsi="Times New Roman"/>
          <w:sz w:val="24"/>
          <w:szCs w:val="24"/>
          <w:rtl w:val="0"/>
          <w:lang w:val="en-US"/>
        </w:rPr>
        <w:t>the intentional taking of a life</w:t>
      </w:r>
      <w:r>
        <w:rPr>
          <w:rFonts w:ascii="Times New Roman" w:hAnsi="Times New Roman"/>
          <w:sz w:val="24"/>
          <w:szCs w:val="24"/>
          <w:rtl w:val="0"/>
          <w:lang w:val="en-US"/>
        </w:rPr>
        <w:t>. Another counter argument is that the moral difference rests on the fact that the action taken is not the cause of death, but rather it is the disease or injury that causes death. If a doctor turns off a ventilator for a patient who is in a coma and unable to breathe on their own, it could be said that the cause of death is the coma and its degradation of the bodily functions, not the absence of the breathing machine. The idea is that in one scenario an individual causes the patient</w:t>
      </w:r>
      <w:r>
        <w:rPr>
          <w:rFonts w:ascii="Times New Roman" w:hAnsi="Times New Roman" w:hint="default"/>
          <w:sz w:val="24"/>
          <w:szCs w:val="24"/>
          <w:rtl w:val="0"/>
          <w:lang w:val="en-US"/>
        </w:rPr>
        <w:t>’</w:t>
      </w:r>
      <w:r>
        <w:rPr>
          <w:rFonts w:ascii="Times New Roman" w:hAnsi="Times New Roman"/>
          <w:sz w:val="24"/>
          <w:szCs w:val="24"/>
          <w:rtl w:val="0"/>
          <w:lang w:val="en-US"/>
        </w:rPr>
        <w:t>s death (active euthanasia) and in another the patient simply is left to succumb to their natural ailments (passive euthanasia). A Paul Ramsey quote from James Rachel</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 xml:space="preserve">The End of Life </w:t>
      </w:r>
      <w:r>
        <w:rPr>
          <w:rFonts w:ascii="Times New Roman" w:hAnsi="Times New Roman"/>
          <w:sz w:val="24"/>
          <w:szCs w:val="24"/>
          <w:rtl w:val="0"/>
          <w:lang w:val="en-US"/>
        </w:rPr>
        <w:t xml:space="preserve">reads: </w:t>
      </w:r>
      <w:r>
        <w:rPr>
          <w:rFonts w:ascii="Times New Roman" w:hAnsi="Times New Roman" w:hint="default"/>
          <w:sz w:val="24"/>
          <w:szCs w:val="24"/>
          <w:rtl w:val="0"/>
          <w:lang w:val="en-US"/>
        </w:rPr>
        <w:t>“</w:t>
      </w:r>
      <w:r>
        <w:rPr>
          <w:rFonts w:ascii="Times New Roman" w:hAnsi="Times New Roman"/>
          <w:sz w:val="24"/>
          <w:szCs w:val="24"/>
          <w:rtl w:val="0"/>
          <w:lang w:val="en-US"/>
        </w:rPr>
        <w:t>In omission no human agent causes the patient</w:t>
      </w:r>
      <w:r>
        <w:rPr>
          <w:rFonts w:ascii="Times New Roman" w:hAnsi="Times New Roman" w:hint="default"/>
          <w:sz w:val="24"/>
          <w:szCs w:val="24"/>
          <w:rtl w:val="0"/>
          <w:lang w:val="en-US"/>
        </w:rPr>
        <w:t>’</w:t>
      </w:r>
      <w:r>
        <w:rPr>
          <w:rFonts w:ascii="Times New Roman" w:hAnsi="Times New Roman"/>
          <w:sz w:val="24"/>
          <w:szCs w:val="24"/>
          <w:rtl w:val="0"/>
          <w:lang w:val="en-US"/>
        </w:rPr>
        <w:t>s death, directly or indirectly.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
      </w:r>
      <w:r>
        <w:rPr>
          <w:rFonts w:ascii="Times New Roman" w:hAnsi="Times New Roman"/>
          <w:sz w:val="24"/>
          <w:szCs w:val="24"/>
          <w:rtl w:val="0"/>
          <w:lang w:val="en-US"/>
        </w:rPr>
        <w:t xml:space="preserve">  This argument can again be undone by the above reasoning, that an omission still constitutes an act. If the patient would have remained alive had the breathing machine been kept on, then the person who switches off the breathing machine has surely caused their death. James Rachels states: </w:t>
      </w:r>
      <w:r>
        <w:rPr>
          <w:rFonts w:ascii="Times New Roman" w:hAnsi="Times New Roman" w:hint="default"/>
          <w:sz w:val="24"/>
          <w:szCs w:val="24"/>
          <w:rtl w:val="0"/>
          <w:lang w:val="en-US"/>
        </w:rPr>
        <w:t>“</w:t>
      </w:r>
      <w:r>
        <w:rPr>
          <w:rFonts w:ascii="Times New Roman" w:hAnsi="Times New Roman"/>
          <w:sz w:val="24"/>
          <w:szCs w:val="24"/>
          <w:rtl w:val="0"/>
          <w:lang w:val="en-US"/>
        </w:rPr>
        <w:t>[J]ust as there is a distinction to be drawn between being and not being the cause of someone</w:t>
      </w:r>
      <w:r>
        <w:rPr>
          <w:rFonts w:ascii="Times New Roman" w:hAnsi="Times New Roman" w:hint="default"/>
          <w:sz w:val="24"/>
          <w:szCs w:val="24"/>
          <w:rtl w:val="0"/>
          <w:lang w:val="en-US"/>
        </w:rPr>
        <w:t>’</w:t>
      </w:r>
      <w:r>
        <w:rPr>
          <w:rFonts w:ascii="Times New Roman" w:hAnsi="Times New Roman"/>
          <w:sz w:val="24"/>
          <w:szCs w:val="24"/>
          <w:rtl w:val="0"/>
          <w:lang w:val="en-US"/>
        </w:rPr>
        <w:t>s death, there is also a distinction to be drawn between letting someone die and not letting anyone die.</w:t>
      </w:r>
      <w:r>
        <w:rPr>
          <w:rFonts w:ascii="Times New Roman" w:hAnsi="Times New Roman" w:hint="default"/>
          <w:sz w:val="24"/>
          <w:szCs w:val="24"/>
          <w:rtl w:val="0"/>
          <w:lang w:val="en-US"/>
        </w:rPr>
        <w:t>”</w:t>
      </w:r>
      <w:r>
        <w:rPr>
          <w:rFonts w:ascii="Times New Roman" w:hAnsi="Times New Roman"/>
          <w:sz w:val="24"/>
          <w:szCs w:val="24"/>
          <w:vertAlign w:val="superscript"/>
          <w:rtl w:val="0"/>
          <w:lang w:val="en-US"/>
        </w:rPr>
        <w:t>2</w:t>
      </w:r>
      <w:r>
        <w:rPr>
          <w:rFonts w:ascii="Times New Roman" w:hAnsi="Times New Roman"/>
          <w:sz w:val="24"/>
          <w:szCs w:val="24"/>
          <w:rtl w:val="0"/>
          <w:lang w:val="en-US"/>
        </w:rPr>
        <w:t xml:space="preserve"> In this light we can see that </w:t>
      </w:r>
      <w:r>
        <w:rPr>
          <w:rFonts w:ascii="Times New Roman" w:hAnsi="Times New Roman"/>
          <w:sz w:val="24"/>
          <w:szCs w:val="24"/>
          <w:rtl w:val="0"/>
          <w:lang w:val="en-US"/>
        </w:rPr>
        <w:t>it is the intention that holds more weight, as it is indeed the cause of the death. If a doctor were to continue their commitment to keeping a person alive, then that person would be alive. Any action apart from that will result in death, and is thus a form of killing.</w:t>
      </w:r>
      <w:r>
        <w:rPr>
          <w:rFonts w:ascii="Times New Roman" w:hAnsi="Times New Roman"/>
          <w:sz w:val="24"/>
          <w:szCs w:val="24"/>
          <w:rtl w:val="0"/>
          <w:lang w:val="en-US"/>
        </w:rPr>
        <w:t xml:space="preserve"> It seems that the argument should focus not on whether the death was caused, but whether or not the causing of another person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death is justifiable in any circumstance.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Further to the above discussion, it would appear that the only difference that seems to lie between killing and letting die is that of the physical action involved. So we are faced with the question of what kind of weight does action hold and can an inaction be of equal weight. As Jonathan Glover states: </w:t>
      </w:r>
      <w:r>
        <w:rPr>
          <w:rFonts w:ascii="Times New Roman" w:hAnsi="Times New Roman" w:hint="default"/>
          <w:sz w:val="24"/>
          <w:szCs w:val="24"/>
          <w:rtl w:val="0"/>
          <w:lang w:val="en-US"/>
        </w:rPr>
        <w:t>“</w:t>
      </w:r>
      <w:r>
        <w:rPr>
          <w:rFonts w:ascii="Times New Roman" w:hAnsi="Times New Roman"/>
          <w:sz w:val="24"/>
          <w:szCs w:val="24"/>
          <w:rtl w:val="0"/>
          <w:lang w:val="en-US"/>
        </w:rPr>
        <w:t>So far as the person providing help is concerned, the only difference is that euthanasia involves one more physical movement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otherwise the same in intention and outcome.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3"/>
      </w:r>
      <w:r>
        <w:rPr>
          <w:rFonts w:ascii="Times New Roman" w:hAnsi="Times New Roman"/>
          <w:sz w:val="24"/>
          <w:szCs w:val="24"/>
          <w:rtl w:val="0"/>
          <w:lang w:val="en-US"/>
        </w:rPr>
        <w:t xml:space="preserve"> The mental action of whether or not to end a life is equal whether the action requires movement or an absence of movement. Moreover, the physical action seems irrelevant on the grounds that the result and intention is the same in both scenarios, making the movement itself only a bystander in the larger event. In </w:t>
      </w:r>
      <w:r>
        <w:rPr>
          <w:rFonts w:ascii="Times New Roman" w:hAnsi="Times New Roman"/>
          <w:i w:val="1"/>
          <w:iCs w:val="1"/>
          <w:sz w:val="24"/>
          <w:szCs w:val="24"/>
          <w:rtl w:val="0"/>
          <w:lang w:val="en-US"/>
        </w:rPr>
        <w:t xml:space="preserve">The ethics of killing and letting die: Active and passive euthanasia, </w:t>
      </w:r>
      <w:r>
        <w:rPr>
          <w:rFonts w:ascii="Times New Roman" w:hAnsi="Times New Roman"/>
          <w:sz w:val="24"/>
          <w:szCs w:val="24"/>
          <w:rtl w:val="0"/>
          <w:lang w:val="en-US"/>
        </w:rPr>
        <w:t xml:space="preserve">H V </w:t>
      </w:r>
      <w:r>
        <w:rPr>
          <w:rFonts w:ascii="Times New Roman" w:hAnsi="Times New Roman"/>
          <w:sz w:val="24"/>
          <w:szCs w:val="24"/>
          <w:rtl w:val="0"/>
          <w:lang w:val="de-DE"/>
        </w:rPr>
        <w:t>McLachlan</w:t>
      </w:r>
      <w:r>
        <w:rPr>
          <w:rFonts w:ascii="Times New Roman" w:hAnsi="Times New Roman"/>
          <w:sz w:val="24"/>
          <w:szCs w:val="24"/>
          <w:rtl w:val="0"/>
          <w:lang w:val="en-US"/>
        </w:rPr>
        <w:t xml:space="preserve"> makes the argument that: </w:t>
      </w:r>
      <w:r>
        <w:rPr>
          <w:rFonts w:ascii="Times New Roman" w:hAnsi="Times New Roman" w:hint="default"/>
          <w:sz w:val="24"/>
          <w:szCs w:val="24"/>
          <w:rtl w:val="0"/>
          <w:lang w:val="en-US"/>
        </w:rPr>
        <w:t>“</w:t>
      </w:r>
      <w:r>
        <w:rPr>
          <w:rFonts w:ascii="Times New Roman" w:hAnsi="Times New Roman"/>
          <w:sz w:val="24"/>
          <w:szCs w:val="24"/>
          <w:rtl w:val="0"/>
          <w:lang w:val="en-US"/>
        </w:rPr>
        <w:t>The switching off of a ventilator might, in a sense, be an indirect cause of death but it will not kill directly as, say, a heavy dose of some drugs will. Suppose that someone is restraining a violent thug and then ceases to do so. If the thug then murders a passer-by, it might be said that the cessation of the constraint was an indirect cause of the killing, but it was clearly not the direct cause of the death</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4"/>
      </w:r>
      <w:r>
        <w:rPr>
          <w:rFonts w:ascii="Times New Roman" w:hAnsi="Times New Roman"/>
          <w:sz w:val="24"/>
          <w:szCs w:val="24"/>
          <w:rtl w:val="0"/>
          <w:lang w:val="en-US"/>
        </w:rPr>
        <w:t xml:space="preserve"> In this case it would seem that the action is also a bystander though the result of the action is much more indiscernible. But, we can clearly see that the consequences are unintentional. The person doing the restraining could simply be weary, afraid, or unaware of what consequences will follow from letting the thug go. This is not the same case with euthanasia, where the doctor or family member is acutely aware of what the outcome will be</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death is intended and desired</w:t>
      </w:r>
      <w:r>
        <w:rPr>
          <w:rFonts w:ascii="Times New Roman" w:hAnsi="Times New Roman"/>
          <w:sz w:val="24"/>
          <w:szCs w:val="24"/>
          <w:rtl w:val="0"/>
          <w:lang w:val="en-US"/>
        </w:rPr>
        <w:t xml:space="preserve">. Their intention is clear, as well as the end result, and therefore the action, or absence of action, that they take becomes much more weighted. From this point we can see that whether or not we choose to see the absence of action as significantly different from the action itself, both may cause significant harm. The doctor that pulls the plug and the doctor that increases a drug dosage both take an action that results in death. Both are willing and aware of their choice, and both should be held equally responsible for the result.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Euthanasia is meant to be a </w:t>
      </w:r>
      <w:r>
        <w:rPr>
          <w:rFonts w:ascii="Times New Roman" w:hAnsi="Times New Roman" w:hint="default"/>
          <w:sz w:val="24"/>
          <w:szCs w:val="24"/>
          <w:rtl w:val="0"/>
          <w:lang w:val="en-US"/>
        </w:rPr>
        <w:t>‘</w:t>
      </w:r>
      <w:r>
        <w:rPr>
          <w:rFonts w:ascii="Times New Roman" w:hAnsi="Times New Roman"/>
          <w:sz w:val="24"/>
          <w:szCs w:val="24"/>
          <w:rtl w:val="0"/>
          <w:lang w:val="en-US"/>
        </w:rPr>
        <w:t>painless death,</w:t>
      </w:r>
      <w:r>
        <w:rPr>
          <w:rFonts w:ascii="Times New Roman" w:hAnsi="Times New Roman" w:hint="default"/>
          <w:sz w:val="24"/>
          <w:szCs w:val="24"/>
          <w:rtl w:val="0"/>
          <w:lang w:val="en-US"/>
        </w:rPr>
        <w:t xml:space="preserve">’ </w:t>
      </w:r>
      <w:r>
        <w:rPr>
          <w:rFonts w:ascii="Times New Roman" w:hAnsi="Times New Roman"/>
          <w:sz w:val="24"/>
          <w:szCs w:val="24"/>
          <w:rtl w:val="0"/>
          <w:lang w:val="en-US"/>
        </w:rPr>
        <w:t>one which is more compassionate and ethical than that of continued suffering. Present in both active and passive euthanasia is the making of the decision to end someone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life for their own benefit and relief, so it does not follow that this decision should increase their suffering. James Rachels in </w:t>
      </w:r>
      <w:r>
        <w:rPr>
          <w:rFonts w:ascii="Times New Roman" w:hAnsi="Times New Roman"/>
          <w:i w:val="1"/>
          <w:iCs w:val="1"/>
          <w:sz w:val="24"/>
          <w:szCs w:val="24"/>
          <w:rtl w:val="0"/>
          <w:lang w:val="en-US"/>
        </w:rPr>
        <w:t xml:space="preserve">The End of Life </w:t>
      </w:r>
      <w:r>
        <w:rPr>
          <w:rFonts w:ascii="Times New Roman" w:hAnsi="Times New Roman"/>
          <w:sz w:val="24"/>
          <w:szCs w:val="24"/>
          <w:rtl w:val="0"/>
          <w:lang w:val="en-US"/>
        </w:rPr>
        <w:t xml:space="preserve">states: </w:t>
      </w:r>
      <w:r>
        <w:rPr>
          <w:rFonts w:ascii="Times New Roman" w:hAnsi="Times New Roman" w:hint="default"/>
          <w:sz w:val="24"/>
          <w:szCs w:val="24"/>
          <w:rtl w:val="0"/>
          <w:lang w:val="en-US"/>
        </w:rPr>
        <w:t>“</w:t>
      </w:r>
      <w:r>
        <w:rPr>
          <w:rFonts w:ascii="Times New Roman" w:hAnsi="Times New Roman"/>
          <w:sz w:val="24"/>
          <w:szCs w:val="24"/>
          <w:rtl w:val="0"/>
          <w:lang w:val="en-US"/>
        </w:rPr>
        <w:t>Why, if we have already decided to shorten his life because of the pain, should we prefer the option that involves more suffering?</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5"/>
      </w:r>
      <w:r>
        <w:rPr>
          <w:rFonts w:ascii="Times New Roman" w:hAnsi="Times New Roman"/>
          <w:sz w:val="24"/>
          <w:szCs w:val="24"/>
          <w:rtl w:val="0"/>
          <w:lang w:val="en-US"/>
        </w:rPr>
        <w:t xml:space="preserve"> </w:t>
      </w:r>
      <w:r>
        <w:rPr>
          <w:rFonts w:ascii="Times New Roman" w:hAnsi="Times New Roman"/>
          <w:sz w:val="24"/>
          <w:szCs w:val="24"/>
          <w:rtl w:val="0"/>
          <w:lang w:val="en-US"/>
        </w:rPr>
        <w:t>L</w:t>
      </w:r>
      <w:r>
        <w:rPr>
          <w:rFonts w:ascii="Times New Roman" w:hAnsi="Times New Roman"/>
          <w:sz w:val="24"/>
          <w:szCs w:val="24"/>
          <w:rtl w:val="0"/>
          <w:lang w:val="en-US"/>
        </w:rPr>
        <w:t>etting a</w:t>
      </w:r>
      <w:r>
        <w:rPr>
          <w:rFonts w:ascii="Times New Roman" w:hAnsi="Times New Roman"/>
          <w:sz w:val="24"/>
          <w:szCs w:val="24"/>
          <w:rtl w:val="0"/>
          <w:lang w:val="en-US"/>
        </w:rPr>
        <w:t>n individual, who has already been through immense pain and sickness, who only hopes for release from what has become an unbearable life,</w:t>
      </w:r>
      <w:r>
        <w:rPr>
          <w:rFonts w:ascii="Times New Roman" w:hAnsi="Times New Roman"/>
          <w:sz w:val="24"/>
          <w:szCs w:val="24"/>
          <w:rtl w:val="0"/>
          <w:lang w:val="en-US"/>
        </w:rPr>
        <w:t xml:space="preserve"> suffer longer because we have created a divide between action and inaction seems more immoral than the killing itself.</w:t>
      </w:r>
      <w:r>
        <w:rPr>
          <w:rFonts w:ascii="Times New Roman" w:hAnsi="Times New Roman"/>
          <w:sz w:val="24"/>
          <w:szCs w:val="24"/>
          <w:rtl w:val="0"/>
          <w:lang w:val="en-US"/>
        </w:rPr>
        <w:t xml:space="preserve"> </w:t>
      </w:r>
      <w:r>
        <w:rPr>
          <w:rFonts w:ascii="Times New Roman" w:hAnsi="Times New Roman"/>
          <w:sz w:val="24"/>
          <w:szCs w:val="24"/>
          <w:rtl w:val="0"/>
          <w:lang w:val="en-US"/>
        </w:rPr>
        <w:t>If we are to allow for killing in some cases, then surely the justification should rest upon the cessation of suffering and the persons overall well-being.</w:t>
      </w:r>
      <w:r>
        <w:rPr>
          <w:rFonts w:ascii="Times New Roman" w:hAnsi="Times New Roman"/>
          <w:sz w:val="24"/>
          <w:szCs w:val="24"/>
          <w:rtl w:val="0"/>
          <w:lang w:val="en-US"/>
        </w:rPr>
        <w:t xml:space="preserve"> That is, in fact, what the definition of euthanasia demands of us.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Pr>
        <w:tab/>
      </w:r>
      <w:r>
        <w:rPr>
          <w:rFonts w:ascii="Times New Roman" w:hAnsi="Times New Roman"/>
          <w:sz w:val="24"/>
          <w:szCs w:val="24"/>
          <w:rtl w:val="0"/>
          <w:lang w:val="en-US"/>
        </w:rPr>
        <w:t>Rachels also gives us the example of Down</w:t>
      </w:r>
      <w:r>
        <w:rPr>
          <w:rFonts w:ascii="Times New Roman" w:hAnsi="Times New Roman" w:hint="default"/>
          <w:sz w:val="24"/>
          <w:szCs w:val="24"/>
          <w:rtl w:val="0"/>
          <w:lang w:val="en-US"/>
        </w:rPr>
        <w:t>’</w:t>
      </w:r>
      <w:r>
        <w:rPr>
          <w:rFonts w:ascii="Times New Roman" w:hAnsi="Times New Roman"/>
          <w:sz w:val="24"/>
          <w:szCs w:val="24"/>
          <w:rtl w:val="0"/>
          <w:lang w:val="en-US"/>
        </w:rPr>
        <w:t>s syndrome children who, when faced with intestinal blockage, are allowed to starve and dehydrate until they die, as their future life is decided to be one of pain and suffering. Rachels argues that if we are to allow for infanticide, because surely that is what this results in, then we must allow it in all cases. That is to say, that any baby with Down</w:t>
      </w:r>
      <w:r>
        <w:rPr>
          <w:rFonts w:ascii="Times New Roman" w:hAnsi="Times New Roman" w:hint="default"/>
          <w:sz w:val="24"/>
          <w:szCs w:val="24"/>
          <w:rtl w:val="0"/>
          <w:lang w:val="en-US"/>
        </w:rPr>
        <w:t>’</w:t>
      </w:r>
      <w:r>
        <w:rPr>
          <w:rFonts w:ascii="Times New Roman" w:hAnsi="Times New Roman"/>
          <w:sz w:val="24"/>
          <w:szCs w:val="24"/>
          <w:rtl w:val="0"/>
          <w:lang w:val="en-US"/>
        </w:rPr>
        <w:t>s syndrome should be permitted to be killed, not only those with the intestinal blockage (if we view Down</w:t>
      </w:r>
      <w:r>
        <w:rPr>
          <w:rFonts w:ascii="Times New Roman" w:hAnsi="Times New Roman" w:hint="default"/>
          <w:sz w:val="24"/>
          <w:szCs w:val="24"/>
          <w:rtl w:val="0"/>
          <w:lang w:val="en-US"/>
        </w:rPr>
        <w:t>’</w:t>
      </w:r>
      <w:r>
        <w:rPr>
          <w:rFonts w:ascii="Times New Roman" w:hAnsi="Times New Roman"/>
          <w:sz w:val="24"/>
          <w:szCs w:val="24"/>
          <w:rtl w:val="0"/>
          <w:lang w:val="en-US"/>
        </w:rPr>
        <w:t>s syndrome as a euthanizable ailment). This causes an obvious moral dilemma. Rachels</w:t>
      </w:r>
      <w:r>
        <w:rPr>
          <w:rFonts w:ascii="Times New Roman" w:hAnsi="Times New Roman" w:hint="default"/>
          <w:sz w:val="24"/>
          <w:szCs w:val="24"/>
          <w:rtl w:val="0"/>
          <w:lang w:val="en-US"/>
        </w:rPr>
        <w:t xml:space="preserve">’ </w:t>
      </w:r>
      <w:r>
        <w:rPr>
          <w:rFonts w:ascii="Times New Roman" w:hAnsi="Times New Roman"/>
          <w:sz w:val="24"/>
          <w:szCs w:val="24"/>
          <w:rtl w:val="0"/>
          <w:lang w:val="en-US"/>
        </w:rPr>
        <w:t>point is not to promote infanticide, but merely to show the absurdity between what we believe to be morally acceptable and not. If we agree that some people may be killed, then we rest there. But if we insist that killing is immoral then we have no justification to kill, whether that be by withholding treatment or giving a lethal injection.</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As Rachels says, </w:t>
      </w:r>
      <w:r>
        <w:rPr>
          <w:rFonts w:ascii="Times New Roman" w:hAnsi="Times New Roman" w:hint="default"/>
          <w:sz w:val="24"/>
          <w:szCs w:val="24"/>
          <w:rtl w:val="0"/>
          <w:lang w:val="en-US"/>
        </w:rPr>
        <w:t>“</w:t>
      </w:r>
      <w:r>
        <w:rPr>
          <w:rFonts w:ascii="Times New Roman" w:hAnsi="Times New Roman"/>
          <w:sz w:val="24"/>
          <w:szCs w:val="24"/>
          <w:rtl w:val="0"/>
          <w:lang w:val="en-US"/>
        </w:rPr>
        <w:t>either both or acceptable or both are not. They stand or fall together.</w:t>
      </w:r>
      <w:r>
        <w:rPr>
          <w:rFonts w:ascii="Times New Roman" w:hAnsi="Times New Roman" w:hint="default"/>
          <w:sz w:val="24"/>
          <w:szCs w:val="24"/>
          <w:rtl w:val="0"/>
          <w:lang w:val="en-US"/>
        </w:rPr>
        <w:t>”</w:t>
      </w:r>
      <w:r>
        <w:rPr>
          <w:rFonts w:ascii="Times New Roman" w:hAnsi="Times New Roman"/>
          <w:sz w:val="24"/>
          <w:szCs w:val="24"/>
          <w:vertAlign w:val="superscript"/>
          <w:rtl w:val="0"/>
          <w:lang w:val="en-US"/>
        </w:rPr>
        <w:t>6</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The final argument that we will cover is that of the guilt that is said to accompany the action of killing. Some will argue that regardless of the deceased wishes or requests, it is the person who does the killing that will end up suffering. This suffering will arise from the idea that killing is in itself wrong, and that they were personally involved in the termination of a life. Will Cartwright states, in </w:t>
      </w:r>
      <w:r>
        <w:rPr>
          <w:rFonts w:ascii="Times New Roman" w:hAnsi="Times New Roman"/>
          <w:i w:val="1"/>
          <w:iCs w:val="1"/>
          <w:sz w:val="24"/>
          <w:szCs w:val="24"/>
          <w:rtl w:val="0"/>
          <w:lang w:val="en-US"/>
        </w:rPr>
        <w:t xml:space="preserve">Killing and Letting Die: </w:t>
      </w:r>
      <w:r>
        <w:rPr>
          <w:rFonts w:ascii="Times New Roman" w:hAnsi="Times New Roman" w:hint="default"/>
          <w:sz w:val="24"/>
          <w:szCs w:val="24"/>
          <w:rtl w:val="0"/>
          <w:lang w:val="en-US"/>
        </w:rPr>
        <w:t>“</w:t>
      </w:r>
      <w:r>
        <w:rPr>
          <w:rFonts w:ascii="Times New Roman" w:hAnsi="Times New Roman"/>
          <w:sz w:val="24"/>
          <w:szCs w:val="24"/>
          <w:rtl w:val="0"/>
          <w:lang w:val="de-DE"/>
        </w:rPr>
        <w:t>We</w:t>
      </w:r>
      <w:r>
        <w:rPr>
          <w:rFonts w:ascii="Times New Roman" w:hAnsi="Times New Roman"/>
          <w:sz w:val="24"/>
          <w:szCs w:val="24"/>
          <w:rtl w:val="0"/>
          <w:lang w:val="en-US"/>
        </w:rPr>
        <w:t xml:space="preserve"> attach moral importance to the form and degree of people's causal involvement in the deaths of others, and it is distinctions of causal involvement that explain the moral importance of the distinction between killing and letting die.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6"/>
      </w:r>
      <w:r>
        <w:rPr>
          <w:rFonts w:ascii="Times New Roman" w:hAnsi="Times New Roman"/>
          <w:sz w:val="24"/>
          <w:szCs w:val="24"/>
          <w:rtl w:val="0"/>
          <w:lang w:val="en-US"/>
        </w:rPr>
        <w:t xml:space="preserve"> The idea that being the cause of someone else</w:t>
      </w:r>
      <w:r>
        <w:rPr>
          <w:rFonts w:ascii="Times New Roman" w:hAnsi="Times New Roman" w:hint="default"/>
          <w:sz w:val="24"/>
          <w:szCs w:val="24"/>
          <w:rtl w:val="0"/>
          <w:lang w:val="en-US"/>
        </w:rPr>
        <w:t>’</w:t>
      </w:r>
      <w:r>
        <w:rPr>
          <w:rFonts w:ascii="Times New Roman" w:hAnsi="Times New Roman"/>
          <w:sz w:val="24"/>
          <w:szCs w:val="24"/>
          <w:rtl w:val="0"/>
          <w:lang w:val="en-US"/>
        </w:rPr>
        <w:t xml:space="preserve">s death seems, for some, to be a large distinction between active and passive euthanasia. This distinction only exists if we draw a line between killing and letting die, or, as discussed, between action and inaction. As we can see from the above arguments, there is no reasonable distinction between the taking of an action or refraining from taking an action, especially when both scenarios </w:t>
      </w:r>
      <w:r>
        <w:rPr>
          <w:rFonts w:ascii="Times New Roman" w:hAnsi="Times New Roman"/>
          <w:sz w:val="24"/>
          <w:szCs w:val="24"/>
          <w:rtl w:val="0"/>
          <w:lang w:val="en-US"/>
        </w:rPr>
        <w:t xml:space="preserve">have the intended result of the </w:t>
      </w:r>
      <w:r>
        <w:rPr>
          <w:rFonts w:ascii="Times New Roman" w:hAnsi="Times New Roman"/>
          <w:sz w:val="24"/>
          <w:szCs w:val="24"/>
          <w:rtl w:val="0"/>
          <w:lang w:val="en-US"/>
        </w:rPr>
        <w:t>death of another person. If we are to agree to the conditions of this guilt, it should be present in both active and passive euthanasia; not selective to either or. If killing is the issue then the argument rests, but we should not give moral recesses for letting die as if it is not an act of killing. The guilt itself may stem from the idea that death is bad and should be avoided. But, as James Rachels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states: </w:t>
      </w:r>
      <w:r>
        <w:rPr>
          <w:rFonts w:ascii="Times New Roman" w:hAnsi="Times New Roman" w:hint="default"/>
          <w:sz w:val="24"/>
          <w:szCs w:val="24"/>
          <w:rtl w:val="0"/>
          <w:lang w:val="en-US"/>
        </w:rPr>
        <w:t>“</w:t>
      </w:r>
      <w:r>
        <w:rPr>
          <w:rFonts w:ascii="Times New Roman" w:hAnsi="Times New Roman"/>
          <w:sz w:val="24"/>
          <w:szCs w:val="24"/>
          <w:rtl w:val="0"/>
          <w:lang w:val="en-US"/>
        </w:rPr>
        <w:t>If it has been decided that euthanasia is desirable in a given case, it has also been decided that in this instance death is no greater an evil than the patients continued existence. And if this is true, the usual reason for not wanting to be the cause of someones death simply does not apply.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lang w:val="en-US"/>
        </w:rPr>
        <w:footnoteReference w:id="7"/>
      </w:r>
      <w:r>
        <w:rPr>
          <w:rFonts w:ascii="Times New Roman" w:hAnsi="Times New Roman"/>
          <w:sz w:val="24"/>
          <w:szCs w:val="24"/>
          <w:rtl w:val="0"/>
          <w:lang w:val="en-US"/>
        </w:rPr>
        <w:t xml:space="preserve"> If society were to agree that active euthanasia was, at times, acceptable, surely the general perception of it would shift and so would the feelings of guilt. Doctors who knowingly began a practice in which they knew they could be faced with a euthanasia case would be expected to be compliant with that law, and their further reaction would only reflect their own personality. It has been widely accepted that euthanasia can be the most compassionate act in some cases and anyone who accepts that should not feel guilt about ending a life of suffering.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Though the act of killing seems in itself immoral, it can be clearly seen in society that there are times when the most compassionate treatment is to end a life of suffering. If we have decided that killing is at times justifiable then we should admit that whether or not we allow death to happen through our inaction or action, we have made a deliberate and unchangeable decision. To view active and passive euthanasia in any other way seems a disservice to our moral </w:t>
      </w:r>
      <w:r>
        <w:rPr>
          <w:rFonts w:ascii="Times New Roman" w:hAnsi="Times New Roman"/>
          <w:sz w:val="24"/>
          <w:szCs w:val="24"/>
          <w:rtl w:val="0"/>
          <w:lang w:val="en-US"/>
        </w:rPr>
        <w:t>standards</w:t>
      </w:r>
      <w:r>
        <w:rPr>
          <w:rFonts w:ascii="Times New Roman" w:hAnsi="Times New Roman"/>
          <w:sz w:val="24"/>
          <w:szCs w:val="24"/>
          <w:rtl w:val="0"/>
          <w:lang w:val="en-US"/>
        </w:rPr>
        <w:t xml:space="preserve">, as it is this dishonesty that will allow for grey area and slip ups within the practice itself. </w:t>
      </w:r>
      <w:r>
        <w:rPr>
          <w:rFonts w:ascii="Times New Roman" w:hAnsi="Times New Roman"/>
          <w:sz w:val="24"/>
          <w:szCs w:val="24"/>
          <w:rtl w:val="0"/>
          <w:lang w:val="en-US"/>
        </w:rPr>
        <w:t>If the intention is to end someone</w:t>
      </w:r>
      <w:r>
        <w:rPr>
          <w:rFonts w:ascii="Times New Roman" w:hAnsi="Times New Roman" w:hint="default"/>
          <w:sz w:val="24"/>
          <w:szCs w:val="24"/>
          <w:rtl w:val="0"/>
          <w:lang w:val="en-US"/>
        </w:rPr>
        <w:t>’</w:t>
      </w:r>
      <w:r>
        <w:rPr>
          <w:rFonts w:ascii="Times New Roman" w:hAnsi="Times New Roman"/>
          <w:sz w:val="24"/>
          <w:szCs w:val="24"/>
          <w:rtl w:val="0"/>
          <w:lang w:val="en-US"/>
        </w:rPr>
        <w:t>s life then t</w:t>
      </w:r>
      <w:r>
        <w:rPr>
          <w:rFonts w:ascii="Times New Roman" w:hAnsi="Times New Roman"/>
          <w:sz w:val="24"/>
          <w:szCs w:val="24"/>
          <w:rtl w:val="0"/>
          <w:lang w:val="en-US"/>
        </w:rPr>
        <w:t xml:space="preserve">he action of turning off a ventilator is no more or less an act of killing than administering a lethal dose of morphine. If anyone is to oppose euthanasia, it should be on the basis that killing is immoral in any way. If we cannot commit to this viewpoint then we should allow for a type of euthanasia that limits suffering, guilt, and leaves the community surrounding the deceased with feelings of peace. Euthanasia, by definition, means an easy death. By continuing to cloud the borders of acceptable and unacceptable mercy-killing we run the risk of causing more </w:t>
      </w:r>
      <w:r>
        <w:rPr>
          <w:rFonts w:ascii="Times New Roman" w:hAnsi="Times New Roman"/>
          <w:sz w:val="24"/>
          <w:szCs w:val="24"/>
          <w:rtl w:val="0"/>
          <w:lang w:val="en-US"/>
        </w:rPr>
        <w:t>agony</w:t>
      </w:r>
      <w:r>
        <w:rPr>
          <w:rFonts w:ascii="Times New Roman" w:hAnsi="Times New Roman"/>
          <w:sz w:val="24"/>
          <w:szCs w:val="24"/>
          <w:rtl w:val="0"/>
          <w:lang w:val="en-US"/>
        </w:rPr>
        <w:t xml:space="preserve"> and suffering for those that are already </w:t>
      </w:r>
      <w:r>
        <w:rPr>
          <w:rFonts w:ascii="Times New Roman" w:hAnsi="Times New Roman"/>
          <w:sz w:val="24"/>
          <w:szCs w:val="24"/>
          <w:rtl w:val="0"/>
          <w:lang w:val="en-US"/>
        </w:rPr>
        <w:t>in pain</w:t>
      </w:r>
      <w:r>
        <w:rPr>
          <w:rFonts w:ascii="Times New Roman" w:hAnsi="Times New Roman"/>
          <w:sz w:val="24"/>
          <w:szCs w:val="24"/>
          <w:rtl w:val="0"/>
          <w:lang w:val="en-US"/>
        </w:rPr>
        <w:t>. The act of taking a life through compassionate means should be allowed, accepted, and free of guilt, whether that act is one of passivity or direct action.</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Bibliography:</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Glover, Jonathan, </w:t>
      </w:r>
      <w:r>
        <w:rPr>
          <w:rFonts w:ascii="Times New Roman" w:hAnsi="Times New Roman"/>
          <w:i w:val="1"/>
          <w:iCs w:val="1"/>
          <w:sz w:val="24"/>
          <w:szCs w:val="24"/>
          <w:rtl w:val="0"/>
          <w:lang w:val="en-US"/>
        </w:rPr>
        <w:t>Causing Death and Saving Lives</w:t>
      </w:r>
      <w:r>
        <w:rPr>
          <w:rFonts w:ascii="Times New Roman" w:hAnsi="Times New Roman"/>
          <w:sz w:val="24"/>
          <w:szCs w:val="24"/>
          <w:rtl w:val="0"/>
          <w:lang w:val="en-US"/>
        </w:rPr>
        <w:t>, (London: Penguin, 1990)</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Rachels, James, 'Active and Passive Euthanasia', </w:t>
      </w:r>
      <w:r>
        <w:rPr>
          <w:rFonts w:ascii="Times New Roman" w:hAnsi="Times New Roman"/>
          <w:i w:val="1"/>
          <w:iCs w:val="1"/>
          <w:sz w:val="24"/>
          <w:szCs w:val="24"/>
          <w:rtl w:val="0"/>
          <w:lang w:val="en-US"/>
        </w:rPr>
        <w:t>Applied Ethics</w:t>
      </w:r>
      <w:r>
        <w:rPr>
          <w:rFonts w:ascii="Times New Roman" w:hAnsi="Times New Roman"/>
          <w:sz w:val="24"/>
          <w:szCs w:val="24"/>
          <w:rtl w:val="0"/>
          <w:lang w:val="en-US"/>
        </w:rPr>
        <w:t>, edited by Peter Singer, (Oxford: Oxford University Press, 1986)</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Rachels, J., </w:t>
      </w:r>
      <w:r>
        <w:rPr>
          <w:rFonts w:ascii="Times New Roman" w:hAnsi="Times New Roman"/>
          <w:i w:val="1"/>
          <w:iCs w:val="1"/>
          <w:sz w:val="24"/>
          <w:szCs w:val="24"/>
          <w:rtl w:val="0"/>
          <w:lang w:val="en-US"/>
        </w:rPr>
        <w:t>The End of Life: Euthanasia and Morality</w:t>
      </w:r>
      <w:r>
        <w:rPr>
          <w:rFonts w:ascii="Times New Roman" w:hAnsi="Times New Roman"/>
          <w:sz w:val="24"/>
          <w:szCs w:val="24"/>
          <w:rtl w:val="0"/>
          <w:lang w:val="en-US"/>
        </w:rPr>
        <w:t>, (Oxford: Oxford University Press, 1986)</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Campbell, R., Collinson, D., &amp; Open University--A310 course team. </w:t>
      </w:r>
      <w:r>
        <w:rPr>
          <w:rFonts w:ascii="Times New Roman" w:hAnsi="Times New Roman"/>
          <w:i w:val="1"/>
          <w:iCs w:val="1"/>
          <w:sz w:val="24"/>
          <w:szCs w:val="24"/>
          <w:rtl w:val="0"/>
          <w:lang w:val="en-US"/>
        </w:rPr>
        <w:t>Ending lives</w:t>
      </w:r>
      <w:r>
        <w:rPr>
          <w:rFonts w:ascii="Times New Roman" w:hAnsi="Times New Roman"/>
          <w:sz w:val="24"/>
          <w:szCs w:val="24"/>
          <w:rtl w:val="0"/>
          <w:lang w:val="en-US"/>
        </w:rPr>
        <w:t>, (Oxford: Basil Blackwell in association with the Open University, 1988)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Cartwright, Will, Killing and letting die: a defensible distinction, (Oxford: British Medical Bulletin 1996)</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de-DE"/>
        </w:rPr>
        <w:t xml:space="preserve">McLachlan, H. The </w:t>
      </w:r>
      <w:r>
        <w:rPr>
          <w:rFonts w:ascii="Times New Roman" w:hAnsi="Times New Roman"/>
          <w:sz w:val="24"/>
          <w:szCs w:val="24"/>
          <w:rtl w:val="0"/>
          <w:lang w:val="en-US"/>
        </w:rPr>
        <w:t>Ethics of Killing and Letting Die: Active and passive euthanasia, (Journal of Medical Ethics 2008)</w:t>
      </w:r>
    </w:p>
    <w:p>
      <w:pPr>
        <w:pStyle w:val="Normal.0"/>
      </w:pPr>
    </w:p>
    <w:p>
      <w:pPr>
        <w:pStyle w:val="Normal.0"/>
      </w:pPr>
      <w:r>
        <w:tab/>
      </w:r>
    </w:p>
    <w:sectPr>
      <w:headerReference w:type="default" r:id="rId5"/>
      <w:footerReference w:type="default" r:id="rId6"/>
      <w:pgSz w:w="12240" w:h="15840" w:orient="portrait"/>
      <w:pgMar w:top="993" w:right="1800" w:bottom="567" w:left="1800" w:header="568"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rebuchet MS">
    <w:charset w:val="00"/>
    <w:family w:val="roman"/>
    <w:pitch w:val="default"/>
  </w:font>
  <w:font w:name="Georg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tabs>
        <w:tab w:val="right" w:pos="8620"/>
        <w:tab w:val="clear" w:pos="9026"/>
      </w:tabs>
    </w:pPr>
    <w:r>
      <w:rPr>
        <w:rFonts w:ascii="Trebuchet MS" w:hAnsi="Trebuchet MS"/>
        <w:sz w:val="18"/>
        <w:szCs w:val="18"/>
        <w:rtl w:val="0"/>
      </w:rPr>
      <w:t xml:space="preserve"> </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rPr>
        <w:footnoteRef/>
      </w:r>
      <w:r>
        <w:rPr>
          <w:rFonts w:ascii="Times New Roman" w:hAnsi="Times New Roman"/>
          <w:sz w:val="20"/>
          <w:szCs w:val="20"/>
          <w:u w:color="000000"/>
          <w:rtl w:val="0"/>
          <w:lang w:val="en-US"/>
        </w:rPr>
        <w:t xml:space="preserve"> Campbell, R., Collinson, D., &amp; Open University--A310 course team. </w:t>
      </w:r>
      <w:r>
        <w:rPr>
          <w:rFonts w:ascii="Times New Roman" w:hAnsi="Times New Roman"/>
          <w:i w:val="1"/>
          <w:iCs w:val="1"/>
          <w:sz w:val="20"/>
          <w:szCs w:val="20"/>
          <w:u w:color="000000"/>
          <w:rtl w:val="0"/>
          <w:lang w:val="en-US"/>
        </w:rPr>
        <w:t>Ending lives</w:t>
      </w:r>
      <w:r>
        <w:rPr>
          <w:rFonts w:ascii="Times New Roman" w:hAnsi="Times New Roman"/>
          <w:sz w:val="20"/>
          <w:szCs w:val="20"/>
          <w:u w:color="000000"/>
          <w:rtl w:val="0"/>
          <w:lang w:val="en-US"/>
        </w:rPr>
        <w:t xml:space="preserve">, (Oxford: Basil Blackwell in association with the Open University, </w:t>
      </w:r>
      <w:r>
        <w:rPr>
          <w:rFonts w:ascii="Times New Roman" w:hAnsi="Times New Roman"/>
          <w:sz w:val="20"/>
          <w:szCs w:val="20"/>
          <w:u w:color="000000"/>
          <w:rtl w:val="0"/>
          <w:lang w:val="en-US"/>
        </w:rPr>
        <w:t xml:space="preserve">1988) </w:t>
      </w:r>
      <w:r>
        <w:rPr>
          <w:rFonts w:ascii="Times New Roman" w:hAnsi="Times New Roman"/>
          <w:sz w:val="20"/>
          <w:szCs w:val="20"/>
          <w:u w:color="000000"/>
          <w:rtl w:val="0"/>
          <w:lang w:val="en-US"/>
        </w:rPr>
        <w:t>p. 136</w:t>
      </w:r>
    </w:p>
  </w:footnote>
  <w:footnote w:id="2">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lang w:val="en-US"/>
        </w:rPr>
        <w:footnoteRef/>
      </w:r>
      <w:r>
        <w:rPr>
          <w:rFonts w:ascii="Times New Roman" w:hAnsi="Times New Roman"/>
          <w:sz w:val="20"/>
          <w:szCs w:val="20"/>
          <w:u w:color="000000"/>
          <w:rtl w:val="0"/>
          <w:lang w:val="en-US"/>
        </w:rPr>
        <w:t xml:space="preserve"> Rachels, J., The End of Life: Euthanasia and Morality, (Oxford: Oxford University Press, 1986) p. 115</w:t>
      </w:r>
    </w:p>
  </w:footnote>
  <w:footnote w:id="3">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lang w:val="en-US"/>
        </w:rPr>
        <w:footnoteRef/>
      </w:r>
      <w:r>
        <w:rPr>
          <w:rFonts w:ascii="Times New Roman" w:hAnsi="Times New Roman"/>
          <w:sz w:val="20"/>
          <w:szCs w:val="20"/>
          <w:u w:color="000000"/>
          <w:rtl w:val="0"/>
          <w:lang w:val="en-US"/>
        </w:rPr>
        <w:t xml:space="preserve"> Glover, Jonathan, Causing Death and Saving Lives, (London: Penguin, 1990) p. 184</w:t>
      </w:r>
    </w:p>
  </w:footnote>
  <w:footnote w:id="4">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rPr>
        <w:footnoteRef/>
      </w:r>
      <w:r>
        <w:rPr>
          <w:rFonts w:ascii="Times New Roman" w:hAnsi="Times New Roman"/>
          <w:sz w:val="20"/>
          <w:szCs w:val="20"/>
          <w:u w:color="000000"/>
          <w:rtl w:val="0"/>
          <w:lang w:val="de-DE"/>
        </w:rPr>
        <w:t xml:space="preserve">McLachlan, H. The </w:t>
      </w:r>
      <w:r>
        <w:rPr>
          <w:rFonts w:ascii="Times New Roman" w:hAnsi="Times New Roman"/>
          <w:sz w:val="20"/>
          <w:szCs w:val="20"/>
          <w:u w:color="000000"/>
          <w:rtl w:val="0"/>
          <w:lang w:val="en-US"/>
        </w:rPr>
        <w:t xml:space="preserve">Ethics of Killing and Letting Die: Active and passive euthanasia, (Journal of Medical Ethics </w:t>
      </w:r>
      <w:r>
        <w:rPr>
          <w:rFonts w:ascii="Times New Roman" w:hAnsi="Times New Roman"/>
          <w:sz w:val="20"/>
          <w:szCs w:val="20"/>
          <w:u w:color="000000"/>
          <w:rtl w:val="0"/>
          <w:lang w:val="en-US"/>
        </w:rPr>
        <w:t>2008)</w:t>
      </w:r>
      <w:r>
        <w:rPr>
          <w:rFonts w:ascii="Times New Roman" w:hAnsi="Times New Roman"/>
          <w:sz w:val="20"/>
          <w:szCs w:val="20"/>
          <w:u w:color="000000"/>
          <w:rtl w:val="0"/>
          <w:lang w:val="en-US"/>
        </w:rPr>
        <w:t xml:space="preserve"> p. 1</w:t>
      </w:r>
    </w:p>
  </w:footnote>
  <w:footnote w:id="5">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lang w:val="en-US"/>
        </w:rPr>
        <w:footnoteRef/>
      </w:r>
      <w:r>
        <w:rPr>
          <w:rFonts w:ascii="Times New Roman" w:hAnsi="Times New Roman"/>
          <w:sz w:val="20"/>
          <w:szCs w:val="20"/>
          <w:u w:color="000000"/>
          <w:rtl w:val="0"/>
          <w:lang w:val="en-US"/>
        </w:rPr>
        <w:t>Rachels, J., The End of Life: Euthanasia and Morality, (Oxford: Oxford University Press, 1986) p. 108-109</w:t>
      </w:r>
    </w:p>
  </w:footnote>
  <w:footnote w:id="6">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rPr>
        <w:footnoteRef/>
      </w:r>
      <w:r>
        <w:rPr>
          <w:rFonts w:ascii="Times New Roman" w:hAnsi="Times New Roman"/>
          <w:sz w:val="20"/>
          <w:szCs w:val="20"/>
          <w:u w:color="000000"/>
          <w:rtl w:val="0"/>
          <w:lang w:val="en-US"/>
        </w:rPr>
        <w:t xml:space="preserve"> </w:t>
      </w:r>
      <w:r>
        <w:rPr>
          <w:rFonts w:ascii="Times New Roman" w:hAnsi="Times New Roman"/>
          <w:sz w:val="20"/>
          <w:szCs w:val="20"/>
          <w:u w:color="000000"/>
          <w:rtl w:val="0"/>
          <w:lang w:val="en-US"/>
        </w:rPr>
        <w:t>Cartwright, Will, Killing and letting die: a defensible distinction, (Oxford: British Medical Bulletin 1996) p. 358</w:t>
      </w:r>
    </w:p>
  </w:footnote>
  <w:footnote w:id="7">
    <w:p>
      <w:pPr>
        <w:pStyle w:val="Footnote"/>
        <w:bidi w:val="0"/>
        <w:ind w:left="0" w:right="0" w:firstLine="0"/>
        <w:jc w:val="left"/>
        <w:rPr>
          <w:rtl w:val="0"/>
        </w:rPr>
      </w:pPr>
      <w:r>
        <w:rPr>
          <w:rFonts w:ascii="Times New Roman" w:cs="Times New Roman" w:hAnsi="Times New Roman" w:eastAsia="Times New Roman"/>
          <w:sz w:val="24"/>
          <w:szCs w:val="24"/>
          <w:u w:color="000000"/>
          <w:vertAlign w:val="superscript"/>
          <w:rtl w:val="0"/>
          <w:lang w:val="en-US"/>
        </w:rPr>
        <w:footnoteRef/>
      </w:r>
      <w:r>
        <w:rPr>
          <w:rFonts w:ascii="Times New Roman" w:hAnsi="Times New Roman"/>
          <w:sz w:val="20"/>
          <w:szCs w:val="20"/>
          <w:u w:color="000000"/>
          <w:rtl w:val="0"/>
          <w:lang w:val="en-US"/>
        </w:rPr>
        <w:t xml:space="preserve"> Rachels, J., The End of Life: Euthanasia and Morality, (Oxford: Oxford University Press, 1986) p. 35</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lang w:val="en-US"/>
    </w:rPr>
  </w:style>
  <w:style w:type="paragraph" w:styleId="Heading 1">
    <w:name w:val="Heading 1"/>
    <w:next w:val="Normal.0"/>
    <w:pPr>
      <w:keepNext w:val="1"/>
      <w:keepLines w:val="0"/>
      <w:pageBreakBefore w:val="0"/>
      <w:widowControl w:val="1"/>
      <w:shd w:val="clear" w:color="auto" w:fill="auto"/>
      <w:suppressAutoHyphens w:val="0"/>
      <w:bidi w:val="0"/>
      <w:spacing w:before="240" w:after="60" w:line="240" w:lineRule="auto"/>
      <w:ind w:left="0" w:right="0" w:firstLine="0"/>
      <w:jc w:val="left"/>
      <w:outlineLvl w:val="0"/>
    </w:pPr>
    <w:rPr>
      <w:rFonts w:ascii="Arial" w:cs="Arial Unicode MS" w:hAnsi="Arial" w:eastAsia="Arial Unicode MS"/>
      <w:b w:val="1"/>
      <w:bCs w:val="1"/>
      <w:i w:val="0"/>
      <w:iCs w:val="0"/>
      <w:caps w:val="0"/>
      <w:smallCaps w:val="0"/>
      <w:strike w:val="0"/>
      <w:dstrike w:val="0"/>
      <w:outline w:val="0"/>
      <w:color w:val="000000"/>
      <w:spacing w:val="0"/>
      <w:kern w:val="32"/>
      <w:position w:val="0"/>
      <w:sz w:val="32"/>
      <w:szCs w:val="32"/>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