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A9E41E" w14:textId="727433A4" w:rsidR="00BA539A" w:rsidRDefault="00041CFF">
      <w:pPr>
        <w:rPr>
          <w:b/>
          <w:bCs/>
        </w:rPr>
      </w:pPr>
      <w:r w:rsidRPr="006730AE">
        <w:rPr>
          <w:b/>
          <w:bCs/>
        </w:rPr>
        <w:t>3. Discuss the effectiveness and potential of ‘community engagement’ in enhancing the sustainability of heritage sites</w:t>
      </w:r>
    </w:p>
    <w:p w14:paraId="0004B47A" w14:textId="588593CE" w:rsidR="00557C2A" w:rsidRDefault="00C72D23">
      <w:r>
        <w:t xml:space="preserve">This essay will </w:t>
      </w:r>
      <w:r w:rsidR="00EA5CDC">
        <w:t>discuss</w:t>
      </w:r>
      <w:r>
        <w:t xml:space="preserve"> </w:t>
      </w:r>
      <w:r w:rsidR="00620310">
        <w:t>the effect of</w:t>
      </w:r>
      <w:r>
        <w:t xml:space="preserve"> </w:t>
      </w:r>
      <w:r w:rsidR="00EF2292">
        <w:t>community</w:t>
      </w:r>
      <w:r>
        <w:t xml:space="preserve"> engagement </w:t>
      </w:r>
      <w:r w:rsidR="00620310">
        <w:t xml:space="preserve">on the sustainability of </w:t>
      </w:r>
      <w:r w:rsidR="00F705FC">
        <w:t>heritage sites</w:t>
      </w:r>
      <w:r w:rsidR="00E22C68">
        <w:t xml:space="preserve">. </w:t>
      </w:r>
      <w:r w:rsidR="00507270">
        <w:t xml:space="preserve">The purpose of the essay is to </w:t>
      </w:r>
      <w:r w:rsidR="00B979E8">
        <w:t>broaden understanding of</w:t>
      </w:r>
      <w:r w:rsidR="000C54FA">
        <w:t xml:space="preserve"> how</w:t>
      </w:r>
      <w:r w:rsidR="00CC1EFE">
        <w:t xml:space="preserve"> </w:t>
      </w:r>
      <w:r w:rsidR="000C54FA">
        <w:t>communities</w:t>
      </w:r>
      <w:r w:rsidR="00CC1EFE">
        <w:t xml:space="preserve"> engage</w:t>
      </w:r>
      <w:r w:rsidR="00164E66">
        <w:t xml:space="preserve"> with</w:t>
      </w:r>
      <w:r w:rsidR="00FC520E">
        <w:t xml:space="preserve"> </w:t>
      </w:r>
      <w:r w:rsidR="00BB30D5">
        <w:t>heritage sites</w:t>
      </w:r>
      <w:r w:rsidR="002B297A">
        <w:t xml:space="preserve">, </w:t>
      </w:r>
      <w:r w:rsidR="00B75ECA">
        <w:t xml:space="preserve">to understand </w:t>
      </w:r>
      <w:r w:rsidR="00D271ED">
        <w:t>what</w:t>
      </w:r>
      <w:r w:rsidR="00B75ECA">
        <w:t xml:space="preserve"> effect that engagement has</w:t>
      </w:r>
      <w:r w:rsidR="00D271ED">
        <w:t xml:space="preserve"> on </w:t>
      </w:r>
      <w:r w:rsidR="0095431D">
        <w:t>sustainability</w:t>
      </w:r>
      <w:r w:rsidR="0048463E">
        <w:t xml:space="preserve">, and to discern what elements </w:t>
      </w:r>
      <w:r w:rsidR="00F31010">
        <w:t>are important to ensure that the outcome of any engagement is positive.</w:t>
      </w:r>
    </w:p>
    <w:p w14:paraId="74A86176" w14:textId="31FE3359" w:rsidR="005E0ED4" w:rsidRDefault="00E22C68">
      <w:r>
        <w:t>The relationship between communities</w:t>
      </w:r>
      <w:r w:rsidR="009739F2">
        <w:t xml:space="preserve"> and heritage</w:t>
      </w:r>
      <w:r>
        <w:t xml:space="preserve"> is a complex one, entailing </w:t>
      </w:r>
      <w:r w:rsidR="00F447FB">
        <w:t>identity, history, memories, politics</w:t>
      </w:r>
      <w:r w:rsidR="00F71546">
        <w:t>,</w:t>
      </w:r>
      <w:r w:rsidR="00F447FB">
        <w:t xml:space="preserve"> and power.</w:t>
      </w:r>
      <w:r w:rsidR="00510754">
        <w:t xml:space="preserve"> Crook</w:t>
      </w:r>
      <w:r w:rsidR="0027336D">
        <w:t>e</w:t>
      </w:r>
      <w:r w:rsidR="00510754">
        <w:t xml:space="preserve"> has </w:t>
      </w:r>
      <w:r w:rsidR="00CC19C4">
        <w:t xml:space="preserve">noted </w:t>
      </w:r>
      <w:r w:rsidR="00510754">
        <w:t xml:space="preserve">that </w:t>
      </w:r>
      <w:r w:rsidR="003E5D04">
        <w:t>heritage concepts</w:t>
      </w:r>
      <w:r w:rsidR="000233C1">
        <w:t xml:space="preserve"> often shape the identity of communities, </w:t>
      </w:r>
      <w:r w:rsidR="005D78BA">
        <w:t>while communities</w:t>
      </w:r>
      <w:r w:rsidR="001A593F">
        <w:t xml:space="preserve"> can,</w:t>
      </w:r>
      <w:r w:rsidR="005D78BA">
        <w:t xml:space="preserve"> in turn shape how heritage is experienced and understood</w:t>
      </w:r>
      <w:r w:rsidR="001A593F">
        <w:t>.</w:t>
      </w:r>
      <w:r w:rsidR="002C171A">
        <w:rPr>
          <w:rStyle w:val="FootnoteReference"/>
        </w:rPr>
        <w:footnoteReference w:id="1"/>
      </w:r>
      <w:r w:rsidR="002C171A">
        <w:t xml:space="preserve"> </w:t>
      </w:r>
      <w:r w:rsidR="00D55497">
        <w:t>This implies that how heritage is defined</w:t>
      </w:r>
      <w:r w:rsidR="00876D26">
        <w:t xml:space="preserve"> </w:t>
      </w:r>
      <w:r w:rsidR="00E3236E">
        <w:t>will change</w:t>
      </w:r>
      <w:r w:rsidR="00876D26">
        <w:t xml:space="preserve"> as cultural ideas within a community </w:t>
      </w:r>
      <w:r w:rsidR="00E3236E">
        <w:t>evolve</w:t>
      </w:r>
      <w:r w:rsidR="00876D26">
        <w:t xml:space="preserve"> over time</w:t>
      </w:r>
      <w:r w:rsidR="0081572B">
        <w:t xml:space="preserve">. The relationship between communities and heritage is further complicated by the </w:t>
      </w:r>
      <w:r w:rsidR="00103DA8">
        <w:t xml:space="preserve">fact that </w:t>
      </w:r>
      <w:r w:rsidR="00223C53">
        <w:t>how the terms “heritage” and “community” are defined and understood</w:t>
      </w:r>
      <w:r w:rsidR="003E5E31">
        <w:t xml:space="preserve"> in heritage </w:t>
      </w:r>
      <w:r w:rsidR="0053380B">
        <w:t>studies</w:t>
      </w:r>
      <w:r w:rsidR="00223C53">
        <w:t xml:space="preserve"> </w:t>
      </w:r>
      <w:r w:rsidR="00861EFF">
        <w:t>is contested</w:t>
      </w:r>
      <w:r w:rsidR="009B598A">
        <w:t>. Debate</w:t>
      </w:r>
      <w:r w:rsidR="001C05D3">
        <w:t>s</w:t>
      </w:r>
      <w:r w:rsidR="009B598A">
        <w:t xml:space="preserve"> about how to define heritage are </w:t>
      </w:r>
      <w:r w:rsidR="00594153">
        <w:t>long standing</w:t>
      </w:r>
      <w:r w:rsidR="001C05D3">
        <w:t>.</w:t>
      </w:r>
      <w:r w:rsidR="00F7078F">
        <w:t xml:space="preserve"> </w:t>
      </w:r>
      <w:r w:rsidR="001C05D3">
        <w:t>F</w:t>
      </w:r>
      <w:r w:rsidR="00B70ABB">
        <w:t>or example, Harrison</w:t>
      </w:r>
      <w:r w:rsidR="00287071">
        <w:rPr>
          <w:rStyle w:val="FootnoteReference"/>
        </w:rPr>
        <w:footnoteReference w:id="2"/>
      </w:r>
      <w:r w:rsidR="00B70ABB">
        <w:t xml:space="preserve"> </w:t>
      </w:r>
      <w:r w:rsidR="007700BD">
        <w:t xml:space="preserve">and </w:t>
      </w:r>
      <w:r w:rsidR="00D34024">
        <w:t>Howard</w:t>
      </w:r>
      <w:r w:rsidR="00287071">
        <w:rPr>
          <w:rStyle w:val="FootnoteReference"/>
        </w:rPr>
        <w:footnoteReference w:id="3"/>
      </w:r>
      <w:r w:rsidR="00D34024">
        <w:t xml:space="preserve"> have argued for </w:t>
      </w:r>
      <w:r w:rsidR="00AE1B31">
        <w:t xml:space="preserve">expansive definitions of what constitutes heritage, while Smith has emphasised </w:t>
      </w:r>
      <w:r w:rsidR="00847E7D">
        <w:t xml:space="preserve">the importance of understanding how heritage is used, not least in </w:t>
      </w:r>
      <w:r w:rsidR="005F7E28">
        <w:t xml:space="preserve">how </w:t>
      </w:r>
      <w:r w:rsidR="006458DC">
        <w:t>it is used by governments and powerful elements in society to exert control.</w:t>
      </w:r>
      <w:r w:rsidR="0011199F">
        <w:rPr>
          <w:rStyle w:val="FootnoteReference"/>
        </w:rPr>
        <w:footnoteReference w:id="4"/>
      </w:r>
      <w:r w:rsidR="004F730E">
        <w:t xml:space="preserve"> The use of the term “community” in heritage studies </w:t>
      </w:r>
      <w:r w:rsidR="00CA7B9F">
        <w:t xml:space="preserve">has also been contentious, and </w:t>
      </w:r>
      <w:r w:rsidR="004F730E">
        <w:t xml:space="preserve">has </w:t>
      </w:r>
      <w:r w:rsidR="00103377">
        <w:t>been critically reviewed</w:t>
      </w:r>
      <w:r w:rsidR="00CF78A3">
        <w:t xml:space="preserve"> </w:t>
      </w:r>
      <w:r w:rsidR="00B641D9">
        <w:t xml:space="preserve">by </w:t>
      </w:r>
      <w:r w:rsidR="0057558D">
        <w:t>Waterton and Smith</w:t>
      </w:r>
      <w:r w:rsidR="00423DFE">
        <w:t xml:space="preserve">, who have argued that </w:t>
      </w:r>
      <w:r w:rsidR="0027127B">
        <w:t xml:space="preserve">current uses of the term </w:t>
      </w:r>
      <w:r w:rsidR="008A3375">
        <w:t xml:space="preserve">“community” have become a tool for </w:t>
      </w:r>
      <w:r w:rsidR="00040E81">
        <w:t xml:space="preserve">heritage professionals to exert </w:t>
      </w:r>
      <w:r w:rsidR="002321D4">
        <w:t xml:space="preserve">control over </w:t>
      </w:r>
      <w:r w:rsidR="00496126">
        <w:t>how heritage is engaged with.</w:t>
      </w:r>
      <w:r w:rsidR="00496126">
        <w:rPr>
          <w:rStyle w:val="FootnoteReference"/>
        </w:rPr>
        <w:footnoteReference w:id="5"/>
      </w:r>
    </w:p>
    <w:p w14:paraId="05D364E6" w14:textId="17B3EB46" w:rsidR="006A260B" w:rsidRDefault="00840974">
      <w:r>
        <w:t>Given this</w:t>
      </w:r>
      <w:r w:rsidR="00BC2EBB">
        <w:t xml:space="preserve"> complex context</w:t>
      </w:r>
      <w:r w:rsidR="00730334">
        <w:t xml:space="preserve"> it is important to clarify </w:t>
      </w:r>
      <w:r w:rsidR="005B01FF">
        <w:t>what is meant by the key terms which are critical to the discussion: heritage site, community engagement, and the idea of a heritage site being sustainable.</w:t>
      </w:r>
      <w:r w:rsidR="00B11F4D">
        <w:t xml:space="preserve"> The essay will therefore start by </w:t>
      </w:r>
      <w:r w:rsidR="004E5D41">
        <w:t xml:space="preserve">exploring </w:t>
      </w:r>
      <w:r w:rsidR="005A1D4B">
        <w:t xml:space="preserve">how best to define them for the purposes of this discussion. </w:t>
      </w:r>
      <w:r w:rsidR="007223AA">
        <w:t xml:space="preserve">This will be followed by </w:t>
      </w:r>
      <w:r w:rsidR="00562B7A">
        <w:t xml:space="preserve">an </w:t>
      </w:r>
      <w:r w:rsidR="00EF0A65">
        <w:t xml:space="preserve">analysis of the different ways in which </w:t>
      </w:r>
      <w:r w:rsidR="001C6B69">
        <w:t>communities engage with heritage, and the effects that engagement has on the sustainability of heritage sites.</w:t>
      </w:r>
      <w:r w:rsidR="003006AA">
        <w:t xml:space="preserve"> </w:t>
      </w:r>
      <w:r w:rsidR="00EC3412">
        <w:t>The essay will then conclude with a</w:t>
      </w:r>
      <w:r w:rsidR="003B75B0">
        <w:t xml:space="preserve">n assessment of </w:t>
      </w:r>
      <w:r w:rsidR="000927D1">
        <w:t>key</w:t>
      </w:r>
      <w:r w:rsidR="003B75B0">
        <w:t xml:space="preserve"> </w:t>
      </w:r>
      <w:r w:rsidR="00816321">
        <w:t>insights</w:t>
      </w:r>
      <w:r w:rsidR="003B75B0">
        <w:t xml:space="preserve"> which emerge from the review undertaken.</w:t>
      </w:r>
    </w:p>
    <w:p w14:paraId="4BB9D118" w14:textId="030C1712" w:rsidR="00CD7463" w:rsidRPr="00A24DAC" w:rsidRDefault="00862E71">
      <w:pPr>
        <w:rPr>
          <w:b/>
          <w:bCs/>
          <w:i/>
          <w:iCs/>
        </w:rPr>
      </w:pPr>
      <w:r w:rsidRPr="00A24DAC">
        <w:rPr>
          <w:b/>
          <w:bCs/>
          <w:i/>
          <w:iCs/>
        </w:rPr>
        <w:lastRenderedPageBreak/>
        <w:t>Defining key terms</w:t>
      </w:r>
    </w:p>
    <w:p w14:paraId="6DAACD4F" w14:textId="1B0A30DA" w:rsidR="00862E71" w:rsidRDefault="00557D7E">
      <w:pPr>
        <w:rPr>
          <w:u w:val="single"/>
        </w:rPr>
      </w:pPr>
      <w:r w:rsidRPr="00557D7E">
        <w:rPr>
          <w:u w:val="single"/>
        </w:rPr>
        <w:t>Heritage site</w:t>
      </w:r>
    </w:p>
    <w:p w14:paraId="404EF1D7" w14:textId="040ACAA2" w:rsidR="00715374" w:rsidRDefault="00D866C6">
      <w:r>
        <w:t xml:space="preserve">The term heritage site is </w:t>
      </w:r>
      <w:r w:rsidR="00D93C81">
        <w:t>a</w:t>
      </w:r>
      <w:r>
        <w:t xml:space="preserve"> widely used term whose definition </w:t>
      </w:r>
      <w:r w:rsidR="0071591C">
        <w:t xml:space="preserve">is not clear and is </w:t>
      </w:r>
      <w:r w:rsidR="00D93C81">
        <w:t xml:space="preserve">often unexamined and </w:t>
      </w:r>
      <w:r w:rsidR="0071591C">
        <w:t>taken for granted.</w:t>
      </w:r>
      <w:r w:rsidR="00385953">
        <w:t xml:space="preserve"> For example, in their review of public appreciation of heritage sites following Covid-19, Sofaer</w:t>
      </w:r>
      <w:r w:rsidR="009F2F31">
        <w:t xml:space="preserve"> and colleagues collated data on </w:t>
      </w:r>
      <w:r w:rsidR="00D14738">
        <w:t xml:space="preserve">public perception and appreciation of </w:t>
      </w:r>
      <w:r w:rsidR="004621EC">
        <w:t>“</w:t>
      </w:r>
      <w:r w:rsidR="00D14738">
        <w:t>heritage</w:t>
      </w:r>
      <w:r w:rsidR="004621EC">
        <w:t xml:space="preserve"> sites”</w:t>
      </w:r>
      <w:r w:rsidR="00423640">
        <w:t>,</w:t>
      </w:r>
      <w:r w:rsidR="00AD2CF4">
        <w:t xml:space="preserve"> and</w:t>
      </w:r>
      <w:r w:rsidR="00423640">
        <w:t xml:space="preserve"> on</w:t>
      </w:r>
      <w:r w:rsidR="00AD2CF4">
        <w:t xml:space="preserve"> potential </w:t>
      </w:r>
      <w:r w:rsidR="00FA3145">
        <w:t>associated wellbeing</w:t>
      </w:r>
      <w:r w:rsidR="00AD2CF4">
        <w:t xml:space="preserve"> </w:t>
      </w:r>
      <w:r w:rsidR="00FA3145">
        <w:t>effects</w:t>
      </w:r>
      <w:r w:rsidR="00D14738">
        <w:t xml:space="preserve">, however </w:t>
      </w:r>
      <w:r w:rsidR="00515F5B">
        <w:t>at no point is the term defined.</w:t>
      </w:r>
      <w:r w:rsidR="00994E26">
        <w:rPr>
          <w:rStyle w:val="FootnoteReference"/>
        </w:rPr>
        <w:footnoteReference w:id="6"/>
      </w:r>
      <w:r w:rsidR="00994E26">
        <w:t xml:space="preserve"> </w:t>
      </w:r>
      <w:r w:rsidR="006B179D">
        <w:t xml:space="preserve">The article </w:t>
      </w:r>
      <w:r w:rsidR="00FE6B7B">
        <w:t>seems to assume that heritage sites consist of organisations</w:t>
      </w:r>
      <w:r w:rsidR="00AD2CF4">
        <w:t xml:space="preserve"> or institutions which can restrict access</w:t>
      </w:r>
      <w:r w:rsidR="00C64783">
        <w:t>.</w:t>
      </w:r>
      <w:r w:rsidR="00C64783">
        <w:rPr>
          <w:rStyle w:val="FootnoteReference"/>
        </w:rPr>
        <w:footnoteReference w:id="7"/>
      </w:r>
      <w:r w:rsidR="00ED52B8">
        <w:t xml:space="preserve"> </w:t>
      </w:r>
      <w:r w:rsidR="008A5B23">
        <w:t xml:space="preserve">However, this assumed conception of a heritage site is potentially restrictive. For example, </w:t>
      </w:r>
      <w:r w:rsidR="002A7749">
        <w:t xml:space="preserve">the </w:t>
      </w:r>
      <w:r w:rsidR="007E77F4" w:rsidRPr="007E77F4">
        <w:t>Trefignath Burial Chamber</w:t>
      </w:r>
      <w:r w:rsidR="008A5B23">
        <w:t xml:space="preserve"> </w:t>
      </w:r>
      <w:r w:rsidR="007E77F4">
        <w:t>near Holyhead</w:t>
      </w:r>
      <w:r w:rsidR="0012398E">
        <w:t>,</w:t>
      </w:r>
      <w:r w:rsidR="007E77F4">
        <w:t xml:space="preserve"> Wales</w:t>
      </w:r>
      <w:r w:rsidR="0012398E">
        <w:t>,</w:t>
      </w:r>
      <w:r w:rsidR="008A5B23">
        <w:t xml:space="preserve"> </w:t>
      </w:r>
      <w:r w:rsidR="0012398E">
        <w:t>comprise</w:t>
      </w:r>
      <w:r w:rsidR="00C94382">
        <w:t>s</w:t>
      </w:r>
      <w:r w:rsidR="0012398E">
        <w:t xml:space="preserve"> </w:t>
      </w:r>
      <w:r w:rsidR="002A7749">
        <w:t>a trio of Neolithic tombs</w:t>
      </w:r>
      <w:r w:rsidR="008B655B">
        <w:t xml:space="preserve"> which survive as upstanding remains. </w:t>
      </w:r>
      <w:r w:rsidR="000C3997">
        <w:t xml:space="preserve">The </w:t>
      </w:r>
      <w:r w:rsidR="00C94382">
        <w:t xml:space="preserve">tombs are </w:t>
      </w:r>
      <w:r w:rsidR="006645C0">
        <w:t xml:space="preserve">publicly open, with </w:t>
      </w:r>
      <w:r w:rsidR="004400D2">
        <w:t>no</w:t>
      </w:r>
      <w:r w:rsidR="006645C0">
        <w:t xml:space="preserve"> </w:t>
      </w:r>
      <w:r w:rsidR="004400D2">
        <w:t>charge for</w:t>
      </w:r>
      <w:r w:rsidR="006645C0">
        <w:t xml:space="preserve"> access or associated infrastructure other than </w:t>
      </w:r>
      <w:r w:rsidR="00B93E4D">
        <w:t xml:space="preserve">a small </w:t>
      </w:r>
      <w:r w:rsidR="00984FEA">
        <w:t>parking area</w:t>
      </w:r>
      <w:r w:rsidR="001C5932">
        <w:t>.</w:t>
      </w:r>
      <w:r w:rsidR="00171EBC">
        <w:rPr>
          <w:rStyle w:val="FootnoteReference"/>
        </w:rPr>
        <w:footnoteReference w:id="8"/>
      </w:r>
      <w:r w:rsidR="004F7253">
        <w:t xml:space="preserve"> </w:t>
      </w:r>
      <w:r w:rsidR="00DC36BE">
        <w:t xml:space="preserve">Despite this, the tombs </w:t>
      </w:r>
      <w:r w:rsidR="004C245B">
        <w:t xml:space="preserve">still have clear and legible heritage interest, </w:t>
      </w:r>
      <w:r w:rsidR="008A55A6">
        <w:t>and</w:t>
      </w:r>
      <w:r w:rsidR="00DC36BE">
        <w:t xml:space="preserve"> </w:t>
      </w:r>
      <w:r w:rsidR="00C94382">
        <w:t>may</w:t>
      </w:r>
      <w:r w:rsidR="00DC36BE">
        <w:t xml:space="preserve"> have </w:t>
      </w:r>
      <w:r w:rsidR="00665B6B">
        <w:t xml:space="preserve">had similar beneficial effects to those provided by other </w:t>
      </w:r>
      <w:r w:rsidR="00A568D0">
        <w:t xml:space="preserve">institutional </w:t>
      </w:r>
      <w:r w:rsidR="00665B6B">
        <w:t>attractions</w:t>
      </w:r>
      <w:r w:rsidR="00A568D0">
        <w:t xml:space="preserve">. </w:t>
      </w:r>
      <w:r w:rsidR="00827694">
        <w:t>By not examining the meaning of the term</w:t>
      </w:r>
      <w:r w:rsidR="00BA17F4">
        <w:t>,</w:t>
      </w:r>
      <w:r w:rsidR="00827694">
        <w:t xml:space="preserve"> and r</w:t>
      </w:r>
      <w:r w:rsidR="00A568D0">
        <w:t xml:space="preserve">estricting the definition of </w:t>
      </w:r>
      <w:r w:rsidR="005B48E8">
        <w:t xml:space="preserve">a heritage site, research may then be unable to assess whether effects were due to heritage considerations, or </w:t>
      </w:r>
      <w:r w:rsidR="006723DE">
        <w:t>other factors, such as the availability of cafes and gift shops.</w:t>
      </w:r>
      <w:r w:rsidR="00715374">
        <w:t xml:space="preserve"> As argued by Laurajane </w:t>
      </w:r>
      <w:r w:rsidR="00E255AB">
        <w:t>Smith,</w:t>
      </w:r>
      <w:r w:rsidR="00210CC8">
        <w:rPr>
          <w:rStyle w:val="FootnoteReference"/>
        </w:rPr>
        <w:footnoteReference w:id="9"/>
      </w:r>
      <w:r w:rsidR="00E255AB">
        <w:t xml:space="preserve"> heritage is not restricted to </w:t>
      </w:r>
      <w:r w:rsidR="0032060F">
        <w:t>institutionally based</w:t>
      </w:r>
      <w:r w:rsidR="00F42B55">
        <w:t xml:space="preserve"> sites with curated presentations of </w:t>
      </w:r>
      <w:r w:rsidR="00666A9D">
        <w:t>heritage and</w:t>
      </w:r>
      <w:r w:rsidR="00F42B55">
        <w:t xml:space="preserve"> may include sites and activities </w:t>
      </w:r>
      <w:r w:rsidR="0076300C">
        <w:t xml:space="preserve">in which heritage is perceived </w:t>
      </w:r>
      <w:r w:rsidR="00666A9D">
        <w:t xml:space="preserve">but not officially recognised. </w:t>
      </w:r>
    </w:p>
    <w:p w14:paraId="154F8EB3" w14:textId="53D7E540" w:rsidR="00E416C9" w:rsidRDefault="00313C31">
      <w:r>
        <w:t>Therefore</w:t>
      </w:r>
      <w:r w:rsidR="00E255AB">
        <w:t>,</w:t>
      </w:r>
      <w:r>
        <w:t xml:space="preserve"> for the purposes of this essay, the term </w:t>
      </w:r>
      <w:r w:rsidRPr="001A7323">
        <w:rPr>
          <w:i/>
          <w:iCs/>
        </w:rPr>
        <w:t>heritage site</w:t>
      </w:r>
      <w:r>
        <w:t xml:space="preserve"> refers to a location where heritage can be </w:t>
      </w:r>
      <w:r w:rsidR="00A70FD2">
        <w:t xml:space="preserve">recognised and experienced by people, be they local to the area, or tourists. This can include museums, historic buildings, archaeological </w:t>
      </w:r>
      <w:r w:rsidR="00770036">
        <w:t xml:space="preserve">finds and </w:t>
      </w:r>
      <w:r w:rsidR="00D93C81">
        <w:t>sites,</w:t>
      </w:r>
      <w:r w:rsidR="00E416C9">
        <w:t xml:space="preserve"> and landscapes of historic interest.</w:t>
      </w:r>
    </w:p>
    <w:p w14:paraId="70ABC81D" w14:textId="29FC9215" w:rsidR="00E416C9" w:rsidRPr="00E416C9" w:rsidRDefault="00E416C9">
      <w:pPr>
        <w:rPr>
          <w:u w:val="single"/>
        </w:rPr>
      </w:pPr>
      <w:r w:rsidRPr="00E416C9">
        <w:rPr>
          <w:u w:val="single"/>
        </w:rPr>
        <w:t xml:space="preserve">Community </w:t>
      </w:r>
      <w:r w:rsidR="00054B6D">
        <w:rPr>
          <w:u w:val="single"/>
        </w:rPr>
        <w:t>e</w:t>
      </w:r>
      <w:r w:rsidRPr="00E416C9">
        <w:rPr>
          <w:u w:val="single"/>
        </w:rPr>
        <w:t>ngagement</w:t>
      </w:r>
    </w:p>
    <w:p w14:paraId="7100E18D" w14:textId="3CE103E8" w:rsidR="00557D7E" w:rsidRDefault="00833E23">
      <w:r>
        <w:t xml:space="preserve">Defining community engagement within </w:t>
      </w:r>
      <w:r w:rsidR="00AD456B">
        <w:t xml:space="preserve">the context of </w:t>
      </w:r>
      <w:r>
        <w:t xml:space="preserve">heritage </w:t>
      </w:r>
      <w:r w:rsidR="00AD456B">
        <w:t xml:space="preserve">studies </w:t>
      </w:r>
      <w:r>
        <w:t xml:space="preserve">is </w:t>
      </w:r>
      <w:r w:rsidR="00E24004">
        <w:t>complex</w:t>
      </w:r>
      <w:r w:rsidR="00AD456B">
        <w:t xml:space="preserve">, as there are many identity, political and power dynamics involved. </w:t>
      </w:r>
      <w:r w:rsidR="00336A4B">
        <w:t xml:space="preserve">In their review of the use of the term in heritage practice, Waterton and Smith </w:t>
      </w:r>
      <w:r w:rsidR="00F308FB">
        <w:t xml:space="preserve">outline a number of issues, including how the term </w:t>
      </w:r>
      <w:r w:rsidR="007C2CBD">
        <w:t>“</w:t>
      </w:r>
      <w:r w:rsidR="00F308FB">
        <w:t>community</w:t>
      </w:r>
      <w:r w:rsidR="007C2CBD">
        <w:t>”</w:t>
      </w:r>
      <w:r w:rsidR="00F308FB">
        <w:t xml:space="preserve"> is </w:t>
      </w:r>
      <w:r w:rsidR="009E260B">
        <w:t>used to privilege the view of some groups over others</w:t>
      </w:r>
      <w:r w:rsidR="007C2CBD">
        <w:t xml:space="preserve">, or to deny </w:t>
      </w:r>
      <w:r w:rsidR="001D2F73">
        <w:t xml:space="preserve">the voice of minorities by subsuming them within a larger “community group” and assuming </w:t>
      </w:r>
      <w:r w:rsidR="00C26A08">
        <w:t xml:space="preserve">the shared views </w:t>
      </w:r>
      <w:r w:rsidR="00C26A08">
        <w:lastRenderedPageBreak/>
        <w:t>and interests of that group.</w:t>
      </w:r>
      <w:r w:rsidR="00501CF8">
        <w:rPr>
          <w:rStyle w:val="FootnoteReference"/>
        </w:rPr>
        <w:footnoteReference w:id="10"/>
      </w:r>
      <w:r w:rsidR="00501CF8">
        <w:t xml:space="preserve"> </w:t>
      </w:r>
      <w:r w:rsidR="00726366">
        <w:t xml:space="preserve">However, while the review </w:t>
      </w:r>
      <w:r w:rsidR="004D509D">
        <w:t xml:space="preserve">highlights a number valid issues with the use of the term, </w:t>
      </w:r>
      <w:r w:rsidR="004E661B">
        <w:t xml:space="preserve">and in several places notes what </w:t>
      </w:r>
      <w:r w:rsidR="002245D6">
        <w:t xml:space="preserve">a community </w:t>
      </w:r>
      <w:r w:rsidR="002245D6" w:rsidRPr="00CF2F49">
        <w:rPr>
          <w:i/>
          <w:iCs/>
        </w:rPr>
        <w:t>isn’t</w:t>
      </w:r>
      <w:r w:rsidR="002245D6">
        <w:t xml:space="preserve">, </w:t>
      </w:r>
      <w:r w:rsidR="00DA0107">
        <w:t>there is no clear articulation of how a community could be defined without falling foul of the many issues highlighted.</w:t>
      </w:r>
      <w:r w:rsidR="002330F0">
        <w:t xml:space="preserve"> In her review of the </w:t>
      </w:r>
      <w:r w:rsidR="0027336D">
        <w:t>politics of community heritage, Crooke</w:t>
      </w:r>
      <w:r w:rsidR="00AB6084">
        <w:t xml:space="preserve"> notes how </w:t>
      </w:r>
      <w:r w:rsidR="00A43CCE">
        <w:t>communities often form in response to circumstances, for example a rural community may form in response to a perceived shared threat</w:t>
      </w:r>
      <w:r w:rsidR="00BD55F7">
        <w:t>.</w:t>
      </w:r>
      <w:r w:rsidR="00BD55F7">
        <w:rPr>
          <w:rStyle w:val="FootnoteReference"/>
        </w:rPr>
        <w:footnoteReference w:id="11"/>
      </w:r>
      <w:r w:rsidR="00F80171">
        <w:t xml:space="preserve"> This conception of community</w:t>
      </w:r>
      <w:r w:rsidR="002F744A">
        <w:t xml:space="preserve"> -</w:t>
      </w:r>
      <w:r w:rsidR="00F80171">
        <w:t xml:space="preserve"> where a group of people </w:t>
      </w:r>
      <w:r w:rsidR="00056DF8">
        <w:t xml:space="preserve">share an objective or </w:t>
      </w:r>
      <w:r w:rsidR="002E7EBD">
        <w:t xml:space="preserve">circumstance which may encourage them to </w:t>
      </w:r>
      <w:r w:rsidR="00187C96">
        <w:t xml:space="preserve">respond </w:t>
      </w:r>
      <w:r w:rsidR="001F02E8">
        <w:t>jointly</w:t>
      </w:r>
      <w:r w:rsidR="00212B49">
        <w:t xml:space="preserve"> or in a similar fashion</w:t>
      </w:r>
      <w:r w:rsidR="002F744A">
        <w:t>,</w:t>
      </w:r>
      <w:r w:rsidR="005C242F">
        <w:t xml:space="preserve"> but without necessarily </w:t>
      </w:r>
      <w:r w:rsidR="00257F11">
        <w:t>forming a fixed and uniform identity across the group</w:t>
      </w:r>
      <w:r w:rsidR="002F744A">
        <w:t xml:space="preserve"> -</w:t>
      </w:r>
      <w:r w:rsidR="001F02E8">
        <w:t xml:space="preserve"> is </w:t>
      </w:r>
      <w:r w:rsidR="004B4D92">
        <w:t>the most relevant to the discussion in this essay.</w:t>
      </w:r>
      <w:r w:rsidR="000506D5">
        <w:t xml:space="preserve"> </w:t>
      </w:r>
    </w:p>
    <w:p w14:paraId="71B711D8" w14:textId="712141FA" w:rsidR="00EE75A8" w:rsidRDefault="00BC6BE9">
      <w:r>
        <w:t xml:space="preserve">Therefore, for the purposes of this essay, the term </w:t>
      </w:r>
      <w:r>
        <w:rPr>
          <w:i/>
          <w:iCs/>
        </w:rPr>
        <w:t>community engagement</w:t>
      </w:r>
      <w:r>
        <w:t xml:space="preserve"> is defined as the interaction between </w:t>
      </w:r>
      <w:r w:rsidR="00FB14F0">
        <w:t xml:space="preserve">a group or </w:t>
      </w:r>
      <w:r>
        <w:t xml:space="preserve">groups of </w:t>
      </w:r>
      <w:r w:rsidR="00FB14F0">
        <w:t xml:space="preserve">people and </w:t>
      </w:r>
      <w:r w:rsidR="001347D1">
        <w:t>a place such as a heritage site, or another group or organisation, such as a government</w:t>
      </w:r>
      <w:r w:rsidR="00C00D40">
        <w:t xml:space="preserve"> department</w:t>
      </w:r>
      <w:r w:rsidR="001347D1">
        <w:t>.</w:t>
      </w:r>
      <w:r w:rsidR="000506D5">
        <w:t xml:space="preserve"> </w:t>
      </w:r>
    </w:p>
    <w:p w14:paraId="15D4FAE9" w14:textId="32DEF1E3" w:rsidR="000506D5" w:rsidRPr="00F700B3" w:rsidRDefault="00F700B3">
      <w:pPr>
        <w:rPr>
          <w:u w:val="single"/>
        </w:rPr>
      </w:pPr>
      <w:r w:rsidRPr="00F700B3">
        <w:rPr>
          <w:u w:val="single"/>
        </w:rPr>
        <w:t>Sustainability of a heritage site</w:t>
      </w:r>
    </w:p>
    <w:p w14:paraId="370C5528" w14:textId="7AAAF0B1" w:rsidR="00E17341" w:rsidRDefault="003F1FFC">
      <w:r>
        <w:t>In t</w:t>
      </w:r>
      <w:r w:rsidR="0063669B">
        <w:t>he recently published</w:t>
      </w:r>
      <w:r>
        <w:t xml:space="preserve"> edition of</w:t>
      </w:r>
      <w:r w:rsidR="0063669B">
        <w:t xml:space="preserve"> </w:t>
      </w:r>
      <w:r>
        <w:t xml:space="preserve">the </w:t>
      </w:r>
      <w:r w:rsidR="00751E80">
        <w:t>Routledge Handbook of Sustainable Heritage</w:t>
      </w:r>
      <w:r w:rsidR="003918E4">
        <w:t xml:space="preserve"> </w:t>
      </w:r>
      <w:r w:rsidR="00EC626E">
        <w:t xml:space="preserve">it is argued </w:t>
      </w:r>
      <w:r w:rsidR="00DA4AED">
        <w:t xml:space="preserve">that </w:t>
      </w:r>
      <w:r>
        <w:t xml:space="preserve">sustainable heritage </w:t>
      </w:r>
      <w:r w:rsidR="00DA4AED">
        <w:t>should be understood in two ways</w:t>
      </w:r>
      <w:r w:rsidR="008F2462">
        <w:t xml:space="preserve">: </w:t>
      </w:r>
      <w:r w:rsidR="004942EE">
        <w:t>a ‘responsive approach’ and a ‘</w:t>
      </w:r>
      <w:r w:rsidR="00FC1B29">
        <w:t>dynamic</w:t>
      </w:r>
      <w:r w:rsidR="004942EE">
        <w:t xml:space="preserve"> approach’.</w:t>
      </w:r>
      <w:r w:rsidR="004942EE">
        <w:rPr>
          <w:rStyle w:val="FootnoteReference"/>
        </w:rPr>
        <w:footnoteReference w:id="12"/>
      </w:r>
      <w:r w:rsidR="00DA4AED">
        <w:t xml:space="preserve"> </w:t>
      </w:r>
      <w:r w:rsidR="0049027F">
        <w:t xml:space="preserve">The responsive approach acknowledges that heritage is threatened by </w:t>
      </w:r>
      <w:r w:rsidR="00F943FE">
        <w:t xml:space="preserve">risks and deterioration, and so merits conservation </w:t>
      </w:r>
      <w:r w:rsidR="009A2882">
        <w:t xml:space="preserve">to arrest these processes where possible. The dynamic approach </w:t>
      </w:r>
      <w:r w:rsidR="00614677">
        <w:t>recognises that heritage can be a catalyst for, and influence on</w:t>
      </w:r>
      <w:r w:rsidR="004E30CE">
        <w:t>,</w:t>
      </w:r>
      <w:r w:rsidR="00614677">
        <w:t xml:space="preserve"> </w:t>
      </w:r>
      <w:r w:rsidR="00ED2E01">
        <w:t>development and regeneration projects.</w:t>
      </w:r>
      <w:r w:rsidR="00ED2E01">
        <w:rPr>
          <w:rStyle w:val="FootnoteReference"/>
        </w:rPr>
        <w:footnoteReference w:id="13"/>
      </w:r>
      <w:r w:rsidR="00A27D68">
        <w:t xml:space="preserve"> </w:t>
      </w:r>
      <w:r w:rsidR="004D3743">
        <w:t xml:space="preserve">This conception of sustainability of heritage captures well the breadth of </w:t>
      </w:r>
      <w:r w:rsidR="006B211D">
        <w:t xml:space="preserve">current academic discourse on the topic, which includes research on how </w:t>
      </w:r>
      <w:r w:rsidR="000D71CC">
        <w:t xml:space="preserve">cultural </w:t>
      </w:r>
      <w:r w:rsidR="00CC786F">
        <w:t xml:space="preserve">heritage </w:t>
      </w:r>
      <w:r w:rsidR="000D71CC">
        <w:t>has been used to alleviate poverty</w:t>
      </w:r>
      <w:r w:rsidR="00C90AAC">
        <w:t xml:space="preserve"> and other global challenges,</w:t>
      </w:r>
      <w:r w:rsidR="00C90AAC">
        <w:rPr>
          <w:rStyle w:val="FootnoteReference"/>
        </w:rPr>
        <w:footnoteReference w:id="14"/>
      </w:r>
      <w:r w:rsidR="00821D30">
        <w:t xml:space="preserve"> </w:t>
      </w:r>
      <w:r w:rsidR="00B85A1B">
        <w:t xml:space="preserve">to </w:t>
      </w:r>
      <w:r w:rsidR="00821D30">
        <w:t>enhance well-being and mental health,</w:t>
      </w:r>
      <w:r w:rsidR="002B2BA5">
        <w:rPr>
          <w:rStyle w:val="FootnoteReference"/>
        </w:rPr>
        <w:footnoteReference w:id="15"/>
      </w:r>
      <w:r w:rsidR="001F3E30">
        <w:t xml:space="preserve"> </w:t>
      </w:r>
      <w:r w:rsidR="00186D7B">
        <w:t>as well as the importance of conserving physical remains</w:t>
      </w:r>
      <w:r w:rsidR="00BC4AD2">
        <w:t>.</w:t>
      </w:r>
      <w:r w:rsidR="00BC4AD2">
        <w:rPr>
          <w:rStyle w:val="FootnoteReference"/>
        </w:rPr>
        <w:footnoteReference w:id="16"/>
      </w:r>
      <w:r w:rsidR="00F87705">
        <w:t xml:space="preserve"> </w:t>
      </w:r>
      <w:r w:rsidR="001B35FB">
        <w:t xml:space="preserve">Acknowledging that both the conservation of remains </w:t>
      </w:r>
      <w:r w:rsidR="001B35FB" w:rsidRPr="002F2114">
        <w:rPr>
          <w:i/>
          <w:iCs/>
        </w:rPr>
        <w:t>and</w:t>
      </w:r>
      <w:r w:rsidR="001B35FB">
        <w:t xml:space="preserve"> the use of those remains must be equally considered is also</w:t>
      </w:r>
      <w:r w:rsidR="002F2114">
        <w:t xml:space="preserve"> important because, as Smith has highlighted, the </w:t>
      </w:r>
      <w:r w:rsidR="00F81A8C">
        <w:t xml:space="preserve">use of heritage </w:t>
      </w:r>
      <w:r w:rsidR="00AD5F89">
        <w:t xml:space="preserve">within a cultural context </w:t>
      </w:r>
      <w:r w:rsidR="00F81A8C">
        <w:t xml:space="preserve">is found in the </w:t>
      </w:r>
      <w:r w:rsidR="00F81A8C">
        <w:lastRenderedPageBreak/>
        <w:t xml:space="preserve">interaction between </w:t>
      </w:r>
      <w:r w:rsidR="00130100">
        <w:t xml:space="preserve">historic </w:t>
      </w:r>
      <w:r w:rsidR="00F81A8C">
        <w:t>sites</w:t>
      </w:r>
      <w:r w:rsidR="00130100">
        <w:t xml:space="preserve"> and</w:t>
      </w:r>
      <w:r w:rsidR="00F81A8C">
        <w:t xml:space="preserve"> practices</w:t>
      </w:r>
      <w:r w:rsidR="00130100">
        <w:t xml:space="preserve"> on the one hand, and </w:t>
      </w:r>
      <w:r w:rsidR="00C50D66">
        <w:t xml:space="preserve">people </w:t>
      </w:r>
      <w:r w:rsidR="00262A08">
        <w:t>with accepted cultural narratives and understandings on the other,</w:t>
      </w:r>
      <w:r w:rsidR="00262A08">
        <w:rPr>
          <w:rStyle w:val="FootnoteReference"/>
        </w:rPr>
        <w:footnoteReference w:id="17"/>
      </w:r>
      <w:r w:rsidR="00262A08">
        <w:t xml:space="preserve"> and not exclusively in one or the other.</w:t>
      </w:r>
    </w:p>
    <w:p w14:paraId="3234C789" w14:textId="68289167" w:rsidR="002C072B" w:rsidRDefault="006A3156">
      <w:r>
        <w:t xml:space="preserve">Therefore, for the purposes of this essay, </w:t>
      </w:r>
      <w:r w:rsidR="00F503A2">
        <w:t xml:space="preserve">a heritage site can be said to be </w:t>
      </w:r>
      <w:r w:rsidR="00F503A2" w:rsidRPr="009F4940">
        <w:rPr>
          <w:i/>
          <w:iCs/>
        </w:rPr>
        <w:t>sustainable</w:t>
      </w:r>
      <w:r w:rsidR="00F503A2">
        <w:t xml:space="preserve"> when the factors that allow the site</w:t>
      </w:r>
      <w:r w:rsidR="009152DB">
        <w:t>’s heritage</w:t>
      </w:r>
      <w:r w:rsidR="00F503A2">
        <w:t xml:space="preserve"> to be recognised, experienced</w:t>
      </w:r>
      <w:r w:rsidR="00987D99">
        <w:t>,</w:t>
      </w:r>
      <w:r w:rsidR="00F503A2">
        <w:t xml:space="preserve"> and used</w:t>
      </w:r>
      <w:r w:rsidR="00206DF1">
        <w:t xml:space="preserve"> remain in place over the medium to long term</w:t>
      </w:r>
      <w:r w:rsidR="009F4940">
        <w:t>.</w:t>
      </w:r>
    </w:p>
    <w:p w14:paraId="0E20EC3A" w14:textId="4CD9D2A2" w:rsidR="00F91624" w:rsidRPr="005355A1" w:rsidRDefault="00663E51">
      <w:pPr>
        <w:rPr>
          <w:b/>
          <w:bCs/>
          <w:i/>
          <w:iCs/>
        </w:rPr>
      </w:pPr>
      <w:r>
        <w:rPr>
          <w:b/>
          <w:bCs/>
          <w:i/>
          <w:iCs/>
        </w:rPr>
        <w:t>How communities engage with heritage</w:t>
      </w:r>
    </w:p>
    <w:p w14:paraId="2D1C9240" w14:textId="763634DA" w:rsidR="00827251" w:rsidRDefault="0021350A">
      <w:r>
        <w:t xml:space="preserve">As can be seen from the </w:t>
      </w:r>
      <w:r w:rsidR="00252776">
        <w:t>definitions discussed above</w:t>
      </w:r>
      <w:r>
        <w:t xml:space="preserve">, </w:t>
      </w:r>
      <w:r w:rsidR="00252776">
        <w:t xml:space="preserve">community engagement can be understood as an interaction that a group of people have with a heritage site. </w:t>
      </w:r>
      <w:r w:rsidR="00266CE7">
        <w:t xml:space="preserve">While there are </w:t>
      </w:r>
      <w:r w:rsidR="006E0AF3">
        <w:t>innumerable ways in which people may interact with a heritage site,</w:t>
      </w:r>
      <w:r w:rsidR="008328F8">
        <w:t xml:space="preserve"> however generally</w:t>
      </w:r>
      <w:r w:rsidR="006E0AF3">
        <w:t xml:space="preserve"> the interactions will </w:t>
      </w:r>
      <w:r w:rsidR="00816B15">
        <w:t xml:space="preserve">take one of </w:t>
      </w:r>
      <w:r w:rsidR="008328F8">
        <w:t xml:space="preserve">the following </w:t>
      </w:r>
      <w:r w:rsidR="00816B15">
        <w:t>three forms: (1) identification</w:t>
      </w:r>
      <w:r w:rsidR="00AB0BC1">
        <w:t xml:space="preserve"> of heritage sites</w:t>
      </w:r>
      <w:r w:rsidR="00816B15">
        <w:t>, (2) use</w:t>
      </w:r>
      <w:r w:rsidR="00AB0BC1">
        <w:t xml:space="preserve"> of heritage sites</w:t>
      </w:r>
      <w:r w:rsidR="00816B15">
        <w:t xml:space="preserve">, or (3) </w:t>
      </w:r>
      <w:r w:rsidR="00BB7BCC">
        <w:t>tourism</w:t>
      </w:r>
      <w:r w:rsidR="00AB0BC1">
        <w:t xml:space="preserve"> of heritage sites</w:t>
      </w:r>
      <w:r w:rsidR="00BB7BCC">
        <w:t>.</w:t>
      </w:r>
      <w:r w:rsidR="00F51529">
        <w:t xml:space="preserve"> </w:t>
      </w:r>
      <w:r w:rsidR="007A29AA">
        <w:t>Each of these types of interaction are discussed in more detail below.</w:t>
      </w:r>
    </w:p>
    <w:p w14:paraId="655F7FD2" w14:textId="4F8A0658" w:rsidR="007A29AA" w:rsidRPr="00D27D93" w:rsidRDefault="007A29AA">
      <w:pPr>
        <w:rPr>
          <w:u w:val="single"/>
        </w:rPr>
      </w:pPr>
      <w:r w:rsidRPr="00D27D93">
        <w:rPr>
          <w:u w:val="single"/>
        </w:rPr>
        <w:t>I</w:t>
      </w:r>
      <w:r w:rsidRPr="00D27D93">
        <w:rPr>
          <w:u w:val="single"/>
        </w:rPr>
        <w:t>dentification of heritage sites</w:t>
      </w:r>
    </w:p>
    <w:p w14:paraId="25262357" w14:textId="7EBED295" w:rsidR="00EE0CDC" w:rsidRDefault="00F064B1">
      <w:r>
        <w:t xml:space="preserve">The identification of heritage sites refers to the act of discovering and </w:t>
      </w:r>
      <w:r w:rsidR="004B5814">
        <w:t xml:space="preserve">identifying a site as being a heritage site. </w:t>
      </w:r>
      <w:r w:rsidR="0063707A">
        <w:t>This form of interaction</w:t>
      </w:r>
      <w:r w:rsidR="000E50EF">
        <w:t xml:space="preserve"> is </w:t>
      </w:r>
      <w:r w:rsidR="00BD5646">
        <w:t xml:space="preserve">perhaps one of the more </w:t>
      </w:r>
      <w:r w:rsidR="00A10C1A">
        <w:t>well-known</w:t>
      </w:r>
      <w:r w:rsidR="00BD5646">
        <w:t xml:space="preserve"> means of </w:t>
      </w:r>
      <w:r w:rsidR="0063707A">
        <w:t>engagement</w:t>
      </w:r>
      <w:r w:rsidR="00BD5646">
        <w:t xml:space="preserve"> of people with heritage sites. Archaeological discoveries </w:t>
      </w:r>
      <w:r w:rsidR="00A10C1A">
        <w:t xml:space="preserve">of sites and artefacts </w:t>
      </w:r>
      <w:r w:rsidR="008D498F">
        <w:t xml:space="preserve">by professional and academic archaeologists </w:t>
      </w:r>
      <w:r w:rsidR="00D524D1">
        <w:t xml:space="preserve">are commonplace, as are </w:t>
      </w:r>
      <w:r w:rsidR="0063799A">
        <w:t>finds by metal detectorists</w:t>
      </w:r>
      <w:r w:rsidR="00386A29">
        <w:t xml:space="preserve">, </w:t>
      </w:r>
      <w:r w:rsidR="00D5621E">
        <w:t>underwater salvage companies</w:t>
      </w:r>
      <w:r w:rsidR="003C74FF">
        <w:t>,</w:t>
      </w:r>
      <w:r w:rsidR="0063799A">
        <w:t xml:space="preserve"> amateur groups</w:t>
      </w:r>
      <w:r w:rsidR="00F22F14">
        <w:t>,</w:t>
      </w:r>
      <w:r w:rsidR="003C74FF">
        <w:t xml:space="preserve"> and looters</w:t>
      </w:r>
      <w:r w:rsidR="0063799A">
        <w:t xml:space="preserve">. </w:t>
      </w:r>
      <w:r w:rsidR="00FC5311">
        <w:t xml:space="preserve">Each of these groups of people, or communities, have differing but overlapping </w:t>
      </w:r>
      <w:r w:rsidR="00BC2F2C">
        <w:t>motivations for identifying these remains</w:t>
      </w:r>
      <w:r w:rsidR="006403D5">
        <w:t xml:space="preserve">. </w:t>
      </w:r>
      <w:r w:rsidR="005870CF">
        <w:t>For example</w:t>
      </w:r>
      <w:r w:rsidR="00D5621E">
        <w:t>,</w:t>
      </w:r>
      <w:r w:rsidR="005870CF">
        <w:t xml:space="preserve"> metal detectorists often seek financial rewards for their activities, however </w:t>
      </w:r>
      <w:r w:rsidR="00386A29">
        <w:t xml:space="preserve">professional archaeologists and </w:t>
      </w:r>
      <w:r w:rsidR="006737E4">
        <w:t xml:space="preserve">some </w:t>
      </w:r>
      <w:r w:rsidR="00386A29">
        <w:t xml:space="preserve">academics also make their living from identifying previously unknown remains. </w:t>
      </w:r>
      <w:r w:rsidR="00350ABC">
        <w:t xml:space="preserve">The identification of heritage sites is often how the wider public gain exposure to </w:t>
      </w:r>
      <w:r w:rsidR="00E45968">
        <w:t>heritage sites, through news reports.</w:t>
      </w:r>
      <w:r w:rsidR="00480E34">
        <w:t xml:space="preserve"> </w:t>
      </w:r>
      <w:r w:rsidR="00E33A7C">
        <w:t>The identification of heritage sites also entails the naming of a site as heritage</w:t>
      </w:r>
      <w:r w:rsidR="00CB204F">
        <w:t xml:space="preserve">, either by academic study, or perhaps through designation </w:t>
      </w:r>
      <w:r w:rsidR="005C07A7">
        <w:t>under a law as determined by government officials.</w:t>
      </w:r>
      <w:r w:rsidR="00CB204F">
        <w:t xml:space="preserve"> </w:t>
      </w:r>
    </w:p>
    <w:p w14:paraId="665A4C15" w14:textId="1101AA97" w:rsidR="00C03F6F" w:rsidRDefault="002F280C">
      <w:r>
        <w:t xml:space="preserve">The identification of heritage sites can </w:t>
      </w:r>
      <w:r w:rsidR="00AE2988">
        <w:t xml:space="preserve">provide substantial benefits </w:t>
      </w:r>
      <w:r w:rsidR="001E3872">
        <w:t>and insights, which both contribute to</w:t>
      </w:r>
      <w:r w:rsidR="00900DFB">
        <w:t xml:space="preserve"> both academic research objectives</w:t>
      </w:r>
      <w:r w:rsidR="00C03F6F">
        <w:t xml:space="preserve"> and </w:t>
      </w:r>
      <w:r w:rsidR="00900DFB">
        <w:t>local community needs</w:t>
      </w:r>
      <w:r w:rsidR="00C03F6F">
        <w:t>. A good example is a project undertaken at St Aldates in Oxford</w:t>
      </w:r>
      <w:r w:rsidR="006A0F7A">
        <w:t>. This site</w:t>
      </w:r>
      <w:r w:rsidR="00ED13DC">
        <w:t xml:space="preserve"> was known to be within the estimated extent of the Jewry Quarter of Oxford in the 12</w:t>
      </w:r>
      <w:r w:rsidR="00ED13DC" w:rsidRPr="00ED13DC">
        <w:rPr>
          <w:vertAlign w:val="superscript"/>
        </w:rPr>
        <w:t>th</w:t>
      </w:r>
      <w:r w:rsidR="00ED13DC">
        <w:t xml:space="preserve"> century.</w:t>
      </w:r>
      <w:r w:rsidR="007C48F1">
        <w:rPr>
          <w:rStyle w:val="FootnoteReference"/>
        </w:rPr>
        <w:footnoteReference w:id="18"/>
      </w:r>
      <w:r w:rsidR="00ED13DC">
        <w:t xml:space="preserve"> A redevelopment of the site lead to a programme of archaeological works being agreed, and due to </w:t>
      </w:r>
      <w:r w:rsidR="00530031">
        <w:t>the involvement of the local Jewish community through the Oxford Jewish Heritage Committee</w:t>
      </w:r>
      <w:r w:rsidR="0091300E">
        <w:t xml:space="preserve"> (OJHC)</w:t>
      </w:r>
      <w:r w:rsidR="00530031">
        <w:t xml:space="preserve">, particular focus was given within the </w:t>
      </w:r>
      <w:r w:rsidR="00530031">
        <w:lastRenderedPageBreak/>
        <w:t xml:space="preserve">research design and field methods to </w:t>
      </w:r>
      <w:r w:rsidR="007C48F1">
        <w:t>determine whether the Jewish roots of the site could be confirmed archaeologically.</w:t>
      </w:r>
      <w:r w:rsidR="0091300E">
        <w:t xml:space="preserve"> Specifically</w:t>
      </w:r>
      <w:r w:rsidR="00F64CFA">
        <w:t>,</w:t>
      </w:r>
      <w:r w:rsidR="0091300E">
        <w:t xml:space="preserve"> the OJHC </w:t>
      </w:r>
      <w:r w:rsidR="00C61CFA">
        <w:t>wanted to understand whether the remains of a Jewish house</w:t>
      </w:r>
      <w:r w:rsidR="00F25C9C">
        <w:t xml:space="preserve"> known from historic mapping</w:t>
      </w:r>
      <w:r w:rsidR="00C61CFA">
        <w:t>, Jacob’s Hall</w:t>
      </w:r>
      <w:r w:rsidR="00F25C9C">
        <w:t xml:space="preserve">, could be confirmed as a major </w:t>
      </w:r>
      <w:r w:rsidR="003A5AA9">
        <w:t>Jewish</w:t>
      </w:r>
      <w:r w:rsidR="00F25C9C">
        <w:t xml:space="preserve"> residence</w:t>
      </w:r>
      <w:r w:rsidR="003A5AA9">
        <w:t>. During the archaeological works, a structure matching the mapped location of the hall was located</w:t>
      </w:r>
      <w:r w:rsidR="004D0440">
        <w:t xml:space="preserve">, and included </w:t>
      </w:r>
      <w:r w:rsidR="00D60C93">
        <w:t>a probable latrine, which contained an assemblage of animal bone.</w:t>
      </w:r>
      <w:r w:rsidR="00D60C93">
        <w:rPr>
          <w:rStyle w:val="FootnoteReference"/>
        </w:rPr>
        <w:footnoteReference w:id="19"/>
      </w:r>
      <w:r w:rsidR="00631FAD">
        <w:t xml:space="preserve"> </w:t>
      </w:r>
      <w:r w:rsidR="00F64CFA">
        <w:t xml:space="preserve">The assemblage was </w:t>
      </w:r>
      <w:r w:rsidR="006C7AFF">
        <w:t xml:space="preserve">subjected to organic residue analysis, which was able to confirm </w:t>
      </w:r>
      <w:r w:rsidR="005A66B1">
        <w:t xml:space="preserve">that </w:t>
      </w:r>
      <w:r w:rsidR="006C7AFF">
        <w:t>the inhabitants of the Hall in the 12</w:t>
      </w:r>
      <w:r w:rsidR="006C7AFF" w:rsidRPr="006C7AFF">
        <w:rPr>
          <w:vertAlign w:val="superscript"/>
        </w:rPr>
        <w:t>th</w:t>
      </w:r>
      <w:r w:rsidR="006C7AFF">
        <w:t xml:space="preserve"> century were following a kosher diet, and were therefore Jewish as had been </w:t>
      </w:r>
      <w:r w:rsidR="005A66B1">
        <w:t>implied by the historic mapping.</w:t>
      </w:r>
      <w:r w:rsidR="005A66B1">
        <w:rPr>
          <w:rStyle w:val="FootnoteReference"/>
        </w:rPr>
        <w:footnoteReference w:id="20"/>
      </w:r>
      <w:r w:rsidR="00F925EA">
        <w:t xml:space="preserve"> This discovery was covered by news outlets globally,</w:t>
      </w:r>
      <w:r w:rsidR="00B0189E">
        <w:rPr>
          <w:rStyle w:val="FootnoteReference"/>
        </w:rPr>
        <w:footnoteReference w:id="21"/>
      </w:r>
      <w:r w:rsidR="00F925EA">
        <w:t xml:space="preserve"> and </w:t>
      </w:r>
      <w:r w:rsidR="003B7E5F">
        <w:t>was very well received by the local Jewish community</w:t>
      </w:r>
      <w:r w:rsidR="00B0189E">
        <w:t>,</w:t>
      </w:r>
      <w:r w:rsidR="00EF63D3">
        <w:rPr>
          <w:rStyle w:val="FootnoteReference"/>
        </w:rPr>
        <w:footnoteReference w:id="22"/>
      </w:r>
      <w:r w:rsidR="00B0189E">
        <w:t xml:space="preserve"> and the wider public in the city of Oxford.</w:t>
      </w:r>
      <w:r w:rsidR="00B70CC8">
        <w:rPr>
          <w:rStyle w:val="FootnoteReference"/>
        </w:rPr>
        <w:footnoteReference w:id="23"/>
      </w:r>
      <w:r w:rsidR="00D008DC">
        <w:t xml:space="preserve"> The </w:t>
      </w:r>
      <w:r w:rsidR="003A68A4">
        <w:t>development proposals were also designed to preserve key elements of the buried remains in the site</w:t>
      </w:r>
      <w:r w:rsidR="00B0440C">
        <w:t xml:space="preserve"> </w:t>
      </w:r>
      <w:r w:rsidR="00DF2D16">
        <w:t>which</w:t>
      </w:r>
      <w:r w:rsidR="00B0440C">
        <w:t>,</w:t>
      </w:r>
      <w:r w:rsidR="00DF2D16">
        <w:t xml:space="preserve"> together with the new </w:t>
      </w:r>
      <w:r w:rsidR="005F5C26">
        <w:t xml:space="preserve">understanding of the archaeological interest of the site, has served to </w:t>
      </w:r>
      <w:r w:rsidR="00B41AF4">
        <w:t>enhance the perceived value of the remains, will help secure the</w:t>
      </w:r>
      <w:r w:rsidR="00A34027">
        <w:t>ir</w:t>
      </w:r>
      <w:r w:rsidR="00B41AF4">
        <w:t xml:space="preserve"> ongoing preservation</w:t>
      </w:r>
      <w:r w:rsidR="00A34027">
        <w:t xml:space="preserve">. The </w:t>
      </w:r>
      <w:r w:rsidR="00B0440C">
        <w:t xml:space="preserve">identification of this heritage site also served to </w:t>
      </w:r>
      <w:r w:rsidR="00A32CCF">
        <w:t xml:space="preserve">provide a minority group a sense of place within the </w:t>
      </w:r>
      <w:r w:rsidR="008935DB">
        <w:t>city and</w:t>
      </w:r>
      <w:r w:rsidR="00A32CCF">
        <w:t xml:space="preserve"> established that sense of place in the wider public in the city, as is evidenced by local news reports of the works.</w:t>
      </w:r>
      <w:r w:rsidR="00B74C83">
        <w:rPr>
          <w:rStyle w:val="FootnoteReference"/>
        </w:rPr>
        <w:footnoteReference w:id="24"/>
      </w:r>
    </w:p>
    <w:p w14:paraId="08A82D35" w14:textId="6A8066D1" w:rsidR="000F6F30" w:rsidRDefault="000F6F30">
      <w:r>
        <w:t xml:space="preserve">This project therefore </w:t>
      </w:r>
      <w:r w:rsidR="00E96604">
        <w:t xml:space="preserve">was able to encourage the conservation of physical remains, while also guiding the shape of the development proposals, and </w:t>
      </w:r>
      <w:r w:rsidR="00EA33BE">
        <w:t xml:space="preserve">providing the local community groups, such as the OJHC with cultural benefits. It is therefore an example of </w:t>
      </w:r>
      <w:r w:rsidR="00E166E8">
        <w:t xml:space="preserve">a project where both the responsive and dynamic approaches highlighted by Fouseki </w:t>
      </w:r>
      <w:r w:rsidR="00F42C68">
        <w:t>were satisfied,</w:t>
      </w:r>
      <w:r w:rsidR="00E166E8">
        <w:rPr>
          <w:rStyle w:val="FootnoteReference"/>
        </w:rPr>
        <w:footnoteReference w:id="25"/>
      </w:r>
      <w:r w:rsidR="00A34CC5">
        <w:t xml:space="preserve"> </w:t>
      </w:r>
      <w:r w:rsidR="00A34CC5">
        <w:t>and a positive enhancement to the sustainability of the heritage site was achieved.</w:t>
      </w:r>
    </w:p>
    <w:p w14:paraId="5AF55D6E" w14:textId="31F248AA" w:rsidR="009B77B0" w:rsidRDefault="009B77B0">
      <w:r>
        <w:t xml:space="preserve">However, not all identifications of heritage sites are beneficial to their sustainability. </w:t>
      </w:r>
      <w:r w:rsidR="00156FAB">
        <w:t xml:space="preserve">Metal detectorists often make important discoveries, </w:t>
      </w:r>
      <w:r w:rsidR="00620F0A">
        <w:t xml:space="preserve">such as the discovery of a Viking hoard by </w:t>
      </w:r>
      <w:r w:rsidR="00051E0B" w:rsidRPr="00051E0B">
        <w:t>Derek McLennan</w:t>
      </w:r>
      <w:r w:rsidR="00051E0B">
        <w:t xml:space="preserve"> in 2014.</w:t>
      </w:r>
      <w:r w:rsidR="00AD767B">
        <w:rPr>
          <w:rStyle w:val="FootnoteReference"/>
        </w:rPr>
        <w:footnoteReference w:id="26"/>
      </w:r>
      <w:r w:rsidR="00AD767B">
        <w:t xml:space="preserve"> However, concerns have been raised as to the consequences for the remains of </w:t>
      </w:r>
      <w:r w:rsidR="00AD767B">
        <w:lastRenderedPageBreak/>
        <w:t>such activities</w:t>
      </w:r>
      <w:r w:rsidR="009B0DC5">
        <w:t>, which can entail the loss of important archaeological information.</w:t>
      </w:r>
      <w:r w:rsidR="009B0DC5">
        <w:rPr>
          <w:rStyle w:val="FootnoteReference"/>
        </w:rPr>
        <w:footnoteReference w:id="27"/>
      </w:r>
      <w:r w:rsidR="009B0DC5">
        <w:t xml:space="preserve"> </w:t>
      </w:r>
      <w:r w:rsidR="003B1F90">
        <w:t xml:space="preserve">In the United Kingdom legislation exists which </w:t>
      </w:r>
      <w:r w:rsidR="00046A90">
        <w:t>rewards those who find treasure legally,</w:t>
      </w:r>
      <w:r w:rsidR="00437E1E">
        <w:rPr>
          <w:rStyle w:val="FootnoteReference"/>
        </w:rPr>
        <w:footnoteReference w:id="28"/>
      </w:r>
      <w:r w:rsidR="00046A90">
        <w:t xml:space="preserve"> which helps to arrest the risk of finds being sold on the black market</w:t>
      </w:r>
      <w:r w:rsidR="00437E1E">
        <w:t>, so not all information is lost.</w:t>
      </w:r>
      <w:r w:rsidR="00350510">
        <w:t xml:space="preserve"> In other </w:t>
      </w:r>
      <w:r w:rsidR="00B30D5B">
        <w:t>jurisdictions which do not have such mechanisms, much damage to buried archaeological remains can be done by illegal excavations</w:t>
      </w:r>
      <w:r w:rsidR="00D266E5">
        <w:t xml:space="preserve">. Dupuy has documented </w:t>
      </w:r>
      <w:r w:rsidR="00FB3CE7">
        <w:t>an interesting illustration of this mechanism</w:t>
      </w:r>
      <w:r w:rsidR="005660B5">
        <w:t xml:space="preserve">, where a new law in Russian which restricted the feasibility of looting and selling ancient artefacts led to an increase </w:t>
      </w:r>
      <w:r w:rsidR="00AE3957">
        <w:t xml:space="preserve">of </w:t>
      </w:r>
      <w:r w:rsidR="00D266E5">
        <w:t xml:space="preserve">looting in </w:t>
      </w:r>
      <w:r w:rsidR="00AE3957">
        <w:t xml:space="preserve">neighbouring </w:t>
      </w:r>
      <w:r w:rsidR="00D266E5">
        <w:t>Kazakhstan</w:t>
      </w:r>
      <w:r w:rsidR="00AE3957">
        <w:t>, which has less robust laws in this regard.</w:t>
      </w:r>
      <w:r w:rsidR="006820A9">
        <w:rPr>
          <w:rStyle w:val="FootnoteReference"/>
        </w:rPr>
        <w:footnoteReference w:id="29"/>
      </w:r>
    </w:p>
    <w:p w14:paraId="35B050B7" w14:textId="67C93247" w:rsidR="001031E1" w:rsidRDefault="00A924CB">
      <w:r>
        <w:t xml:space="preserve">The </w:t>
      </w:r>
      <w:r w:rsidR="00F23A62">
        <w:t xml:space="preserve">differing </w:t>
      </w:r>
      <w:r w:rsidR="00007642">
        <w:t>outcome</w:t>
      </w:r>
      <w:r w:rsidR="00F23A62">
        <w:t xml:space="preserve"> in these </w:t>
      </w:r>
      <w:r w:rsidR="004D408F">
        <w:t>jurisdictions highlights the importance of the existence of a legal framework requiring the protection of heritage sites</w:t>
      </w:r>
      <w:r w:rsidR="0040104B">
        <w:t xml:space="preserve">, and which anticipate the potential issues </w:t>
      </w:r>
      <w:r w:rsidR="007D1262">
        <w:t>which can arise with the identification of heritage sites, as is the case with the Treasure Act in the United Kingdom.</w:t>
      </w:r>
      <w:r w:rsidR="007D1262">
        <w:rPr>
          <w:rStyle w:val="FootnoteReference"/>
        </w:rPr>
        <w:footnoteReference w:id="30"/>
      </w:r>
      <w:r w:rsidR="00DF2836">
        <w:t xml:space="preserve"> The St Aldates case study also highlights how allowing input from minority groups </w:t>
      </w:r>
      <w:r w:rsidR="00944B31">
        <w:t xml:space="preserve">in the design of a project </w:t>
      </w:r>
      <w:r w:rsidR="00DF2836">
        <w:t>can enhance the outcome of an archaeological project, and also enhance its sustainability.</w:t>
      </w:r>
    </w:p>
    <w:p w14:paraId="2E543F3E" w14:textId="27F42D25" w:rsidR="007A29AA" w:rsidRPr="00D27D93" w:rsidRDefault="007A29AA">
      <w:pPr>
        <w:rPr>
          <w:u w:val="single"/>
        </w:rPr>
      </w:pPr>
      <w:r w:rsidRPr="00D27D93">
        <w:rPr>
          <w:u w:val="single"/>
        </w:rPr>
        <w:t>U</w:t>
      </w:r>
      <w:r w:rsidRPr="00D27D93">
        <w:rPr>
          <w:u w:val="single"/>
        </w:rPr>
        <w:t>se of heritage sites</w:t>
      </w:r>
    </w:p>
    <w:p w14:paraId="1D920FE8" w14:textId="1517891B" w:rsidR="00814F72" w:rsidRDefault="005B5352" w:rsidP="00814F72">
      <w:r>
        <w:t>This term refers</w:t>
      </w:r>
      <w:r w:rsidR="00A910A9">
        <w:t xml:space="preserve"> to </w:t>
      </w:r>
      <w:r w:rsidR="00D2119C">
        <w:t>situations where a heritage site is in current use, which may or may not be the same as the</w:t>
      </w:r>
      <w:r w:rsidR="00AA2F86">
        <w:t xml:space="preserve"> historic use of the site. Examples of this </w:t>
      </w:r>
      <w:r>
        <w:t xml:space="preserve">would be a </w:t>
      </w:r>
      <w:r w:rsidR="007D31B8">
        <w:t xml:space="preserve">historic church which is still in use today by a congregation, </w:t>
      </w:r>
      <w:r w:rsidR="005D2996">
        <w:t xml:space="preserve">a historic pub which is still trading, or </w:t>
      </w:r>
      <w:r w:rsidR="005328A0">
        <w:t xml:space="preserve">in an African context, rock shelters and associated art which </w:t>
      </w:r>
      <w:r w:rsidR="00185575">
        <w:t>still retains cosmological significance to local groups in the present.</w:t>
      </w:r>
      <w:r w:rsidR="003C7415">
        <w:rPr>
          <w:rStyle w:val="FootnoteReference"/>
        </w:rPr>
        <w:footnoteReference w:id="31"/>
      </w:r>
    </w:p>
    <w:p w14:paraId="42F37D2B" w14:textId="436FCB65" w:rsidR="003D34B4" w:rsidRDefault="008333E1" w:rsidP="00814F72">
      <w:r>
        <w:t xml:space="preserve">In using the historic sites, the </w:t>
      </w:r>
      <w:r w:rsidR="00DA4B27">
        <w:t>users often become custodians, protecting the site from deterioration</w:t>
      </w:r>
      <w:r w:rsidR="00AF23CB">
        <w:t xml:space="preserve"> and vandalism. The use of a heritage site can also maintain intangible heritage in the form of </w:t>
      </w:r>
      <w:r w:rsidR="00C646D0">
        <w:t xml:space="preserve">historic cultural understanding and memories, and also help communities to retain knowledge of significant symbols </w:t>
      </w:r>
      <w:r w:rsidR="003B35D0">
        <w:t>of past generations.</w:t>
      </w:r>
      <w:r w:rsidR="003B35D0">
        <w:rPr>
          <w:rStyle w:val="FootnoteReference"/>
        </w:rPr>
        <w:footnoteReference w:id="32"/>
      </w:r>
      <w:r w:rsidR="003B35D0">
        <w:t xml:space="preserve"> As such the use of historic sites </w:t>
      </w:r>
      <w:r w:rsidR="003E01FB">
        <w:t xml:space="preserve">can, and often does </w:t>
      </w:r>
      <w:r w:rsidR="002F6F4D">
        <w:t>contribute positively to the sustainability of heritage sites.</w:t>
      </w:r>
    </w:p>
    <w:p w14:paraId="32DAC6B2" w14:textId="31EC4BDA" w:rsidR="002F6F4D" w:rsidRDefault="002F6F4D" w:rsidP="00814F72">
      <w:r>
        <w:t xml:space="preserve">However, there can be instances where </w:t>
      </w:r>
      <w:r w:rsidR="00D71F07">
        <w:t xml:space="preserve">the current use of a heritage site is not entirely compatible with its physical conservation. </w:t>
      </w:r>
      <w:r w:rsidR="00AC3BE7">
        <w:t>Jopela notes</w:t>
      </w:r>
      <w:r w:rsidR="007B63FF">
        <w:t xml:space="preserve"> that there is often conflict between </w:t>
      </w:r>
      <w:r w:rsidR="009C75E7">
        <w:t xml:space="preserve">heritage officers and </w:t>
      </w:r>
      <w:r w:rsidR="009C75E7">
        <w:lastRenderedPageBreak/>
        <w:t>traditional users of heritage sites</w:t>
      </w:r>
      <w:r w:rsidR="00AC3BE7">
        <w:t xml:space="preserve"> in a review of traditional custodian arrangements in southern Africa</w:t>
      </w:r>
      <w:r w:rsidR="009C75E7">
        <w:t>, usually triggered by concerns by the professional heritage officers about potential damage done to the sites by the traditional uses.</w:t>
      </w:r>
      <w:r w:rsidR="009C75E7">
        <w:rPr>
          <w:rStyle w:val="FootnoteReference"/>
        </w:rPr>
        <w:footnoteReference w:id="33"/>
      </w:r>
      <w:r w:rsidR="00F44B78">
        <w:t xml:space="preserve"> There are also examples of </w:t>
      </w:r>
      <w:r w:rsidR="00384419">
        <w:t xml:space="preserve">congregations proposing changes to historic churches which have raised concerns of </w:t>
      </w:r>
      <w:r w:rsidR="002C7B8D">
        <w:t>other local groups</w:t>
      </w:r>
      <w:r w:rsidR="00071F65">
        <w:t>, due to perceived damage to the historic fabric</w:t>
      </w:r>
      <w:r w:rsidR="00426803">
        <w:t>,</w:t>
      </w:r>
      <w:r w:rsidR="00071F65">
        <w:rPr>
          <w:rStyle w:val="FootnoteReference"/>
        </w:rPr>
        <w:footnoteReference w:id="34"/>
      </w:r>
      <w:r w:rsidR="00426803">
        <w:t xml:space="preserve"> in an interesting illustration of Crooke’s </w:t>
      </w:r>
      <w:r w:rsidR="003C7CF7">
        <w:t xml:space="preserve">view that local communities are not uniform, and may have shifting and </w:t>
      </w:r>
      <w:r w:rsidR="007E62FF">
        <w:t>differing priorities depending on the issue at hand.</w:t>
      </w:r>
      <w:r w:rsidR="007E62FF">
        <w:rPr>
          <w:rStyle w:val="FootnoteReference"/>
        </w:rPr>
        <w:footnoteReference w:id="35"/>
      </w:r>
    </w:p>
    <w:p w14:paraId="4514451B" w14:textId="671996C5" w:rsidR="001031E1" w:rsidRDefault="00606315" w:rsidP="00814F72">
      <w:r>
        <w:t xml:space="preserve">Jopela concludes that </w:t>
      </w:r>
      <w:r w:rsidR="00D860B5">
        <w:t xml:space="preserve">traditional </w:t>
      </w:r>
      <w:r w:rsidR="001A772C">
        <w:t xml:space="preserve">custodianship should be mediated by a framework which allows professional input and concerns over physical preservation, while providing genuine input and </w:t>
      </w:r>
      <w:r w:rsidR="00E348EF">
        <w:t>remit for traditional views and understandings of heritage sites.</w:t>
      </w:r>
      <w:r w:rsidR="00E348EF">
        <w:rPr>
          <w:rStyle w:val="FootnoteReference"/>
        </w:rPr>
        <w:footnoteReference w:id="36"/>
      </w:r>
      <w:r w:rsidR="00A70314">
        <w:t xml:space="preserve"> </w:t>
      </w:r>
      <w:r w:rsidR="00063486">
        <w:t>In an interesting parallel, work to most historic church buildings</w:t>
      </w:r>
      <w:r w:rsidR="00167FA5">
        <w:t xml:space="preserve"> in England and Wales</w:t>
      </w:r>
      <w:r w:rsidR="00063486">
        <w:t xml:space="preserve"> is mediated by ecclesiastical laws</w:t>
      </w:r>
      <w:r w:rsidR="00D85BC0">
        <w:t xml:space="preserve">, which take account of the needs of users of the church, and </w:t>
      </w:r>
      <w:r w:rsidR="00167FA5">
        <w:t>wider heritage management issues.</w:t>
      </w:r>
      <w:r w:rsidR="00167FA5">
        <w:rPr>
          <w:rStyle w:val="FootnoteReference"/>
        </w:rPr>
        <w:footnoteReference w:id="37"/>
      </w:r>
    </w:p>
    <w:p w14:paraId="5BB9E3B3" w14:textId="15FB3363" w:rsidR="00F30116" w:rsidRDefault="00F720DA" w:rsidP="00814F72">
      <w:r>
        <w:t xml:space="preserve">The use of heritage sites therefore has clear potential to enhance the sustainability of heritage sites. However, </w:t>
      </w:r>
      <w:r w:rsidR="00503DC2">
        <w:t xml:space="preserve">there is also potential for the use of heritage sites to harm the physical </w:t>
      </w:r>
      <w:r w:rsidR="00965487">
        <w:t xml:space="preserve">fabric of the site, and to create conflict between different community groups who value the </w:t>
      </w:r>
      <w:r w:rsidR="0068316B">
        <w:t>site in question.</w:t>
      </w:r>
      <w:r w:rsidR="00681373">
        <w:t xml:space="preserve"> The use of heritage sites also highlights the need for </w:t>
      </w:r>
      <w:r w:rsidR="00F00FA9">
        <w:t xml:space="preserve">frameworks to manage the use of the sites which balance the needs of users and those of </w:t>
      </w:r>
      <w:r w:rsidR="00C34AC2">
        <w:t>other groups such as heritage professionals.</w:t>
      </w:r>
    </w:p>
    <w:p w14:paraId="189685F6" w14:textId="5FBDC3F8" w:rsidR="007A29AA" w:rsidRPr="00D27D93" w:rsidRDefault="007A29AA">
      <w:pPr>
        <w:rPr>
          <w:u w:val="single"/>
        </w:rPr>
      </w:pPr>
      <w:r w:rsidRPr="00D27D93">
        <w:rPr>
          <w:u w:val="single"/>
        </w:rPr>
        <w:t>T</w:t>
      </w:r>
      <w:r w:rsidRPr="00D27D93">
        <w:rPr>
          <w:u w:val="single"/>
        </w:rPr>
        <w:t>ourism of heritage sites</w:t>
      </w:r>
    </w:p>
    <w:p w14:paraId="0E13E846" w14:textId="31046613" w:rsidR="007A29AA" w:rsidRDefault="003D448C">
      <w:r>
        <w:t xml:space="preserve">The tourism of heritage sites </w:t>
      </w:r>
      <w:r w:rsidR="00C2380D">
        <w:t>includes any form of visitation to a heritage site for the purposes of leisure and education</w:t>
      </w:r>
      <w:r w:rsidR="00FC5AF8">
        <w:t xml:space="preserve">. Examples of this interaction would include museums, historic houses and parks, </w:t>
      </w:r>
      <w:r w:rsidR="00203033">
        <w:t xml:space="preserve">castles, and archaeological sites with prominent remains such as Stonehenge. </w:t>
      </w:r>
      <w:r w:rsidR="00FF5CA4">
        <w:t>Tourism of heritage sites is a substantial business</w:t>
      </w:r>
      <w:r w:rsidR="00F25DDB">
        <w:t xml:space="preserve">, </w:t>
      </w:r>
      <w:r w:rsidR="00894A29">
        <w:t xml:space="preserve">an Oxford Economics Report in 2016 found that there were </w:t>
      </w:r>
      <w:r w:rsidR="00894A29" w:rsidRPr="00894A29">
        <w:t>192 million heritage</w:t>
      </w:r>
      <w:r w:rsidR="00894A29">
        <w:t xml:space="preserve"> related journeys </w:t>
      </w:r>
      <w:r w:rsidR="00894A29" w:rsidRPr="00894A29">
        <w:t>in the UK in 2015</w:t>
      </w:r>
      <w:r w:rsidR="00894A29">
        <w:t>, and an estimated contribution to GDP of more than £20 billion</w:t>
      </w:r>
      <w:r w:rsidR="00554764">
        <w:t>.</w:t>
      </w:r>
      <w:r w:rsidR="00754834">
        <w:rPr>
          <w:rStyle w:val="FootnoteReference"/>
        </w:rPr>
        <w:footnoteReference w:id="38"/>
      </w:r>
      <w:r w:rsidR="007B3EBD">
        <w:t xml:space="preserve"> The global market in heritage tourism has been estimated at </w:t>
      </w:r>
      <w:r w:rsidR="006A5FE1">
        <w:t xml:space="preserve">$556.96 billion </w:t>
      </w:r>
      <w:r w:rsidR="006A5FE1">
        <w:lastRenderedPageBreak/>
        <w:t>in 2021 and is estimated to continue to grow in future.</w:t>
      </w:r>
      <w:r w:rsidR="008D0810">
        <w:rPr>
          <w:rStyle w:val="FootnoteReference"/>
        </w:rPr>
        <w:footnoteReference w:id="39"/>
      </w:r>
      <w:r w:rsidR="008D0810">
        <w:t xml:space="preserve"> </w:t>
      </w:r>
      <w:r w:rsidR="002C2B17">
        <w:t xml:space="preserve">The </w:t>
      </w:r>
      <w:r w:rsidR="00321413">
        <w:t>tourism industry therefore contributes financially to many heritage sites</w:t>
      </w:r>
      <w:r w:rsidR="00694DCC">
        <w:t xml:space="preserve">, and the funds generated have resulted in economic growth in many areas, </w:t>
      </w:r>
      <w:r w:rsidR="00C33A74">
        <w:t>and encourages governments to invest in facilities and staff to promote heritage sites</w:t>
      </w:r>
      <w:r w:rsidR="00C849AF">
        <w:t xml:space="preserve"> to maintain economic benefits.</w:t>
      </w:r>
      <w:r w:rsidR="00782FAF">
        <w:rPr>
          <w:rStyle w:val="FootnoteReference"/>
        </w:rPr>
        <w:footnoteReference w:id="40"/>
      </w:r>
    </w:p>
    <w:p w14:paraId="10CCC64A" w14:textId="56B095C3" w:rsidR="00153B13" w:rsidRDefault="002637D6">
      <w:r>
        <w:t>However, the effects of tourism on the sustainability of heritage sites as defined in this essay</w:t>
      </w:r>
      <w:r w:rsidR="004D6DEE">
        <w:t xml:space="preserve"> has been shown to be more mixed. </w:t>
      </w:r>
      <w:r w:rsidR="000F5216" w:rsidRPr="0082112E">
        <w:t>AlMasri and Ababneh</w:t>
      </w:r>
      <w:r w:rsidR="000F5216">
        <w:t xml:space="preserve"> </w:t>
      </w:r>
      <w:r w:rsidR="00B445CC">
        <w:t>describ</w:t>
      </w:r>
      <w:r w:rsidR="000F5216">
        <w:t>e</w:t>
      </w:r>
      <w:r w:rsidR="00B445CC">
        <w:t xml:space="preserve"> the effects of a tourism </w:t>
      </w:r>
      <w:r w:rsidR="0082112E">
        <w:t>planning led regeneration</w:t>
      </w:r>
      <w:r w:rsidR="000F5216">
        <w:t xml:space="preserve"> on the site of </w:t>
      </w:r>
      <w:r w:rsidR="001661D5" w:rsidRPr="001661D5">
        <w:t>Umm Qais</w:t>
      </w:r>
      <w:r w:rsidR="001661D5">
        <w:t>, a popular tourist destination locally and regionally in Jordan</w:t>
      </w:r>
      <w:r w:rsidR="003476BD">
        <w:t>.</w:t>
      </w:r>
      <w:r w:rsidR="003476BD">
        <w:rPr>
          <w:rStyle w:val="FootnoteReference"/>
        </w:rPr>
        <w:footnoteReference w:id="41"/>
      </w:r>
      <w:r w:rsidR="00271CC2">
        <w:t xml:space="preserve"> The planning</w:t>
      </w:r>
      <w:r w:rsidR="00E32627">
        <w:t>, which started in the 1960s</w:t>
      </w:r>
      <w:r w:rsidR="00271CC2">
        <w:t xml:space="preserve"> included the </w:t>
      </w:r>
      <w:r w:rsidR="00F70E00">
        <w:t xml:space="preserve">construction of cafes, </w:t>
      </w:r>
      <w:r w:rsidR="00410D56">
        <w:t xml:space="preserve">restaurants, </w:t>
      </w:r>
      <w:r w:rsidR="00F70E00">
        <w:t>amenities</w:t>
      </w:r>
      <w:r w:rsidR="00D022B1">
        <w:t>,</w:t>
      </w:r>
      <w:r w:rsidR="00F70E00">
        <w:t xml:space="preserve"> and improved access</w:t>
      </w:r>
      <w:r w:rsidR="00410D56">
        <w:t>, designed to increase visitor numbers. In this the scheme was successful, and visitor numbers increased substantially following the completion of the works.</w:t>
      </w:r>
      <w:r w:rsidR="00410D56">
        <w:rPr>
          <w:rStyle w:val="FootnoteReference"/>
        </w:rPr>
        <w:footnoteReference w:id="42"/>
      </w:r>
      <w:r w:rsidR="00455991">
        <w:t xml:space="preserve"> </w:t>
      </w:r>
      <w:r w:rsidR="00C74539">
        <w:t xml:space="preserve">However, the increased visitors also resulted in structural damage to the site, </w:t>
      </w:r>
      <w:r w:rsidR="00FA7ABE">
        <w:t>as well as graffiti, rubbish</w:t>
      </w:r>
      <w:r w:rsidR="00C73D14">
        <w:t>,</w:t>
      </w:r>
      <w:r w:rsidR="00FA7ABE">
        <w:t xml:space="preserve"> and other environmental pollution</w:t>
      </w:r>
      <w:r w:rsidR="003B26C9">
        <w:t>.</w:t>
      </w:r>
      <w:r w:rsidR="008D2CE5">
        <w:rPr>
          <w:rStyle w:val="FootnoteReference"/>
        </w:rPr>
        <w:footnoteReference w:id="43"/>
      </w:r>
      <w:r w:rsidR="00B57787">
        <w:t xml:space="preserve"> So while the economic benefits did increase, this was at the cost of the physical preservation of the heritage site. Similar considerations have been reported </w:t>
      </w:r>
      <w:r w:rsidR="00657014">
        <w:t>elsewhere,</w:t>
      </w:r>
      <w:r w:rsidR="00657014">
        <w:rPr>
          <w:rStyle w:val="FootnoteReference"/>
        </w:rPr>
        <w:footnoteReference w:id="44"/>
      </w:r>
      <w:r w:rsidR="00657014">
        <w:t xml:space="preserve"> and famously, English Heritage </w:t>
      </w:r>
      <w:r w:rsidR="00CC40D3">
        <w:t>restricted access to the stone circle in 1977 due to concerns over erosion caused by frequent visitors.</w:t>
      </w:r>
      <w:r w:rsidR="00CC40D3">
        <w:rPr>
          <w:rStyle w:val="FootnoteReference"/>
        </w:rPr>
        <w:footnoteReference w:id="45"/>
      </w:r>
      <w:r w:rsidR="002E12EF">
        <w:t xml:space="preserve"> </w:t>
      </w:r>
      <w:r w:rsidR="00576EED">
        <w:t xml:space="preserve">In addition to the risk of degradation of physical remains, </w:t>
      </w:r>
      <w:r w:rsidR="00427592">
        <w:t>excessive tourism could also lead to the alienation of local communities from heritage sites</w:t>
      </w:r>
      <w:r w:rsidR="00EE3908">
        <w:t>, affecting the</w:t>
      </w:r>
      <w:r w:rsidR="00AF0CC1">
        <w:t xml:space="preserve"> intangible aspects of the heritage sites, a risk highlighted by</w:t>
      </w:r>
      <w:r w:rsidR="00D15BF4">
        <w:t xml:space="preserve"> Diaz-Parra and Jover in their review of the effects of </w:t>
      </w:r>
      <w:r w:rsidR="0012032B">
        <w:t>tourism on the historic centre of Seville.</w:t>
      </w:r>
      <w:r w:rsidR="00D15BF4">
        <w:rPr>
          <w:rStyle w:val="FootnoteReference"/>
        </w:rPr>
        <w:footnoteReference w:id="46"/>
      </w:r>
    </w:p>
    <w:p w14:paraId="00761AE1" w14:textId="04884334" w:rsidR="00CC5934" w:rsidRDefault="00F37103" w:rsidP="00F3326B">
      <w:r>
        <w:t xml:space="preserve">However, not all tourism and visitation to heritage sites results in negative effects. Crooke provides an interesting case study of </w:t>
      </w:r>
      <w:r w:rsidR="00751204">
        <w:t xml:space="preserve">how the Mid-Antrim Museums Service in Northern Ireland </w:t>
      </w:r>
      <w:r w:rsidR="00F3326B">
        <w:t xml:space="preserve">developed a </w:t>
      </w:r>
      <w:r w:rsidR="00F3326B" w:rsidRPr="00F3326B">
        <w:t>Community</w:t>
      </w:r>
      <w:r w:rsidR="00F3326B">
        <w:t xml:space="preserve"> </w:t>
      </w:r>
      <w:r w:rsidR="00F3326B" w:rsidRPr="00F3326B">
        <w:t>History Programme</w:t>
      </w:r>
      <w:r w:rsidR="00F3326B">
        <w:t xml:space="preserve">, designed to </w:t>
      </w:r>
      <w:r w:rsidR="000E417A">
        <w:t xml:space="preserve">share </w:t>
      </w:r>
      <w:r w:rsidR="00CF05B0">
        <w:t>stories</w:t>
      </w:r>
      <w:r w:rsidR="000E417A">
        <w:t xml:space="preserve"> of divisive </w:t>
      </w:r>
      <w:r w:rsidR="00CF05B0">
        <w:t xml:space="preserve">memories across politically </w:t>
      </w:r>
      <w:r w:rsidR="00CF05B0">
        <w:lastRenderedPageBreak/>
        <w:t>divided communities</w:t>
      </w:r>
      <w:r w:rsidR="002357DC">
        <w:t>.</w:t>
      </w:r>
      <w:r w:rsidR="002357DC">
        <w:rPr>
          <w:rStyle w:val="FootnoteReference"/>
        </w:rPr>
        <w:footnoteReference w:id="47"/>
      </w:r>
      <w:r w:rsidR="009F6B34">
        <w:t xml:space="preserve"> </w:t>
      </w:r>
      <w:r w:rsidR="00931E3D">
        <w:t xml:space="preserve">The display was compiled and </w:t>
      </w:r>
      <w:r w:rsidR="00BC5F33">
        <w:t>informed by extensive public consultation with 20 different</w:t>
      </w:r>
      <w:r w:rsidR="003C4191">
        <w:t xml:space="preserve"> community-based</w:t>
      </w:r>
      <w:r w:rsidR="00BC5F33">
        <w:t xml:space="preserve"> groups.</w:t>
      </w:r>
      <w:r w:rsidR="008F47D9">
        <w:rPr>
          <w:rStyle w:val="FootnoteReference"/>
        </w:rPr>
        <w:footnoteReference w:id="48"/>
      </w:r>
      <w:r w:rsidR="00BC5F33">
        <w:t xml:space="preserve"> </w:t>
      </w:r>
      <w:r w:rsidR="00864F80">
        <w:t xml:space="preserve">The result was an increased sense of civic pride and community among divided </w:t>
      </w:r>
      <w:r w:rsidR="00512BEE">
        <w:t>groups, which was confirmed via external evaluation.</w:t>
      </w:r>
      <w:r w:rsidR="00512BEE">
        <w:rPr>
          <w:rStyle w:val="FootnoteReference"/>
        </w:rPr>
        <w:footnoteReference w:id="49"/>
      </w:r>
      <w:r w:rsidR="00864F80">
        <w:t xml:space="preserve"> </w:t>
      </w:r>
      <w:r w:rsidR="00512BEE">
        <w:t xml:space="preserve">While Crooke warns that the positive outcomes of this project </w:t>
      </w:r>
      <w:r w:rsidR="009213CE">
        <w:t xml:space="preserve">could be very difficult to replicate, and </w:t>
      </w:r>
      <w:r w:rsidR="00B8414C">
        <w:t xml:space="preserve">questioned </w:t>
      </w:r>
      <w:r w:rsidR="000203FD">
        <w:t>– despite the apparent success of the display – whether museums were the right institutions to handle such matters</w:t>
      </w:r>
      <w:r w:rsidR="009213CE">
        <w:t>,</w:t>
      </w:r>
      <w:r w:rsidR="009213CE">
        <w:rPr>
          <w:rStyle w:val="FootnoteReference"/>
        </w:rPr>
        <w:footnoteReference w:id="50"/>
      </w:r>
      <w:r w:rsidR="009213CE">
        <w:t xml:space="preserve"> </w:t>
      </w:r>
      <w:r w:rsidR="005D1EF0">
        <w:t xml:space="preserve">the case nonetheless highlights the potential for local tourism to </w:t>
      </w:r>
      <w:r w:rsidR="00D303E5">
        <w:t>result in a sustainable heritage site</w:t>
      </w:r>
      <w:r w:rsidR="00FF528A">
        <w:t>. The site</w:t>
      </w:r>
      <w:r w:rsidR="00D303E5">
        <w:t xml:space="preserve"> in this case </w:t>
      </w:r>
      <w:r w:rsidR="00FF528A">
        <w:t xml:space="preserve">is </w:t>
      </w:r>
      <w:r w:rsidR="00D303E5">
        <w:t xml:space="preserve">the museum, </w:t>
      </w:r>
      <w:r w:rsidR="00843CD9">
        <w:t xml:space="preserve">which gained a more central role in the community, and helped to encourage </w:t>
      </w:r>
      <w:r w:rsidR="00DE13A7">
        <w:t xml:space="preserve">some steps towards a shared life in a highly divided </w:t>
      </w:r>
      <w:r w:rsidR="00FF528A">
        <w:t xml:space="preserve">context. </w:t>
      </w:r>
      <w:r w:rsidR="00152AF4">
        <w:t>This heritage site is then encouraging the preservation of heritage</w:t>
      </w:r>
      <w:r w:rsidR="00AE1709">
        <w:t>, while also supporting the dynamic development of new associations in the locality.</w:t>
      </w:r>
    </w:p>
    <w:p w14:paraId="6D48C2C3" w14:textId="400E1449" w:rsidR="00AE1709" w:rsidRDefault="00AE1709" w:rsidP="00F3326B">
      <w:r>
        <w:t xml:space="preserve">An interesting contrast between the two cases is the clear and sustained local involvement in the </w:t>
      </w:r>
      <w:r w:rsidR="00C97CDD">
        <w:t>history display in Mid-Antrim, as opposed to the more economically driven developments at Umm Qais.</w:t>
      </w:r>
      <w:r w:rsidR="009F223D">
        <w:t xml:space="preserve"> </w:t>
      </w:r>
      <w:r w:rsidR="00A21C9E">
        <w:t xml:space="preserve">The </w:t>
      </w:r>
      <w:r w:rsidR="00167B1A">
        <w:t>genuine involvement of local groups allowed the display at the museum to be well-supported in a local context</w:t>
      </w:r>
      <w:r w:rsidR="00926452">
        <w:t xml:space="preserve">, but also compelling with a depth which is likely to be difficult to achieve without </w:t>
      </w:r>
      <w:r w:rsidR="00C158F3">
        <w:t xml:space="preserve">such an exercise. It is therefore clear that, </w:t>
      </w:r>
      <w:r w:rsidR="000C5C1E">
        <w:t>engagement</w:t>
      </w:r>
      <w:r w:rsidR="00C158F3">
        <w:t xml:space="preserve"> through tourism and visitation is capable of providing a genuinely sustainable context for heritage sites, but </w:t>
      </w:r>
      <w:r w:rsidR="00C92558">
        <w:t xml:space="preserve">as is the case with other modes of community engagement identified, it also carries with it </w:t>
      </w:r>
      <w:r w:rsidR="000C5C1E">
        <w:t>the risk of adverse effects.</w:t>
      </w:r>
    </w:p>
    <w:p w14:paraId="772D04D7" w14:textId="4BD3CE1A" w:rsidR="009254DF" w:rsidRPr="009254DF" w:rsidRDefault="009254DF" w:rsidP="00F3326B">
      <w:pPr>
        <w:rPr>
          <w:u w:val="single"/>
        </w:rPr>
      </w:pPr>
      <w:r w:rsidRPr="009254DF">
        <w:rPr>
          <w:u w:val="single"/>
        </w:rPr>
        <w:t>Discussion and conclusion</w:t>
      </w:r>
    </w:p>
    <w:p w14:paraId="1796900B" w14:textId="11D75DDD" w:rsidR="009254DF" w:rsidRDefault="000532D8" w:rsidP="00F3326B">
      <w:r>
        <w:t>I</w:t>
      </w:r>
      <w:r w:rsidR="000C4DF9">
        <w:t>n much of discourse</w:t>
      </w:r>
      <w:r>
        <w:t xml:space="preserve"> of heritage studies</w:t>
      </w:r>
      <w:r w:rsidR="000C4DF9">
        <w:t>, the aim of “community engagement” is considered a good</w:t>
      </w:r>
      <w:r w:rsidR="00A4554D">
        <w:t>, with limited examination of what is meant by the term, or of the effects which would result.</w:t>
      </w:r>
      <w:r w:rsidR="00654B25">
        <w:rPr>
          <w:rStyle w:val="FootnoteReference"/>
        </w:rPr>
        <w:footnoteReference w:id="51"/>
      </w:r>
      <w:r w:rsidR="00A4554D">
        <w:t xml:space="preserve"> </w:t>
      </w:r>
      <w:r w:rsidR="00FE4880">
        <w:t xml:space="preserve">By understanding the term community </w:t>
      </w:r>
      <w:r w:rsidR="00DD4FA8">
        <w:t>engagement as the interaction between groups of people and a heritage site, it is clear that engagements</w:t>
      </w:r>
      <w:r w:rsidR="007E5224">
        <w:t xml:space="preserve"> between communities</w:t>
      </w:r>
      <w:r w:rsidR="00DD4FA8">
        <w:t xml:space="preserve"> are broader </w:t>
      </w:r>
      <w:r w:rsidR="007E5224">
        <w:t xml:space="preserve">and more diverse </w:t>
      </w:r>
      <w:r w:rsidR="00DD4FA8">
        <w:t xml:space="preserve">than is often considered in the literature. </w:t>
      </w:r>
      <w:r w:rsidR="00993C8C">
        <w:t xml:space="preserve">For example, in identifying heritage sites, it is clear that heritage professionals and academics are not mere spectators of community engagement, but are </w:t>
      </w:r>
      <w:r w:rsidR="00991700">
        <w:t>themselves a community group</w:t>
      </w:r>
      <w:r w:rsidR="00C26111">
        <w:t xml:space="preserve"> as defined in this essay</w:t>
      </w:r>
      <w:r w:rsidR="00991700">
        <w:t>, with shared and overlapping aims</w:t>
      </w:r>
      <w:r w:rsidR="00C26111">
        <w:t xml:space="preserve"> and characteristics</w:t>
      </w:r>
      <w:r w:rsidR="00991700">
        <w:t xml:space="preserve">, and a form of engagement with heritage sites, in the same way that other </w:t>
      </w:r>
      <w:r w:rsidR="00C26111">
        <w:t xml:space="preserve">community </w:t>
      </w:r>
      <w:r w:rsidR="00991700">
        <w:t>groups do.</w:t>
      </w:r>
    </w:p>
    <w:p w14:paraId="0E38924C" w14:textId="75D55646" w:rsidR="00BF1E85" w:rsidRDefault="00AA45C4" w:rsidP="00F3326B">
      <w:r>
        <w:lastRenderedPageBreak/>
        <w:t xml:space="preserve">With the benefit of viewing engagement as interactions, it also becomes </w:t>
      </w:r>
      <w:r w:rsidR="00BF1E85">
        <w:t xml:space="preserve">clear that community engagement is not something done to </w:t>
      </w:r>
      <w:r w:rsidR="00224F4A">
        <w:t xml:space="preserve">educate </w:t>
      </w:r>
      <w:r>
        <w:t xml:space="preserve">some </w:t>
      </w:r>
      <w:r w:rsidR="00224F4A">
        <w:t xml:space="preserve">community </w:t>
      </w:r>
      <w:r>
        <w:t xml:space="preserve">groups </w:t>
      </w:r>
      <w:r w:rsidR="00DF457D">
        <w:t>by heritage professionals</w:t>
      </w:r>
      <w:r w:rsidR="00224F4A">
        <w:t xml:space="preserve"> and museums</w:t>
      </w:r>
      <w:r w:rsidR="00DF457D">
        <w:t xml:space="preserve">, but is rather the dynamic </w:t>
      </w:r>
      <w:r w:rsidR="00344E41">
        <w:t>sum of all interactions with a heritage site</w:t>
      </w:r>
      <w:r w:rsidR="005A5B09">
        <w:t xml:space="preserve"> by groups of people</w:t>
      </w:r>
      <w:r w:rsidR="00226793">
        <w:t>, all of whom have differing and sometimes competing perspectives and uses of the heritage sites in question.</w:t>
      </w:r>
    </w:p>
    <w:p w14:paraId="145BA7B4" w14:textId="57DF3020" w:rsidR="00226793" w:rsidRDefault="00226793" w:rsidP="00F3326B">
      <w:r>
        <w:t xml:space="preserve">Finally, the review provided in this essay has highlighted the importance of formal structures in achieving sustainable heritage sites. The </w:t>
      </w:r>
      <w:r w:rsidR="00E32A7E">
        <w:t xml:space="preserve">structures should anticipate potential risks of physical harm, </w:t>
      </w:r>
      <w:r w:rsidR="00945EBB">
        <w:t xml:space="preserve">create mechanisms to protect heritage sites of </w:t>
      </w:r>
      <w:r w:rsidR="00BD253A">
        <w:t xml:space="preserve">importance to both official and local priorities, </w:t>
      </w:r>
      <w:r w:rsidR="00E32A7E">
        <w:t>and embed varied understandings of the meaning and value of the heritage site, in order to achieve</w:t>
      </w:r>
      <w:r w:rsidR="00945EBB">
        <w:t xml:space="preserve"> a sustainable outcome.</w:t>
      </w:r>
    </w:p>
    <w:p w14:paraId="3BE38140" w14:textId="21E2409B" w:rsidR="00654B25" w:rsidRDefault="00654B25">
      <w:pPr>
        <w:spacing w:line="259" w:lineRule="auto"/>
      </w:pPr>
      <w:r>
        <w:br w:type="page"/>
      </w:r>
    </w:p>
    <w:p w14:paraId="71DC59E8" w14:textId="77777777" w:rsidR="007E5224" w:rsidRDefault="007E5224" w:rsidP="007E5224">
      <w:pPr>
        <w:widowControl w:val="0"/>
        <w:autoSpaceDE w:val="0"/>
        <w:autoSpaceDN w:val="0"/>
        <w:adjustRightInd w:val="0"/>
        <w:spacing w:after="240"/>
        <w:jc w:val="center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lastRenderedPageBreak/>
        <w:t>Bibliography</w:t>
      </w:r>
    </w:p>
    <w:p w14:paraId="2D721A02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Abu‐Khafajah, Shatha. “Meaning‐Making and Cultural Heritage in Jordan: The Local Community, the Contexts and the Archaeological Sites in Khreibt Al‐Suq.” </w:t>
      </w:r>
      <w:r>
        <w:rPr>
          <w:rFonts w:ascii="Calibri" w:hAnsi="Calibri" w:cs="Calibri"/>
          <w:i/>
          <w:iCs/>
          <w:lang w:val="en-US"/>
        </w:rPr>
        <w:t>International Journal of Heritage Studies</w:t>
      </w:r>
      <w:r>
        <w:rPr>
          <w:rFonts w:ascii="Calibri" w:hAnsi="Calibri" w:cs="Calibri"/>
          <w:lang w:val="en-US"/>
        </w:rPr>
        <w:t xml:space="preserve"> 16, no. 1-2 (January 2010): 123–39. https://doi.org/</w:t>
      </w:r>
      <w:hyperlink r:id="rId8" w:history="1">
        <w:r>
          <w:rPr>
            <w:rStyle w:val="Hyperlink"/>
            <w:rFonts w:ascii="Calibri" w:hAnsi="Calibri" w:cs="Calibri"/>
            <w:lang w:val="en-US"/>
          </w:rPr>
          <w:t>10.1080/13527250903441820</w:t>
        </w:r>
      </w:hyperlink>
      <w:r>
        <w:rPr>
          <w:rFonts w:ascii="Calibri" w:hAnsi="Calibri" w:cs="Calibri"/>
          <w:lang w:val="en-US"/>
        </w:rPr>
        <w:t>.</w:t>
      </w:r>
    </w:p>
    <w:p w14:paraId="0D5C9AF7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AlMasri, Reem, and Abdelkader Ababneh. “Heritage Management: Analytical Study of Tourism Impacts on the Archaeological Site of Umm Qais—Jordan.” </w:t>
      </w:r>
      <w:r>
        <w:rPr>
          <w:rFonts w:ascii="Calibri" w:hAnsi="Calibri" w:cs="Calibri"/>
          <w:i/>
          <w:iCs/>
          <w:lang w:val="en-US"/>
        </w:rPr>
        <w:t>Heritage</w:t>
      </w:r>
      <w:r>
        <w:rPr>
          <w:rFonts w:ascii="Calibri" w:hAnsi="Calibri" w:cs="Calibri"/>
          <w:lang w:val="en-US"/>
        </w:rPr>
        <w:t xml:space="preserve"> 4, no. 3 (September 15, 2021): 2449–69. https://doi.org/</w:t>
      </w:r>
      <w:hyperlink r:id="rId9" w:history="1">
        <w:r>
          <w:rPr>
            <w:rStyle w:val="Hyperlink"/>
            <w:rFonts w:ascii="Calibri" w:hAnsi="Calibri" w:cs="Calibri"/>
            <w:lang w:val="en-US"/>
          </w:rPr>
          <w:t>10.3390/heritage4030138</w:t>
        </w:r>
      </w:hyperlink>
      <w:r>
        <w:rPr>
          <w:rFonts w:ascii="Calibri" w:hAnsi="Calibri" w:cs="Calibri"/>
          <w:lang w:val="en-US"/>
        </w:rPr>
        <w:t>.</w:t>
      </w:r>
    </w:p>
    <w:p w14:paraId="34B1C036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Cadw. “Trefignath Burial Chamber | Cadw.” cadw.gov.wales. Accessed January 5, 2023. </w:t>
      </w:r>
      <w:hyperlink r:id="rId10" w:history="1">
        <w:r>
          <w:rPr>
            <w:rStyle w:val="Hyperlink"/>
            <w:rFonts w:ascii="Calibri" w:hAnsi="Calibri" w:cs="Calibri"/>
            <w:lang w:val="en-US"/>
          </w:rPr>
          <w:t>https://cadw.gov.wales/visit/places-to-visit/trefignath-burial-chamber</w:t>
        </w:r>
      </w:hyperlink>
      <w:r>
        <w:rPr>
          <w:rFonts w:ascii="Calibri" w:hAnsi="Calibri" w:cs="Calibri"/>
          <w:lang w:val="en-US"/>
        </w:rPr>
        <w:t>.</w:t>
      </w:r>
    </w:p>
    <w:p w14:paraId="2227A03A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Chirikure, Shadreck, Munyaradzi Manyanga, Webber Ndoro, and Gilbert Pwiti. “Unfulfilled Promises? Heritage Management and Community Participation at Some of Africa’s Cultural Heritage Sites.” </w:t>
      </w:r>
      <w:r>
        <w:rPr>
          <w:rFonts w:ascii="Calibri" w:hAnsi="Calibri" w:cs="Calibri"/>
          <w:i/>
          <w:iCs/>
          <w:lang w:val="en-US"/>
        </w:rPr>
        <w:t>International Journal of Heritage Studies</w:t>
      </w:r>
      <w:r>
        <w:rPr>
          <w:rFonts w:ascii="Calibri" w:hAnsi="Calibri" w:cs="Calibri"/>
          <w:lang w:val="en-US"/>
        </w:rPr>
        <w:t xml:space="preserve"> 16, no. 1-2 (January 2010): 30–44. https://doi.org/</w:t>
      </w:r>
      <w:hyperlink r:id="rId11" w:history="1">
        <w:r>
          <w:rPr>
            <w:rStyle w:val="Hyperlink"/>
            <w:rFonts w:ascii="Calibri" w:hAnsi="Calibri" w:cs="Calibri"/>
            <w:lang w:val="en-US"/>
          </w:rPr>
          <w:t>10.1080/13527250903441739</w:t>
        </w:r>
      </w:hyperlink>
      <w:r>
        <w:rPr>
          <w:rFonts w:ascii="Calibri" w:hAnsi="Calibri" w:cs="Calibri"/>
          <w:lang w:val="en-US"/>
        </w:rPr>
        <w:t>.</w:t>
      </w:r>
    </w:p>
    <w:p w14:paraId="653A84EB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Council of Europe. “Council of Europe Framework Convention on the Value of Cultural Heritage for Society,” 2005. </w:t>
      </w:r>
      <w:hyperlink r:id="rId12" w:history="1">
        <w:r>
          <w:rPr>
            <w:rStyle w:val="Hyperlink"/>
            <w:rFonts w:ascii="Calibri" w:hAnsi="Calibri" w:cs="Calibri"/>
            <w:lang w:val="en-US"/>
          </w:rPr>
          <w:t>https://rm.coe.int/1680083746</w:t>
        </w:r>
      </w:hyperlink>
      <w:r>
        <w:rPr>
          <w:rFonts w:ascii="Calibri" w:hAnsi="Calibri" w:cs="Calibri"/>
          <w:lang w:val="en-US"/>
        </w:rPr>
        <w:t>.</w:t>
      </w:r>
    </w:p>
    <w:p w14:paraId="110A1FE3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———. “Explanatory Report to the Council of Europe Framework Convention on the Value of Cultural Heritage for Society,” 2005.</w:t>
      </w:r>
    </w:p>
    <w:p w14:paraId="4C760C40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Crooke, Elizabeth. “The Politics of Community Heritage: Motivations, Authority and Control.” </w:t>
      </w:r>
      <w:r>
        <w:rPr>
          <w:rFonts w:ascii="Calibri" w:hAnsi="Calibri" w:cs="Calibri"/>
          <w:i/>
          <w:iCs/>
          <w:lang w:val="en-US"/>
        </w:rPr>
        <w:t>International Journal of Heritage Studies</w:t>
      </w:r>
      <w:r>
        <w:rPr>
          <w:rFonts w:ascii="Calibri" w:hAnsi="Calibri" w:cs="Calibri"/>
          <w:lang w:val="en-US"/>
        </w:rPr>
        <w:t xml:space="preserve"> 16, no. 1-2 (January 2010): 16–29. https://doi.org/</w:t>
      </w:r>
      <w:hyperlink r:id="rId13" w:history="1">
        <w:r>
          <w:rPr>
            <w:rStyle w:val="Hyperlink"/>
            <w:rFonts w:ascii="Calibri" w:hAnsi="Calibri" w:cs="Calibri"/>
            <w:lang w:val="en-US"/>
          </w:rPr>
          <w:t>10.1080/13527250903441705</w:t>
        </w:r>
      </w:hyperlink>
      <w:r>
        <w:rPr>
          <w:rFonts w:ascii="Calibri" w:hAnsi="Calibri" w:cs="Calibri"/>
          <w:lang w:val="en-US"/>
        </w:rPr>
        <w:t>.</w:t>
      </w:r>
    </w:p>
    <w:p w14:paraId="67C0C359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Diaz-Parra, Iban, and Jaime Jover. “Overtourism, Place Alienation and the Right to the City: Insights from the Historic Centre of Seville, Spain.” </w:t>
      </w:r>
      <w:r>
        <w:rPr>
          <w:rFonts w:ascii="Calibri" w:hAnsi="Calibri" w:cs="Calibri"/>
          <w:i/>
          <w:iCs/>
          <w:lang w:val="en-US"/>
        </w:rPr>
        <w:t>Journal of Sustainable Tourism</w:t>
      </w:r>
      <w:r>
        <w:rPr>
          <w:rFonts w:ascii="Calibri" w:hAnsi="Calibri" w:cs="Calibri"/>
          <w:lang w:val="en-US"/>
        </w:rPr>
        <w:t>, January 25, 2020, 1–18. https://doi.org/</w:t>
      </w:r>
      <w:hyperlink r:id="rId14" w:history="1">
        <w:r>
          <w:rPr>
            <w:rStyle w:val="Hyperlink"/>
            <w:rFonts w:ascii="Calibri" w:hAnsi="Calibri" w:cs="Calibri"/>
            <w:lang w:val="en-US"/>
          </w:rPr>
          <w:t>10.1080/09669582.2020.1717504</w:t>
        </w:r>
      </w:hyperlink>
      <w:r>
        <w:rPr>
          <w:rFonts w:ascii="Calibri" w:hAnsi="Calibri" w:cs="Calibri"/>
          <w:lang w:val="en-US"/>
        </w:rPr>
        <w:t>.</w:t>
      </w:r>
    </w:p>
    <w:p w14:paraId="69130DD6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Dunne, J., E. Biddulph, P. Manix, T. Gillard, H. Whelton, S. Teague, C. Champness, et al. “Finding Oxford’s Medieval Jewry Using Organic Residue Analysis, Faunal Records and Historical Documents.” </w:t>
      </w:r>
      <w:r>
        <w:rPr>
          <w:rFonts w:ascii="Calibri" w:hAnsi="Calibri" w:cs="Calibri"/>
          <w:i/>
          <w:iCs/>
          <w:lang w:val="en-US"/>
        </w:rPr>
        <w:t>Archaeological and Anthropological Sciences</w:t>
      </w:r>
      <w:r>
        <w:rPr>
          <w:rFonts w:ascii="Calibri" w:hAnsi="Calibri" w:cs="Calibri"/>
          <w:lang w:val="en-US"/>
        </w:rPr>
        <w:t xml:space="preserve"> 13, no. 3 (February 20, 2021). https://doi.org/</w:t>
      </w:r>
      <w:hyperlink r:id="rId15" w:history="1">
        <w:r>
          <w:rPr>
            <w:rStyle w:val="Hyperlink"/>
            <w:rFonts w:ascii="Calibri" w:hAnsi="Calibri" w:cs="Calibri"/>
            <w:lang w:val="en-US"/>
          </w:rPr>
          <w:t>10.1007/s12520-021-01282-8</w:t>
        </w:r>
      </w:hyperlink>
      <w:r>
        <w:rPr>
          <w:rFonts w:ascii="Calibri" w:hAnsi="Calibri" w:cs="Calibri"/>
          <w:lang w:val="en-US"/>
        </w:rPr>
        <w:t>.</w:t>
      </w:r>
    </w:p>
    <w:p w14:paraId="1B06C926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Dupuy, Paula N. Doumani, Neil Collins, and Kristina Bekenova. “Heritage, Law, and Communities: BRI and Archaeological Impact in Kazakhstan.” </w:t>
      </w:r>
      <w:r>
        <w:rPr>
          <w:rFonts w:ascii="Calibri" w:hAnsi="Calibri" w:cs="Calibri"/>
          <w:i/>
          <w:iCs/>
          <w:lang w:val="en-US"/>
        </w:rPr>
        <w:t>The Historic Environment: Policy &amp; Practice</w:t>
      </w:r>
      <w:r>
        <w:rPr>
          <w:rFonts w:ascii="Calibri" w:hAnsi="Calibri" w:cs="Calibri"/>
          <w:lang w:val="en-US"/>
        </w:rPr>
        <w:t xml:space="preserve"> 13, no. 3 (April 25, 2022): 1–17. https://doi.org/</w:t>
      </w:r>
      <w:hyperlink r:id="rId16" w:history="1">
        <w:r>
          <w:rPr>
            <w:rStyle w:val="Hyperlink"/>
            <w:rFonts w:ascii="Calibri" w:hAnsi="Calibri" w:cs="Calibri"/>
            <w:lang w:val="en-US"/>
          </w:rPr>
          <w:t>10.1080/17567505.2022.2068256</w:t>
        </w:r>
      </w:hyperlink>
      <w:r>
        <w:rPr>
          <w:rFonts w:ascii="Calibri" w:hAnsi="Calibri" w:cs="Calibri"/>
          <w:lang w:val="en-US"/>
        </w:rPr>
        <w:t>.</w:t>
      </w:r>
    </w:p>
    <w:p w14:paraId="6E5F7AB0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European Commission, Directorate-General for Education, Youth, Sport and Culture. </w:t>
      </w:r>
      <w:r>
        <w:rPr>
          <w:rFonts w:ascii="Calibri" w:hAnsi="Calibri" w:cs="Calibri"/>
          <w:i/>
          <w:iCs/>
          <w:lang w:val="en-US"/>
        </w:rPr>
        <w:t>European Framework for Action on Cultural Heritage</w:t>
      </w:r>
      <w:r>
        <w:rPr>
          <w:rFonts w:ascii="Calibri" w:hAnsi="Calibri" w:cs="Calibri"/>
          <w:lang w:val="en-US"/>
        </w:rPr>
        <w:t>. Publications Office, 2019. https://doi.org/</w:t>
      </w:r>
      <w:hyperlink r:id="rId17" w:history="1">
        <w:r>
          <w:rPr>
            <w:rStyle w:val="Hyperlink"/>
            <w:rFonts w:ascii="Calibri" w:hAnsi="Calibri" w:cs="Calibri"/>
            <w:lang w:val="en-US"/>
          </w:rPr>
          <w:t>doi/10.2766/949707</w:t>
        </w:r>
      </w:hyperlink>
      <w:r>
        <w:rPr>
          <w:rFonts w:ascii="Calibri" w:hAnsi="Calibri" w:cs="Calibri"/>
          <w:lang w:val="en-US"/>
        </w:rPr>
        <w:t>.</w:t>
      </w:r>
    </w:p>
    <w:p w14:paraId="5FF2A181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Giles, Colum, and Robin Page, eds. “Research Discovery, Innovation and Science in the Historic </w:t>
      </w:r>
      <w:r>
        <w:rPr>
          <w:rFonts w:ascii="Calibri" w:hAnsi="Calibri" w:cs="Calibri"/>
          <w:lang w:val="en-US"/>
        </w:rPr>
        <w:lastRenderedPageBreak/>
        <w:t>Environment Issue 20 : Wellbeing and Heritage Special 2022.” London: Historic England Research, 2022.</w:t>
      </w:r>
    </w:p>
    <w:p w14:paraId="7A2ABD88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Giliberto, Francesca, and Sophia Labadi. “Harnessing Cultural Heritage for Sustainable Development: An Analysis of Three Internationally Funded Projects in MENA Countries.” </w:t>
      </w:r>
      <w:r>
        <w:rPr>
          <w:rFonts w:ascii="Calibri" w:hAnsi="Calibri" w:cs="Calibri"/>
          <w:i/>
          <w:iCs/>
          <w:lang w:val="en-US"/>
        </w:rPr>
        <w:t>International Journal of Heritage Studies</w:t>
      </w:r>
      <w:r>
        <w:rPr>
          <w:rFonts w:ascii="Calibri" w:hAnsi="Calibri" w:cs="Calibri"/>
          <w:lang w:val="en-US"/>
        </w:rPr>
        <w:t xml:space="preserve"> 28, no. 2 (July 6, 2021): 1–14. https://doi.org/</w:t>
      </w:r>
      <w:hyperlink r:id="rId18" w:history="1">
        <w:r>
          <w:rPr>
            <w:rStyle w:val="Hyperlink"/>
            <w:rFonts w:ascii="Calibri" w:hAnsi="Calibri" w:cs="Calibri"/>
            <w:lang w:val="en-US"/>
          </w:rPr>
          <w:t>10.1080/13527258.2021.1950026</w:t>
        </w:r>
      </w:hyperlink>
      <w:r>
        <w:rPr>
          <w:rFonts w:ascii="Calibri" w:hAnsi="Calibri" w:cs="Calibri"/>
          <w:lang w:val="en-US"/>
        </w:rPr>
        <w:t>.</w:t>
      </w:r>
    </w:p>
    <w:p w14:paraId="54B60B48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Grand View Research. “Heritage Tourism Market Size &amp; Share Report, 2022-2030.” www.grandviewresearch.com, 2022. </w:t>
      </w:r>
      <w:hyperlink r:id="rId19" w:history="1">
        <w:r>
          <w:rPr>
            <w:rStyle w:val="Hyperlink"/>
            <w:rFonts w:ascii="Calibri" w:hAnsi="Calibri" w:cs="Calibri"/>
            <w:lang w:val="en-US"/>
          </w:rPr>
          <w:t>https://www.grandviewresearch.com/industry-analysis/heritage-tourism-market-report</w:t>
        </w:r>
      </w:hyperlink>
      <w:r>
        <w:rPr>
          <w:rFonts w:ascii="Calibri" w:hAnsi="Calibri" w:cs="Calibri"/>
          <w:lang w:val="en-US"/>
        </w:rPr>
        <w:t>.</w:t>
      </w:r>
    </w:p>
    <w:p w14:paraId="66DBB32E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Harrison, Rodney. </w:t>
      </w:r>
      <w:r>
        <w:rPr>
          <w:rFonts w:ascii="Calibri" w:hAnsi="Calibri" w:cs="Calibri"/>
          <w:i/>
          <w:iCs/>
          <w:lang w:val="en-US"/>
        </w:rPr>
        <w:t>Understanding the Politics of Heritage</w:t>
      </w:r>
      <w:r>
        <w:rPr>
          <w:rFonts w:ascii="Calibri" w:hAnsi="Calibri" w:cs="Calibri"/>
          <w:lang w:val="en-US"/>
        </w:rPr>
        <w:t>. Manchester: Manchester University Press in association with the Open University, 2010.</w:t>
      </w:r>
    </w:p>
    <w:p w14:paraId="1575C661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Howard, Peter. </w:t>
      </w:r>
      <w:r>
        <w:rPr>
          <w:rFonts w:ascii="Calibri" w:hAnsi="Calibri" w:cs="Calibri"/>
          <w:i/>
          <w:iCs/>
          <w:lang w:val="en-US"/>
        </w:rPr>
        <w:t>Heritage : Management, Interpretation, Identity</w:t>
      </w:r>
      <w:r>
        <w:rPr>
          <w:rFonts w:ascii="Calibri" w:hAnsi="Calibri" w:cs="Calibri"/>
          <w:lang w:val="en-US"/>
        </w:rPr>
        <w:t>. 2003. Reprint, London: Continuum, 2011.</w:t>
      </w:r>
    </w:p>
    <w:p w14:paraId="62482278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Jenkins, Robin. “See How Historic Church Will Look after Controversial Revamp.” GloucestershireLive, August 8, 2018. </w:t>
      </w:r>
      <w:hyperlink r:id="rId20" w:history="1">
        <w:r>
          <w:rPr>
            <w:rStyle w:val="Hyperlink"/>
            <w:rFonts w:ascii="Calibri" w:hAnsi="Calibri" w:cs="Calibri"/>
            <w:lang w:val="en-US"/>
          </w:rPr>
          <w:t>https://www.gloucestershirelive.co.uk/news/cheltenham-news/unholy-action-see-how-ancient-1874037</w:t>
        </w:r>
      </w:hyperlink>
      <w:r>
        <w:rPr>
          <w:rFonts w:ascii="Calibri" w:hAnsi="Calibri" w:cs="Calibri"/>
          <w:lang w:val="en-US"/>
        </w:rPr>
        <w:t>.</w:t>
      </w:r>
    </w:p>
    <w:p w14:paraId="045F4E62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Jesus Jopela, Albino Pereira de. “Traditional Custodianship: A Useful Framework for Heritage Management in Southern Africa?” </w:t>
      </w:r>
      <w:r>
        <w:rPr>
          <w:rFonts w:ascii="Calibri" w:hAnsi="Calibri" w:cs="Calibri"/>
          <w:i/>
          <w:iCs/>
          <w:lang w:val="en-US"/>
        </w:rPr>
        <w:t>Conservation and Management of Archaeological Sites</w:t>
      </w:r>
      <w:r>
        <w:rPr>
          <w:rFonts w:ascii="Calibri" w:hAnsi="Calibri" w:cs="Calibri"/>
          <w:lang w:val="en-US"/>
        </w:rPr>
        <w:t xml:space="preserve"> 13, no. 2-3 (July 2011): 103–22. https://doi.org/</w:t>
      </w:r>
      <w:hyperlink r:id="rId21" w:history="1">
        <w:r>
          <w:rPr>
            <w:rStyle w:val="Hyperlink"/>
            <w:rFonts w:ascii="Calibri" w:hAnsi="Calibri" w:cs="Calibri"/>
            <w:lang w:val="en-US"/>
          </w:rPr>
          <w:t>10.1179/175355211x13179154165908</w:t>
        </w:r>
      </w:hyperlink>
      <w:r>
        <w:rPr>
          <w:rFonts w:ascii="Calibri" w:hAnsi="Calibri" w:cs="Calibri"/>
          <w:lang w:val="en-US"/>
        </w:rPr>
        <w:t>.</w:t>
      </w:r>
    </w:p>
    <w:p w14:paraId="574EB195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Kalliopi Fouseki, May Cassar, Guillaume Dreyfuss, and Kelvin Ang. </w:t>
      </w:r>
      <w:r>
        <w:rPr>
          <w:rFonts w:ascii="Calibri" w:hAnsi="Calibri" w:cs="Calibri"/>
          <w:i/>
          <w:iCs/>
          <w:lang w:val="en-US"/>
        </w:rPr>
        <w:t>Routledge Handbook of Sustainable Heritage</w:t>
      </w:r>
      <w:r>
        <w:rPr>
          <w:rFonts w:ascii="Calibri" w:hAnsi="Calibri" w:cs="Calibri"/>
          <w:lang w:val="en-US"/>
        </w:rPr>
        <w:t>. Taylor &amp; Francis, 2022.</w:t>
      </w:r>
    </w:p>
    <w:p w14:paraId="00FF92E0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Li, Ji, Sukanya Krishnamurthy, Ana Pereira Roders, and Pieter van Wesemael. “Community Participation in Cultural Heritage Management: A Systematic Literature Review Comparing Chinese and International Practices.” </w:t>
      </w:r>
      <w:r>
        <w:rPr>
          <w:rFonts w:ascii="Calibri" w:hAnsi="Calibri" w:cs="Calibri"/>
          <w:i/>
          <w:iCs/>
          <w:lang w:val="en-US"/>
        </w:rPr>
        <w:t>Cities</w:t>
      </w:r>
      <w:r>
        <w:rPr>
          <w:rFonts w:ascii="Calibri" w:hAnsi="Calibri" w:cs="Calibri"/>
          <w:lang w:val="en-US"/>
        </w:rPr>
        <w:t xml:space="preserve"> 96 (January 2020): 102476. https://doi.org/</w:t>
      </w:r>
      <w:hyperlink r:id="rId22" w:history="1">
        <w:r>
          <w:rPr>
            <w:rStyle w:val="Hyperlink"/>
            <w:rFonts w:ascii="Calibri" w:hAnsi="Calibri" w:cs="Calibri"/>
            <w:lang w:val="en-US"/>
          </w:rPr>
          <w:t>10.1016/j.cities.2019.102476</w:t>
        </w:r>
      </w:hyperlink>
      <w:r>
        <w:rPr>
          <w:rFonts w:ascii="Calibri" w:hAnsi="Calibri" w:cs="Calibri"/>
          <w:lang w:val="en-US"/>
        </w:rPr>
        <w:t>.</w:t>
      </w:r>
    </w:p>
    <w:p w14:paraId="67B24482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Logan, Andy. “The Impact of Heritage Tourism for the UK Economy.” Oxford: Oxford Economics, August 2016.</w:t>
      </w:r>
    </w:p>
    <w:p w14:paraId="3CFB24B7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McVeigh, Tracey. “Tourist Hordes Told to Stay Away from World Heritage Sites by Locals.” the Guardian, September 5, 2009. </w:t>
      </w:r>
      <w:hyperlink r:id="rId23" w:history="1">
        <w:r>
          <w:rPr>
            <w:rStyle w:val="Hyperlink"/>
            <w:rFonts w:ascii="Calibri" w:hAnsi="Calibri" w:cs="Calibri"/>
            <w:lang w:val="en-US"/>
          </w:rPr>
          <w:t>https://www.theguardian.com/environment/2009/sep/06/mass-tourism-environmental-damage</w:t>
        </w:r>
      </w:hyperlink>
      <w:r>
        <w:rPr>
          <w:rFonts w:ascii="Calibri" w:hAnsi="Calibri" w:cs="Calibri"/>
          <w:lang w:val="en-US"/>
        </w:rPr>
        <w:t>.</w:t>
      </w:r>
    </w:p>
    <w:p w14:paraId="09BC5E98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Morrison, Ryan. “Medieval Toilet Reveals Oxford’s Jewish Community Kept Kosher.” Mail Online, April 7, 2021. </w:t>
      </w:r>
      <w:hyperlink r:id="rId24" w:history="1">
        <w:r>
          <w:rPr>
            <w:rStyle w:val="Hyperlink"/>
            <w:rFonts w:ascii="Calibri" w:hAnsi="Calibri" w:cs="Calibri"/>
            <w:lang w:val="en-US"/>
          </w:rPr>
          <w:t>https://www.dailymail.co.uk/sciencetech/article-9444741/Food-fragments-</w:t>
        </w:r>
        <w:r>
          <w:rPr>
            <w:rStyle w:val="Hyperlink"/>
            <w:rFonts w:ascii="Calibri" w:hAnsi="Calibri" w:cs="Calibri"/>
            <w:lang w:val="en-US"/>
          </w:rPr>
          <w:lastRenderedPageBreak/>
          <w:t>discovered-ancient-TOILET-Oxford-reveal-Jewish-people-avoided-kept-kosher.html</w:t>
        </w:r>
      </w:hyperlink>
      <w:r>
        <w:rPr>
          <w:rFonts w:ascii="Calibri" w:hAnsi="Calibri" w:cs="Calibri"/>
          <w:lang w:val="en-US"/>
        </w:rPr>
        <w:t>.</w:t>
      </w:r>
    </w:p>
    <w:p w14:paraId="1A85A618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Newman, James, Barbara Minguez Garcia, Manjusha Rai, Rohit Jigyasu, Dowon Kim, Junko Mukai, and Juliana J. Biondo. “Uzbekistan: Resilient Cultural Heritage and Sustainable Tourism Development.” Washington D.C., USA: Global Facility for Disaster Reduction and Recovery, 2020.</w:t>
      </w:r>
    </w:p>
    <w:p w14:paraId="14419507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Norris, Miranda. “St Aldate’s Dig Unearths the City’s Rich Jewish History.” Oxford Mail, April 19, 2021. </w:t>
      </w:r>
      <w:hyperlink r:id="rId25" w:history="1">
        <w:r>
          <w:rPr>
            <w:rStyle w:val="Hyperlink"/>
            <w:rFonts w:ascii="Calibri" w:hAnsi="Calibri" w:cs="Calibri"/>
            <w:lang w:val="en-US"/>
          </w:rPr>
          <w:t>https://www.oxfordmail.co.uk/news/19238248.st-aldates-dig-reveals-citys-rich-jewish-history/</w:t>
        </w:r>
      </w:hyperlink>
      <w:r>
        <w:rPr>
          <w:rFonts w:ascii="Calibri" w:hAnsi="Calibri" w:cs="Calibri"/>
          <w:lang w:val="en-US"/>
        </w:rPr>
        <w:t>.</w:t>
      </w:r>
    </w:p>
    <w:p w14:paraId="32FEEAC3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Oxford Jewish Heritage. “Oxford’s Medieval Jewish Quarter Archaeology – Oxford Jewish Heritage.” Oxford Jewish Heritage, 2021. </w:t>
      </w:r>
      <w:hyperlink r:id="rId26" w:history="1">
        <w:r>
          <w:rPr>
            <w:rStyle w:val="Hyperlink"/>
            <w:rFonts w:ascii="Calibri" w:hAnsi="Calibri" w:cs="Calibri"/>
            <w:lang w:val="en-US"/>
          </w:rPr>
          <w:t>https://www.oxfordjewishheritage.co.uk/oxfords-medieval-jewish-quarter-archaeology/</w:t>
        </w:r>
      </w:hyperlink>
      <w:r>
        <w:rPr>
          <w:rFonts w:ascii="Calibri" w:hAnsi="Calibri" w:cs="Calibri"/>
          <w:lang w:val="en-US"/>
        </w:rPr>
        <w:t>.</w:t>
      </w:r>
    </w:p>
    <w:p w14:paraId="7880FDAC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Powter, Andrew, and Susan Ross. “Integrating Environmental and Cultural Sustainability for Heritage Properties.” </w:t>
      </w:r>
      <w:r>
        <w:rPr>
          <w:rFonts w:ascii="Calibri" w:hAnsi="Calibri" w:cs="Calibri"/>
          <w:i/>
          <w:iCs/>
          <w:lang w:val="en-US"/>
        </w:rPr>
        <w:t>APT Bulletin: The Journal of Preservation Technology</w:t>
      </w:r>
      <w:r>
        <w:rPr>
          <w:rFonts w:ascii="Calibri" w:hAnsi="Calibri" w:cs="Calibri"/>
          <w:lang w:val="en-US"/>
        </w:rPr>
        <w:t xml:space="preserve"> 36, no. 4 (2005): 5–11. </w:t>
      </w:r>
      <w:hyperlink r:id="rId27" w:history="1">
        <w:r>
          <w:rPr>
            <w:rStyle w:val="Hyperlink"/>
            <w:rFonts w:ascii="Calibri" w:hAnsi="Calibri" w:cs="Calibri"/>
            <w:lang w:val="en-US"/>
          </w:rPr>
          <w:t>http://www.jstor.org/stable/40003157</w:t>
        </w:r>
      </w:hyperlink>
      <w:r>
        <w:rPr>
          <w:rFonts w:ascii="Calibri" w:hAnsi="Calibri" w:cs="Calibri"/>
          <w:lang w:val="en-US"/>
        </w:rPr>
        <w:t>.</w:t>
      </w:r>
    </w:p>
    <w:p w14:paraId="0790B097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Radford, David. Letter to William Bedford. “Archaeological Works St Aldate’s, Oxford.” Email, May 5, 2022.</w:t>
      </w:r>
    </w:p>
    <w:p w14:paraId="54D34322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Sebire, Heather. “Stonehenge 1977–85: A Dig in Time and a Confrontation.” English Heritage, November 28, 2018. </w:t>
      </w:r>
      <w:hyperlink r:id="rId28" w:anchor=":~:text=More%20and%20more%20visitors&amp;text=The%20Department%20of%20the%20Environment" w:history="1">
        <w:r>
          <w:rPr>
            <w:rStyle w:val="Hyperlink"/>
            <w:rFonts w:ascii="Calibri" w:hAnsi="Calibri" w:cs="Calibri"/>
            <w:lang w:val="en-US"/>
          </w:rPr>
          <w:t>https://www.english-heritage.org.uk/visit/inspire-me/blog/blog-posts/stonehenge-1977-85/#:~:text=More%20and%20more%20visitors&amp;text=The%20Department%20of%20the%20Environment</w:t>
        </w:r>
      </w:hyperlink>
      <w:r>
        <w:rPr>
          <w:rFonts w:ascii="Calibri" w:hAnsi="Calibri" w:cs="Calibri"/>
          <w:lang w:val="en-US"/>
        </w:rPr>
        <w:t>.</w:t>
      </w:r>
    </w:p>
    <w:p w14:paraId="47C3449F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Smith, Laurajane. </w:t>
      </w:r>
      <w:r>
        <w:rPr>
          <w:rFonts w:ascii="Calibri" w:hAnsi="Calibri" w:cs="Calibri"/>
          <w:i/>
          <w:iCs/>
          <w:lang w:val="en-US"/>
        </w:rPr>
        <w:t>Uses of Heritage</w:t>
      </w:r>
      <w:r>
        <w:rPr>
          <w:rFonts w:ascii="Calibri" w:hAnsi="Calibri" w:cs="Calibri"/>
          <w:lang w:val="en-US"/>
        </w:rPr>
        <w:t>. London; New York, N.Y.: Routledge, 2006.</w:t>
      </w:r>
    </w:p>
    <w:p w14:paraId="292C565D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Sofaer, Joanna, Ben Davenport, Marie Louise Stig Sørensen, Eirini Gallou, and David Uzzell. “Heritage Sites, Value and Wellbeing: Learning from the COVID-19 Pandemic in England.” </w:t>
      </w:r>
      <w:r>
        <w:rPr>
          <w:rFonts w:ascii="Calibri" w:hAnsi="Calibri" w:cs="Calibri"/>
          <w:i/>
          <w:iCs/>
          <w:lang w:val="en-US"/>
        </w:rPr>
        <w:t>International Journal of Heritage Studies</w:t>
      </w:r>
      <w:r>
        <w:rPr>
          <w:rFonts w:ascii="Calibri" w:hAnsi="Calibri" w:cs="Calibri"/>
          <w:lang w:val="en-US"/>
        </w:rPr>
        <w:t xml:space="preserve"> 27, no. 11 (July 28, 2021): 1–16. https://doi.org/</w:t>
      </w:r>
      <w:hyperlink r:id="rId29" w:history="1">
        <w:r>
          <w:rPr>
            <w:rStyle w:val="Hyperlink"/>
            <w:rFonts w:ascii="Calibri" w:hAnsi="Calibri" w:cs="Calibri"/>
            <w:lang w:val="en-US"/>
          </w:rPr>
          <w:t>10.1080/13527258.2021.1955729</w:t>
        </w:r>
      </w:hyperlink>
      <w:r>
        <w:rPr>
          <w:rFonts w:ascii="Calibri" w:hAnsi="Calibri" w:cs="Calibri"/>
          <w:lang w:val="en-US"/>
        </w:rPr>
        <w:t>.</w:t>
      </w:r>
    </w:p>
    <w:p w14:paraId="24F9F605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Thomas, Suzie. “Discovering a Viking Hoard: A Day in the Life of a Metal Detectorist.” The Conversation, October 14, 2014. </w:t>
      </w:r>
      <w:hyperlink r:id="rId30" w:history="1">
        <w:r>
          <w:rPr>
            <w:rStyle w:val="Hyperlink"/>
            <w:rFonts w:ascii="Calibri" w:hAnsi="Calibri" w:cs="Calibri"/>
            <w:lang w:val="en-US"/>
          </w:rPr>
          <w:t>https://theconversation.com/discovering-a-viking-hoard-a-day-in-the-life-of-a-metal-detectorist-32972</w:t>
        </w:r>
      </w:hyperlink>
      <w:r>
        <w:rPr>
          <w:rFonts w:ascii="Calibri" w:hAnsi="Calibri" w:cs="Calibri"/>
          <w:lang w:val="en-US"/>
        </w:rPr>
        <w:t>.</w:t>
      </w:r>
    </w:p>
    <w:p w14:paraId="245FD531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Torre, Marta de la. “Values and Heritage Conservation.” </w:t>
      </w:r>
      <w:r>
        <w:rPr>
          <w:rFonts w:ascii="Calibri" w:hAnsi="Calibri" w:cs="Calibri"/>
          <w:i/>
          <w:iCs/>
          <w:lang w:val="en-US"/>
        </w:rPr>
        <w:t>Heritage &amp; Society</w:t>
      </w:r>
      <w:r>
        <w:rPr>
          <w:rFonts w:ascii="Calibri" w:hAnsi="Calibri" w:cs="Calibri"/>
          <w:lang w:val="en-US"/>
        </w:rPr>
        <w:t xml:space="preserve"> 6, no. 2 (November 2013): 155–66. https://doi.org/</w:t>
      </w:r>
      <w:hyperlink r:id="rId31" w:history="1">
        <w:r>
          <w:rPr>
            <w:rStyle w:val="Hyperlink"/>
            <w:rFonts w:ascii="Calibri" w:hAnsi="Calibri" w:cs="Calibri"/>
            <w:lang w:val="en-US"/>
          </w:rPr>
          <w:t>10.1179/2159032x13z.00000000011</w:t>
        </w:r>
      </w:hyperlink>
      <w:r>
        <w:rPr>
          <w:rFonts w:ascii="Calibri" w:hAnsi="Calibri" w:cs="Calibri"/>
          <w:lang w:val="en-US"/>
        </w:rPr>
        <w:t>.</w:t>
      </w:r>
    </w:p>
    <w:p w14:paraId="0B827532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UNESCO World Heritage Centre. “Socio-Economic Impacts of World Heritage Listing.” UNESCO World Heritage Centre. Accessed January 5, 2023. </w:t>
      </w:r>
      <w:hyperlink r:id="rId32" w:anchor=":~:text=Tourism%20can%20provide%20financial%20support" w:history="1">
        <w:r>
          <w:rPr>
            <w:rStyle w:val="Hyperlink"/>
            <w:rFonts w:ascii="Calibri" w:hAnsi="Calibri" w:cs="Calibri"/>
            <w:lang w:val="en-US"/>
          </w:rPr>
          <w:t>https://whc.unesco.org/en/socio-economic-impacts/#:~:text=Tourism%20can%20provide%20financial%20support</w:t>
        </w:r>
      </w:hyperlink>
      <w:r>
        <w:rPr>
          <w:rFonts w:ascii="Calibri" w:hAnsi="Calibri" w:cs="Calibri"/>
          <w:lang w:val="en-US"/>
        </w:rPr>
        <w:t>.</w:t>
      </w:r>
    </w:p>
    <w:p w14:paraId="26D6C214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lastRenderedPageBreak/>
        <w:t>United Kingdom. Treasure Act 1996 (1996).</w:t>
      </w:r>
    </w:p>
    <w:p w14:paraId="17E0349D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Waterton, Emma, and Laurajane Smith. “The Recognition and Misrecognition of Community Heritage.” </w:t>
      </w:r>
      <w:r>
        <w:rPr>
          <w:rFonts w:ascii="Calibri" w:hAnsi="Calibri" w:cs="Calibri"/>
          <w:i/>
          <w:iCs/>
          <w:lang w:val="en-US"/>
        </w:rPr>
        <w:t>International Journal of Heritage Studies</w:t>
      </w:r>
      <w:r>
        <w:rPr>
          <w:rFonts w:ascii="Calibri" w:hAnsi="Calibri" w:cs="Calibri"/>
          <w:lang w:val="en-US"/>
        </w:rPr>
        <w:t xml:space="preserve"> 16, no. 1-2 (January 2010): 4–15. https://doi.org/</w:t>
      </w:r>
      <w:hyperlink r:id="rId33" w:history="1">
        <w:r>
          <w:rPr>
            <w:rStyle w:val="Hyperlink"/>
            <w:rFonts w:ascii="Calibri" w:hAnsi="Calibri" w:cs="Calibri"/>
            <w:lang w:val="en-US"/>
          </w:rPr>
          <w:t>10.1080/13527250903441671</w:t>
        </w:r>
      </w:hyperlink>
      <w:r>
        <w:rPr>
          <w:rFonts w:ascii="Calibri" w:hAnsi="Calibri" w:cs="Calibri"/>
          <w:lang w:val="en-US"/>
        </w:rPr>
        <w:t>.</w:t>
      </w:r>
    </w:p>
    <w:p w14:paraId="0F4F191F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Watkin, Thomas. “Ecclesiastical Law and the Church in Wales | Law Wales.” law.gov.wales, March 16, 2021. </w:t>
      </w:r>
      <w:hyperlink r:id="rId34" w:history="1">
        <w:r>
          <w:rPr>
            <w:rStyle w:val="Hyperlink"/>
            <w:rFonts w:ascii="Calibri" w:hAnsi="Calibri" w:cs="Calibri"/>
            <w:lang w:val="en-US"/>
          </w:rPr>
          <w:t>https://law.gov.wales/ecclesiastical-law-and-church-wales</w:t>
        </w:r>
      </w:hyperlink>
      <w:r>
        <w:rPr>
          <w:rFonts w:ascii="Calibri" w:hAnsi="Calibri" w:cs="Calibri"/>
          <w:lang w:val="en-US"/>
        </w:rPr>
        <w:t>.</w:t>
      </w:r>
    </w:p>
    <w:p w14:paraId="68836292" w14:textId="77777777" w:rsidR="007E5224" w:rsidRDefault="007E5224" w:rsidP="007E5224">
      <w:pPr>
        <w:widowControl w:val="0"/>
        <w:autoSpaceDE w:val="0"/>
        <w:autoSpaceDN w:val="0"/>
        <w:adjustRightInd w:val="0"/>
        <w:spacing w:after="0"/>
        <w:ind w:left="720" w:hanging="720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Watson, Steve, and Emma Waterton. “Heritage and Community Engagement.” </w:t>
      </w:r>
      <w:r>
        <w:rPr>
          <w:rFonts w:ascii="Calibri" w:hAnsi="Calibri" w:cs="Calibri"/>
          <w:i/>
          <w:iCs/>
          <w:lang w:val="en-US"/>
        </w:rPr>
        <w:t>International Journal of Heritage Studies</w:t>
      </w:r>
      <w:r>
        <w:rPr>
          <w:rFonts w:ascii="Calibri" w:hAnsi="Calibri" w:cs="Calibri"/>
          <w:lang w:val="en-US"/>
        </w:rPr>
        <w:t xml:space="preserve"> 16, no. 1-2 (January 2010): 1–3. https://doi.org/</w:t>
      </w:r>
      <w:hyperlink r:id="rId35" w:history="1">
        <w:r>
          <w:rPr>
            <w:rStyle w:val="Hyperlink"/>
            <w:rFonts w:ascii="Calibri" w:hAnsi="Calibri" w:cs="Calibri"/>
            <w:lang w:val="en-US"/>
          </w:rPr>
          <w:t>10.1080/13527250903441655</w:t>
        </w:r>
      </w:hyperlink>
      <w:r>
        <w:rPr>
          <w:rFonts w:ascii="Calibri" w:hAnsi="Calibri" w:cs="Calibri"/>
          <w:lang w:val="en-US"/>
        </w:rPr>
        <w:t>.</w:t>
      </w:r>
    </w:p>
    <w:p w14:paraId="7FD5314D" w14:textId="77777777" w:rsidR="00654B25" w:rsidRPr="00BC6BE9" w:rsidRDefault="00654B25" w:rsidP="00F3326B"/>
    <w:sectPr w:rsidR="00654B25" w:rsidRPr="00BC6BE9">
      <w:headerReference w:type="default" r:id="rId36"/>
      <w:footerReference w:type="default" r:id="rId3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08E17A" w14:textId="77777777" w:rsidR="00006E69" w:rsidRDefault="00006E69" w:rsidP="00644A10">
      <w:pPr>
        <w:spacing w:after="0" w:line="240" w:lineRule="auto"/>
      </w:pPr>
      <w:r>
        <w:separator/>
      </w:r>
    </w:p>
  </w:endnote>
  <w:endnote w:type="continuationSeparator" w:id="0">
    <w:p w14:paraId="22DB3AC0" w14:textId="77777777" w:rsidR="00006E69" w:rsidRDefault="00006E69" w:rsidP="00644A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44646165"/>
      <w:docPartObj>
        <w:docPartGallery w:val="Page Numbers (Bottom of Page)"/>
        <w:docPartUnique/>
      </w:docPartObj>
    </w:sdtPr>
    <w:sdtEndPr/>
    <w:sdtContent>
      <w:p w14:paraId="38D74706" w14:textId="09052B54" w:rsidR="007D7512" w:rsidRDefault="007D7512" w:rsidP="007D7512">
        <w:pPr>
          <w:pStyle w:val="Footer"/>
          <w:pBdr>
            <w:top w:val="single" w:sz="4" w:space="1" w:color="auto"/>
          </w:pBdr>
        </w:pPr>
        <w:r>
          <w:t>05 January 2023</w:t>
        </w:r>
        <w:r>
          <w:ptab w:relativeTo="margin" w:alignment="right" w:leader="none"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8C1B2B" w14:textId="77777777" w:rsidR="00006E69" w:rsidRDefault="00006E69" w:rsidP="00644A10">
      <w:pPr>
        <w:spacing w:after="0" w:line="240" w:lineRule="auto"/>
      </w:pPr>
      <w:r>
        <w:separator/>
      </w:r>
    </w:p>
  </w:footnote>
  <w:footnote w:type="continuationSeparator" w:id="0">
    <w:p w14:paraId="4D112222" w14:textId="77777777" w:rsidR="00006E69" w:rsidRDefault="00006E69" w:rsidP="00644A10">
      <w:pPr>
        <w:spacing w:after="0" w:line="240" w:lineRule="auto"/>
      </w:pPr>
      <w:r>
        <w:continuationSeparator/>
      </w:r>
    </w:p>
  </w:footnote>
  <w:footnote w:id="1">
    <w:p w14:paraId="039577D3" w14:textId="6624801A" w:rsidR="002C171A" w:rsidRDefault="002C17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C171A">
        <w:t xml:space="preserve">Elizabeth Crooke, “The Politics of Community Heritage: Motivations, Authority and Control,” </w:t>
      </w:r>
      <w:r w:rsidRPr="002C171A">
        <w:rPr>
          <w:i/>
          <w:iCs/>
        </w:rPr>
        <w:t>International Journal of Heritage Studies</w:t>
      </w:r>
      <w:r w:rsidRPr="002C171A">
        <w:t xml:space="preserve"> 16, no. 1-2 (January 2010): </w:t>
      </w:r>
      <w:r>
        <w:t>17</w:t>
      </w:r>
      <w:r w:rsidRPr="002C171A">
        <w:t>, https://doi.org/</w:t>
      </w:r>
      <w:hyperlink r:id="rId1" w:history="1">
        <w:r w:rsidRPr="002C171A">
          <w:rPr>
            <w:rStyle w:val="Hyperlink"/>
          </w:rPr>
          <w:t>10.1080/13527250903441705</w:t>
        </w:r>
      </w:hyperlink>
      <w:r w:rsidRPr="002C171A">
        <w:t>.</w:t>
      </w:r>
    </w:p>
  </w:footnote>
  <w:footnote w:id="2">
    <w:p w14:paraId="2F407CB3" w14:textId="1C49F68B" w:rsidR="00287071" w:rsidRDefault="0028707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87071">
        <w:t xml:space="preserve">Rodney Harrison, </w:t>
      </w:r>
      <w:r w:rsidRPr="00287071">
        <w:rPr>
          <w:i/>
          <w:iCs/>
        </w:rPr>
        <w:t>Understanding the Politics of Heritage</w:t>
      </w:r>
      <w:r w:rsidRPr="00287071">
        <w:t xml:space="preserve"> (Manchester: Manchester University Press in association with the Open University, 2010).</w:t>
      </w:r>
    </w:p>
  </w:footnote>
  <w:footnote w:id="3">
    <w:p w14:paraId="25C16E91" w14:textId="5AF3A83F" w:rsidR="00287071" w:rsidRDefault="0028707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87071">
        <w:t xml:space="preserve">Peter Howard, </w:t>
      </w:r>
      <w:r w:rsidRPr="00287071">
        <w:rPr>
          <w:i/>
          <w:iCs/>
        </w:rPr>
        <w:t>Heritage : Management, Interpretation, Identity</w:t>
      </w:r>
      <w:r w:rsidRPr="00287071">
        <w:t xml:space="preserve"> (2003; repr., London: Continuum, 2011).</w:t>
      </w:r>
    </w:p>
  </w:footnote>
  <w:footnote w:id="4">
    <w:p w14:paraId="3E92C296" w14:textId="481A21CB" w:rsidR="0011199F" w:rsidRDefault="001119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1199F">
        <w:t xml:space="preserve">Laurajane Smith, </w:t>
      </w:r>
      <w:r w:rsidRPr="0011199F">
        <w:rPr>
          <w:i/>
          <w:iCs/>
        </w:rPr>
        <w:t>Uses of Heritage</w:t>
      </w:r>
      <w:r w:rsidRPr="0011199F">
        <w:t xml:space="preserve"> (London; New York, N.Y.: Routledge, 2006).</w:t>
      </w:r>
    </w:p>
  </w:footnote>
  <w:footnote w:id="5">
    <w:p w14:paraId="156140D1" w14:textId="5893B22A" w:rsidR="00496126" w:rsidRDefault="004961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34D9A" w:rsidRPr="00834D9A">
        <w:t xml:space="preserve">Emma Waterton and Laurajane Smith, “The Recognition and Misrecognition of Community Heritage,” </w:t>
      </w:r>
      <w:r w:rsidR="00834D9A" w:rsidRPr="00834D9A">
        <w:rPr>
          <w:i/>
          <w:iCs/>
        </w:rPr>
        <w:t>International Journal of Heritage Studies</w:t>
      </w:r>
      <w:r w:rsidR="00834D9A" w:rsidRPr="00834D9A">
        <w:t xml:space="preserve"> 16, no. 1-2 (January 2010): 4–15, https://doi.org/</w:t>
      </w:r>
      <w:hyperlink r:id="rId2" w:history="1">
        <w:r w:rsidR="00834D9A" w:rsidRPr="00834D9A">
          <w:rPr>
            <w:rStyle w:val="Hyperlink"/>
          </w:rPr>
          <w:t>10.1080/13527250903441671</w:t>
        </w:r>
      </w:hyperlink>
      <w:r w:rsidR="00834D9A" w:rsidRPr="00834D9A">
        <w:t>.</w:t>
      </w:r>
    </w:p>
  </w:footnote>
  <w:footnote w:id="6">
    <w:p w14:paraId="072E6749" w14:textId="684A5473" w:rsidR="00994E26" w:rsidRDefault="00994E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94E26">
        <w:t xml:space="preserve">Joanna Sofaer et al., “Heritage Sites, Value and Wellbeing: Learning from the COVID-19 Pandemic in England,” </w:t>
      </w:r>
      <w:r w:rsidRPr="00994E26">
        <w:rPr>
          <w:i/>
          <w:iCs/>
        </w:rPr>
        <w:t>International Journal of Heritage Studies</w:t>
      </w:r>
      <w:r w:rsidRPr="00994E26">
        <w:t xml:space="preserve"> 27, no. 11 (July 28, 2021): 1–16, https://doi.org/</w:t>
      </w:r>
      <w:hyperlink r:id="rId3" w:history="1">
        <w:r w:rsidRPr="00994E26">
          <w:rPr>
            <w:rStyle w:val="Hyperlink"/>
          </w:rPr>
          <w:t>10.1080/13527258.2021.1955729</w:t>
        </w:r>
      </w:hyperlink>
      <w:r w:rsidRPr="00994E26">
        <w:t>.</w:t>
      </w:r>
    </w:p>
  </w:footnote>
  <w:footnote w:id="7">
    <w:p w14:paraId="0B1EE4B9" w14:textId="1406A733" w:rsidR="00C64783" w:rsidRDefault="00C64783">
      <w:pPr>
        <w:pStyle w:val="FootnoteText"/>
      </w:pPr>
      <w:r>
        <w:rPr>
          <w:rStyle w:val="FootnoteReference"/>
        </w:rPr>
        <w:footnoteRef/>
      </w:r>
      <w:r>
        <w:t xml:space="preserve"> Ibid, </w:t>
      </w:r>
      <w:r w:rsidR="00ED52B8">
        <w:t>1 and 3.</w:t>
      </w:r>
    </w:p>
  </w:footnote>
  <w:footnote w:id="8">
    <w:p w14:paraId="1622C976" w14:textId="2CC45CE4" w:rsidR="00171EBC" w:rsidRDefault="00171EB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13165" w:rsidRPr="00F13165">
        <w:t xml:space="preserve">Cadw, “Trefignath Burial Chamber | Cadw,” cadw.gov.wales, accessed January 5, 2023, </w:t>
      </w:r>
      <w:hyperlink r:id="rId4" w:history="1">
        <w:r w:rsidR="00F13165" w:rsidRPr="00F13165">
          <w:rPr>
            <w:rStyle w:val="Hyperlink"/>
          </w:rPr>
          <w:t>https://cadw.gov.wales/visit/places-to-visit/trefignath-burial-chamber</w:t>
        </w:r>
      </w:hyperlink>
      <w:r w:rsidR="00F13165" w:rsidRPr="00F13165">
        <w:t>.</w:t>
      </w:r>
    </w:p>
  </w:footnote>
  <w:footnote w:id="9">
    <w:p w14:paraId="6E80936B" w14:textId="600D1DDA" w:rsidR="00210CC8" w:rsidRDefault="00210CC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10CC8">
        <w:t xml:space="preserve">Laurajane Smith, </w:t>
      </w:r>
      <w:r w:rsidRPr="00210CC8">
        <w:rPr>
          <w:i/>
          <w:iCs/>
        </w:rPr>
        <w:t>Uses of Heritage</w:t>
      </w:r>
      <w:r w:rsidRPr="00210CC8">
        <w:t xml:space="preserve"> (London; New York, N.Y.: Routledge, 2006).</w:t>
      </w:r>
    </w:p>
  </w:footnote>
  <w:footnote w:id="10">
    <w:p w14:paraId="0A12F44D" w14:textId="52D92375" w:rsidR="00501CF8" w:rsidRDefault="00501C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01CF8">
        <w:t xml:space="preserve">Emma Waterton and Laurajane Smith, “The Recognition and Misrecognition of Community Heritage,” </w:t>
      </w:r>
      <w:r w:rsidRPr="00501CF8">
        <w:rPr>
          <w:i/>
          <w:iCs/>
        </w:rPr>
        <w:t>International Journal of Heritage Studies</w:t>
      </w:r>
      <w:r w:rsidRPr="00501CF8">
        <w:t xml:space="preserve"> 16, no. 1-2 (January 2010): 4–15, https://doi.org/</w:t>
      </w:r>
      <w:hyperlink r:id="rId5" w:history="1">
        <w:r w:rsidRPr="00501CF8">
          <w:rPr>
            <w:rStyle w:val="Hyperlink"/>
          </w:rPr>
          <w:t>10.1080/13527250903441671</w:t>
        </w:r>
      </w:hyperlink>
      <w:r w:rsidRPr="00501CF8">
        <w:t>.</w:t>
      </w:r>
    </w:p>
  </w:footnote>
  <w:footnote w:id="11">
    <w:p w14:paraId="0FC56D51" w14:textId="7D830694" w:rsidR="00BD55F7" w:rsidRDefault="00BD55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D55F7">
        <w:t xml:space="preserve">Elizabeth Crooke, “The Politics of Community Heritage: Motivations, Authority and Control,” </w:t>
      </w:r>
      <w:r w:rsidR="00E40148">
        <w:t>1</w:t>
      </w:r>
      <w:r w:rsidRPr="00BD55F7">
        <w:t>9.</w:t>
      </w:r>
    </w:p>
  </w:footnote>
  <w:footnote w:id="12">
    <w:p w14:paraId="4030BB6C" w14:textId="7352BC15" w:rsidR="004942EE" w:rsidRDefault="004942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942EE">
        <w:t xml:space="preserve">Kalliopi Fouseki et al., </w:t>
      </w:r>
      <w:r w:rsidRPr="004942EE">
        <w:rPr>
          <w:i/>
          <w:iCs/>
        </w:rPr>
        <w:t>Routledge Handbook of Sustainable Heritage</w:t>
      </w:r>
      <w:r w:rsidRPr="004942EE">
        <w:t xml:space="preserve"> (Taylor &amp; Francis, 2022)</w:t>
      </w:r>
      <w:r>
        <w:t xml:space="preserve">, </w:t>
      </w:r>
      <w:r w:rsidR="00DA4AED">
        <w:t>2.</w:t>
      </w:r>
    </w:p>
  </w:footnote>
  <w:footnote w:id="13">
    <w:p w14:paraId="3D58A774" w14:textId="4719E86C" w:rsidR="00ED2E01" w:rsidRDefault="00ED2E01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14">
    <w:p w14:paraId="2761E786" w14:textId="37E8C51E" w:rsidR="00C90AAC" w:rsidRDefault="00C90AA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90AAC">
        <w:t xml:space="preserve">Francesca Giliberto and Sophia Labadi, “Harnessing Cultural Heritage for Sustainable Development: An Analysis of Three Internationally Funded Projects in MENA Countries,” </w:t>
      </w:r>
      <w:r w:rsidRPr="00C90AAC">
        <w:rPr>
          <w:i/>
          <w:iCs/>
        </w:rPr>
        <w:t>International Journal of Heritage Studies</w:t>
      </w:r>
      <w:r w:rsidRPr="00C90AAC">
        <w:t xml:space="preserve"> 28, no. 2 (July 6, 2021): 1–14, https://doi.org/</w:t>
      </w:r>
      <w:hyperlink r:id="rId6" w:history="1">
        <w:r w:rsidRPr="00C90AAC">
          <w:rPr>
            <w:rStyle w:val="Hyperlink"/>
          </w:rPr>
          <w:t>10.1080/13527258.2021.1950026</w:t>
        </w:r>
      </w:hyperlink>
      <w:r w:rsidRPr="00C90AAC">
        <w:t>.</w:t>
      </w:r>
    </w:p>
  </w:footnote>
  <w:footnote w:id="15">
    <w:p w14:paraId="0531F94A" w14:textId="307AD652" w:rsidR="002B2BA5" w:rsidRDefault="002B2B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B2BA5">
        <w:t>Colum Giles and Robin Page, eds., “Research Discovery, Innovation and Science in the Historic Environment Issue 20 : Wellbeing and Heritage Special 2022” (London: Historic England Research, 2022).</w:t>
      </w:r>
    </w:p>
  </w:footnote>
  <w:footnote w:id="16">
    <w:p w14:paraId="32C9BCE2" w14:textId="32462910" w:rsidR="00BC4AD2" w:rsidRDefault="00BC4A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C3D59" w:rsidRPr="002C3D59">
        <w:t xml:space="preserve">Marta de la Torre, “Values and Heritage Conservation,” </w:t>
      </w:r>
      <w:r w:rsidR="002C3D59" w:rsidRPr="002C3D59">
        <w:rPr>
          <w:i/>
          <w:iCs/>
        </w:rPr>
        <w:t>Heritage &amp; Society</w:t>
      </w:r>
      <w:r w:rsidR="002C3D59" w:rsidRPr="002C3D59">
        <w:t xml:space="preserve"> 6, no. 2 (November 2013): 155–66, https://doi.org/</w:t>
      </w:r>
      <w:hyperlink r:id="rId7" w:history="1">
        <w:r w:rsidR="002C3D59" w:rsidRPr="002C3D59">
          <w:rPr>
            <w:rStyle w:val="Hyperlink"/>
          </w:rPr>
          <w:t>10.1179/2159032x13z.00000000011</w:t>
        </w:r>
      </w:hyperlink>
      <w:r w:rsidR="002C3D59" w:rsidRPr="002C3D59">
        <w:t>.</w:t>
      </w:r>
    </w:p>
  </w:footnote>
  <w:footnote w:id="17">
    <w:p w14:paraId="226B5C38" w14:textId="31E664E0" w:rsidR="00262A08" w:rsidRDefault="00262A0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2A08">
        <w:t xml:space="preserve">Laurajane Smith, </w:t>
      </w:r>
      <w:r w:rsidRPr="00262A08">
        <w:rPr>
          <w:i/>
          <w:iCs/>
        </w:rPr>
        <w:t>Uses of Heritage</w:t>
      </w:r>
      <w:r w:rsidRPr="00262A08">
        <w:t xml:space="preserve"> (London; New York, N.Y.: Routledge, 2006).</w:t>
      </w:r>
    </w:p>
  </w:footnote>
  <w:footnote w:id="18">
    <w:p w14:paraId="6B6D7AFD" w14:textId="6842B6C8" w:rsidR="007C48F1" w:rsidRDefault="007C48F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C48F1">
        <w:t xml:space="preserve">J. Dunne et al., “Finding Oxford’s Medieval Jewry Using Organic Residue Analysis, Faunal Records and Historical Documents,” </w:t>
      </w:r>
      <w:r w:rsidRPr="007C48F1">
        <w:rPr>
          <w:i/>
          <w:iCs/>
        </w:rPr>
        <w:t>Archaeological and Anthropological Sciences</w:t>
      </w:r>
      <w:r w:rsidRPr="007C48F1">
        <w:t xml:space="preserve"> 13, no. 3 (February 20, 2021), https://doi.org/</w:t>
      </w:r>
      <w:hyperlink r:id="rId8" w:history="1">
        <w:r w:rsidRPr="007C48F1">
          <w:rPr>
            <w:rStyle w:val="Hyperlink"/>
          </w:rPr>
          <w:t>10.1007/s12520-021-01282-8</w:t>
        </w:r>
      </w:hyperlink>
      <w:r w:rsidRPr="007C48F1">
        <w:t>.</w:t>
      </w:r>
    </w:p>
  </w:footnote>
  <w:footnote w:id="19">
    <w:p w14:paraId="3615D303" w14:textId="4A62A512" w:rsidR="00D60C93" w:rsidRDefault="00D60C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1433">
        <w:t>J</w:t>
      </w:r>
      <w:r w:rsidR="008D1433" w:rsidRPr="007C48F1">
        <w:t>. Dunne et al., “Finding Oxford’s Medieval Jewry Using Organic Residue Analysis, Faunal Records and Historical Documents,”</w:t>
      </w:r>
      <w:r w:rsidR="008D1433">
        <w:t xml:space="preserve"> 4. </w:t>
      </w:r>
    </w:p>
  </w:footnote>
  <w:footnote w:id="20">
    <w:p w14:paraId="22543698" w14:textId="65511F6D" w:rsidR="005A66B1" w:rsidRDefault="005A66B1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21">
    <w:p w14:paraId="16F757B1" w14:textId="3D867E4B" w:rsidR="00B0189E" w:rsidRDefault="00B0189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85442" w:rsidRPr="00785442">
        <w:t xml:space="preserve">Ryan Morrison, “Medieval Toilet Reveals Oxford’s Jewish Community Kept Kosher,” Mail Online, April 7, 2021, </w:t>
      </w:r>
      <w:hyperlink r:id="rId9" w:history="1">
        <w:r w:rsidR="00785442" w:rsidRPr="00785442">
          <w:rPr>
            <w:rStyle w:val="Hyperlink"/>
          </w:rPr>
          <w:t>https://www.dailymail.co.uk/sciencetech/article-9444741/Food-fragments-discovered-ancient-TOILET-Oxford-reveal-Jewish-people-avoided-kept-kosher.html</w:t>
        </w:r>
      </w:hyperlink>
      <w:r w:rsidR="00785442" w:rsidRPr="00785442">
        <w:t>.</w:t>
      </w:r>
    </w:p>
  </w:footnote>
  <w:footnote w:id="22">
    <w:p w14:paraId="47A92C4A" w14:textId="75568118" w:rsidR="00EF63D3" w:rsidRDefault="00EF63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F63D3">
        <w:t xml:space="preserve">Oxford Jewish Heritage, “Oxford’s Medieval Jewish Quarter Archaeology – Oxford Jewish Heritage,” Oxford Jewish Heritage, 2021, </w:t>
      </w:r>
      <w:hyperlink r:id="rId10" w:history="1">
        <w:r w:rsidRPr="00EF63D3">
          <w:rPr>
            <w:rStyle w:val="Hyperlink"/>
          </w:rPr>
          <w:t>https://www.oxfordjewishheritage.co.uk/oxfords-medieval-jewish-quarter-archaeology/</w:t>
        </w:r>
      </w:hyperlink>
      <w:r w:rsidRPr="00EF63D3">
        <w:t>.</w:t>
      </w:r>
    </w:p>
  </w:footnote>
  <w:footnote w:id="23">
    <w:p w14:paraId="6DFFD056" w14:textId="33689E0B" w:rsidR="00B70CC8" w:rsidRDefault="00B70CC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70CC8">
        <w:t>David Radford to William Bedford, “Archaeological Works St Aldate’s, Oxford,” Email, May 5, 2022.</w:t>
      </w:r>
    </w:p>
  </w:footnote>
  <w:footnote w:id="24">
    <w:p w14:paraId="11352A05" w14:textId="4415E4A6" w:rsidR="00B74C83" w:rsidRDefault="00B74C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74C83">
        <w:t xml:space="preserve">Miranda Norris, “St Aldate’s Dig Unearths the City’s Rich Jewish History,” Oxford Mail, April 19, 2021, </w:t>
      </w:r>
      <w:hyperlink r:id="rId11" w:history="1">
        <w:r w:rsidRPr="00B74C83">
          <w:rPr>
            <w:rStyle w:val="Hyperlink"/>
          </w:rPr>
          <w:t>https://www.oxfordmail.co.uk/news/19238248.st-aldates-dig-reveals-citys-rich-jewish-history/</w:t>
        </w:r>
      </w:hyperlink>
      <w:r w:rsidRPr="00B74C83">
        <w:t>.</w:t>
      </w:r>
    </w:p>
  </w:footnote>
  <w:footnote w:id="25">
    <w:p w14:paraId="2900E8F4" w14:textId="210572DA" w:rsidR="00E166E8" w:rsidRDefault="00E166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942EE">
        <w:t xml:space="preserve">Kalliopi Fouseki et al., </w:t>
      </w:r>
      <w:r w:rsidRPr="004942EE">
        <w:rPr>
          <w:i/>
          <w:iCs/>
        </w:rPr>
        <w:t>Routledge Handbook of Sustainable Heritage</w:t>
      </w:r>
      <w:r w:rsidRPr="004942EE">
        <w:t xml:space="preserve"> (Taylor &amp; Francis, 2022)</w:t>
      </w:r>
      <w:r>
        <w:t>, 2.</w:t>
      </w:r>
    </w:p>
  </w:footnote>
  <w:footnote w:id="26">
    <w:p w14:paraId="6D0EE4A3" w14:textId="70660989" w:rsidR="00AD767B" w:rsidRDefault="00AD76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D767B">
        <w:t xml:space="preserve">Suzie Thomas, “Discovering a Viking Hoard: A Day in the Life of a Metal Detectorist,” The Conversation, October 14, 2014, </w:t>
      </w:r>
      <w:hyperlink r:id="rId12" w:history="1">
        <w:r w:rsidRPr="00AD767B">
          <w:rPr>
            <w:rStyle w:val="Hyperlink"/>
          </w:rPr>
          <w:t>https://theconversation.com/discovering-a-viking-hoard-a-day-in-the-life-of-a-metal-detectorist-32972</w:t>
        </w:r>
      </w:hyperlink>
      <w:r w:rsidRPr="00AD767B">
        <w:t>.</w:t>
      </w:r>
    </w:p>
  </w:footnote>
  <w:footnote w:id="27">
    <w:p w14:paraId="4390FFC3" w14:textId="36C47356" w:rsidR="009B0DC5" w:rsidRDefault="009B0DC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86CF4" w:rsidRPr="00AD767B">
        <w:t>Suzie Thomas, “Discovering a Viking Hoard: A Day in the Life of a Metal Detectorist”</w:t>
      </w:r>
      <w:r>
        <w:t>.</w:t>
      </w:r>
    </w:p>
  </w:footnote>
  <w:footnote w:id="28">
    <w:p w14:paraId="042FD4E8" w14:textId="031857EC" w:rsidR="00437E1E" w:rsidRDefault="00437E1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123846472"/>
      <w:r w:rsidRPr="00437E1E">
        <w:t>United Kingdom, “Treasure Act 1996” (1996).</w:t>
      </w:r>
      <w:bookmarkEnd w:id="0"/>
    </w:p>
  </w:footnote>
  <w:footnote w:id="29">
    <w:p w14:paraId="36DA6711" w14:textId="06BB21EB" w:rsidR="006820A9" w:rsidRDefault="006820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820A9">
        <w:t xml:space="preserve">Paula N. Doumani Dupuy, Neil Collins, and Kristina Bekenova, “Heritage, Law, and Communities: BRI and Archaeological Impact in Kazakhstan,” </w:t>
      </w:r>
      <w:r w:rsidRPr="006820A9">
        <w:rPr>
          <w:i/>
          <w:iCs/>
        </w:rPr>
        <w:t>The Historic Environment: Policy &amp; Practice</w:t>
      </w:r>
      <w:r w:rsidRPr="006820A9">
        <w:t xml:space="preserve"> 13, no. 3 (April 25, 2022): </w:t>
      </w:r>
      <w:r w:rsidR="005230D5">
        <w:t>283</w:t>
      </w:r>
      <w:r w:rsidRPr="006820A9">
        <w:t>, https://doi.org/</w:t>
      </w:r>
      <w:hyperlink r:id="rId13" w:history="1">
        <w:r w:rsidRPr="006820A9">
          <w:rPr>
            <w:rStyle w:val="Hyperlink"/>
          </w:rPr>
          <w:t>10.1080/17567505.2022.2068256</w:t>
        </w:r>
      </w:hyperlink>
      <w:r w:rsidRPr="006820A9">
        <w:t>.</w:t>
      </w:r>
    </w:p>
  </w:footnote>
  <w:footnote w:id="30">
    <w:p w14:paraId="181C8192" w14:textId="0F9199F1" w:rsidR="007D1262" w:rsidRDefault="007D12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D1262">
        <w:t>United Kingdom, “Treasure Act 1996” (1996).</w:t>
      </w:r>
    </w:p>
  </w:footnote>
  <w:footnote w:id="31">
    <w:p w14:paraId="55CFD2B9" w14:textId="704343FC" w:rsidR="003C7415" w:rsidRDefault="003C74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C7415">
        <w:t xml:space="preserve">Albino Pereira de Jesus Jopela, “Traditional Custodianship: A Useful Framework for Heritage Management in Southern Africa?,” </w:t>
      </w:r>
      <w:r w:rsidRPr="003C7415">
        <w:rPr>
          <w:i/>
          <w:iCs/>
        </w:rPr>
        <w:t>Conservation and Management of Archaeological Sites</w:t>
      </w:r>
      <w:r w:rsidRPr="003C7415">
        <w:t xml:space="preserve"> 13, no. 2-3 (July 2011): 103–22, https://doi.org/</w:t>
      </w:r>
      <w:hyperlink r:id="rId14" w:history="1">
        <w:r w:rsidRPr="003C7415">
          <w:rPr>
            <w:rStyle w:val="Hyperlink"/>
          </w:rPr>
          <w:t>10.1179/175355211x13179154165908</w:t>
        </w:r>
      </w:hyperlink>
      <w:r w:rsidRPr="003C7415">
        <w:t>.</w:t>
      </w:r>
    </w:p>
  </w:footnote>
  <w:footnote w:id="32">
    <w:p w14:paraId="3054EB1B" w14:textId="43A190DE" w:rsidR="003B35D0" w:rsidRDefault="003B35D0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33">
    <w:p w14:paraId="6502AC92" w14:textId="6684DAA6" w:rsidR="009C75E7" w:rsidRDefault="009C75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44B78" w:rsidRPr="003C7415">
        <w:t>Albino Pereira de Jesus Jopela, “Traditional Custodianship: A Useful Framework for Heritage Management in Southern Africa?,”</w:t>
      </w:r>
      <w:r w:rsidR="00F44B78">
        <w:t xml:space="preserve"> 104-105.</w:t>
      </w:r>
    </w:p>
  </w:footnote>
  <w:footnote w:id="34">
    <w:p w14:paraId="0D101813" w14:textId="1BD0285D" w:rsidR="00071F65" w:rsidRDefault="00071F6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71F65">
        <w:t xml:space="preserve">Robin Jenkins, “See How Historic Church Will Look after Controversial Revamp,” GloucestershireLive, August 8, 2018, </w:t>
      </w:r>
      <w:hyperlink r:id="rId15" w:history="1">
        <w:r w:rsidRPr="00071F65">
          <w:rPr>
            <w:rStyle w:val="Hyperlink"/>
          </w:rPr>
          <w:t>https://www.gloucestershirelive.co.uk/news/cheltenham-news/unholy-action-see-how-ancient-1874037</w:t>
        </w:r>
      </w:hyperlink>
      <w:r w:rsidRPr="00071F65">
        <w:t>.</w:t>
      </w:r>
    </w:p>
  </w:footnote>
  <w:footnote w:id="35">
    <w:p w14:paraId="5126AEC1" w14:textId="04FAE52F" w:rsidR="007E62FF" w:rsidRDefault="007E62F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25C8E" w:rsidRPr="002C171A">
        <w:t>Elizabeth Crooke, “The Politics of Community Heritage: Motivations, Authority and Control</w:t>
      </w:r>
      <w:r w:rsidR="00F25C8E">
        <w:t>.</w:t>
      </w:r>
      <w:r w:rsidR="00F25C8E" w:rsidRPr="002C171A">
        <w:t>”</w:t>
      </w:r>
    </w:p>
  </w:footnote>
  <w:footnote w:id="36">
    <w:p w14:paraId="22DE077E" w14:textId="3E6D78C8" w:rsidR="00E348EF" w:rsidRDefault="00E348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C7415">
        <w:t>Albino Pereira de Jesus Jopela, “Traditional Custodianship: A Useful Framework for Heritage Management in Southern Africa?”</w:t>
      </w:r>
      <w:r>
        <w:t xml:space="preserve"> 1</w:t>
      </w:r>
      <w:r w:rsidR="00A368B0">
        <w:t>16-117</w:t>
      </w:r>
      <w:r>
        <w:t>.</w:t>
      </w:r>
    </w:p>
  </w:footnote>
  <w:footnote w:id="37">
    <w:p w14:paraId="7B38E579" w14:textId="5F4878C8" w:rsidR="00167FA5" w:rsidRDefault="00167F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67FA5">
        <w:t xml:space="preserve">Thomas Watkin, “Ecclesiastical Law and the Church in Wales | Law Wales,” law.gov.wales, March 16, 2021, </w:t>
      </w:r>
      <w:hyperlink r:id="rId16" w:history="1">
        <w:r w:rsidRPr="00167FA5">
          <w:rPr>
            <w:rStyle w:val="Hyperlink"/>
          </w:rPr>
          <w:t>https://law.gov.wales/ecclesiastical-law-and-church-wales</w:t>
        </w:r>
      </w:hyperlink>
      <w:r w:rsidRPr="00167FA5">
        <w:t>.</w:t>
      </w:r>
    </w:p>
  </w:footnote>
  <w:footnote w:id="38">
    <w:p w14:paraId="1390108C" w14:textId="3E9DADF6" w:rsidR="00754834" w:rsidRDefault="0075483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54834">
        <w:t>Andy Logan, “The Impact of Heritage Tourism for the UK Economy” (Oxford: Oxford Economics, August 2016)</w:t>
      </w:r>
      <w:r>
        <w:t xml:space="preserve">, </w:t>
      </w:r>
      <w:r w:rsidR="007B3EBD">
        <w:t>3.</w:t>
      </w:r>
    </w:p>
  </w:footnote>
  <w:footnote w:id="39">
    <w:p w14:paraId="2ADD6ED3" w14:textId="635A1899" w:rsidR="008D0810" w:rsidRDefault="008D081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D0810">
        <w:t xml:space="preserve">Grand View Research, “Heritage Tourism Market Size &amp; Share Report, 2022-2030,” www.grandviewresearch.com, 2022, </w:t>
      </w:r>
      <w:hyperlink r:id="rId17" w:history="1">
        <w:r w:rsidRPr="008D0810">
          <w:rPr>
            <w:rStyle w:val="Hyperlink"/>
          </w:rPr>
          <w:t>https://www.grandviewresearch.com/industry-analysis/heritage-tourism-market-report</w:t>
        </w:r>
      </w:hyperlink>
      <w:r w:rsidRPr="008D0810">
        <w:t>.</w:t>
      </w:r>
    </w:p>
  </w:footnote>
  <w:footnote w:id="40">
    <w:p w14:paraId="693043BF" w14:textId="2B05F6B1" w:rsidR="00782FAF" w:rsidRDefault="00782F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82FAF">
        <w:t xml:space="preserve">UNESCO World Heritage Centre, “Socio-Economic Impacts of World Heritage Listing,” UNESCO World Heritage Centre, accessed January 5, 2023, </w:t>
      </w:r>
      <w:hyperlink r:id="rId18" w:anchor=":~:text=Tourism%20can%20provide%20financial%20support" w:history="1">
        <w:r w:rsidRPr="00782FAF">
          <w:rPr>
            <w:rStyle w:val="Hyperlink"/>
          </w:rPr>
          <w:t>https://whc.unesco.org/en/socio-economic-impacts/#:~:text=Tourism%20can%20provide%20financial%20support</w:t>
        </w:r>
      </w:hyperlink>
      <w:r w:rsidRPr="00782FAF">
        <w:t>.</w:t>
      </w:r>
    </w:p>
  </w:footnote>
  <w:footnote w:id="41">
    <w:p w14:paraId="7E1E3968" w14:textId="5E0557AC" w:rsidR="003476BD" w:rsidRDefault="003476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476BD">
        <w:t xml:space="preserve">Reem AlMasri and Abdelkader Ababneh, “Heritage Management: Analytical Study of Tourism Impacts on the Archaeological Site of Umm Qais—Jordan,” </w:t>
      </w:r>
      <w:r w:rsidRPr="003476BD">
        <w:rPr>
          <w:i/>
          <w:iCs/>
        </w:rPr>
        <w:t>Heritage</w:t>
      </w:r>
      <w:r w:rsidRPr="003476BD">
        <w:t xml:space="preserve"> 4, no. 3 (September 15, 2021): 2449–69, https://doi.org/</w:t>
      </w:r>
      <w:hyperlink r:id="rId19" w:history="1">
        <w:r w:rsidRPr="003476BD">
          <w:rPr>
            <w:rStyle w:val="Hyperlink"/>
          </w:rPr>
          <w:t>10.3390/heritage4030138</w:t>
        </w:r>
      </w:hyperlink>
      <w:r w:rsidRPr="003476BD">
        <w:t>.</w:t>
      </w:r>
    </w:p>
  </w:footnote>
  <w:footnote w:id="42">
    <w:p w14:paraId="45B41641" w14:textId="4C0BA541" w:rsidR="00410D56" w:rsidRDefault="00410D56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455991">
        <w:t>, 2455.</w:t>
      </w:r>
    </w:p>
  </w:footnote>
  <w:footnote w:id="43">
    <w:p w14:paraId="13CD6E05" w14:textId="4F30AC2E" w:rsidR="008D2CE5" w:rsidRDefault="008D2CE5">
      <w:pPr>
        <w:pStyle w:val="FootnoteText"/>
      </w:pPr>
      <w:r>
        <w:rPr>
          <w:rStyle w:val="FootnoteReference"/>
        </w:rPr>
        <w:footnoteRef/>
      </w:r>
      <w:r>
        <w:t xml:space="preserve"> Ibid, 2462-</w:t>
      </w:r>
      <w:r w:rsidR="00ED1634">
        <w:t>2463.</w:t>
      </w:r>
    </w:p>
  </w:footnote>
  <w:footnote w:id="44">
    <w:p w14:paraId="19B5D5E7" w14:textId="575C34CA" w:rsidR="00657014" w:rsidRDefault="006570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57014">
        <w:t xml:space="preserve">Tracey McVeigh, “Tourist Hordes Told to Stay Away from World Heritage Sites by Locals,” the Guardian, September 5, 2009, </w:t>
      </w:r>
      <w:hyperlink r:id="rId20" w:history="1">
        <w:r w:rsidRPr="00657014">
          <w:rPr>
            <w:rStyle w:val="Hyperlink"/>
          </w:rPr>
          <w:t>https://www.theguardian.com/environment/2009/sep/06/mass-tourism-environmental-damage</w:t>
        </w:r>
      </w:hyperlink>
      <w:r w:rsidRPr="00657014">
        <w:t>.</w:t>
      </w:r>
    </w:p>
  </w:footnote>
  <w:footnote w:id="45">
    <w:p w14:paraId="36915F32" w14:textId="1F9517AF" w:rsidR="00CC40D3" w:rsidRDefault="00CC40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725DD" w:rsidRPr="001725DD">
        <w:t xml:space="preserve">Heather Sebire, “Stonehenge 1977–85: A Dig in Time and a Confrontation,” English Heritage, November 28, 2018, </w:t>
      </w:r>
      <w:hyperlink r:id="rId21" w:anchor=":~:text=More%20and%20more%20visitors&amp;text=The%20Department%20of%20the%20Environment" w:history="1">
        <w:r w:rsidR="001725DD">
          <w:rPr>
            <w:rStyle w:val="Hyperlink"/>
          </w:rPr>
          <w:t>https://www.english-heritage.org.uk/visit/inspire-me/blog/blog-posts/stonehenge-1977-85/</w:t>
        </w:r>
      </w:hyperlink>
      <w:r w:rsidR="001725DD" w:rsidRPr="001725DD">
        <w:t>.</w:t>
      </w:r>
    </w:p>
  </w:footnote>
  <w:footnote w:id="46">
    <w:p w14:paraId="5BAD03A8" w14:textId="12DAE8B5" w:rsidR="00D15BF4" w:rsidRDefault="00D15BF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15BF4">
        <w:t xml:space="preserve">Iban Diaz-Parra and Jaime Jover, “Overtourism, Place Alienation and the Right to the City: Insights from the Historic Centre of Seville, Spain,” </w:t>
      </w:r>
      <w:r w:rsidRPr="00D15BF4">
        <w:rPr>
          <w:i/>
          <w:iCs/>
        </w:rPr>
        <w:t>Journal of Sustainable Tourism</w:t>
      </w:r>
      <w:r w:rsidRPr="00D15BF4">
        <w:t>, January 25, 2020, 1–18, https://doi.org/</w:t>
      </w:r>
      <w:hyperlink r:id="rId22" w:history="1">
        <w:r w:rsidRPr="00D15BF4">
          <w:rPr>
            <w:rStyle w:val="Hyperlink"/>
          </w:rPr>
          <w:t>10.1080/09669582.2020.1717504</w:t>
        </w:r>
      </w:hyperlink>
      <w:r w:rsidRPr="00D15BF4">
        <w:t>.</w:t>
      </w:r>
    </w:p>
  </w:footnote>
  <w:footnote w:id="47">
    <w:p w14:paraId="5A2D7B90" w14:textId="79C7B20B" w:rsidR="002357DC" w:rsidRDefault="002357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357DC">
        <w:t xml:space="preserve">Elizabeth Crooke, “The Politics of Community Heritage: Motivations, Authority and Control,” </w:t>
      </w:r>
      <w:r w:rsidRPr="002357DC">
        <w:rPr>
          <w:i/>
          <w:iCs/>
        </w:rPr>
        <w:t>International Journal of Heritage Studies</w:t>
      </w:r>
      <w:r w:rsidRPr="002357DC">
        <w:t xml:space="preserve"> 16, no. 1-2 (January 2010): </w:t>
      </w:r>
      <w:r w:rsidR="009F6B34">
        <w:t>20-23</w:t>
      </w:r>
      <w:r w:rsidRPr="002357DC">
        <w:t>, https://doi.org/</w:t>
      </w:r>
      <w:hyperlink r:id="rId23" w:history="1">
        <w:r w:rsidRPr="002357DC">
          <w:rPr>
            <w:rStyle w:val="Hyperlink"/>
          </w:rPr>
          <w:t>10.1080/13527250903441705</w:t>
        </w:r>
      </w:hyperlink>
      <w:r w:rsidRPr="002357DC">
        <w:t>.</w:t>
      </w:r>
    </w:p>
  </w:footnote>
  <w:footnote w:id="48">
    <w:p w14:paraId="7A86C64D" w14:textId="52B877A4" w:rsidR="008F47D9" w:rsidRDefault="008F47D9">
      <w:pPr>
        <w:pStyle w:val="FootnoteText"/>
      </w:pPr>
      <w:r>
        <w:rPr>
          <w:rStyle w:val="FootnoteReference"/>
        </w:rPr>
        <w:footnoteRef/>
      </w:r>
      <w:r>
        <w:t xml:space="preserve"> Ibid, 21.</w:t>
      </w:r>
    </w:p>
  </w:footnote>
  <w:footnote w:id="49">
    <w:p w14:paraId="207FB748" w14:textId="295DFF66" w:rsidR="00512BEE" w:rsidRDefault="00512BEE">
      <w:pPr>
        <w:pStyle w:val="FootnoteText"/>
      </w:pPr>
      <w:r>
        <w:rPr>
          <w:rStyle w:val="FootnoteReference"/>
        </w:rPr>
        <w:footnoteRef/>
      </w:r>
      <w:r>
        <w:t xml:space="preserve"> Ibid, 23.</w:t>
      </w:r>
    </w:p>
  </w:footnote>
  <w:footnote w:id="50">
    <w:p w14:paraId="758B30ED" w14:textId="0D5F18D3" w:rsidR="009213CE" w:rsidRDefault="009213CE">
      <w:pPr>
        <w:pStyle w:val="FootnoteText"/>
      </w:pPr>
      <w:r>
        <w:rPr>
          <w:rStyle w:val="FootnoteReference"/>
        </w:rPr>
        <w:footnoteRef/>
      </w:r>
      <w:r>
        <w:t xml:space="preserve"> Ibid, </w:t>
      </w:r>
      <w:r w:rsidR="00B8414C">
        <w:t>25.</w:t>
      </w:r>
    </w:p>
  </w:footnote>
  <w:footnote w:id="51">
    <w:p w14:paraId="608927F1" w14:textId="6925D4F1" w:rsidR="00654B25" w:rsidRDefault="00654B2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54B25">
        <w:t xml:space="preserve">Emma Waterton and Laurajane Smith, “The Recognition and Misrecognition of Community Heritage,” </w:t>
      </w:r>
      <w:r w:rsidRPr="00654B25">
        <w:rPr>
          <w:i/>
          <w:iCs/>
        </w:rPr>
        <w:t>International Journal of Heritage Studies</w:t>
      </w:r>
      <w:r w:rsidRPr="00654B25">
        <w:t xml:space="preserve"> 16, no. 1-2 (January 2010): 4–15, https://doi.org/</w:t>
      </w:r>
      <w:hyperlink r:id="rId24" w:history="1">
        <w:r w:rsidRPr="00654B25">
          <w:rPr>
            <w:rStyle w:val="Hyperlink"/>
          </w:rPr>
          <w:t>10.1080/13527250903441671</w:t>
        </w:r>
      </w:hyperlink>
      <w:r w:rsidRPr="00654B25">
        <w:t>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BC32CB" w14:textId="11F45BE4" w:rsidR="00644A10" w:rsidRPr="00644A10" w:rsidRDefault="00644A10" w:rsidP="00644A10">
    <w:pPr>
      <w:pStyle w:val="Header"/>
      <w:pBdr>
        <w:bottom w:val="single" w:sz="4" w:space="1" w:color="auto"/>
      </w:pBdr>
    </w:pPr>
    <w:r>
      <w:t>William Bedford</w:t>
    </w:r>
    <w:r>
      <w:ptab w:relativeTo="margin" w:alignment="right" w:leader="none"/>
    </w:r>
    <w:r w:rsidRPr="00F8512B">
      <w:t xml:space="preserve"> 2221244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CB4BB4"/>
    <w:multiLevelType w:val="multilevel"/>
    <w:tmpl w:val="0C5EB9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953449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67E1"/>
    <w:rsid w:val="00006E69"/>
    <w:rsid w:val="00007642"/>
    <w:rsid w:val="000203FD"/>
    <w:rsid w:val="000233C1"/>
    <w:rsid w:val="00026A0B"/>
    <w:rsid w:val="00040E81"/>
    <w:rsid w:val="00041CFF"/>
    <w:rsid w:val="00044DD3"/>
    <w:rsid w:val="00046A90"/>
    <w:rsid w:val="000506D5"/>
    <w:rsid w:val="00051E0B"/>
    <w:rsid w:val="000532D8"/>
    <w:rsid w:val="00054B6D"/>
    <w:rsid w:val="00056DF8"/>
    <w:rsid w:val="00063486"/>
    <w:rsid w:val="000704D9"/>
    <w:rsid w:val="00071F65"/>
    <w:rsid w:val="000927D1"/>
    <w:rsid w:val="000B65D3"/>
    <w:rsid w:val="000C3997"/>
    <w:rsid w:val="000C4DF9"/>
    <w:rsid w:val="000C54FA"/>
    <w:rsid w:val="000C5C1E"/>
    <w:rsid w:val="000D71CC"/>
    <w:rsid w:val="000E115A"/>
    <w:rsid w:val="000E417A"/>
    <w:rsid w:val="000E50EF"/>
    <w:rsid w:val="000F4BF7"/>
    <w:rsid w:val="000F5216"/>
    <w:rsid w:val="000F6F30"/>
    <w:rsid w:val="001031E1"/>
    <w:rsid w:val="00103377"/>
    <w:rsid w:val="00103DA8"/>
    <w:rsid w:val="0011199F"/>
    <w:rsid w:val="0012032B"/>
    <w:rsid w:val="0012398E"/>
    <w:rsid w:val="001277A6"/>
    <w:rsid w:val="00130100"/>
    <w:rsid w:val="001347D1"/>
    <w:rsid w:val="00143B7A"/>
    <w:rsid w:val="00152AF4"/>
    <w:rsid w:val="00153476"/>
    <w:rsid w:val="00153B13"/>
    <w:rsid w:val="00156FAB"/>
    <w:rsid w:val="00164E66"/>
    <w:rsid w:val="001661D5"/>
    <w:rsid w:val="00167B1A"/>
    <w:rsid w:val="00167FA5"/>
    <w:rsid w:val="00171EBC"/>
    <w:rsid w:val="001725DD"/>
    <w:rsid w:val="00185575"/>
    <w:rsid w:val="00186D7B"/>
    <w:rsid w:val="00187C96"/>
    <w:rsid w:val="001A593F"/>
    <w:rsid w:val="001A7323"/>
    <w:rsid w:val="001A772C"/>
    <w:rsid w:val="001B35FB"/>
    <w:rsid w:val="001C05D3"/>
    <w:rsid w:val="001C5932"/>
    <w:rsid w:val="001C6B69"/>
    <w:rsid w:val="001D2F73"/>
    <w:rsid w:val="001D743A"/>
    <w:rsid w:val="001D77DB"/>
    <w:rsid w:val="001E3872"/>
    <w:rsid w:val="001F02E8"/>
    <w:rsid w:val="001F3E30"/>
    <w:rsid w:val="00203033"/>
    <w:rsid w:val="00206DF1"/>
    <w:rsid w:val="00210CC8"/>
    <w:rsid w:val="00212B49"/>
    <w:rsid w:val="0021350A"/>
    <w:rsid w:val="00222F66"/>
    <w:rsid w:val="00223C53"/>
    <w:rsid w:val="002245D6"/>
    <w:rsid w:val="00224F4A"/>
    <w:rsid w:val="00226793"/>
    <w:rsid w:val="002321D4"/>
    <w:rsid w:val="002330F0"/>
    <w:rsid w:val="002357DC"/>
    <w:rsid w:val="00252776"/>
    <w:rsid w:val="00257F11"/>
    <w:rsid w:val="00262A08"/>
    <w:rsid w:val="002637D6"/>
    <w:rsid w:val="00266CE7"/>
    <w:rsid w:val="0027127B"/>
    <w:rsid w:val="00271CC2"/>
    <w:rsid w:val="0027336D"/>
    <w:rsid w:val="00281EF5"/>
    <w:rsid w:val="00287071"/>
    <w:rsid w:val="002A074B"/>
    <w:rsid w:val="002A7749"/>
    <w:rsid w:val="002B297A"/>
    <w:rsid w:val="002B2BA5"/>
    <w:rsid w:val="002C072B"/>
    <w:rsid w:val="002C171A"/>
    <w:rsid w:val="002C2B17"/>
    <w:rsid w:val="002C3D59"/>
    <w:rsid w:val="002C530E"/>
    <w:rsid w:val="002C68D5"/>
    <w:rsid w:val="002C7B8D"/>
    <w:rsid w:val="002E12EF"/>
    <w:rsid w:val="002E7EBD"/>
    <w:rsid w:val="002F2114"/>
    <w:rsid w:val="002F280C"/>
    <w:rsid w:val="002F6F4D"/>
    <w:rsid w:val="002F744A"/>
    <w:rsid w:val="003006AA"/>
    <w:rsid w:val="00313C31"/>
    <w:rsid w:val="0032060F"/>
    <w:rsid w:val="00321413"/>
    <w:rsid w:val="003341C1"/>
    <w:rsid w:val="00336A4B"/>
    <w:rsid w:val="00344E41"/>
    <w:rsid w:val="003476BD"/>
    <w:rsid w:val="00350510"/>
    <w:rsid w:val="00350ABC"/>
    <w:rsid w:val="003726D5"/>
    <w:rsid w:val="00384419"/>
    <w:rsid w:val="00385953"/>
    <w:rsid w:val="00386A29"/>
    <w:rsid w:val="00390E72"/>
    <w:rsid w:val="003918E4"/>
    <w:rsid w:val="003A5AA9"/>
    <w:rsid w:val="003A68A4"/>
    <w:rsid w:val="003B1CA7"/>
    <w:rsid w:val="003B1F90"/>
    <w:rsid w:val="003B26C9"/>
    <w:rsid w:val="003B35D0"/>
    <w:rsid w:val="003B75B0"/>
    <w:rsid w:val="003B7E5F"/>
    <w:rsid w:val="003C4191"/>
    <w:rsid w:val="003C7415"/>
    <w:rsid w:val="003C74FF"/>
    <w:rsid w:val="003C7CF7"/>
    <w:rsid w:val="003D34B4"/>
    <w:rsid w:val="003D448C"/>
    <w:rsid w:val="003E01FB"/>
    <w:rsid w:val="003E5D04"/>
    <w:rsid w:val="003E5E31"/>
    <w:rsid w:val="003E7302"/>
    <w:rsid w:val="003E7550"/>
    <w:rsid w:val="003F1FE2"/>
    <w:rsid w:val="003F1FFC"/>
    <w:rsid w:val="0040104B"/>
    <w:rsid w:val="00410D56"/>
    <w:rsid w:val="004113F3"/>
    <w:rsid w:val="00423640"/>
    <w:rsid w:val="00423DFE"/>
    <w:rsid w:val="00426803"/>
    <w:rsid w:val="00427592"/>
    <w:rsid w:val="00437E1E"/>
    <w:rsid w:val="004400D2"/>
    <w:rsid w:val="00440A4B"/>
    <w:rsid w:val="00455991"/>
    <w:rsid w:val="004621EC"/>
    <w:rsid w:val="0046557F"/>
    <w:rsid w:val="00480E34"/>
    <w:rsid w:val="0048463E"/>
    <w:rsid w:val="0049027F"/>
    <w:rsid w:val="004942EE"/>
    <w:rsid w:val="00496126"/>
    <w:rsid w:val="004B4D92"/>
    <w:rsid w:val="004B5814"/>
    <w:rsid w:val="004C245B"/>
    <w:rsid w:val="004D0440"/>
    <w:rsid w:val="004D3743"/>
    <w:rsid w:val="004D408F"/>
    <w:rsid w:val="004D509D"/>
    <w:rsid w:val="004D6DEE"/>
    <w:rsid w:val="004E30CE"/>
    <w:rsid w:val="004E5D41"/>
    <w:rsid w:val="004E661B"/>
    <w:rsid w:val="004F7253"/>
    <w:rsid w:val="004F730E"/>
    <w:rsid w:val="00501CF8"/>
    <w:rsid w:val="00503DC2"/>
    <w:rsid w:val="00507270"/>
    <w:rsid w:val="00510754"/>
    <w:rsid w:val="00512BEE"/>
    <w:rsid w:val="00515F5B"/>
    <w:rsid w:val="005230D5"/>
    <w:rsid w:val="00530031"/>
    <w:rsid w:val="005328A0"/>
    <w:rsid w:val="0053380B"/>
    <w:rsid w:val="005355A1"/>
    <w:rsid w:val="00554764"/>
    <w:rsid w:val="00557C2A"/>
    <w:rsid w:val="00557D7E"/>
    <w:rsid w:val="00562B7A"/>
    <w:rsid w:val="005660B5"/>
    <w:rsid w:val="0057558D"/>
    <w:rsid w:val="00576EED"/>
    <w:rsid w:val="00583E71"/>
    <w:rsid w:val="00585E99"/>
    <w:rsid w:val="005870CF"/>
    <w:rsid w:val="00594153"/>
    <w:rsid w:val="005A1D4B"/>
    <w:rsid w:val="005A5B09"/>
    <w:rsid w:val="005A66B1"/>
    <w:rsid w:val="005B01FF"/>
    <w:rsid w:val="005B48E8"/>
    <w:rsid w:val="005B5352"/>
    <w:rsid w:val="005C07A7"/>
    <w:rsid w:val="005C242F"/>
    <w:rsid w:val="005D1EF0"/>
    <w:rsid w:val="005D2996"/>
    <w:rsid w:val="005D78BA"/>
    <w:rsid w:val="005E0ED4"/>
    <w:rsid w:val="005E4B49"/>
    <w:rsid w:val="005F3E33"/>
    <w:rsid w:val="005F5C26"/>
    <w:rsid w:val="005F7E28"/>
    <w:rsid w:val="00606315"/>
    <w:rsid w:val="00614677"/>
    <w:rsid w:val="00620310"/>
    <w:rsid w:val="00620F0A"/>
    <w:rsid w:val="00631FAD"/>
    <w:rsid w:val="0063669B"/>
    <w:rsid w:val="0063707A"/>
    <w:rsid w:val="0063799A"/>
    <w:rsid w:val="006403D5"/>
    <w:rsid w:val="00644A10"/>
    <w:rsid w:val="006458DC"/>
    <w:rsid w:val="00654B25"/>
    <w:rsid w:val="00657014"/>
    <w:rsid w:val="0066243A"/>
    <w:rsid w:val="00663232"/>
    <w:rsid w:val="00663E51"/>
    <w:rsid w:val="006645C0"/>
    <w:rsid w:val="00665B6B"/>
    <w:rsid w:val="00666A9D"/>
    <w:rsid w:val="006723DE"/>
    <w:rsid w:val="006730AE"/>
    <w:rsid w:val="006737E4"/>
    <w:rsid w:val="00681373"/>
    <w:rsid w:val="006820A9"/>
    <w:rsid w:val="0068316B"/>
    <w:rsid w:val="00694DCC"/>
    <w:rsid w:val="006A0F7A"/>
    <w:rsid w:val="006A260B"/>
    <w:rsid w:val="006A3156"/>
    <w:rsid w:val="006A5FE1"/>
    <w:rsid w:val="006B179D"/>
    <w:rsid w:val="006B211D"/>
    <w:rsid w:val="006C7AFF"/>
    <w:rsid w:val="006E0AF3"/>
    <w:rsid w:val="00701531"/>
    <w:rsid w:val="0070651B"/>
    <w:rsid w:val="00715374"/>
    <w:rsid w:val="0071591C"/>
    <w:rsid w:val="007223AA"/>
    <w:rsid w:val="00726366"/>
    <w:rsid w:val="00730334"/>
    <w:rsid w:val="00751204"/>
    <w:rsid w:val="00751314"/>
    <w:rsid w:val="00751E80"/>
    <w:rsid w:val="00754834"/>
    <w:rsid w:val="0076300C"/>
    <w:rsid w:val="00770036"/>
    <w:rsid w:val="007700BD"/>
    <w:rsid w:val="00771EB3"/>
    <w:rsid w:val="00776D31"/>
    <w:rsid w:val="00782FAF"/>
    <w:rsid w:val="00785442"/>
    <w:rsid w:val="007A29AA"/>
    <w:rsid w:val="007B3EBD"/>
    <w:rsid w:val="007B63FF"/>
    <w:rsid w:val="007C2CBD"/>
    <w:rsid w:val="007C48F1"/>
    <w:rsid w:val="007D0620"/>
    <w:rsid w:val="007D1262"/>
    <w:rsid w:val="007D31B8"/>
    <w:rsid w:val="007D7512"/>
    <w:rsid w:val="007E5224"/>
    <w:rsid w:val="007E62FF"/>
    <w:rsid w:val="007E77F4"/>
    <w:rsid w:val="00814F72"/>
    <w:rsid w:val="0081572B"/>
    <w:rsid w:val="00816321"/>
    <w:rsid w:val="00816B15"/>
    <w:rsid w:val="0082112E"/>
    <w:rsid w:val="00821D30"/>
    <w:rsid w:val="00827251"/>
    <w:rsid w:val="00827694"/>
    <w:rsid w:val="008328F8"/>
    <w:rsid w:val="008333E1"/>
    <w:rsid w:val="00833E23"/>
    <w:rsid w:val="00834D9A"/>
    <w:rsid w:val="00837933"/>
    <w:rsid w:val="00840974"/>
    <w:rsid w:val="00843CD9"/>
    <w:rsid w:val="00847619"/>
    <w:rsid w:val="00847E7D"/>
    <w:rsid w:val="00854E19"/>
    <w:rsid w:val="00861EFF"/>
    <w:rsid w:val="00862E71"/>
    <w:rsid w:val="00864F80"/>
    <w:rsid w:val="00876D26"/>
    <w:rsid w:val="00882A9C"/>
    <w:rsid w:val="008871C5"/>
    <w:rsid w:val="008935DB"/>
    <w:rsid w:val="00894A29"/>
    <w:rsid w:val="008A1A70"/>
    <w:rsid w:val="008A2A55"/>
    <w:rsid w:val="008A3375"/>
    <w:rsid w:val="008A55A6"/>
    <w:rsid w:val="008A5B23"/>
    <w:rsid w:val="008B655B"/>
    <w:rsid w:val="008D0810"/>
    <w:rsid w:val="008D1433"/>
    <w:rsid w:val="008D2CE5"/>
    <w:rsid w:val="008D498F"/>
    <w:rsid w:val="008F2462"/>
    <w:rsid w:val="008F47D9"/>
    <w:rsid w:val="00900DFB"/>
    <w:rsid w:val="0091300E"/>
    <w:rsid w:val="009145A7"/>
    <w:rsid w:val="009152DB"/>
    <w:rsid w:val="009213CE"/>
    <w:rsid w:val="009254DF"/>
    <w:rsid w:val="00926452"/>
    <w:rsid w:val="00931E3D"/>
    <w:rsid w:val="00944B31"/>
    <w:rsid w:val="00945EBB"/>
    <w:rsid w:val="0095431D"/>
    <w:rsid w:val="00965487"/>
    <w:rsid w:val="00971945"/>
    <w:rsid w:val="009739F2"/>
    <w:rsid w:val="00984FEA"/>
    <w:rsid w:val="00986CF4"/>
    <w:rsid w:val="00987D99"/>
    <w:rsid w:val="00991700"/>
    <w:rsid w:val="00993C8C"/>
    <w:rsid w:val="00994E26"/>
    <w:rsid w:val="009A2882"/>
    <w:rsid w:val="009B0DC5"/>
    <w:rsid w:val="009B598A"/>
    <w:rsid w:val="009B77B0"/>
    <w:rsid w:val="009C75E7"/>
    <w:rsid w:val="009D4120"/>
    <w:rsid w:val="009D5C60"/>
    <w:rsid w:val="009E260B"/>
    <w:rsid w:val="009E408A"/>
    <w:rsid w:val="009E6CCB"/>
    <w:rsid w:val="009F223D"/>
    <w:rsid w:val="009F2F31"/>
    <w:rsid w:val="009F4940"/>
    <w:rsid w:val="009F6B34"/>
    <w:rsid w:val="00A067E1"/>
    <w:rsid w:val="00A10C1A"/>
    <w:rsid w:val="00A21C9E"/>
    <w:rsid w:val="00A24DAC"/>
    <w:rsid w:val="00A27D68"/>
    <w:rsid w:val="00A32CCF"/>
    <w:rsid w:val="00A34027"/>
    <w:rsid w:val="00A34CC5"/>
    <w:rsid w:val="00A368B0"/>
    <w:rsid w:val="00A43CCE"/>
    <w:rsid w:val="00A446F9"/>
    <w:rsid w:val="00A4554D"/>
    <w:rsid w:val="00A568D0"/>
    <w:rsid w:val="00A64D73"/>
    <w:rsid w:val="00A650FB"/>
    <w:rsid w:val="00A70314"/>
    <w:rsid w:val="00A70FD2"/>
    <w:rsid w:val="00A910A9"/>
    <w:rsid w:val="00A924CB"/>
    <w:rsid w:val="00AA2F86"/>
    <w:rsid w:val="00AA45C4"/>
    <w:rsid w:val="00AB0BC1"/>
    <w:rsid w:val="00AB6084"/>
    <w:rsid w:val="00AC157C"/>
    <w:rsid w:val="00AC3BE7"/>
    <w:rsid w:val="00AD2CF4"/>
    <w:rsid w:val="00AD456B"/>
    <w:rsid w:val="00AD5F89"/>
    <w:rsid w:val="00AD767B"/>
    <w:rsid w:val="00AE1709"/>
    <w:rsid w:val="00AE1B31"/>
    <w:rsid w:val="00AE2988"/>
    <w:rsid w:val="00AE3957"/>
    <w:rsid w:val="00AF0CC1"/>
    <w:rsid w:val="00AF23CB"/>
    <w:rsid w:val="00AF5E68"/>
    <w:rsid w:val="00B0189E"/>
    <w:rsid w:val="00B0440C"/>
    <w:rsid w:val="00B11F4D"/>
    <w:rsid w:val="00B12B92"/>
    <w:rsid w:val="00B16018"/>
    <w:rsid w:val="00B30D5B"/>
    <w:rsid w:val="00B41AF4"/>
    <w:rsid w:val="00B445CC"/>
    <w:rsid w:val="00B46C58"/>
    <w:rsid w:val="00B50A63"/>
    <w:rsid w:val="00B54852"/>
    <w:rsid w:val="00B57787"/>
    <w:rsid w:val="00B631B8"/>
    <w:rsid w:val="00B641D9"/>
    <w:rsid w:val="00B70ABB"/>
    <w:rsid w:val="00B70CC8"/>
    <w:rsid w:val="00B73577"/>
    <w:rsid w:val="00B74C83"/>
    <w:rsid w:val="00B75ECA"/>
    <w:rsid w:val="00B8414C"/>
    <w:rsid w:val="00B851A4"/>
    <w:rsid w:val="00B85A1B"/>
    <w:rsid w:val="00B93E4D"/>
    <w:rsid w:val="00B979E8"/>
    <w:rsid w:val="00BA17F4"/>
    <w:rsid w:val="00BA539A"/>
    <w:rsid w:val="00BB30D5"/>
    <w:rsid w:val="00BB7BCC"/>
    <w:rsid w:val="00BC2EBB"/>
    <w:rsid w:val="00BC2F2C"/>
    <w:rsid w:val="00BC4AD2"/>
    <w:rsid w:val="00BC5F33"/>
    <w:rsid w:val="00BC6BE9"/>
    <w:rsid w:val="00BD253A"/>
    <w:rsid w:val="00BD55F7"/>
    <w:rsid w:val="00BD5646"/>
    <w:rsid w:val="00BF1E85"/>
    <w:rsid w:val="00C00D40"/>
    <w:rsid w:val="00C02220"/>
    <w:rsid w:val="00C03BA0"/>
    <w:rsid w:val="00C03F6F"/>
    <w:rsid w:val="00C10503"/>
    <w:rsid w:val="00C158F3"/>
    <w:rsid w:val="00C2380D"/>
    <w:rsid w:val="00C26111"/>
    <w:rsid w:val="00C26A08"/>
    <w:rsid w:val="00C33A74"/>
    <w:rsid w:val="00C34AC2"/>
    <w:rsid w:val="00C50D66"/>
    <w:rsid w:val="00C61CFA"/>
    <w:rsid w:val="00C646D0"/>
    <w:rsid w:val="00C64783"/>
    <w:rsid w:val="00C72D23"/>
    <w:rsid w:val="00C73D14"/>
    <w:rsid w:val="00C74539"/>
    <w:rsid w:val="00C849AF"/>
    <w:rsid w:val="00C90AAC"/>
    <w:rsid w:val="00C92558"/>
    <w:rsid w:val="00C93DEB"/>
    <w:rsid w:val="00C94382"/>
    <w:rsid w:val="00C97CDD"/>
    <w:rsid w:val="00CA7B9F"/>
    <w:rsid w:val="00CB204F"/>
    <w:rsid w:val="00CC19C4"/>
    <w:rsid w:val="00CC1EFE"/>
    <w:rsid w:val="00CC40D3"/>
    <w:rsid w:val="00CC5934"/>
    <w:rsid w:val="00CC786F"/>
    <w:rsid w:val="00CD7463"/>
    <w:rsid w:val="00CE392F"/>
    <w:rsid w:val="00CF05B0"/>
    <w:rsid w:val="00CF2F49"/>
    <w:rsid w:val="00CF78A3"/>
    <w:rsid w:val="00D008DC"/>
    <w:rsid w:val="00D022B1"/>
    <w:rsid w:val="00D14738"/>
    <w:rsid w:val="00D15BF4"/>
    <w:rsid w:val="00D2119C"/>
    <w:rsid w:val="00D266E5"/>
    <w:rsid w:val="00D271ED"/>
    <w:rsid w:val="00D27D93"/>
    <w:rsid w:val="00D303E5"/>
    <w:rsid w:val="00D34024"/>
    <w:rsid w:val="00D3684C"/>
    <w:rsid w:val="00D524D1"/>
    <w:rsid w:val="00D55497"/>
    <w:rsid w:val="00D5621E"/>
    <w:rsid w:val="00D60C93"/>
    <w:rsid w:val="00D71F07"/>
    <w:rsid w:val="00D85BC0"/>
    <w:rsid w:val="00D860B5"/>
    <w:rsid w:val="00D866C6"/>
    <w:rsid w:val="00D93C81"/>
    <w:rsid w:val="00DA0107"/>
    <w:rsid w:val="00DA4AED"/>
    <w:rsid w:val="00DA4B27"/>
    <w:rsid w:val="00DC36BE"/>
    <w:rsid w:val="00DD4FA8"/>
    <w:rsid w:val="00DD6802"/>
    <w:rsid w:val="00DE13A7"/>
    <w:rsid w:val="00DE65BB"/>
    <w:rsid w:val="00DF2836"/>
    <w:rsid w:val="00DF2D16"/>
    <w:rsid w:val="00DF457D"/>
    <w:rsid w:val="00E10FDF"/>
    <w:rsid w:val="00E166E8"/>
    <w:rsid w:val="00E17341"/>
    <w:rsid w:val="00E22C68"/>
    <w:rsid w:val="00E24004"/>
    <w:rsid w:val="00E255AB"/>
    <w:rsid w:val="00E3236E"/>
    <w:rsid w:val="00E32627"/>
    <w:rsid w:val="00E32A7E"/>
    <w:rsid w:val="00E33A7C"/>
    <w:rsid w:val="00E348EF"/>
    <w:rsid w:val="00E40148"/>
    <w:rsid w:val="00E416C9"/>
    <w:rsid w:val="00E45968"/>
    <w:rsid w:val="00E555B5"/>
    <w:rsid w:val="00E671ED"/>
    <w:rsid w:val="00E96604"/>
    <w:rsid w:val="00EA33BE"/>
    <w:rsid w:val="00EA5CDC"/>
    <w:rsid w:val="00EB4F99"/>
    <w:rsid w:val="00EC0463"/>
    <w:rsid w:val="00EC3412"/>
    <w:rsid w:val="00EC626E"/>
    <w:rsid w:val="00ED13DC"/>
    <w:rsid w:val="00ED1634"/>
    <w:rsid w:val="00ED2E01"/>
    <w:rsid w:val="00ED52B8"/>
    <w:rsid w:val="00EE0CDC"/>
    <w:rsid w:val="00EE2E1A"/>
    <w:rsid w:val="00EE3908"/>
    <w:rsid w:val="00EE75A8"/>
    <w:rsid w:val="00EF0A65"/>
    <w:rsid w:val="00EF2292"/>
    <w:rsid w:val="00EF263A"/>
    <w:rsid w:val="00EF63D3"/>
    <w:rsid w:val="00F00292"/>
    <w:rsid w:val="00F00FA9"/>
    <w:rsid w:val="00F064B1"/>
    <w:rsid w:val="00F13165"/>
    <w:rsid w:val="00F22F14"/>
    <w:rsid w:val="00F23A62"/>
    <w:rsid w:val="00F25C8E"/>
    <w:rsid w:val="00F25C9C"/>
    <w:rsid w:val="00F25DDB"/>
    <w:rsid w:val="00F30116"/>
    <w:rsid w:val="00F308FB"/>
    <w:rsid w:val="00F31010"/>
    <w:rsid w:val="00F3326B"/>
    <w:rsid w:val="00F37103"/>
    <w:rsid w:val="00F4116B"/>
    <w:rsid w:val="00F42B55"/>
    <w:rsid w:val="00F42C68"/>
    <w:rsid w:val="00F447FB"/>
    <w:rsid w:val="00F44B78"/>
    <w:rsid w:val="00F503A2"/>
    <w:rsid w:val="00F51529"/>
    <w:rsid w:val="00F64CFA"/>
    <w:rsid w:val="00F700B3"/>
    <w:rsid w:val="00F705FC"/>
    <w:rsid w:val="00F7078F"/>
    <w:rsid w:val="00F70E00"/>
    <w:rsid w:val="00F71546"/>
    <w:rsid w:val="00F720DA"/>
    <w:rsid w:val="00F75558"/>
    <w:rsid w:val="00F80171"/>
    <w:rsid w:val="00F81A8C"/>
    <w:rsid w:val="00F82D7A"/>
    <w:rsid w:val="00F87705"/>
    <w:rsid w:val="00F91624"/>
    <w:rsid w:val="00F925EA"/>
    <w:rsid w:val="00F943FE"/>
    <w:rsid w:val="00FA3145"/>
    <w:rsid w:val="00FA7ABE"/>
    <w:rsid w:val="00FB14F0"/>
    <w:rsid w:val="00FB3CE7"/>
    <w:rsid w:val="00FC1B29"/>
    <w:rsid w:val="00FC520E"/>
    <w:rsid w:val="00FC5311"/>
    <w:rsid w:val="00FC5AF8"/>
    <w:rsid w:val="00FC65FF"/>
    <w:rsid w:val="00FE4880"/>
    <w:rsid w:val="00FE6B7B"/>
    <w:rsid w:val="00FF528A"/>
    <w:rsid w:val="00FF5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585D1A1"/>
  <w15:chartTrackingRefBased/>
  <w15:docId w15:val="{68226B87-E203-4425-9D8F-6E81CEBDC4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1CFF"/>
    <w:pPr>
      <w:spacing w:line="360" w:lineRule="auto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44A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4A10"/>
  </w:style>
  <w:style w:type="paragraph" w:styleId="Footer">
    <w:name w:val="footer"/>
    <w:basedOn w:val="Normal"/>
    <w:link w:val="FooterChar"/>
    <w:uiPriority w:val="99"/>
    <w:unhideWhenUsed/>
    <w:rsid w:val="00644A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4A10"/>
  </w:style>
  <w:style w:type="paragraph" w:styleId="FootnoteText">
    <w:name w:val="footnote text"/>
    <w:basedOn w:val="Normal"/>
    <w:link w:val="FootnoteTextChar"/>
    <w:uiPriority w:val="99"/>
    <w:semiHidden/>
    <w:unhideWhenUsed/>
    <w:rsid w:val="002C171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C171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C171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2C171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17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414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39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\Users\WillBedford\Downloads\10.1080\13527250903441820" TargetMode="External"/><Relationship Id="rId13" Type="http://schemas.openxmlformats.org/officeDocument/2006/relationships/hyperlink" Target="file:///C:\Users\WillBedford\Downloads\10.1080\13527250903441705" TargetMode="External"/><Relationship Id="rId18" Type="http://schemas.openxmlformats.org/officeDocument/2006/relationships/hyperlink" Target="file:///C:\Users\WillBedford\Downloads\10.1080\13527258.2021.1950026" TargetMode="External"/><Relationship Id="rId26" Type="http://schemas.openxmlformats.org/officeDocument/2006/relationships/hyperlink" Target="https://www.oxfordjewishheritage.co.uk/oxfords-medieval-jewish-quarter-archaeology/" TargetMode="External"/><Relationship Id="rId39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file:///C:\Users\WillBedford\Downloads\10.1179\175355211x13179154165908" TargetMode="External"/><Relationship Id="rId34" Type="http://schemas.openxmlformats.org/officeDocument/2006/relationships/hyperlink" Target="https://law.gov.wales/ecclesiastical-law-and-church-wales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rm.coe.int/1680083746" TargetMode="External"/><Relationship Id="rId17" Type="http://schemas.openxmlformats.org/officeDocument/2006/relationships/hyperlink" Target="file:///C:\Users\WillBedford\Downloads\doi\10.2766\949707" TargetMode="External"/><Relationship Id="rId25" Type="http://schemas.openxmlformats.org/officeDocument/2006/relationships/hyperlink" Target="https://www.oxfordmail.co.uk/news/19238248.st-aldates-dig-reveals-citys-rich-jewish-history/" TargetMode="External"/><Relationship Id="rId33" Type="http://schemas.openxmlformats.org/officeDocument/2006/relationships/hyperlink" Target="file:///C:\Users\WillBedford\Downloads\10.1080\13527250903441671" TargetMode="External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file:///C:\Users\WillBedford\Downloads\10.1080\17567505.2022.2068256" TargetMode="External"/><Relationship Id="rId20" Type="http://schemas.openxmlformats.org/officeDocument/2006/relationships/hyperlink" Target="https://www.gloucestershirelive.co.uk/news/cheltenham-news/unholy-action-see-how-ancient-1874037" TargetMode="External"/><Relationship Id="rId29" Type="http://schemas.openxmlformats.org/officeDocument/2006/relationships/hyperlink" Target="file:///C:\Users\WillBedford\Downloads\10.1080\13527258.2021.1955729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file:///C:\Users\WillBedford\Downloads\10.1080\13527250903441739" TargetMode="External"/><Relationship Id="rId24" Type="http://schemas.openxmlformats.org/officeDocument/2006/relationships/hyperlink" Target="https://www.dailymail.co.uk/sciencetech/article-9444741/Food-fragments-discovered-ancient-TOILET-Oxford-reveal-Jewish-people-avoided-kept-kosher.html" TargetMode="External"/><Relationship Id="rId32" Type="http://schemas.openxmlformats.org/officeDocument/2006/relationships/hyperlink" Target="https://whc.unesco.org/en/socio-economic-impacts/" TargetMode="External"/><Relationship Id="rId37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file:///C:\Users\WillBedford\Downloads\10.1007\s12520-021-01282-8" TargetMode="External"/><Relationship Id="rId23" Type="http://schemas.openxmlformats.org/officeDocument/2006/relationships/hyperlink" Target="https://www.theguardian.com/environment/2009/sep/06/mass-tourism-environmental-damage" TargetMode="External"/><Relationship Id="rId28" Type="http://schemas.openxmlformats.org/officeDocument/2006/relationships/hyperlink" Target="https://www.english-heritage.org.uk/visit/inspire-me/blog/blog-posts/stonehenge-1977-85/" TargetMode="External"/><Relationship Id="rId36" Type="http://schemas.openxmlformats.org/officeDocument/2006/relationships/header" Target="header1.xml"/><Relationship Id="rId10" Type="http://schemas.openxmlformats.org/officeDocument/2006/relationships/hyperlink" Target="https://cadw.gov.wales/visit/places-to-visit/trefignath-burial-chamber" TargetMode="External"/><Relationship Id="rId19" Type="http://schemas.openxmlformats.org/officeDocument/2006/relationships/hyperlink" Target="https://www.grandviewresearch.com/industry-analysis/heritage-tourism-market-report" TargetMode="External"/><Relationship Id="rId31" Type="http://schemas.openxmlformats.org/officeDocument/2006/relationships/hyperlink" Target="file:///C:\Users\WillBedford\Downloads\10.1179\2159032x13z.00000000011" TargetMode="External"/><Relationship Id="rId4" Type="http://schemas.openxmlformats.org/officeDocument/2006/relationships/settings" Target="settings.xml"/><Relationship Id="rId9" Type="http://schemas.openxmlformats.org/officeDocument/2006/relationships/hyperlink" Target="file:///C:\Users\WillBedford\Downloads\10.3390\heritage4030138" TargetMode="External"/><Relationship Id="rId14" Type="http://schemas.openxmlformats.org/officeDocument/2006/relationships/hyperlink" Target="file:///C:\Users\WillBedford\Downloads\10.1080\09669582.2020.1717504" TargetMode="External"/><Relationship Id="rId22" Type="http://schemas.openxmlformats.org/officeDocument/2006/relationships/hyperlink" Target="file:///C:\Users\WillBedford\Downloads\10.1016\j.cities.2019.102476" TargetMode="External"/><Relationship Id="rId27" Type="http://schemas.openxmlformats.org/officeDocument/2006/relationships/hyperlink" Target="http://www.jstor.org/stable/40003157" TargetMode="External"/><Relationship Id="rId30" Type="http://schemas.openxmlformats.org/officeDocument/2006/relationships/hyperlink" Target="https://theconversation.com/discovering-a-viking-hoard-a-day-in-the-life-of-a-metal-detectorist-32972" TargetMode="External"/><Relationship Id="rId35" Type="http://schemas.openxmlformats.org/officeDocument/2006/relationships/hyperlink" Target="file:///C:\Users\WillBedford\Downloads\10.1080\13527250903441655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10.1007/s12520-021-01282-8" TargetMode="External"/><Relationship Id="rId13" Type="http://schemas.openxmlformats.org/officeDocument/2006/relationships/hyperlink" Target="10.1080/17567505.2022.2068256" TargetMode="External"/><Relationship Id="rId18" Type="http://schemas.openxmlformats.org/officeDocument/2006/relationships/hyperlink" Target="https://whc.unesco.org/en/socio-economic-impacts/" TargetMode="External"/><Relationship Id="rId3" Type="http://schemas.openxmlformats.org/officeDocument/2006/relationships/hyperlink" Target="10.1080/13527258.2021.1955729" TargetMode="External"/><Relationship Id="rId21" Type="http://schemas.openxmlformats.org/officeDocument/2006/relationships/hyperlink" Target="https://www.english-heritage.org.uk/visit/inspire-me/blog/blog-posts/stonehenge-1977-85/" TargetMode="External"/><Relationship Id="rId7" Type="http://schemas.openxmlformats.org/officeDocument/2006/relationships/hyperlink" Target="10.1179/2159032x13z.00000000011" TargetMode="External"/><Relationship Id="rId12" Type="http://schemas.openxmlformats.org/officeDocument/2006/relationships/hyperlink" Target="https://theconversation.com/discovering-a-viking-hoard-a-day-in-the-life-of-a-metal-detectorist-32972" TargetMode="External"/><Relationship Id="rId17" Type="http://schemas.openxmlformats.org/officeDocument/2006/relationships/hyperlink" Target="https://www.grandviewresearch.com/industry-analysis/heritage-tourism-market-report" TargetMode="External"/><Relationship Id="rId2" Type="http://schemas.openxmlformats.org/officeDocument/2006/relationships/hyperlink" Target="10.1080/13527250903441671" TargetMode="External"/><Relationship Id="rId16" Type="http://schemas.openxmlformats.org/officeDocument/2006/relationships/hyperlink" Target="https://law.gov.wales/ecclesiastical-law-and-church-wales" TargetMode="External"/><Relationship Id="rId20" Type="http://schemas.openxmlformats.org/officeDocument/2006/relationships/hyperlink" Target="https://www.theguardian.com/environment/2009/sep/06/mass-tourism-environmental-damage" TargetMode="External"/><Relationship Id="rId1" Type="http://schemas.openxmlformats.org/officeDocument/2006/relationships/hyperlink" Target="10.1080/13527250903441705" TargetMode="External"/><Relationship Id="rId6" Type="http://schemas.openxmlformats.org/officeDocument/2006/relationships/hyperlink" Target="10.1080/13527258.2021.1950026" TargetMode="External"/><Relationship Id="rId11" Type="http://schemas.openxmlformats.org/officeDocument/2006/relationships/hyperlink" Target="https://www.oxfordmail.co.uk/news/19238248.st-aldates-dig-reveals-citys-rich-jewish-history/" TargetMode="External"/><Relationship Id="rId24" Type="http://schemas.openxmlformats.org/officeDocument/2006/relationships/hyperlink" Target="10.1080/13527250903441671" TargetMode="External"/><Relationship Id="rId5" Type="http://schemas.openxmlformats.org/officeDocument/2006/relationships/hyperlink" Target="10.1080/13527250903441671" TargetMode="External"/><Relationship Id="rId15" Type="http://schemas.openxmlformats.org/officeDocument/2006/relationships/hyperlink" Target="https://www.gloucestershirelive.co.uk/news/cheltenham-news/unholy-action-see-how-ancient-1874037" TargetMode="External"/><Relationship Id="rId23" Type="http://schemas.openxmlformats.org/officeDocument/2006/relationships/hyperlink" Target="10.1080/13527250903441705" TargetMode="External"/><Relationship Id="rId10" Type="http://schemas.openxmlformats.org/officeDocument/2006/relationships/hyperlink" Target="https://www.oxfordjewishheritage.co.uk/oxfords-medieval-jewish-quarter-archaeology/" TargetMode="External"/><Relationship Id="rId19" Type="http://schemas.openxmlformats.org/officeDocument/2006/relationships/hyperlink" Target="10.3390/heritage4030138" TargetMode="External"/><Relationship Id="rId4" Type="http://schemas.openxmlformats.org/officeDocument/2006/relationships/hyperlink" Target="https://cadw.gov.wales/visit/places-to-visit/trefignath-burial-chamber" TargetMode="External"/><Relationship Id="rId9" Type="http://schemas.openxmlformats.org/officeDocument/2006/relationships/hyperlink" Target="https://www.dailymail.co.uk/sciencetech/article-9444741/Food-fragments-discovered-ancient-TOILET-Oxford-reveal-Jewish-people-avoided-kept-kosher.html" TargetMode="External"/><Relationship Id="rId14" Type="http://schemas.openxmlformats.org/officeDocument/2006/relationships/hyperlink" Target="10.1179/175355211x13179154165908" TargetMode="External"/><Relationship Id="rId22" Type="http://schemas.openxmlformats.org/officeDocument/2006/relationships/hyperlink" Target="10.1080/09669582.2020.171750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BED4EC8-6A41-41B7-B29C-0AAD218D53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1407</TotalTime>
  <Pages>14</Pages>
  <Words>4172</Words>
  <Characters>27546</Characters>
  <Application>Microsoft Office Word</Application>
  <DocSecurity>0</DocSecurity>
  <Lines>229</Lines>
  <Paragraphs>63</Paragraphs>
  <ScaleCrop>false</ScaleCrop>
  <Company/>
  <LinksUpToDate>false</LinksUpToDate>
  <CharactersWithSpaces>31655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Bedford</dc:creator>
  <cp:keywords/>
  <dc:description/>
  <cp:lastModifiedBy>Will Bedford</cp:lastModifiedBy>
  <cp:revision>583</cp:revision>
  <dcterms:created xsi:type="dcterms:W3CDTF">2023-01-04T22:20:00Z</dcterms:created>
  <dcterms:modified xsi:type="dcterms:W3CDTF">2023-01-05T23:55:00Z</dcterms:modified>
</cp:coreProperties>
</file>