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E0583" w:rsidRDefault="000E0583" w:rsidP="00A4785C">
      <w:pPr>
        <w:jc w:val="center"/>
        <w:rPr>
          <w:b/>
          <w:i/>
          <w:sz w:val="28"/>
          <w:szCs w:val="28"/>
          <w:u w:val="single"/>
        </w:rPr>
      </w:pPr>
      <w:r w:rsidRPr="00A4785C">
        <w:rPr>
          <w:b/>
          <w:i/>
          <w:sz w:val="28"/>
          <w:szCs w:val="28"/>
          <w:u w:val="single"/>
        </w:rPr>
        <w:t>Secondary Article Essay: C. Walker Bynum so</w:t>
      </w:r>
      <w:r>
        <w:rPr>
          <w:b/>
          <w:i/>
          <w:sz w:val="28"/>
          <w:szCs w:val="28"/>
          <w:u w:val="single"/>
        </w:rPr>
        <w:t>urce</w:t>
      </w:r>
    </w:p>
    <w:p w:rsidR="000E0583" w:rsidRDefault="000E0583" w:rsidP="00A4785C">
      <w:pPr>
        <w:jc w:val="center"/>
        <w:rPr>
          <w:b/>
          <w:i/>
          <w:sz w:val="28"/>
          <w:szCs w:val="28"/>
          <w:u w:val="single"/>
        </w:rPr>
      </w:pPr>
    </w:p>
    <w:p w:rsidR="000E0583" w:rsidRDefault="000E0583" w:rsidP="00A4785C">
      <w:pPr>
        <w:rPr>
          <w:sz w:val="24"/>
          <w:szCs w:val="24"/>
        </w:rPr>
      </w:pPr>
      <w:r>
        <w:rPr>
          <w:sz w:val="24"/>
          <w:szCs w:val="24"/>
        </w:rPr>
        <w:t xml:space="preserve">In this essay I shall focus on the source that is written by Caroline Walker Bynum. I will examine her interpretation of death in the middle ages and find out exactly what her thoughts are on resurrection. I shall look at her opinion’s and preferences carefully in order to gain an understanding of what exactly she is trying to tell the reader and if she is trying to put any specific argument forward. Whilst I am considering the points that I have previously mentioned I shall then be able to give my own opinion on her work giving a conclusion on what I feel are its strengths and weaknesses. By doing this I will hopefully embody my own views on Bynum’s topic throughout this piece </w:t>
      </w:r>
    </w:p>
    <w:p w:rsidR="000E0583" w:rsidRDefault="000E0583" w:rsidP="00A4785C">
      <w:pPr>
        <w:rPr>
          <w:i/>
          <w:sz w:val="24"/>
          <w:szCs w:val="24"/>
        </w:rPr>
      </w:pPr>
      <w:r>
        <w:rPr>
          <w:sz w:val="24"/>
          <w:szCs w:val="24"/>
        </w:rPr>
        <w:t>When one initially thinks of the middle ages, I would imagine that most individuals would think of it as a time of war, a cold and wet time of famine where the black death was feared by all, when all survival and death would have been key features, people would either have been trying to survive day to day or preparing for their deaths. It is even possible to go as far to say that part of one’s survival during this period was to be prepared for one’s death, for people were far more god fearing at this time; especially when compared with today’s society. One of the things that Caroline Walker Bynum focuses on in her written source is the idea of the resurrection. People of the period were taught about the resurrection and of its importance and were given the resurrection of Christ as a prime example and therefore this teaching from the church played a significant part in individuals lives and in what their beliefs were after they had died. What Bynum makes clear in her work is that she does not consider the resurrection in its original and traditional context, rather in a completely different point of view. A point that must be appreciated about Bynum’s writing is that she clearly states out that death and resurrection was not something that could be avoided in the medieval period and what she does in her article is to consider other scholar’s interpretations on the resurrection of the body and how individuals would deal with it.  What should also be recognised is that she appreciates the complexities that might occur when comparing modern readers of history try to understand medieval history. One thing she claims disturbs modern readers about medieval history is the extreme “</w:t>
      </w:r>
      <w:r w:rsidRPr="003B28AE">
        <w:rPr>
          <w:i/>
          <w:sz w:val="24"/>
          <w:szCs w:val="24"/>
        </w:rPr>
        <w:t xml:space="preserve">literalism and </w:t>
      </w:r>
      <w:r>
        <w:rPr>
          <w:i/>
          <w:sz w:val="24"/>
          <w:szCs w:val="24"/>
        </w:rPr>
        <w:t>materialism”</w:t>
      </w:r>
      <w:r>
        <w:rPr>
          <w:rStyle w:val="FootnoteReference"/>
          <w:i/>
          <w:sz w:val="24"/>
          <w:szCs w:val="24"/>
        </w:rPr>
        <w:footnoteReference w:id="1"/>
      </w:r>
      <w:r>
        <w:rPr>
          <w:i/>
          <w:sz w:val="24"/>
          <w:szCs w:val="24"/>
        </w:rPr>
        <w:t>.</w:t>
      </w:r>
    </w:p>
    <w:p w:rsidR="000E0583" w:rsidRDefault="000E0583" w:rsidP="00A4785C">
      <w:pPr>
        <w:rPr>
          <w:sz w:val="24"/>
          <w:szCs w:val="24"/>
        </w:rPr>
      </w:pPr>
      <w:r>
        <w:rPr>
          <w:sz w:val="24"/>
          <w:szCs w:val="24"/>
        </w:rPr>
        <w:t xml:space="preserve">The mention of materialism and literalism brings me on to my first point because these are things that I feel are key when considering dying and the resurrection in the middle ages. Materialism being something that was obviously important, artefact and relics and a whole plethora of objects can be found to symbolize death and the resurrection as well as people’s actual positions. However, I feel that literalism is of more importance because of some of </w:t>
      </w:r>
      <w:r>
        <w:rPr>
          <w:sz w:val="24"/>
          <w:szCs w:val="24"/>
        </w:rPr>
        <w:lastRenderedPageBreak/>
        <w:t>the things one reads in medieval texts and sources etc. For example, you may read some accounts when the dead come back or seek another’s body and so on whereas the resurrection is supposed to resurrect individuals in their form at the time of their death, so if one takes a body of another surely this contradicts the idea of resurrection? That is merely my own point of view on the whole body being resurrected and as Bynum explains in her article the matter of cannibalism becomes an extremely complicated matter when considering this, but it is a question that people theologians and clergy would be deemed to face. My personal belief is that it is one’s soul that proceed not the actual body and flesh of an individual, but one thing Bynum puts forward is how close to knowing are we today? I mean theologians and clergy now are just as far away from the answer. The structure of Bynum’s article does however look at the complexities of both sides and it is interesting to see in my opinion that she does not believe this question could be fully answered then or at the time she was writing.</w:t>
      </w:r>
    </w:p>
    <w:p w:rsidR="000E0583" w:rsidRDefault="000E0583" w:rsidP="00A4785C">
      <w:pPr>
        <w:rPr>
          <w:sz w:val="24"/>
          <w:szCs w:val="24"/>
        </w:rPr>
      </w:pPr>
    </w:p>
    <w:p w:rsidR="000E0583" w:rsidRDefault="000E0583" w:rsidP="00A4785C">
      <w:pPr>
        <w:rPr>
          <w:sz w:val="24"/>
          <w:szCs w:val="24"/>
        </w:rPr>
      </w:pPr>
      <w:r>
        <w:rPr>
          <w:sz w:val="24"/>
          <w:szCs w:val="24"/>
        </w:rPr>
        <w:t>As Bynum goes into looking at how modern historians have discussed the medieval discussions on resurrection, she opens the discussion as follows</w:t>
      </w:r>
      <w:r w:rsidRPr="005B0557">
        <w:rPr>
          <w:i/>
          <w:sz w:val="24"/>
          <w:szCs w:val="24"/>
        </w:rPr>
        <w:t>, “Medieval debates about the resurrection of foreskins or eaten embryos have baffled modern historians and theologians</w:t>
      </w:r>
      <w:r>
        <w:rPr>
          <w:i/>
          <w:sz w:val="24"/>
          <w:szCs w:val="24"/>
        </w:rPr>
        <w:t>. Deeply embarrassed by such materialism and literalism, they have occasionally cited the debates in order to shock or titillate their colleagues</w:t>
      </w:r>
      <w:r w:rsidRPr="005B0557">
        <w:rPr>
          <w:i/>
          <w:sz w:val="24"/>
          <w:szCs w:val="24"/>
        </w:rPr>
        <w:t>”</w:t>
      </w:r>
      <w:r>
        <w:rPr>
          <w:rStyle w:val="FootnoteReference"/>
          <w:i/>
          <w:sz w:val="24"/>
          <w:szCs w:val="24"/>
        </w:rPr>
        <w:footnoteReference w:id="2"/>
      </w:r>
      <w:r>
        <w:rPr>
          <w:i/>
          <w:sz w:val="24"/>
          <w:szCs w:val="24"/>
        </w:rPr>
        <w:t xml:space="preserve">. </w:t>
      </w:r>
      <w:r w:rsidRPr="005B0557">
        <w:rPr>
          <w:sz w:val="24"/>
          <w:szCs w:val="24"/>
        </w:rPr>
        <w:t>This</w:t>
      </w:r>
      <w:r>
        <w:rPr>
          <w:sz w:val="24"/>
          <w:szCs w:val="24"/>
        </w:rPr>
        <w:t xml:space="preserve"> is an idea that I feel is well made in Bynum’s discussion, especially in the case of modern historians, a point that I previously made is that compared with society now and at the time Bynum was writing this article the medieval people were far more religious. Therefore, being brought up in modern society, a modern historian would not fully grasp the debates of medieval times and in this respect, they do not fully understand the symbolism of a person’s religion and their beliefs. Consequently, they do not grasp fully how individuals then would believe that one’s body would once again become in full tact once they have resurrected, or how someone could question how the loss of certain body parts would concern people. As Bynum goes on into her discussion what she goes on to say would prove this as she states </w:t>
      </w:r>
      <w:r w:rsidRPr="00D64A61">
        <w:rPr>
          <w:i/>
          <w:sz w:val="24"/>
          <w:szCs w:val="24"/>
        </w:rPr>
        <w:t xml:space="preserve">“Scholars have expressed their bewilderment and frustration with medieval argument by trying to sweep away the offensive details while salvaging something of importance” </w:t>
      </w:r>
      <w:r>
        <w:rPr>
          <w:rStyle w:val="FootnoteReference"/>
          <w:i/>
          <w:sz w:val="24"/>
          <w:szCs w:val="24"/>
        </w:rPr>
        <w:footnoteReference w:id="3"/>
      </w:r>
      <w:r>
        <w:rPr>
          <w:i/>
          <w:sz w:val="24"/>
          <w:szCs w:val="24"/>
        </w:rPr>
        <w:t xml:space="preserve">. </w:t>
      </w:r>
      <w:r>
        <w:rPr>
          <w:sz w:val="24"/>
          <w:szCs w:val="24"/>
        </w:rPr>
        <w:t xml:space="preserve">The difference is as I see it is this, the medieval debates from the time would likely have been written by not only someone who lived in the period but also who believed and feared the things that the modern historians do not fully understand. </w:t>
      </w:r>
    </w:p>
    <w:p w:rsidR="000E0583" w:rsidRDefault="000E0583" w:rsidP="00A4785C">
      <w:pPr>
        <w:rPr>
          <w:sz w:val="24"/>
          <w:szCs w:val="24"/>
        </w:rPr>
      </w:pPr>
    </w:p>
    <w:p w:rsidR="000E0583" w:rsidRDefault="000E0583" w:rsidP="00A4785C">
      <w:pPr>
        <w:rPr>
          <w:sz w:val="24"/>
          <w:szCs w:val="24"/>
        </w:rPr>
      </w:pPr>
      <w:r>
        <w:rPr>
          <w:sz w:val="24"/>
          <w:szCs w:val="24"/>
        </w:rPr>
        <w:lastRenderedPageBreak/>
        <w:t xml:space="preserve">As far as the topic of survival goes there does appear to be many issues involved, </w:t>
      </w:r>
      <w:r w:rsidRPr="00CF0DF2">
        <w:rPr>
          <w:i/>
          <w:sz w:val="24"/>
          <w:szCs w:val="24"/>
        </w:rPr>
        <w:t>“fundamental issues”</w:t>
      </w:r>
      <w:r>
        <w:rPr>
          <w:rStyle w:val="FootnoteReference"/>
          <w:i/>
          <w:sz w:val="24"/>
          <w:szCs w:val="24"/>
        </w:rPr>
        <w:footnoteReference w:id="4"/>
      </w:r>
      <w:r>
        <w:rPr>
          <w:i/>
          <w:sz w:val="24"/>
          <w:szCs w:val="24"/>
        </w:rPr>
        <w:t xml:space="preserve"> </w:t>
      </w:r>
      <w:r>
        <w:rPr>
          <w:sz w:val="24"/>
          <w:szCs w:val="24"/>
        </w:rPr>
        <w:t xml:space="preserve">is how Bynum puts it especially when considering what is known as bodily resurrection. I mean the belief in medieval times is that one would have to remain complete throughout one’s life in order to resurrect successfully, this would also make some individuals fear the thought of going to hell or to purgatory. I mean if one happened to suffer so badly in either surely, they would be terrified their possibility of being resurrected is in jeopardy. However, that does bring me back to a point made by Bynum concerning the damned, would they be eligible anyway? </w:t>
      </w:r>
    </w:p>
    <w:p w:rsidR="000E0583" w:rsidRDefault="000E0583" w:rsidP="00A4785C">
      <w:pPr>
        <w:rPr>
          <w:sz w:val="24"/>
          <w:szCs w:val="24"/>
        </w:rPr>
      </w:pPr>
    </w:p>
    <w:p w:rsidR="000E0583" w:rsidRPr="00CF0DF2" w:rsidRDefault="000E0583" w:rsidP="000849A6">
      <w:pPr>
        <w:jc w:val="both"/>
        <w:rPr>
          <w:sz w:val="24"/>
          <w:szCs w:val="24"/>
        </w:rPr>
      </w:pPr>
      <w:r>
        <w:rPr>
          <w:sz w:val="24"/>
          <w:szCs w:val="24"/>
        </w:rPr>
        <w:t xml:space="preserve">To conclude I would like to look at how Caroline Walker Bynum separates the discussions of modern and medieval writers through their cultural differences. When one looks at the writing of a modern historian there tends to be a great variety between different interpretations, admittedly some are similar bur rarely do individuals interpret things the same or nearly identically. </w:t>
      </w:r>
      <w:r w:rsidRPr="000849A6">
        <w:rPr>
          <w:sz w:val="24"/>
          <w:szCs w:val="24"/>
        </w:rPr>
        <w:t>As Bynum writes in her article</w:t>
      </w:r>
      <w:r w:rsidRPr="003A39CD">
        <w:rPr>
          <w:i/>
          <w:sz w:val="24"/>
          <w:szCs w:val="24"/>
        </w:rPr>
        <w:t xml:space="preserve"> “All medieval thinkers held a soul-body dualism; few modern thinkers do</w:t>
      </w:r>
      <w:r>
        <w:rPr>
          <w:sz w:val="24"/>
          <w:szCs w:val="24"/>
        </w:rPr>
        <w:t>”</w:t>
      </w:r>
      <w:r>
        <w:rPr>
          <w:rStyle w:val="FootnoteReference"/>
          <w:sz w:val="24"/>
          <w:szCs w:val="24"/>
        </w:rPr>
        <w:footnoteReference w:id="5"/>
      </w:r>
      <w:r>
        <w:rPr>
          <w:sz w:val="24"/>
          <w:szCs w:val="24"/>
        </w:rPr>
        <w:t>. This is true, with medieval there are far more fluid interpretations, they would portray a similar story with the odd twist here and there. When one considers the topic that Caroline Walker Bynum is discussing as far as medieval writing goes it was a fluid subject, not only on the matter of resurrection but of how one can shape one’s life to die a good death and avoid a bad one. In the case of royalty, clergy or anyone of status this may concern how they will memorialise themselves after they have passed away. I mean one only must look at the book ‘</w:t>
      </w:r>
      <w:bookmarkStart w:id="1" w:name="_Hlk536561934"/>
      <w:r>
        <w:rPr>
          <w:sz w:val="24"/>
          <w:szCs w:val="24"/>
        </w:rPr>
        <w:t xml:space="preserve">The Book of the Craft of Dying’ </w:t>
      </w:r>
      <w:bookmarkEnd w:id="1"/>
      <w:r>
        <w:rPr>
          <w:sz w:val="24"/>
          <w:szCs w:val="24"/>
        </w:rPr>
        <w:t xml:space="preserve">which was edited by Frances M. M. </w:t>
      </w:r>
      <w:proofErr w:type="spellStart"/>
      <w:r>
        <w:rPr>
          <w:sz w:val="24"/>
          <w:szCs w:val="24"/>
        </w:rPr>
        <w:t>Comper</w:t>
      </w:r>
      <w:proofErr w:type="spellEnd"/>
      <w:r>
        <w:rPr>
          <w:sz w:val="24"/>
          <w:szCs w:val="24"/>
        </w:rPr>
        <w:t xml:space="preserve"> to see prime examples of peoples preparations for death, their expectations, and what they anticipated would happen. One aspect that I have to agree with Caroline Walker Bynum on is the fact that peoples lives in medieval times were as they are today shaped by what they believed in as far as medieval survival of day to day life goes there is an interesting article by the British Library which gives evidence of the way medieval folk shaped theirs around dying. What the website states is that people shaped their beliefs on at the time was on traditional religious teaching and attempting to “</w:t>
      </w:r>
      <w:r w:rsidRPr="00AE6F79">
        <w:rPr>
          <w:i/>
          <w:sz w:val="24"/>
          <w:szCs w:val="24"/>
        </w:rPr>
        <w:t>avoid sin</w:t>
      </w:r>
      <w:r>
        <w:rPr>
          <w:sz w:val="24"/>
          <w:szCs w:val="24"/>
        </w:rPr>
        <w:t>”</w:t>
      </w:r>
      <w:r>
        <w:rPr>
          <w:rStyle w:val="FootnoteReference"/>
          <w:sz w:val="24"/>
          <w:szCs w:val="24"/>
        </w:rPr>
        <w:footnoteReference w:id="6"/>
      </w:r>
      <w:r>
        <w:rPr>
          <w:sz w:val="24"/>
          <w:szCs w:val="24"/>
        </w:rPr>
        <w:t xml:space="preserve"> with the good intentions of “</w:t>
      </w:r>
      <w:r w:rsidRPr="00AE6F79">
        <w:rPr>
          <w:i/>
          <w:sz w:val="24"/>
          <w:szCs w:val="24"/>
        </w:rPr>
        <w:t>performing good works</w:t>
      </w:r>
      <w:r>
        <w:rPr>
          <w:sz w:val="24"/>
          <w:szCs w:val="24"/>
        </w:rPr>
        <w:t>”</w:t>
      </w:r>
      <w:r>
        <w:rPr>
          <w:rStyle w:val="FootnoteReference"/>
          <w:sz w:val="24"/>
          <w:szCs w:val="24"/>
        </w:rPr>
        <w:footnoteReference w:id="7"/>
      </w:r>
      <w:r>
        <w:rPr>
          <w:sz w:val="24"/>
          <w:szCs w:val="24"/>
        </w:rPr>
        <w:t xml:space="preserve">, whereas the comparison Bynum makes with Star </w:t>
      </w:r>
      <w:proofErr w:type="spellStart"/>
      <w:r>
        <w:rPr>
          <w:sz w:val="24"/>
          <w:szCs w:val="24"/>
        </w:rPr>
        <w:t>Treck</w:t>
      </w:r>
      <w:proofErr w:type="spellEnd"/>
      <w:r>
        <w:rPr>
          <w:sz w:val="24"/>
          <w:szCs w:val="24"/>
        </w:rPr>
        <w:t xml:space="preserve"> just goes to show how people shape their lives today and what they believe in. This does make me question how similar individuals lives really were? And has society actually evolved that significantly, granted the religious grounding from the middle ages has become lost, however whether people place their beliefs in other things; what I believe Bynum’s article helps us understand is the need to question this.</w:t>
      </w:r>
    </w:p>
    <w:p w:rsidR="000E0583" w:rsidRDefault="000E0583" w:rsidP="00FC3B9B">
      <w:pPr>
        <w:jc w:val="center"/>
        <w:rPr>
          <w:b/>
          <w:i/>
          <w:sz w:val="28"/>
          <w:szCs w:val="28"/>
          <w:u w:val="single"/>
        </w:rPr>
      </w:pPr>
      <w:r>
        <w:rPr>
          <w:b/>
          <w:i/>
          <w:sz w:val="28"/>
          <w:szCs w:val="28"/>
          <w:u w:val="single"/>
        </w:rPr>
        <w:br w:type="page"/>
      </w:r>
      <w:r>
        <w:rPr>
          <w:b/>
          <w:i/>
          <w:sz w:val="28"/>
          <w:szCs w:val="28"/>
          <w:u w:val="single"/>
        </w:rPr>
        <w:lastRenderedPageBreak/>
        <w:t xml:space="preserve">Resurrection Commentary </w:t>
      </w:r>
    </w:p>
    <w:p w:rsidR="000E0583" w:rsidRDefault="000E0583" w:rsidP="00FC3B9B">
      <w:pPr>
        <w:jc w:val="center"/>
        <w:rPr>
          <w:b/>
          <w:i/>
          <w:sz w:val="28"/>
          <w:szCs w:val="28"/>
          <w:u w:val="single"/>
        </w:rPr>
      </w:pPr>
    </w:p>
    <w:p w:rsidR="000E0583" w:rsidRDefault="000E0583" w:rsidP="00F3197E">
      <w:pPr>
        <w:rPr>
          <w:sz w:val="24"/>
          <w:szCs w:val="24"/>
        </w:rPr>
      </w:pPr>
      <w:r>
        <w:rPr>
          <w:sz w:val="24"/>
          <w:szCs w:val="24"/>
        </w:rPr>
        <w:t xml:space="preserve">In this commentary I shall focus on the resurrection and the way resurrection was viewed in the middle ages. I shall look at death and how people reacted to death, how people would respond to individuals dying. Also, I shall focus on people’s personal beliefs, what they anticipated to happen when someone passed away and how they viewed the afterlife. As well as this I shall examine the preparations people made during their lives in order to secure a good place in the afterlife and ensure that they would be resurrected at the appropriate time. </w:t>
      </w:r>
    </w:p>
    <w:p w:rsidR="000E0583" w:rsidRDefault="000E0583" w:rsidP="00F3197E">
      <w:pPr>
        <w:rPr>
          <w:sz w:val="24"/>
          <w:szCs w:val="24"/>
        </w:rPr>
      </w:pPr>
    </w:p>
    <w:p w:rsidR="000E0583" w:rsidRDefault="000E0583" w:rsidP="00F3197E">
      <w:pPr>
        <w:rPr>
          <w:sz w:val="24"/>
          <w:szCs w:val="24"/>
        </w:rPr>
      </w:pPr>
      <w:r>
        <w:rPr>
          <w:sz w:val="24"/>
          <w:szCs w:val="24"/>
        </w:rPr>
        <w:t>Resurrection and the afterlife were firm beliefs in the minds of individuals during the middle ages, and it is likely that this belief came from the religious grounding that they had from the church and Clergy. It was during this period members of the clergy could not stress enough the importance of the afterlife and how one day certain individuals would be resurrected, and it was a matter that the individuals living in that period feared far more than today’s society. In the article ‘Death and Resurrection in the Middle Ages: Some Modern Implications’, the author Caroline Walker Bynum raises some interesting points related to dying in the middle ages. One, “</w:t>
      </w:r>
      <w:r w:rsidRPr="00D268D0">
        <w:rPr>
          <w:i/>
          <w:sz w:val="24"/>
          <w:szCs w:val="24"/>
        </w:rPr>
        <w:t>the idea that a person’s death is a moment of judgement, of individual accounting and significance</w:t>
      </w:r>
      <w:r>
        <w:rPr>
          <w:sz w:val="24"/>
          <w:szCs w:val="24"/>
        </w:rPr>
        <w:t>”</w:t>
      </w:r>
      <w:r>
        <w:rPr>
          <w:rStyle w:val="FootnoteReference"/>
          <w:sz w:val="24"/>
          <w:szCs w:val="24"/>
        </w:rPr>
        <w:footnoteReference w:id="8"/>
      </w:r>
      <w:r>
        <w:rPr>
          <w:sz w:val="24"/>
          <w:szCs w:val="24"/>
        </w:rPr>
        <w:t xml:space="preserve"> and two, “the idea that the bodies (or relics) of the holy dead are special loci of access to the divine”</w:t>
      </w:r>
      <w:r>
        <w:rPr>
          <w:rStyle w:val="FootnoteReference"/>
          <w:sz w:val="24"/>
          <w:szCs w:val="24"/>
        </w:rPr>
        <w:footnoteReference w:id="9"/>
      </w:r>
      <w:r>
        <w:rPr>
          <w:sz w:val="24"/>
          <w:szCs w:val="24"/>
        </w:rPr>
        <w:t>. Personally, the points that Bynum has raised here I must say I would be inclined to agree with, people felt that they would be judged once they had passed and that one day, they would reach eternal glory. However, in this belief there were three possibilities of places one could end up after they had passed heaven, hell and purgatory. The ideal location was obviously heaven and the least favourable of three is hell, however, if needs be people could obviously be sent to purgatory where following up their judgement, they were able to repent their sins by being punished. The place which was known as purgatory gave individuals a sort of second chance in a way, if people could not get directly into heaven the next best thing would be purgatory. The belief was that by suffering the turmoil of purgatory and enduring it for a specific amount of time they would then be cleansed of their sins in order to be prepared to be resurrected at the appropriate time. Another aspect people were concerned about was their actual body, people were taught that at the time they would be summonsed to their resurrection they would gain eternal life in their bodily form, so the question that played on individuals mind’s is what happened if their body was damaged in some way?</w:t>
      </w:r>
    </w:p>
    <w:p w:rsidR="000E0583" w:rsidRDefault="000E0583" w:rsidP="00F3197E">
      <w:pPr>
        <w:rPr>
          <w:sz w:val="24"/>
          <w:szCs w:val="24"/>
        </w:rPr>
      </w:pPr>
    </w:p>
    <w:p w:rsidR="000E0583" w:rsidRDefault="000E0583" w:rsidP="00F3197E">
      <w:pPr>
        <w:rPr>
          <w:sz w:val="24"/>
          <w:szCs w:val="24"/>
        </w:rPr>
      </w:pPr>
      <w:r>
        <w:rPr>
          <w:sz w:val="24"/>
          <w:szCs w:val="24"/>
        </w:rPr>
        <w:lastRenderedPageBreak/>
        <w:t xml:space="preserve">In Bynum’s article she also speaks about the types of death people would die and the preparation’s that they would make before their final hours. The example I favourited most was the case of Frances of Assisi, Bynum writes how he performed his own death by the removal of his clothing and laying on the ground. As it states in the article this idea revolves around the idea of being born, as Christianity teaches you come into the world with nothing and will go out with nothing. By doing this Frances of Assisi </w:t>
      </w:r>
      <w:r w:rsidRPr="0001298B">
        <w:rPr>
          <w:i/>
          <w:sz w:val="24"/>
          <w:szCs w:val="24"/>
        </w:rPr>
        <w:t>“prepared for re-birth”</w:t>
      </w:r>
      <w:r>
        <w:rPr>
          <w:rStyle w:val="FootnoteReference"/>
          <w:i/>
          <w:sz w:val="24"/>
          <w:szCs w:val="24"/>
        </w:rPr>
        <w:footnoteReference w:id="10"/>
      </w:r>
      <w:r>
        <w:rPr>
          <w:i/>
          <w:sz w:val="24"/>
          <w:szCs w:val="24"/>
        </w:rPr>
        <w:t xml:space="preserve"> </w:t>
      </w:r>
      <w:r>
        <w:rPr>
          <w:sz w:val="24"/>
          <w:szCs w:val="24"/>
        </w:rPr>
        <w:t>which is what the idea of resurrection, as I previously mentioned people felt they had to prepare to die and die as good a death as possible to show themselves as worthy individuals for re-birth. However, one must emphasise here that the belief was not a literal re-birth, and everyone would be born a child, rather one’s soul would leave the body and go into the afterlife and wait before taking one’s original body form as I have previously mentioned. The final point I would like to highlight here is that dying was not only a ritual that involved the individual who was dying, it was something that involved whole families, friends, neighbours and a good death securing resurrection would most definitely have a member of clergy present. And there is evidence of this in the book ‘</w:t>
      </w:r>
      <w:bookmarkStart w:id="4" w:name="_Hlk536703794"/>
      <w:r>
        <w:rPr>
          <w:sz w:val="24"/>
          <w:szCs w:val="24"/>
        </w:rPr>
        <w:t xml:space="preserve">Mirrors of Mortality’ </w:t>
      </w:r>
      <w:bookmarkEnd w:id="4"/>
      <w:r>
        <w:rPr>
          <w:sz w:val="24"/>
          <w:szCs w:val="24"/>
        </w:rPr>
        <w:t xml:space="preserve">which suggests that any death that does not work out this way it could fall into the bad death category, it reads as follows </w:t>
      </w:r>
      <w:r w:rsidRPr="00F40F19">
        <w:rPr>
          <w:i/>
          <w:sz w:val="24"/>
          <w:szCs w:val="24"/>
        </w:rPr>
        <w:t>“bad death is death away from the community and/or one’s friend’s, a lonely unseen death”</w:t>
      </w:r>
      <w:r>
        <w:rPr>
          <w:sz w:val="24"/>
          <w:szCs w:val="24"/>
        </w:rPr>
        <w:t xml:space="preserve"> </w:t>
      </w:r>
      <w:r>
        <w:rPr>
          <w:rStyle w:val="FootnoteReference"/>
          <w:sz w:val="24"/>
          <w:szCs w:val="24"/>
        </w:rPr>
        <w:footnoteReference w:id="11"/>
      </w:r>
      <w:r>
        <w:rPr>
          <w:sz w:val="24"/>
          <w:szCs w:val="24"/>
        </w:rPr>
        <w:t xml:space="preserve">. Therefore, people would be frightened to die this way because of the possibility of not being resurrected. </w:t>
      </w:r>
    </w:p>
    <w:p w:rsidR="000E0583" w:rsidRDefault="000E0583" w:rsidP="00F3197E">
      <w:pPr>
        <w:rPr>
          <w:sz w:val="24"/>
          <w:szCs w:val="24"/>
        </w:rPr>
      </w:pPr>
    </w:p>
    <w:p w:rsidR="000E0583" w:rsidRDefault="000E0583" w:rsidP="00866741">
      <w:pPr>
        <w:rPr>
          <w:b/>
          <w:i/>
          <w:sz w:val="28"/>
          <w:szCs w:val="28"/>
          <w:u w:val="single"/>
        </w:rPr>
      </w:pPr>
    </w:p>
    <w:p w:rsidR="000E0583" w:rsidRDefault="000E0583" w:rsidP="00866741">
      <w:pPr>
        <w:rPr>
          <w:b/>
          <w:i/>
          <w:sz w:val="28"/>
          <w:szCs w:val="28"/>
          <w:u w:val="single"/>
        </w:rPr>
      </w:pPr>
    </w:p>
    <w:p w:rsidR="000E0583" w:rsidRDefault="000E0583" w:rsidP="00866741">
      <w:pPr>
        <w:rPr>
          <w:b/>
          <w:i/>
          <w:sz w:val="28"/>
          <w:szCs w:val="28"/>
          <w:u w:val="single"/>
        </w:rPr>
      </w:pPr>
    </w:p>
    <w:p w:rsidR="000E0583" w:rsidRDefault="000E0583" w:rsidP="00866741">
      <w:pPr>
        <w:rPr>
          <w:b/>
          <w:i/>
          <w:sz w:val="28"/>
          <w:szCs w:val="28"/>
          <w:u w:val="single"/>
        </w:rPr>
      </w:pPr>
    </w:p>
    <w:p w:rsidR="000E0583" w:rsidRDefault="000E0583" w:rsidP="00866741">
      <w:pPr>
        <w:rPr>
          <w:b/>
          <w:i/>
          <w:sz w:val="28"/>
          <w:szCs w:val="28"/>
          <w:u w:val="single"/>
        </w:rPr>
      </w:pPr>
    </w:p>
    <w:p w:rsidR="000E0583" w:rsidRDefault="000E0583" w:rsidP="00866741">
      <w:pPr>
        <w:rPr>
          <w:b/>
          <w:i/>
          <w:sz w:val="28"/>
          <w:szCs w:val="28"/>
          <w:u w:val="single"/>
        </w:rPr>
      </w:pPr>
    </w:p>
    <w:p w:rsidR="000E0583" w:rsidRDefault="000E0583" w:rsidP="00866741">
      <w:pPr>
        <w:rPr>
          <w:b/>
          <w:i/>
          <w:sz w:val="28"/>
          <w:szCs w:val="28"/>
          <w:u w:val="single"/>
        </w:rPr>
      </w:pPr>
    </w:p>
    <w:p w:rsidR="000E0583" w:rsidRDefault="000E0583" w:rsidP="00866741">
      <w:pPr>
        <w:rPr>
          <w:b/>
          <w:i/>
          <w:sz w:val="28"/>
          <w:szCs w:val="28"/>
          <w:u w:val="single"/>
        </w:rPr>
      </w:pPr>
    </w:p>
    <w:p w:rsidR="000E0583" w:rsidRDefault="000E0583" w:rsidP="00866741">
      <w:pPr>
        <w:rPr>
          <w:b/>
          <w:i/>
          <w:sz w:val="28"/>
          <w:szCs w:val="28"/>
          <w:u w:val="single"/>
        </w:rPr>
      </w:pPr>
    </w:p>
    <w:p w:rsidR="000E0583" w:rsidRDefault="000E0583" w:rsidP="00866741">
      <w:pPr>
        <w:rPr>
          <w:b/>
          <w:i/>
          <w:sz w:val="28"/>
          <w:szCs w:val="28"/>
          <w:u w:val="single"/>
        </w:rPr>
      </w:pPr>
    </w:p>
    <w:p w:rsidR="000E0583" w:rsidRDefault="000E0583" w:rsidP="00866741">
      <w:pPr>
        <w:rPr>
          <w:b/>
          <w:i/>
          <w:sz w:val="28"/>
          <w:szCs w:val="28"/>
          <w:u w:val="single"/>
        </w:rPr>
      </w:pPr>
      <w:proofErr w:type="spellStart"/>
      <w:r>
        <w:rPr>
          <w:b/>
          <w:i/>
          <w:sz w:val="28"/>
          <w:szCs w:val="28"/>
          <w:u w:val="single"/>
        </w:rPr>
        <w:lastRenderedPageBreak/>
        <w:t>Danse</w:t>
      </w:r>
      <w:proofErr w:type="spellEnd"/>
      <w:r>
        <w:rPr>
          <w:b/>
          <w:i/>
          <w:sz w:val="28"/>
          <w:szCs w:val="28"/>
          <w:u w:val="single"/>
        </w:rPr>
        <w:t xml:space="preserve"> Macabre Commentary</w:t>
      </w:r>
    </w:p>
    <w:p w:rsidR="000E0583" w:rsidRDefault="000E0583" w:rsidP="001200D4">
      <w:pPr>
        <w:jc w:val="center"/>
        <w:rPr>
          <w:b/>
          <w:i/>
          <w:sz w:val="28"/>
          <w:szCs w:val="28"/>
          <w:u w:val="single"/>
        </w:rPr>
      </w:pPr>
      <w:r>
        <w:rPr>
          <w:noProof/>
          <w:lang w:eastAsia="en-GB"/>
        </w:rPr>
        <w:drawing>
          <wp:inline distT="0" distB="0" distL="0" distR="0" wp14:anchorId="34F60E67" wp14:editId="5E9361E1">
            <wp:extent cx="5584825" cy="7458075"/>
            <wp:effectExtent l="0" t="0" r="0" b="9525"/>
            <wp:docPr id="2" name="Picture 2" descr="Danse Macabre"/>
            <wp:cNvGraphicFramePr/>
            <a:graphic xmlns:a="http://schemas.openxmlformats.org/drawingml/2006/main">
              <a:graphicData uri="http://schemas.openxmlformats.org/drawingml/2006/picture">
                <pic:pic xmlns:pic="http://schemas.openxmlformats.org/drawingml/2006/picture">
                  <pic:nvPicPr>
                    <pic:cNvPr id="2" name="Picture 2" descr="Danse Macabre"/>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84825" cy="7458075"/>
                    </a:xfrm>
                    <a:prstGeom prst="rect">
                      <a:avLst/>
                    </a:prstGeom>
                    <a:noFill/>
                    <a:ln>
                      <a:noFill/>
                    </a:ln>
                  </pic:spPr>
                </pic:pic>
              </a:graphicData>
            </a:graphic>
          </wp:inline>
        </w:drawing>
      </w:r>
    </w:p>
    <w:p w:rsidR="000E0583" w:rsidRDefault="000E0583" w:rsidP="001200D4">
      <w:pPr>
        <w:jc w:val="center"/>
      </w:pPr>
      <w:r>
        <w:t>Danse Macabre print by Pierre le Rouge, 1491-1492</w:t>
      </w:r>
    </w:p>
    <w:p w:rsidR="000E0583" w:rsidRDefault="000E0583" w:rsidP="001200D4">
      <w:pPr>
        <w:jc w:val="center"/>
        <w:rPr>
          <w:i/>
          <w:sz w:val="24"/>
          <w:szCs w:val="24"/>
          <w:u w:val="single"/>
        </w:rPr>
      </w:pPr>
      <w:r w:rsidRPr="001200D4">
        <w:rPr>
          <w:i/>
          <w:sz w:val="24"/>
          <w:szCs w:val="24"/>
          <w:u w:val="single"/>
        </w:rPr>
        <w:t>(Source Available on the Moodle page)</w:t>
      </w:r>
    </w:p>
    <w:p w:rsidR="000E0583" w:rsidRDefault="000E0583">
      <w:pPr>
        <w:rPr>
          <w:i/>
          <w:sz w:val="24"/>
          <w:szCs w:val="24"/>
          <w:u w:val="single"/>
        </w:rPr>
      </w:pPr>
      <w:r>
        <w:rPr>
          <w:i/>
          <w:sz w:val="24"/>
          <w:szCs w:val="24"/>
          <w:u w:val="single"/>
        </w:rPr>
        <w:br w:type="page"/>
      </w:r>
    </w:p>
    <w:p w:rsidR="000E0583" w:rsidRDefault="000E0583">
      <w:pPr>
        <w:rPr>
          <w:sz w:val="24"/>
          <w:szCs w:val="24"/>
        </w:rPr>
      </w:pPr>
      <w:r>
        <w:rPr>
          <w:sz w:val="24"/>
          <w:szCs w:val="24"/>
        </w:rPr>
        <w:lastRenderedPageBreak/>
        <w:t>During this commentary I will focus on the Danse Macabre which is seen as the dance of death in the medieval period. I shall examine the actual image that is featured above looking at what it is showing and compare how the print can be interpreted now and how it was interpreted in the middle ages. I shall also look at how useful the print is, and how realistic to death and the nature of death it is and what can we tell from the print?</w:t>
      </w:r>
    </w:p>
    <w:p w:rsidR="000E0583" w:rsidRDefault="000E0583">
      <w:pPr>
        <w:rPr>
          <w:sz w:val="24"/>
          <w:szCs w:val="24"/>
        </w:rPr>
      </w:pPr>
    </w:p>
    <w:p w:rsidR="000E0583" w:rsidRDefault="000E0583">
      <w:pPr>
        <w:rPr>
          <w:sz w:val="24"/>
          <w:szCs w:val="24"/>
        </w:rPr>
      </w:pPr>
      <w:r>
        <w:rPr>
          <w:sz w:val="24"/>
          <w:szCs w:val="24"/>
        </w:rPr>
        <w:t xml:space="preserve">The Danse Macabre is one of the most popular illustrations from the medieval period, there are many different types of dances which are based on this dance which merely takes a different style of illustration, but the main structure of the dance remains the same. These Magnificent pieces of art were created by Pierre le Rouge, according to dodendans.com and in this version of the dance we see death coming to collect eight individuals and take them to the afterlife. In this version of the dance death isn’t a specific person, rather he’s not depicted in a specific way. Personally, I find this extremely interesting because this can be interpreted in so many ways. For example, I would suggest that the image above has death shaded in three to four different colours each one has a different stance or position as they lead their chosen individual. It is also interesting to see that the figure of death that has come to collect the little baby is significantly different to the others. Now my initial thoughts were that these could be a symbol of the individuals that they are taking away, however, it could be a symbol of the death that they have died possibly. It is imaginable that the ones that have prepared for their death or lived a righteous life have a different figure, on the other hand the baby would obviously not have time to prepare for its death, therefore this could be the reason death is so pale because the child is innocent and without sin. There are written versions of the dance where the figure of death and the individual converse with one another throughout the book. What I find useful about this version of the Danse Macabre is that it goes through different situations with various individuals. However, I do feel than the Danse Macabre does not portray death in the sense it literally happened, one must remember that people experienced terrible deaths during this period so they would not look as well as the individuals in the images look. </w:t>
      </w:r>
    </w:p>
    <w:p w:rsidR="000E0583" w:rsidRDefault="000E0583">
      <w:pPr>
        <w:rPr>
          <w:sz w:val="24"/>
          <w:szCs w:val="24"/>
        </w:rPr>
      </w:pPr>
    </w:p>
    <w:p w:rsidR="000E0583" w:rsidRPr="00DC5EDE" w:rsidRDefault="000E0583">
      <w:pPr>
        <w:rPr>
          <w:sz w:val="24"/>
          <w:szCs w:val="24"/>
        </w:rPr>
      </w:pPr>
      <w:r>
        <w:rPr>
          <w:sz w:val="24"/>
          <w:szCs w:val="24"/>
        </w:rPr>
        <w:t xml:space="preserve">I do believe that the purpose of these illustrations was to soften the blow of death, this version does not portray death as a morbid experience or as something people should fear and be weary of. If one was to be realistic this book only shows death coming to collect the person who is dying, but where are they being taken to? In this case heaven, hell and purgatory spring to mind, here it would be interesting to see if they attempted to depict these places how well would it have been done.  For example, there are many examples of hell and purgatory depicted with individuals burning in flames, how realistically would this be shown, how would it be done? In the various types of dance, one must not forget that it is a dance with a tune, and it is seen as a ritual or a tradition. </w:t>
      </w:r>
      <w:r w:rsidRPr="00205383">
        <w:rPr>
          <w:i/>
          <w:sz w:val="24"/>
          <w:szCs w:val="24"/>
        </w:rPr>
        <w:t xml:space="preserve">“The ritual, which consists of dead humans or death personified dancing with the living, is widely found in literature, </w:t>
      </w:r>
      <w:r w:rsidRPr="00205383">
        <w:rPr>
          <w:i/>
          <w:sz w:val="24"/>
          <w:szCs w:val="24"/>
        </w:rPr>
        <w:lastRenderedPageBreak/>
        <w:t>painting, music and film”</w:t>
      </w:r>
      <w:r>
        <w:rPr>
          <w:rStyle w:val="FootnoteReference"/>
          <w:i/>
          <w:sz w:val="24"/>
          <w:szCs w:val="24"/>
        </w:rPr>
        <w:footnoteReference w:id="12"/>
      </w:r>
      <w:r>
        <w:rPr>
          <w:i/>
          <w:sz w:val="24"/>
          <w:szCs w:val="24"/>
        </w:rPr>
        <w:t xml:space="preserve">. </w:t>
      </w:r>
      <w:r>
        <w:rPr>
          <w:sz w:val="24"/>
          <w:szCs w:val="24"/>
        </w:rPr>
        <w:t xml:space="preserve">So this takes me back to a previous point that I have made and could back up this being that the purpose of these images is to make death seem uplifting, I mean I can not imagine that once someone died they would join hands with people who have previously died and begin to dance, however it does seem to be a popular way of depicting death, as it was later developed to revolve the focus on women, in an article I read on the dance of the women it reads </w:t>
      </w:r>
      <w:r w:rsidRPr="004C5E85">
        <w:rPr>
          <w:i/>
          <w:sz w:val="24"/>
          <w:szCs w:val="24"/>
        </w:rPr>
        <w:t>“the verses and miniatures of a late-15</w:t>
      </w:r>
      <w:r w:rsidRPr="004C5E85">
        <w:rPr>
          <w:i/>
          <w:sz w:val="24"/>
          <w:szCs w:val="24"/>
          <w:vertAlign w:val="superscript"/>
        </w:rPr>
        <w:t>th</w:t>
      </w:r>
      <w:r w:rsidRPr="004C5E85">
        <w:rPr>
          <w:i/>
          <w:sz w:val="24"/>
          <w:szCs w:val="24"/>
        </w:rPr>
        <w:t>-century illuminated manuscript describing the encounter with Death of 36 women from every age and strata of medieval society”</w:t>
      </w:r>
      <w:r>
        <w:rPr>
          <w:rStyle w:val="FootnoteReference"/>
          <w:i/>
          <w:sz w:val="24"/>
          <w:szCs w:val="24"/>
        </w:rPr>
        <w:footnoteReference w:id="13"/>
      </w:r>
      <w:r>
        <w:rPr>
          <w:i/>
          <w:sz w:val="24"/>
          <w:szCs w:val="24"/>
        </w:rPr>
        <w:t xml:space="preserve">. </w:t>
      </w:r>
      <w:r w:rsidRPr="00DC5EDE">
        <w:rPr>
          <w:sz w:val="24"/>
          <w:szCs w:val="24"/>
        </w:rPr>
        <w:t>This point being</w:t>
      </w:r>
      <w:r>
        <w:rPr>
          <w:i/>
          <w:sz w:val="24"/>
          <w:szCs w:val="24"/>
        </w:rPr>
        <w:t xml:space="preserve"> </w:t>
      </w:r>
      <w:r>
        <w:rPr>
          <w:sz w:val="24"/>
          <w:szCs w:val="24"/>
        </w:rPr>
        <w:t>rather significant as women as women were scarcely included in anything during this period, unless they were someone that was well respected in high society, this dance however includes women from all walks of life.</w:t>
      </w:r>
    </w:p>
    <w:p w:rsidR="000E0583" w:rsidRDefault="000E0583">
      <w:pPr>
        <w:rPr>
          <w:sz w:val="24"/>
          <w:szCs w:val="24"/>
        </w:rPr>
      </w:pPr>
    </w:p>
    <w:p w:rsidR="000E0583" w:rsidRDefault="000E0583" w:rsidP="006A5AEF">
      <w:pPr>
        <w:jc w:val="center"/>
        <w:rPr>
          <w:b/>
          <w:i/>
          <w:sz w:val="28"/>
          <w:szCs w:val="28"/>
          <w:u w:val="single"/>
        </w:rPr>
      </w:pPr>
      <w:r>
        <w:rPr>
          <w:b/>
          <w:i/>
          <w:sz w:val="28"/>
          <w:szCs w:val="28"/>
          <w:u w:val="single"/>
        </w:rPr>
        <w:t xml:space="preserve">The Vision of </w:t>
      </w:r>
      <w:proofErr w:type="spellStart"/>
      <w:r>
        <w:rPr>
          <w:b/>
          <w:i/>
          <w:sz w:val="28"/>
          <w:szCs w:val="28"/>
          <w:u w:val="single"/>
        </w:rPr>
        <w:t>Thurkill</w:t>
      </w:r>
      <w:proofErr w:type="spellEnd"/>
      <w:r>
        <w:rPr>
          <w:b/>
          <w:i/>
          <w:sz w:val="28"/>
          <w:szCs w:val="28"/>
          <w:u w:val="single"/>
        </w:rPr>
        <w:t>, c.1206 Commentary</w:t>
      </w:r>
    </w:p>
    <w:p w:rsidR="000E0583" w:rsidRDefault="000E0583" w:rsidP="006A5AEF">
      <w:pPr>
        <w:jc w:val="center"/>
        <w:rPr>
          <w:b/>
          <w:i/>
          <w:sz w:val="28"/>
          <w:szCs w:val="28"/>
          <w:u w:val="single"/>
        </w:rPr>
      </w:pPr>
    </w:p>
    <w:p w:rsidR="000E0583" w:rsidRDefault="000E0583" w:rsidP="006A5AEF">
      <w:pPr>
        <w:rPr>
          <w:sz w:val="24"/>
          <w:szCs w:val="24"/>
        </w:rPr>
      </w:pPr>
      <w:r>
        <w:rPr>
          <w:sz w:val="24"/>
          <w:szCs w:val="24"/>
        </w:rPr>
        <w:t xml:space="preserve">In this extract I shall be concentrating on the extract in the </w:t>
      </w:r>
      <w:proofErr w:type="spellStart"/>
      <w:r>
        <w:rPr>
          <w:sz w:val="24"/>
          <w:szCs w:val="24"/>
        </w:rPr>
        <w:t>moodle</w:t>
      </w:r>
      <w:proofErr w:type="spellEnd"/>
      <w:r>
        <w:rPr>
          <w:sz w:val="24"/>
          <w:szCs w:val="24"/>
        </w:rPr>
        <w:t xml:space="preserve"> file which is a section from The Vision of </w:t>
      </w:r>
      <w:proofErr w:type="spellStart"/>
      <w:r>
        <w:rPr>
          <w:sz w:val="24"/>
          <w:szCs w:val="24"/>
        </w:rPr>
        <w:t>Thurkill</w:t>
      </w:r>
      <w:proofErr w:type="spellEnd"/>
      <w:r>
        <w:rPr>
          <w:sz w:val="24"/>
          <w:szCs w:val="24"/>
        </w:rPr>
        <w:t xml:space="preserve"> which is dated back to the thirteenth century. What I shall focus on whilst writing this commentary is what </w:t>
      </w:r>
      <w:proofErr w:type="spellStart"/>
      <w:r>
        <w:rPr>
          <w:sz w:val="24"/>
          <w:szCs w:val="24"/>
        </w:rPr>
        <w:t>Thurkill</w:t>
      </w:r>
      <w:proofErr w:type="spellEnd"/>
      <w:r>
        <w:rPr>
          <w:sz w:val="24"/>
          <w:szCs w:val="24"/>
        </w:rPr>
        <w:t xml:space="preserve"> says in his vision and how it ties into the theme of death and dying in the middle ages. I shall highlight any interesting points or themes that are common or uncommon and how this experience portrays death at this period. I shall also compare it with other sources or imagery that I feel works well with it or contradict this source.</w:t>
      </w:r>
    </w:p>
    <w:p w:rsidR="000E0583" w:rsidRDefault="000E0583" w:rsidP="006A5AEF">
      <w:pPr>
        <w:rPr>
          <w:sz w:val="24"/>
          <w:szCs w:val="24"/>
        </w:rPr>
      </w:pPr>
    </w:p>
    <w:p w:rsidR="000E0583" w:rsidRDefault="000E0583" w:rsidP="006A5AEF">
      <w:pPr>
        <w:rPr>
          <w:sz w:val="24"/>
          <w:szCs w:val="24"/>
        </w:rPr>
      </w:pPr>
      <w:r>
        <w:rPr>
          <w:sz w:val="24"/>
          <w:szCs w:val="24"/>
        </w:rPr>
        <w:t xml:space="preserve">To begin I have to say the opening paragraph of the </w:t>
      </w:r>
      <w:proofErr w:type="spellStart"/>
      <w:r>
        <w:rPr>
          <w:sz w:val="24"/>
          <w:szCs w:val="24"/>
        </w:rPr>
        <w:t>Thurkill</w:t>
      </w:r>
      <w:proofErr w:type="spellEnd"/>
      <w:r>
        <w:rPr>
          <w:sz w:val="24"/>
          <w:szCs w:val="24"/>
        </w:rPr>
        <w:t xml:space="preserve"> Vision leaves a very striking image in one’s mind, imagining these two lines of marked individuals outside this great wall. As we go on, we become to understand that the reason that these people are queuing and are militarised this way is because they are about to enter purgatory. Purgatory is a common place to be described and written about and from what I can gather from this extract is that it is a similar description to most descriptions I have read. This account of purgatory describes it as a place filled with smoke and flames and torture, somewhere that people have been sent to suffer and to be tested. This was somewhere for people to repent and I would stress that people would indeed suffer whilst they are in purgatory. The website historyhit.com gives a brief description of purgatory and how it was stressed by the church. As the website states </w:t>
      </w:r>
      <w:r w:rsidRPr="00B17E7C">
        <w:rPr>
          <w:i/>
          <w:sz w:val="24"/>
          <w:szCs w:val="24"/>
        </w:rPr>
        <w:t>“One way in which the Church exercised power over believers was through the idea of that after death one may suffer or linger in Purgatory</w:t>
      </w:r>
      <w:r>
        <w:rPr>
          <w:i/>
          <w:sz w:val="24"/>
          <w:szCs w:val="24"/>
        </w:rPr>
        <w:t xml:space="preserve"> </w:t>
      </w:r>
      <w:r w:rsidRPr="00B17E7C">
        <w:rPr>
          <w:i/>
          <w:sz w:val="24"/>
          <w:szCs w:val="24"/>
        </w:rPr>
        <w:t xml:space="preserve">due to one’s </w:t>
      </w:r>
      <w:r w:rsidRPr="00B17E7C">
        <w:rPr>
          <w:i/>
          <w:sz w:val="24"/>
          <w:szCs w:val="24"/>
        </w:rPr>
        <w:lastRenderedPageBreak/>
        <w:t>sins”</w:t>
      </w:r>
      <w:r>
        <w:rPr>
          <w:rStyle w:val="FootnoteReference"/>
          <w:i/>
          <w:sz w:val="24"/>
          <w:szCs w:val="24"/>
        </w:rPr>
        <w:footnoteReference w:id="14"/>
      </w:r>
      <w:r>
        <w:rPr>
          <w:i/>
          <w:sz w:val="24"/>
          <w:szCs w:val="24"/>
        </w:rPr>
        <w:t xml:space="preserve">. </w:t>
      </w:r>
      <w:r>
        <w:rPr>
          <w:sz w:val="24"/>
          <w:szCs w:val="24"/>
        </w:rPr>
        <w:t xml:space="preserve">In the extract by </w:t>
      </w:r>
      <w:proofErr w:type="spellStart"/>
      <w:r>
        <w:rPr>
          <w:sz w:val="24"/>
          <w:szCs w:val="24"/>
        </w:rPr>
        <w:t>Thurkill</w:t>
      </w:r>
      <w:proofErr w:type="spellEnd"/>
      <w:r>
        <w:rPr>
          <w:sz w:val="24"/>
          <w:szCs w:val="24"/>
        </w:rPr>
        <w:t xml:space="preserve"> this idea of individuals lingering would seem to back the website’s interpretation and the medieval teachings of the church as he describes people waiting around for their time to be tortured. However, as a source that was written during the time, the author of this vision could have been influenced by these religious teachings. He also talks about religious figures and clergy such as saints being present guiding the individuals through, again supporting the religious teaching and the fact this was a religious based idea. In the book Afterlives: The return of the dead in the middle ages the author explains how this place if there is such a place will remain as a spiritual belief, something that living folk then and now will never know until we ourselves pass away. The author describes death as follows, “</w:t>
      </w:r>
      <w:r w:rsidRPr="004D2881">
        <w:rPr>
          <w:i/>
          <w:sz w:val="24"/>
          <w:szCs w:val="24"/>
        </w:rPr>
        <w:t>Death remains elusive. For the living it must always be an imagined experience, albeit one regarded with terror”</w:t>
      </w:r>
      <w:r w:rsidRPr="004D2881">
        <w:rPr>
          <w:rStyle w:val="FootnoteReference"/>
          <w:i/>
          <w:sz w:val="24"/>
          <w:szCs w:val="24"/>
        </w:rPr>
        <w:footnoteReference w:id="15"/>
      </w:r>
      <w:r>
        <w:rPr>
          <w:i/>
          <w:sz w:val="24"/>
          <w:szCs w:val="24"/>
        </w:rPr>
        <w:t xml:space="preserve"> </w:t>
      </w:r>
      <w:r>
        <w:rPr>
          <w:sz w:val="24"/>
          <w:szCs w:val="24"/>
        </w:rPr>
        <w:t>and I believe this is a true analysis however way someone believes something and describes it if there is faith it can influence on other people.</w:t>
      </w:r>
    </w:p>
    <w:p w:rsidR="000E0583" w:rsidRDefault="000E0583" w:rsidP="006A5AEF">
      <w:pPr>
        <w:rPr>
          <w:sz w:val="24"/>
          <w:szCs w:val="24"/>
        </w:rPr>
      </w:pPr>
    </w:p>
    <w:p w:rsidR="000E0583" w:rsidRPr="00D10EF4" w:rsidRDefault="000E0583" w:rsidP="006A5AEF">
      <w:pPr>
        <w:rPr>
          <w:sz w:val="24"/>
          <w:szCs w:val="24"/>
        </w:rPr>
      </w:pPr>
      <w:r>
        <w:rPr>
          <w:sz w:val="24"/>
          <w:szCs w:val="24"/>
        </w:rPr>
        <w:t xml:space="preserve">The final point I would like to move on to is the actual description that the extract gives on purgatory. As I have previously mentioned it is not to unsimilar to most of the other descriptions that can be accessed, it is always described as a place of suffering but this account gives a very detailed account on how people were being punished, from having to endure flames each and every one at a different level, some up to their knees, others to the waste and some completely covered. But to make this suffering worse they must then endure depths of water too, going from intense flames to cold water before having to cross a bridge of thorns. What is interesting is that the promise of reaching a better place is also a fluid idea that is featured in visions of purgatory. In this vision the glorious ending is a church at the end of the vision. This is an idea to make people grateful in some respect or thankful at least, making them feel they have been given a second chance. What will they achieve by this is making people see that this torture is necessary to them, the church is the light at the end of the tunnel in many ways? This is however one of the many extracts that I have come across that does not describe creatures of some sort present to add to the suffering, but this goes back to the point that death is an elusive </w:t>
      </w:r>
      <w:proofErr w:type="gramStart"/>
      <w:r>
        <w:rPr>
          <w:sz w:val="24"/>
          <w:szCs w:val="24"/>
        </w:rPr>
        <w:t>happening .</w:t>
      </w:r>
      <w:proofErr w:type="gramEnd"/>
    </w:p>
    <w:p w:rsidR="000E0583" w:rsidRPr="006A5AEF" w:rsidRDefault="000E0583" w:rsidP="006A5AEF">
      <w:pPr>
        <w:rPr>
          <w:sz w:val="24"/>
          <w:szCs w:val="24"/>
        </w:rPr>
      </w:pPr>
    </w:p>
    <w:p w:rsidR="000E0583" w:rsidRDefault="000E0583">
      <w:pPr>
        <w:rPr>
          <w:b/>
          <w:i/>
          <w:sz w:val="28"/>
          <w:szCs w:val="28"/>
          <w:u w:val="single"/>
        </w:rPr>
      </w:pPr>
      <w:r>
        <w:rPr>
          <w:b/>
          <w:i/>
          <w:sz w:val="28"/>
          <w:szCs w:val="28"/>
          <w:u w:val="single"/>
        </w:rPr>
        <w:br w:type="page"/>
      </w:r>
    </w:p>
    <w:p w:rsidR="000E0583" w:rsidRDefault="000E0583" w:rsidP="006A5AEF">
      <w:pPr>
        <w:jc w:val="center"/>
        <w:rPr>
          <w:b/>
          <w:i/>
          <w:sz w:val="28"/>
          <w:szCs w:val="28"/>
          <w:u w:val="single"/>
        </w:rPr>
      </w:pPr>
      <w:r>
        <w:rPr>
          <w:b/>
          <w:i/>
          <w:sz w:val="28"/>
          <w:szCs w:val="28"/>
          <w:u w:val="single"/>
        </w:rPr>
        <w:lastRenderedPageBreak/>
        <w:t>Bibliography</w:t>
      </w:r>
    </w:p>
    <w:p w:rsidR="000E0583" w:rsidRDefault="000E0583" w:rsidP="006A5AEF">
      <w:pPr>
        <w:jc w:val="center"/>
        <w:rPr>
          <w:b/>
          <w:i/>
          <w:sz w:val="28"/>
          <w:szCs w:val="28"/>
          <w:u w:val="single"/>
        </w:rPr>
      </w:pPr>
    </w:p>
    <w:p w:rsidR="000E0583" w:rsidRDefault="000E0583" w:rsidP="00B17E7C">
      <w:pPr>
        <w:pStyle w:val="FootnoteText"/>
        <w:rPr>
          <w:b/>
          <w:i/>
          <w:sz w:val="24"/>
          <w:szCs w:val="24"/>
          <w:u w:val="single"/>
        </w:rPr>
      </w:pPr>
      <w:r w:rsidRPr="00D10EF4">
        <w:rPr>
          <w:b/>
          <w:i/>
          <w:sz w:val="24"/>
          <w:szCs w:val="24"/>
          <w:u w:val="single"/>
        </w:rPr>
        <w:t>Books</w:t>
      </w:r>
    </w:p>
    <w:p w:rsidR="000E0583" w:rsidRDefault="000E0583" w:rsidP="00B17E7C">
      <w:pPr>
        <w:pStyle w:val="FootnoteText"/>
        <w:rPr>
          <w:b/>
          <w:i/>
          <w:sz w:val="24"/>
          <w:szCs w:val="24"/>
          <w:u w:val="single"/>
        </w:rPr>
      </w:pPr>
    </w:p>
    <w:p w:rsidR="00CC0822" w:rsidRDefault="00CC0822" w:rsidP="00CC0822">
      <w:pPr>
        <w:rPr>
          <w:sz w:val="24"/>
          <w:szCs w:val="24"/>
        </w:rPr>
      </w:pPr>
      <w:r w:rsidRPr="00664E32">
        <w:rPr>
          <w:sz w:val="28"/>
          <w:szCs w:val="28"/>
        </w:rPr>
        <w:t>J</w:t>
      </w:r>
      <w:r w:rsidRPr="00664E32">
        <w:rPr>
          <w:sz w:val="24"/>
          <w:szCs w:val="24"/>
        </w:rPr>
        <w:t>. Whaley</w:t>
      </w:r>
      <w:r>
        <w:rPr>
          <w:sz w:val="24"/>
          <w:szCs w:val="24"/>
        </w:rPr>
        <w:t xml:space="preserve">, </w:t>
      </w:r>
      <w:r w:rsidRPr="00664E32">
        <w:rPr>
          <w:sz w:val="24"/>
          <w:szCs w:val="24"/>
        </w:rPr>
        <w:t>‘Mirrors of Mortality’, (Edited Version), {</w:t>
      </w:r>
      <w:proofErr w:type="spellStart"/>
      <w:r w:rsidRPr="00664E32">
        <w:rPr>
          <w:sz w:val="24"/>
          <w:szCs w:val="24"/>
        </w:rPr>
        <w:t>Routledge</w:t>
      </w:r>
      <w:proofErr w:type="spellEnd"/>
      <w:r w:rsidRPr="00664E32">
        <w:rPr>
          <w:sz w:val="24"/>
          <w:szCs w:val="24"/>
        </w:rPr>
        <w:t xml:space="preserve">, </w:t>
      </w:r>
      <w:proofErr w:type="spellStart"/>
      <w:r w:rsidRPr="00664E32">
        <w:rPr>
          <w:sz w:val="24"/>
          <w:szCs w:val="24"/>
        </w:rPr>
        <w:t>Oxden</w:t>
      </w:r>
      <w:proofErr w:type="spellEnd"/>
      <w:r w:rsidRPr="00664E32">
        <w:rPr>
          <w:sz w:val="24"/>
          <w:szCs w:val="24"/>
        </w:rPr>
        <w:t>, 2011}</w:t>
      </w:r>
    </w:p>
    <w:p w:rsidR="000E0583" w:rsidRDefault="000E0583" w:rsidP="00B17E7C">
      <w:pPr>
        <w:pStyle w:val="FootnoteText"/>
        <w:rPr>
          <w:i/>
          <w:sz w:val="24"/>
          <w:szCs w:val="24"/>
        </w:rPr>
      </w:pPr>
      <w:r w:rsidRPr="00D10EF4">
        <w:rPr>
          <w:sz w:val="24"/>
          <w:szCs w:val="24"/>
        </w:rPr>
        <w:t xml:space="preserve">N. </w:t>
      </w:r>
      <w:proofErr w:type="spellStart"/>
      <w:r w:rsidRPr="00D10EF4">
        <w:rPr>
          <w:sz w:val="24"/>
          <w:szCs w:val="24"/>
        </w:rPr>
        <w:t>Caciola</w:t>
      </w:r>
      <w:proofErr w:type="spellEnd"/>
      <w:r w:rsidRPr="00D10EF4">
        <w:rPr>
          <w:sz w:val="24"/>
          <w:szCs w:val="24"/>
        </w:rPr>
        <w:t>, ‘</w:t>
      </w:r>
      <w:r w:rsidRPr="00D10EF4">
        <w:rPr>
          <w:i/>
          <w:sz w:val="24"/>
          <w:szCs w:val="24"/>
        </w:rPr>
        <w:t>Afterlives: The return of the dead in the middle ages’, (Cornell University Press 2016)</w:t>
      </w:r>
    </w:p>
    <w:p w:rsidR="00CC0822" w:rsidRPr="00D10EF4" w:rsidRDefault="00CC0822" w:rsidP="00B17E7C">
      <w:pPr>
        <w:pStyle w:val="FootnoteText"/>
        <w:rPr>
          <w:sz w:val="24"/>
          <w:szCs w:val="24"/>
        </w:rPr>
      </w:pPr>
      <w:bookmarkStart w:id="6" w:name="_GoBack"/>
      <w:bookmarkEnd w:id="6"/>
    </w:p>
    <w:p w:rsidR="00CC0822" w:rsidRPr="00664E32" w:rsidRDefault="00CC0822" w:rsidP="00CC0822">
      <w:pPr>
        <w:rPr>
          <w:sz w:val="28"/>
          <w:szCs w:val="28"/>
        </w:rPr>
      </w:pPr>
      <w:r>
        <w:rPr>
          <w:sz w:val="24"/>
          <w:szCs w:val="24"/>
        </w:rPr>
        <w:t xml:space="preserve">P. </w:t>
      </w:r>
      <w:proofErr w:type="spellStart"/>
      <w:r>
        <w:rPr>
          <w:sz w:val="24"/>
          <w:szCs w:val="24"/>
        </w:rPr>
        <w:t>Ari</w:t>
      </w:r>
      <w:r>
        <w:rPr>
          <w:rFonts w:cstheme="minorHAnsi"/>
          <w:sz w:val="24"/>
          <w:szCs w:val="24"/>
        </w:rPr>
        <w:t>è</w:t>
      </w:r>
      <w:r>
        <w:rPr>
          <w:sz w:val="24"/>
          <w:szCs w:val="24"/>
        </w:rPr>
        <w:t>s</w:t>
      </w:r>
      <w:proofErr w:type="spellEnd"/>
      <w:r>
        <w:rPr>
          <w:sz w:val="24"/>
          <w:szCs w:val="24"/>
        </w:rPr>
        <w:t xml:space="preserve">, ‘Western attitudes towards death’, translated by P. </w:t>
      </w:r>
      <w:proofErr w:type="spellStart"/>
      <w:r>
        <w:rPr>
          <w:sz w:val="24"/>
          <w:szCs w:val="24"/>
        </w:rPr>
        <w:t>Ranum</w:t>
      </w:r>
      <w:proofErr w:type="spellEnd"/>
      <w:r>
        <w:rPr>
          <w:sz w:val="24"/>
          <w:szCs w:val="24"/>
        </w:rPr>
        <w:t>, {John Hopkins University Press, Baltimore, 1974}</w:t>
      </w:r>
    </w:p>
    <w:p w:rsidR="000E0583" w:rsidRDefault="000E0583" w:rsidP="00B17E7C">
      <w:pPr>
        <w:pStyle w:val="FootnoteText"/>
        <w:rPr>
          <w:i/>
        </w:rPr>
      </w:pPr>
    </w:p>
    <w:p w:rsidR="00CC0822" w:rsidRPr="00CC0822" w:rsidRDefault="00CC0822" w:rsidP="00CC0822">
      <w:pPr>
        <w:rPr>
          <w:b/>
          <w:i/>
          <w:sz w:val="24"/>
          <w:szCs w:val="24"/>
          <w:u w:val="single"/>
        </w:rPr>
      </w:pPr>
      <w:r w:rsidRPr="00CC0822">
        <w:rPr>
          <w:b/>
          <w:i/>
          <w:sz w:val="24"/>
          <w:szCs w:val="24"/>
          <w:u w:val="single"/>
        </w:rPr>
        <w:t>Journal Articles</w:t>
      </w:r>
    </w:p>
    <w:p w:rsidR="00CC0822" w:rsidRDefault="00CC0822" w:rsidP="00CC0822">
      <w:pPr>
        <w:rPr>
          <w:sz w:val="24"/>
          <w:szCs w:val="24"/>
        </w:rPr>
      </w:pPr>
      <w:proofErr w:type="spellStart"/>
      <w:proofErr w:type="gramStart"/>
      <w:r w:rsidRPr="00CC0822">
        <w:rPr>
          <w:sz w:val="28"/>
          <w:szCs w:val="28"/>
        </w:rPr>
        <w:t>A</w:t>
      </w:r>
      <w:r>
        <w:rPr>
          <w:b/>
          <w:i/>
          <w:sz w:val="28"/>
          <w:szCs w:val="28"/>
          <w:u w:val="single"/>
        </w:rPr>
        <w:t>.</w:t>
      </w:r>
      <w:r w:rsidRPr="00CC0822">
        <w:rPr>
          <w:sz w:val="24"/>
          <w:szCs w:val="24"/>
        </w:rPr>
        <w:t>Tukey</w:t>
      </w:r>
      <w:proofErr w:type="spellEnd"/>
      <w:r w:rsidRPr="00CC0822">
        <w:rPr>
          <w:sz w:val="24"/>
          <w:szCs w:val="24"/>
        </w:rPr>
        <w:t xml:space="preserve"> &amp; S. </w:t>
      </w:r>
      <w:proofErr w:type="spellStart"/>
      <w:r w:rsidRPr="00CC0822">
        <w:rPr>
          <w:sz w:val="24"/>
          <w:szCs w:val="24"/>
        </w:rPr>
        <w:t>Hindman</w:t>
      </w:r>
      <w:proofErr w:type="spellEnd"/>
      <w:r w:rsidRPr="00CC0822">
        <w:rPr>
          <w:b/>
          <w:i/>
          <w:sz w:val="24"/>
          <w:szCs w:val="24"/>
        </w:rPr>
        <w:t xml:space="preserve">, </w:t>
      </w:r>
      <w:r w:rsidRPr="00CC0822">
        <w:rPr>
          <w:i/>
          <w:sz w:val="24"/>
          <w:szCs w:val="24"/>
        </w:rPr>
        <w:t>‘Women’s art Journal’, (</w:t>
      </w:r>
      <w:proofErr w:type="spellStart"/>
      <w:r w:rsidRPr="00CC0822">
        <w:rPr>
          <w:sz w:val="24"/>
          <w:szCs w:val="24"/>
        </w:rPr>
        <w:t>Vol</w:t>
      </w:r>
      <w:proofErr w:type="spellEnd"/>
      <w:r w:rsidRPr="00CC0822">
        <w:rPr>
          <w:sz w:val="24"/>
          <w:szCs w:val="24"/>
        </w:rPr>
        <w:t xml:space="preserve"> 18.</w:t>
      </w:r>
      <w:proofErr w:type="gramEnd"/>
      <w:r w:rsidRPr="00CC0822">
        <w:rPr>
          <w:sz w:val="24"/>
          <w:szCs w:val="24"/>
        </w:rPr>
        <w:t xml:space="preserve"> No.1), {Spring-Summer 1977}</w:t>
      </w:r>
    </w:p>
    <w:p w:rsidR="00CC0822" w:rsidRDefault="00CC0822" w:rsidP="00CC0822">
      <w:pPr>
        <w:rPr>
          <w:sz w:val="24"/>
          <w:szCs w:val="24"/>
        </w:rPr>
      </w:pPr>
      <w:r w:rsidRPr="002B65C8">
        <w:rPr>
          <w:sz w:val="24"/>
          <w:szCs w:val="24"/>
        </w:rPr>
        <w:t xml:space="preserve">Caroline Walker-Bynum, ‘Death and Resurrection in the </w:t>
      </w:r>
      <w:proofErr w:type="gramStart"/>
      <w:r w:rsidRPr="002B65C8">
        <w:rPr>
          <w:sz w:val="24"/>
          <w:szCs w:val="24"/>
        </w:rPr>
        <w:t>Middle</w:t>
      </w:r>
      <w:proofErr w:type="gramEnd"/>
      <w:r w:rsidRPr="002B65C8">
        <w:rPr>
          <w:sz w:val="24"/>
          <w:szCs w:val="24"/>
        </w:rPr>
        <w:t xml:space="preserve"> Ages: Some Modern Implications’, (Vol.124 No.4), {Dec.1998}</w:t>
      </w:r>
    </w:p>
    <w:p w:rsidR="00CC0822" w:rsidRPr="00CC0822" w:rsidRDefault="00CC0822" w:rsidP="00CC0822">
      <w:pPr>
        <w:rPr>
          <w:b/>
          <w:i/>
          <w:sz w:val="24"/>
          <w:szCs w:val="24"/>
          <w:u w:val="single"/>
        </w:rPr>
      </w:pPr>
    </w:p>
    <w:p w:rsidR="00CC0822" w:rsidRDefault="00CC0822" w:rsidP="00B17E7C">
      <w:pPr>
        <w:pStyle w:val="FootnoteText"/>
        <w:rPr>
          <w:b/>
          <w:i/>
          <w:sz w:val="28"/>
          <w:szCs w:val="28"/>
          <w:u w:val="single"/>
        </w:rPr>
      </w:pPr>
    </w:p>
    <w:p w:rsidR="000E0583" w:rsidRDefault="000E0583" w:rsidP="00B17E7C">
      <w:pPr>
        <w:pStyle w:val="FootnoteText"/>
        <w:rPr>
          <w:b/>
          <w:i/>
          <w:sz w:val="24"/>
          <w:szCs w:val="24"/>
          <w:u w:val="single"/>
        </w:rPr>
      </w:pPr>
      <w:r w:rsidRPr="004804AA">
        <w:rPr>
          <w:b/>
          <w:i/>
          <w:sz w:val="24"/>
          <w:szCs w:val="24"/>
          <w:u w:val="single"/>
        </w:rPr>
        <w:t>Websites</w:t>
      </w:r>
    </w:p>
    <w:p w:rsidR="00CC0822" w:rsidRPr="004804AA" w:rsidRDefault="00CC0822" w:rsidP="00B17E7C">
      <w:pPr>
        <w:pStyle w:val="FootnoteText"/>
        <w:rPr>
          <w:b/>
          <w:i/>
          <w:sz w:val="24"/>
          <w:szCs w:val="24"/>
          <w:u w:val="single"/>
        </w:rPr>
      </w:pPr>
    </w:p>
    <w:p w:rsidR="000E0583" w:rsidRDefault="000E0583" w:rsidP="00B17E7C">
      <w:pPr>
        <w:pStyle w:val="FootnoteText"/>
        <w:rPr>
          <w:sz w:val="24"/>
          <w:szCs w:val="24"/>
        </w:rPr>
      </w:pPr>
      <w:r w:rsidRPr="004804AA">
        <w:rPr>
          <w:sz w:val="24"/>
          <w:szCs w:val="24"/>
        </w:rPr>
        <w:t>G. Land,</w:t>
      </w:r>
      <w:r w:rsidRPr="004804AA">
        <w:rPr>
          <w:i/>
          <w:sz w:val="24"/>
          <w:szCs w:val="24"/>
        </w:rPr>
        <w:t xml:space="preserve"> ‘Was life in Medieval Europe Dominated by a fear of Purgatory?</w:t>
      </w:r>
      <w:proofErr w:type="gramStart"/>
      <w:r w:rsidRPr="004804AA">
        <w:rPr>
          <w:i/>
          <w:sz w:val="24"/>
          <w:szCs w:val="24"/>
        </w:rPr>
        <w:t>’</w:t>
      </w:r>
      <w:r w:rsidRPr="004804AA">
        <w:rPr>
          <w:sz w:val="24"/>
          <w:szCs w:val="24"/>
        </w:rPr>
        <w:t>,</w:t>
      </w:r>
      <w:proofErr w:type="gramEnd"/>
      <w:r w:rsidRPr="004804AA">
        <w:rPr>
          <w:sz w:val="24"/>
          <w:szCs w:val="24"/>
        </w:rPr>
        <w:t xml:space="preserve"> (24/07/18) {https://www.historyhit.com/was-life-in-medieval-europe-dominated-by-a-fear-of-purgatory/}, [Accessed 30/01/19]</w:t>
      </w:r>
    </w:p>
    <w:p w:rsidR="00CC0822" w:rsidRDefault="00CC0822" w:rsidP="00B17E7C">
      <w:pPr>
        <w:pStyle w:val="FootnoteText"/>
        <w:rPr>
          <w:sz w:val="24"/>
          <w:szCs w:val="24"/>
        </w:rPr>
      </w:pPr>
    </w:p>
    <w:p w:rsidR="00CC0822" w:rsidRDefault="00CC0822" w:rsidP="00CC0822">
      <w:r w:rsidRPr="00205383">
        <w:rPr>
          <w:sz w:val="24"/>
          <w:szCs w:val="24"/>
        </w:rPr>
        <w:t xml:space="preserve">T. </w:t>
      </w:r>
      <w:proofErr w:type="spellStart"/>
      <w:r w:rsidRPr="00205383">
        <w:rPr>
          <w:sz w:val="24"/>
          <w:szCs w:val="24"/>
        </w:rPr>
        <w:t>Bahadur</w:t>
      </w:r>
      <w:proofErr w:type="spellEnd"/>
      <w:r>
        <w:rPr>
          <w:sz w:val="24"/>
          <w:szCs w:val="24"/>
        </w:rPr>
        <w:t xml:space="preserve">, </w:t>
      </w:r>
      <w:r>
        <w:t>T, ‘</w:t>
      </w:r>
      <w:proofErr w:type="spellStart"/>
      <w:r>
        <w:t>Danse</w:t>
      </w:r>
      <w:proofErr w:type="spellEnd"/>
      <w:r>
        <w:t xml:space="preserve"> Macabre’, (</w:t>
      </w:r>
      <w:hyperlink r:id="rId9" w:history="1">
        <w:r w:rsidRPr="00170270">
          <w:rPr>
            <w:rStyle w:val="Hyperlink"/>
          </w:rPr>
          <w:t>https://onartandaesthetics.com/2016/10/24/danse-macabre/</w:t>
        </w:r>
      </w:hyperlink>
      <w:r>
        <w:t>), (24/10/2016), (Accessed 31</w:t>
      </w:r>
      <w:proofErr w:type="gramStart"/>
      <w:r>
        <w:t>,01,19</w:t>
      </w:r>
      <w:proofErr w:type="gramEnd"/>
      <w:r>
        <w:t>)</w:t>
      </w:r>
    </w:p>
    <w:p w:rsidR="00CC0822" w:rsidRPr="009B318D" w:rsidRDefault="00CC0822" w:rsidP="00CC0822">
      <w:pPr>
        <w:rPr>
          <w:sz w:val="24"/>
          <w:szCs w:val="24"/>
        </w:rPr>
      </w:pPr>
      <w:hyperlink r:id="rId10" w:history="1">
        <w:r w:rsidRPr="00170270">
          <w:rPr>
            <w:rStyle w:val="Hyperlink"/>
            <w:sz w:val="24"/>
            <w:szCs w:val="24"/>
          </w:rPr>
          <w:t>http://www.dodedans.com/Eparis-verard.htm</w:t>
        </w:r>
      </w:hyperlink>
      <w:r>
        <w:rPr>
          <w:sz w:val="24"/>
          <w:szCs w:val="24"/>
        </w:rPr>
        <w:t>, (Accessed 31/01/19)</w:t>
      </w:r>
    </w:p>
    <w:p w:rsidR="00CC0822" w:rsidRPr="00205383" w:rsidRDefault="00CC0822" w:rsidP="00CC0822">
      <w:pPr>
        <w:rPr>
          <w:sz w:val="24"/>
          <w:szCs w:val="24"/>
        </w:rPr>
      </w:pPr>
    </w:p>
    <w:p w:rsidR="00CC0822" w:rsidRPr="004804AA" w:rsidRDefault="00CC0822" w:rsidP="00B17E7C">
      <w:pPr>
        <w:pStyle w:val="FootnoteText"/>
        <w:rPr>
          <w:sz w:val="24"/>
          <w:szCs w:val="24"/>
        </w:rPr>
      </w:pPr>
    </w:p>
    <w:p w:rsidR="000E0583" w:rsidRPr="006A5AEF" w:rsidRDefault="000E0583" w:rsidP="006A5AEF">
      <w:pPr>
        <w:jc w:val="center"/>
        <w:rPr>
          <w:b/>
          <w:i/>
          <w:sz w:val="28"/>
          <w:szCs w:val="28"/>
          <w:u w:val="single"/>
        </w:rPr>
      </w:pPr>
    </w:p>
    <w:p w:rsidR="000E0583" w:rsidRDefault="000E0583">
      <w:pPr>
        <w:rPr>
          <w:sz w:val="24"/>
          <w:szCs w:val="24"/>
        </w:rPr>
      </w:pPr>
    </w:p>
    <w:p w:rsidR="000E0583" w:rsidRDefault="000E0583">
      <w:pPr>
        <w:rPr>
          <w:sz w:val="24"/>
          <w:szCs w:val="24"/>
        </w:rPr>
      </w:pPr>
    </w:p>
    <w:p w:rsidR="000E0583" w:rsidRPr="001200D4" w:rsidRDefault="000E0583">
      <w:pPr>
        <w:rPr>
          <w:sz w:val="24"/>
          <w:szCs w:val="24"/>
        </w:rPr>
      </w:pPr>
    </w:p>
    <w:p w:rsidR="000E0583" w:rsidRDefault="000E0583">
      <w:pPr>
        <w:rPr>
          <w:i/>
          <w:sz w:val="24"/>
          <w:szCs w:val="24"/>
          <w:u w:val="single"/>
        </w:rPr>
      </w:pPr>
    </w:p>
    <w:p w:rsidR="000E0583" w:rsidRDefault="000E0583">
      <w:pPr>
        <w:rPr>
          <w:i/>
          <w:sz w:val="24"/>
          <w:szCs w:val="24"/>
          <w:u w:val="single"/>
        </w:rPr>
      </w:pPr>
      <w:r>
        <w:rPr>
          <w:i/>
          <w:sz w:val="24"/>
          <w:szCs w:val="24"/>
          <w:u w:val="single"/>
        </w:rPr>
        <w:lastRenderedPageBreak/>
        <w:br w:type="page"/>
      </w:r>
    </w:p>
    <w:p w:rsidR="000E0583" w:rsidRDefault="000E0583">
      <w:pPr>
        <w:rPr>
          <w:i/>
          <w:sz w:val="24"/>
          <w:szCs w:val="24"/>
          <w:u w:val="single"/>
        </w:rPr>
      </w:pPr>
    </w:p>
    <w:p w:rsidR="000E0583" w:rsidRDefault="000E0583" w:rsidP="009B318D">
      <w:pPr>
        <w:rPr>
          <w:b/>
          <w:i/>
          <w:sz w:val="28"/>
          <w:szCs w:val="28"/>
          <w:u w:val="single"/>
        </w:rPr>
      </w:pPr>
    </w:p>
    <w:p w:rsidR="000E0583" w:rsidRPr="0001298B" w:rsidRDefault="000E0583" w:rsidP="00F3197E">
      <w:pPr>
        <w:rPr>
          <w:sz w:val="24"/>
          <w:szCs w:val="24"/>
        </w:rPr>
      </w:pPr>
    </w:p>
    <w:p w:rsidR="000E0583" w:rsidRDefault="000E0583" w:rsidP="00FC3B9B">
      <w:pPr>
        <w:jc w:val="center"/>
        <w:rPr>
          <w:b/>
          <w:i/>
          <w:sz w:val="28"/>
          <w:szCs w:val="28"/>
          <w:u w:val="single"/>
        </w:rPr>
      </w:pPr>
    </w:p>
    <w:p w:rsidR="000E0583" w:rsidRPr="00F3197E" w:rsidRDefault="000E0583" w:rsidP="00F3197E">
      <w:pPr>
        <w:rPr>
          <w:sz w:val="28"/>
          <w:szCs w:val="28"/>
        </w:rPr>
      </w:pPr>
      <w:r>
        <w:rPr>
          <w:b/>
          <w:i/>
          <w:sz w:val="28"/>
          <w:szCs w:val="28"/>
          <w:u w:val="single"/>
        </w:rPr>
        <w:br w:type="page"/>
      </w:r>
    </w:p>
    <w:p w:rsidR="000E0583" w:rsidRDefault="000E0583" w:rsidP="00D268D0">
      <w:pPr>
        <w:rPr>
          <w:sz w:val="24"/>
          <w:szCs w:val="24"/>
        </w:rPr>
      </w:pPr>
      <w:r w:rsidRPr="00664E32">
        <w:rPr>
          <w:sz w:val="28"/>
          <w:szCs w:val="28"/>
        </w:rPr>
        <w:lastRenderedPageBreak/>
        <w:t>J</w:t>
      </w:r>
      <w:r w:rsidRPr="00664E32">
        <w:rPr>
          <w:sz w:val="24"/>
          <w:szCs w:val="24"/>
        </w:rPr>
        <w:t>. Whaley</w:t>
      </w:r>
      <w:r>
        <w:rPr>
          <w:sz w:val="24"/>
          <w:szCs w:val="24"/>
        </w:rPr>
        <w:t xml:space="preserve">, </w:t>
      </w:r>
      <w:r w:rsidRPr="00664E32">
        <w:rPr>
          <w:sz w:val="24"/>
          <w:szCs w:val="24"/>
        </w:rPr>
        <w:t>‘Mirrors of Mortality’, (Edited Version), {</w:t>
      </w:r>
      <w:proofErr w:type="spellStart"/>
      <w:r w:rsidRPr="00664E32">
        <w:rPr>
          <w:sz w:val="24"/>
          <w:szCs w:val="24"/>
        </w:rPr>
        <w:t>Routledge</w:t>
      </w:r>
      <w:proofErr w:type="spellEnd"/>
      <w:r w:rsidRPr="00664E32">
        <w:rPr>
          <w:sz w:val="24"/>
          <w:szCs w:val="24"/>
        </w:rPr>
        <w:t xml:space="preserve">, </w:t>
      </w:r>
      <w:proofErr w:type="spellStart"/>
      <w:r w:rsidRPr="00664E32">
        <w:rPr>
          <w:sz w:val="24"/>
          <w:szCs w:val="24"/>
        </w:rPr>
        <w:t>Oxden</w:t>
      </w:r>
      <w:proofErr w:type="spellEnd"/>
      <w:r w:rsidRPr="00664E32">
        <w:rPr>
          <w:sz w:val="24"/>
          <w:szCs w:val="24"/>
        </w:rPr>
        <w:t>, 2011}</w:t>
      </w:r>
    </w:p>
    <w:p w:rsidR="000E0583" w:rsidRPr="00664E32" w:rsidRDefault="000E0583" w:rsidP="00D268D0">
      <w:pPr>
        <w:rPr>
          <w:sz w:val="28"/>
          <w:szCs w:val="28"/>
        </w:rPr>
      </w:pPr>
      <w:r>
        <w:rPr>
          <w:sz w:val="24"/>
          <w:szCs w:val="24"/>
        </w:rPr>
        <w:t xml:space="preserve">P. </w:t>
      </w:r>
      <w:proofErr w:type="spellStart"/>
      <w:r>
        <w:rPr>
          <w:sz w:val="24"/>
          <w:szCs w:val="24"/>
        </w:rPr>
        <w:t>Ari</w:t>
      </w:r>
      <w:r>
        <w:rPr>
          <w:rFonts w:cstheme="minorHAnsi"/>
          <w:sz w:val="24"/>
          <w:szCs w:val="24"/>
        </w:rPr>
        <w:t>è</w:t>
      </w:r>
      <w:r>
        <w:rPr>
          <w:sz w:val="24"/>
          <w:szCs w:val="24"/>
        </w:rPr>
        <w:t>s</w:t>
      </w:r>
      <w:proofErr w:type="spellEnd"/>
      <w:r>
        <w:rPr>
          <w:sz w:val="24"/>
          <w:szCs w:val="24"/>
        </w:rPr>
        <w:t xml:space="preserve">, ‘Western attitudes towards death’, translated by P. </w:t>
      </w:r>
      <w:proofErr w:type="spellStart"/>
      <w:r>
        <w:rPr>
          <w:sz w:val="24"/>
          <w:szCs w:val="24"/>
        </w:rPr>
        <w:t>Ranum</w:t>
      </w:r>
      <w:proofErr w:type="spellEnd"/>
      <w:r>
        <w:rPr>
          <w:sz w:val="24"/>
          <w:szCs w:val="24"/>
        </w:rPr>
        <w:t>, {John Hopkins University Press, Baltimore, 1974}</w:t>
      </w:r>
    </w:p>
    <w:p w:rsidR="000E0583" w:rsidRPr="00664E32" w:rsidRDefault="000E0583" w:rsidP="00FC3B9B">
      <w:pPr>
        <w:jc w:val="center"/>
        <w:rPr>
          <w:sz w:val="28"/>
          <w:szCs w:val="28"/>
        </w:rPr>
      </w:pPr>
    </w:p>
    <w:p w:rsidR="000E0583" w:rsidRDefault="000E0583" w:rsidP="00FC3B9B">
      <w:pPr>
        <w:jc w:val="center"/>
        <w:rPr>
          <w:b/>
          <w:i/>
          <w:sz w:val="28"/>
          <w:szCs w:val="28"/>
          <w:u w:val="single"/>
        </w:rPr>
      </w:pPr>
    </w:p>
    <w:p w:rsidR="000E0583" w:rsidRPr="00FC3B9B" w:rsidRDefault="000E0583" w:rsidP="00FC3B9B">
      <w:pPr>
        <w:jc w:val="center"/>
        <w:rPr>
          <w:b/>
          <w:i/>
          <w:sz w:val="28"/>
          <w:szCs w:val="28"/>
          <w:u w:val="single"/>
        </w:rPr>
      </w:pPr>
    </w:p>
    <w:p w:rsidR="000E0583" w:rsidRDefault="000E0583">
      <w:pPr>
        <w:rPr>
          <w:b/>
          <w:i/>
          <w:sz w:val="28"/>
          <w:szCs w:val="28"/>
          <w:u w:val="single"/>
        </w:rPr>
      </w:pPr>
    </w:p>
    <w:p w:rsidR="000E0583" w:rsidRDefault="000E0583" w:rsidP="00A4785C">
      <w:pPr>
        <w:jc w:val="center"/>
        <w:rPr>
          <w:b/>
          <w:i/>
          <w:sz w:val="28"/>
          <w:szCs w:val="28"/>
          <w:u w:val="single"/>
        </w:rPr>
      </w:pPr>
      <w:r>
        <w:rPr>
          <w:b/>
          <w:i/>
          <w:sz w:val="28"/>
          <w:szCs w:val="28"/>
          <w:u w:val="single"/>
        </w:rPr>
        <w:t>Bibliography</w:t>
      </w:r>
    </w:p>
    <w:p w:rsidR="000E0583" w:rsidRDefault="000E0583" w:rsidP="00A4785C">
      <w:pPr>
        <w:jc w:val="center"/>
        <w:rPr>
          <w:b/>
          <w:i/>
          <w:sz w:val="28"/>
          <w:szCs w:val="28"/>
          <w:u w:val="single"/>
        </w:rPr>
      </w:pPr>
    </w:p>
    <w:p w:rsidR="000E0583" w:rsidRDefault="000E0583" w:rsidP="007A3D33">
      <w:pPr>
        <w:rPr>
          <w:b/>
          <w:i/>
          <w:sz w:val="24"/>
          <w:szCs w:val="24"/>
          <w:u w:val="single"/>
        </w:rPr>
      </w:pPr>
      <w:r w:rsidRPr="007A3D33">
        <w:rPr>
          <w:b/>
          <w:i/>
          <w:sz w:val="24"/>
          <w:szCs w:val="24"/>
          <w:u w:val="single"/>
        </w:rPr>
        <w:t>Articles</w:t>
      </w:r>
    </w:p>
    <w:p w:rsidR="000E0583" w:rsidRDefault="000E0583" w:rsidP="007A3D33">
      <w:pPr>
        <w:rPr>
          <w:sz w:val="24"/>
          <w:szCs w:val="24"/>
        </w:rPr>
      </w:pPr>
      <w:r w:rsidRPr="00646245">
        <w:rPr>
          <w:sz w:val="24"/>
          <w:szCs w:val="24"/>
        </w:rPr>
        <w:t>C. Walker Bynum</w:t>
      </w:r>
      <w:r>
        <w:rPr>
          <w:sz w:val="24"/>
          <w:szCs w:val="24"/>
        </w:rPr>
        <w:t xml:space="preserve">, </w:t>
      </w:r>
      <w:bookmarkStart w:id="7" w:name="_Hlk536464220"/>
      <w:r w:rsidRPr="00646245">
        <w:rPr>
          <w:i/>
          <w:sz w:val="24"/>
          <w:szCs w:val="24"/>
        </w:rPr>
        <w:t>‘Material Continuity, Personal Survival, and the Resurrection of the body: A Scholastic Discussion in the Medieval and Modern Context’</w:t>
      </w:r>
      <w:r>
        <w:rPr>
          <w:sz w:val="24"/>
          <w:szCs w:val="24"/>
        </w:rPr>
        <w:t>, History of Religions, vol.30. no.1, (August 1990), p.</w:t>
      </w:r>
      <w:bookmarkEnd w:id="7"/>
      <w:r>
        <w:rPr>
          <w:sz w:val="24"/>
          <w:szCs w:val="24"/>
        </w:rPr>
        <w:t xml:space="preserve"> 51-85</w:t>
      </w:r>
    </w:p>
    <w:p w:rsidR="000E0583" w:rsidRDefault="000E0583" w:rsidP="007A3D33">
      <w:pPr>
        <w:rPr>
          <w:sz w:val="24"/>
          <w:szCs w:val="24"/>
        </w:rPr>
      </w:pPr>
    </w:p>
    <w:p w:rsidR="000E0583" w:rsidRDefault="000E0583" w:rsidP="007A3D33">
      <w:pPr>
        <w:rPr>
          <w:b/>
          <w:i/>
          <w:sz w:val="24"/>
          <w:szCs w:val="24"/>
          <w:u w:val="single"/>
        </w:rPr>
      </w:pPr>
      <w:r w:rsidRPr="00F638D9">
        <w:rPr>
          <w:b/>
          <w:i/>
          <w:sz w:val="24"/>
          <w:szCs w:val="24"/>
          <w:u w:val="single"/>
        </w:rPr>
        <w:t>Secondary Sources</w:t>
      </w:r>
    </w:p>
    <w:p w:rsidR="000E0583" w:rsidRPr="00AE6F79" w:rsidRDefault="000E0583" w:rsidP="000E0583">
      <w:pPr>
        <w:pStyle w:val="ListParagraph"/>
        <w:numPr>
          <w:ilvl w:val="0"/>
          <w:numId w:val="1"/>
        </w:numPr>
        <w:rPr>
          <w:b/>
          <w:i/>
          <w:sz w:val="24"/>
          <w:szCs w:val="24"/>
          <w:u w:val="single"/>
        </w:rPr>
      </w:pPr>
      <w:r>
        <w:t>Bovey ‘Death and the afterlife: how dying affected the living’, (30 April 2015), {</w:t>
      </w:r>
      <w:r w:rsidRPr="00AE6F79">
        <w:t xml:space="preserve"> </w:t>
      </w:r>
      <w:hyperlink r:id="rId11" w:history="1">
        <w:r w:rsidRPr="00FE7409">
          <w:rPr>
            <w:rStyle w:val="Hyperlink"/>
          </w:rPr>
          <w:t>https://www.bl.uk/the-middle-ages/articles/death-and-the-afterlife-how-dying-affected-the-living</w:t>
        </w:r>
      </w:hyperlink>
      <w:r>
        <w:t>}</w:t>
      </w:r>
    </w:p>
    <w:p w:rsidR="000E0583" w:rsidRPr="00F638D9" w:rsidRDefault="000E0583" w:rsidP="007A3D33">
      <w:pPr>
        <w:rPr>
          <w:sz w:val="24"/>
          <w:szCs w:val="24"/>
        </w:rPr>
      </w:pPr>
      <w:r w:rsidRPr="00F638D9">
        <w:rPr>
          <w:sz w:val="24"/>
          <w:szCs w:val="24"/>
        </w:rPr>
        <w:t xml:space="preserve">F M.M. </w:t>
      </w:r>
      <w:proofErr w:type="spellStart"/>
      <w:r w:rsidRPr="00F638D9">
        <w:rPr>
          <w:sz w:val="24"/>
          <w:szCs w:val="24"/>
        </w:rPr>
        <w:t>Comper</w:t>
      </w:r>
      <w:proofErr w:type="spellEnd"/>
      <w:r>
        <w:rPr>
          <w:sz w:val="24"/>
          <w:szCs w:val="24"/>
        </w:rPr>
        <w:t xml:space="preserve"> ‘</w:t>
      </w:r>
      <w:r w:rsidRPr="00F638D9">
        <w:rPr>
          <w:i/>
          <w:sz w:val="24"/>
          <w:szCs w:val="24"/>
        </w:rPr>
        <w:t>The Book of the Craft of Dying’</w:t>
      </w:r>
      <w:r>
        <w:rPr>
          <w:sz w:val="24"/>
          <w:szCs w:val="24"/>
        </w:rPr>
        <w:t>, (Longmans, Green &amp; Co., London), (1917)</w:t>
      </w:r>
    </w:p>
    <w:p w:rsidR="000E0583" w:rsidRDefault="000E0583">
      <w:pPr>
        <w:rPr>
          <w:b/>
          <w:i/>
          <w:sz w:val="28"/>
          <w:szCs w:val="28"/>
          <w:u w:val="single"/>
        </w:rPr>
      </w:pPr>
      <w:r>
        <w:rPr>
          <w:b/>
          <w:i/>
          <w:sz w:val="28"/>
          <w:szCs w:val="28"/>
          <w:u w:val="single"/>
        </w:rPr>
        <w:br w:type="page"/>
      </w:r>
    </w:p>
    <w:p w:rsidR="000E0583" w:rsidRPr="00A4785C" w:rsidRDefault="000E0583" w:rsidP="00A4785C">
      <w:pPr>
        <w:jc w:val="center"/>
        <w:rPr>
          <w:b/>
          <w:i/>
          <w:sz w:val="28"/>
          <w:szCs w:val="28"/>
          <w:u w:val="single"/>
        </w:rPr>
      </w:pPr>
      <w:proofErr w:type="spellStart"/>
      <w:r w:rsidRPr="00A4785C">
        <w:rPr>
          <w:b/>
          <w:i/>
          <w:sz w:val="28"/>
          <w:szCs w:val="28"/>
          <w:u w:val="single"/>
        </w:rPr>
        <w:lastRenderedPageBreak/>
        <w:t>urce</w:t>
      </w:r>
      <w:proofErr w:type="spellEnd"/>
    </w:p>
    <w:p w:rsidR="00052573" w:rsidRDefault="00052573"/>
    <w:sectPr w:rsidR="0005257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02D83" w:rsidRDefault="00802D83" w:rsidP="000E0583">
      <w:pPr>
        <w:spacing w:after="0" w:line="240" w:lineRule="auto"/>
      </w:pPr>
      <w:r>
        <w:separator/>
      </w:r>
    </w:p>
  </w:endnote>
  <w:endnote w:type="continuationSeparator" w:id="0">
    <w:p w:rsidR="00802D83" w:rsidRDefault="00802D83" w:rsidP="000E05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02D83" w:rsidRDefault="00802D83" w:rsidP="000E0583">
      <w:pPr>
        <w:spacing w:after="0" w:line="240" w:lineRule="auto"/>
      </w:pPr>
      <w:r>
        <w:separator/>
      </w:r>
    </w:p>
  </w:footnote>
  <w:footnote w:type="continuationSeparator" w:id="0">
    <w:p w:rsidR="00802D83" w:rsidRDefault="00802D83" w:rsidP="000E0583">
      <w:pPr>
        <w:spacing w:after="0" w:line="240" w:lineRule="auto"/>
      </w:pPr>
      <w:r>
        <w:continuationSeparator/>
      </w:r>
    </w:p>
  </w:footnote>
  <w:footnote w:id="1">
    <w:p w:rsidR="000E0583" w:rsidRPr="003A39CD" w:rsidRDefault="000E0583">
      <w:pPr>
        <w:pStyle w:val="FootnoteText"/>
        <w:rPr>
          <w:sz w:val="22"/>
          <w:szCs w:val="22"/>
        </w:rPr>
      </w:pPr>
      <w:r w:rsidRPr="003A39CD">
        <w:rPr>
          <w:rStyle w:val="FootnoteReference"/>
          <w:sz w:val="22"/>
          <w:szCs w:val="22"/>
        </w:rPr>
        <w:footnoteRef/>
      </w:r>
      <w:r w:rsidRPr="003A39CD">
        <w:rPr>
          <w:sz w:val="22"/>
          <w:szCs w:val="22"/>
        </w:rPr>
        <w:t xml:space="preserve"> </w:t>
      </w:r>
      <w:proofErr w:type="gramStart"/>
      <w:r w:rsidRPr="003A39CD">
        <w:rPr>
          <w:sz w:val="22"/>
          <w:szCs w:val="22"/>
        </w:rPr>
        <w:t>Bynum.</w:t>
      </w:r>
      <w:proofErr w:type="gramEnd"/>
      <w:r w:rsidRPr="003A39CD">
        <w:rPr>
          <w:sz w:val="22"/>
          <w:szCs w:val="22"/>
        </w:rPr>
        <w:t xml:space="preserve"> C, </w:t>
      </w:r>
      <w:r w:rsidRPr="003A39CD">
        <w:rPr>
          <w:i/>
          <w:sz w:val="22"/>
          <w:szCs w:val="22"/>
        </w:rPr>
        <w:t>‘Material Continuity, Personal Survival, and the Resurrection of the body: A Scholastic Discussion in the Medieval and Modern Context’</w:t>
      </w:r>
      <w:r w:rsidRPr="003A39CD">
        <w:rPr>
          <w:sz w:val="22"/>
          <w:szCs w:val="22"/>
        </w:rPr>
        <w:t>, History of Religions, vol.30. no.1, (August 1990), p.54</w:t>
      </w:r>
    </w:p>
  </w:footnote>
  <w:footnote w:id="2">
    <w:p w:rsidR="000E0583" w:rsidRPr="003A39CD" w:rsidRDefault="000E0583">
      <w:pPr>
        <w:pStyle w:val="FootnoteText"/>
        <w:rPr>
          <w:sz w:val="22"/>
          <w:szCs w:val="22"/>
        </w:rPr>
      </w:pPr>
      <w:r w:rsidRPr="005B0557">
        <w:rPr>
          <w:rStyle w:val="FootnoteReference"/>
          <w:sz w:val="22"/>
          <w:szCs w:val="22"/>
        </w:rPr>
        <w:footnoteRef/>
      </w:r>
      <w:r w:rsidRPr="005B0557">
        <w:rPr>
          <w:sz w:val="22"/>
          <w:szCs w:val="22"/>
        </w:rPr>
        <w:t xml:space="preserve"> </w:t>
      </w:r>
      <w:r w:rsidRPr="003A39CD">
        <w:rPr>
          <w:sz w:val="22"/>
          <w:szCs w:val="22"/>
        </w:rPr>
        <w:t xml:space="preserve">Bynum. C, </w:t>
      </w:r>
      <w:r w:rsidRPr="003A39CD">
        <w:rPr>
          <w:i/>
          <w:sz w:val="22"/>
          <w:szCs w:val="22"/>
        </w:rPr>
        <w:t>‘Material Continuity, Personal Survival, and the Resurrection of the body: A Scholastic Discussion in the Medieval and Modern Context’, p.57</w:t>
      </w:r>
    </w:p>
  </w:footnote>
  <w:footnote w:id="3">
    <w:p w:rsidR="000E0583" w:rsidRPr="003A39CD" w:rsidRDefault="000E0583">
      <w:pPr>
        <w:pStyle w:val="FootnoteText"/>
        <w:rPr>
          <w:sz w:val="22"/>
          <w:szCs w:val="22"/>
        </w:rPr>
      </w:pPr>
      <w:r w:rsidRPr="003A39CD">
        <w:rPr>
          <w:rStyle w:val="FootnoteReference"/>
          <w:sz w:val="22"/>
          <w:szCs w:val="22"/>
        </w:rPr>
        <w:footnoteRef/>
      </w:r>
      <w:r w:rsidRPr="003A39CD">
        <w:rPr>
          <w:sz w:val="22"/>
          <w:szCs w:val="22"/>
        </w:rPr>
        <w:t xml:space="preserve"> (Ibid)</w:t>
      </w:r>
    </w:p>
  </w:footnote>
  <w:footnote w:id="4">
    <w:p w:rsidR="000E0583" w:rsidRPr="003A39CD" w:rsidRDefault="000E0583">
      <w:pPr>
        <w:pStyle w:val="FootnoteText"/>
        <w:rPr>
          <w:sz w:val="22"/>
          <w:szCs w:val="22"/>
        </w:rPr>
      </w:pPr>
      <w:r w:rsidRPr="003A39CD">
        <w:rPr>
          <w:rStyle w:val="FootnoteReference"/>
          <w:sz w:val="22"/>
          <w:szCs w:val="22"/>
        </w:rPr>
        <w:footnoteRef/>
      </w:r>
      <w:r w:rsidRPr="003A39CD">
        <w:rPr>
          <w:sz w:val="22"/>
          <w:szCs w:val="22"/>
        </w:rPr>
        <w:t xml:space="preserve"> Bynum. C, </w:t>
      </w:r>
      <w:r w:rsidRPr="003A39CD">
        <w:rPr>
          <w:i/>
          <w:sz w:val="22"/>
          <w:szCs w:val="22"/>
        </w:rPr>
        <w:t>‘</w:t>
      </w:r>
      <w:bookmarkStart w:id="0" w:name="_Hlk536560030"/>
      <w:r w:rsidRPr="003A39CD">
        <w:rPr>
          <w:i/>
          <w:sz w:val="22"/>
          <w:szCs w:val="22"/>
        </w:rPr>
        <w:t>Material Continuity, Personal Survival, and the Resurrection of the body: A Scholastic Discussion in the Medieval and Modern Context’</w:t>
      </w:r>
      <w:bookmarkEnd w:id="0"/>
      <w:r w:rsidRPr="003A39CD">
        <w:rPr>
          <w:i/>
          <w:sz w:val="22"/>
          <w:szCs w:val="22"/>
        </w:rPr>
        <w:t>, p.58</w:t>
      </w:r>
    </w:p>
  </w:footnote>
  <w:footnote w:id="5">
    <w:p w:rsidR="000E0583" w:rsidRDefault="000E0583">
      <w:pPr>
        <w:pStyle w:val="FootnoteText"/>
      </w:pPr>
      <w:r>
        <w:rPr>
          <w:rStyle w:val="FootnoteReference"/>
        </w:rPr>
        <w:footnoteRef/>
      </w:r>
      <w:r>
        <w:t xml:space="preserve"> </w:t>
      </w:r>
      <w:r w:rsidRPr="003A39CD">
        <w:rPr>
          <w:sz w:val="22"/>
          <w:szCs w:val="22"/>
        </w:rPr>
        <w:t xml:space="preserve">Bynum. C, </w:t>
      </w:r>
      <w:r w:rsidRPr="003A39CD">
        <w:rPr>
          <w:i/>
          <w:sz w:val="22"/>
          <w:szCs w:val="22"/>
        </w:rPr>
        <w:t>Material Continuity, Personal Survival, and the Resurrection of the body: A Scholastic Discussion in the Medieval and Modern Context’, p.60</w:t>
      </w:r>
    </w:p>
  </w:footnote>
  <w:footnote w:id="6">
    <w:p w:rsidR="000E0583" w:rsidRDefault="000E0583">
      <w:pPr>
        <w:pStyle w:val="FootnoteText"/>
      </w:pPr>
      <w:r>
        <w:rPr>
          <w:rStyle w:val="FootnoteReference"/>
        </w:rPr>
        <w:footnoteRef/>
      </w:r>
      <w:r>
        <w:t xml:space="preserve"> Bovey. A, ‘Death and the afterlife: how dying affected the living’, (30 April 2015), {</w:t>
      </w:r>
      <w:r w:rsidRPr="00AE6F79">
        <w:t xml:space="preserve"> </w:t>
      </w:r>
      <w:hyperlink r:id="rId1" w:history="1">
        <w:r w:rsidRPr="00FE7409">
          <w:rPr>
            <w:rStyle w:val="Hyperlink"/>
          </w:rPr>
          <w:t>https://www.bl.uk/the-middle-ages/articles/death-and-the-afterlife-how-dying-affected-the-living</w:t>
        </w:r>
      </w:hyperlink>
      <w:r>
        <w:t xml:space="preserve">} </w:t>
      </w:r>
      <w:bookmarkStart w:id="2" w:name="_Hlk536563249"/>
      <w:r>
        <w:t>[Accessed 29/01/19]</w:t>
      </w:r>
      <w:bookmarkEnd w:id="2"/>
    </w:p>
  </w:footnote>
  <w:footnote w:id="7">
    <w:p w:rsidR="000E0583" w:rsidRDefault="000E0583">
      <w:pPr>
        <w:pStyle w:val="FootnoteText"/>
      </w:pPr>
      <w:r>
        <w:rPr>
          <w:rStyle w:val="FootnoteReference"/>
        </w:rPr>
        <w:footnoteRef/>
      </w:r>
      <w:r>
        <w:t xml:space="preserve"> Bovey. A, ‘Death and the afterlife: how dying affected the living’, (30 April 2015),</w:t>
      </w:r>
      <w:r w:rsidRPr="00AE6F79">
        <w:t xml:space="preserve"> </w:t>
      </w:r>
      <w:r>
        <w:t>[Accessed 29/01/19]</w:t>
      </w:r>
    </w:p>
  </w:footnote>
  <w:footnote w:id="8">
    <w:p w:rsidR="000E0583" w:rsidRPr="00D268D0" w:rsidRDefault="000E0583">
      <w:pPr>
        <w:pStyle w:val="FootnoteText"/>
        <w:rPr>
          <w:sz w:val="22"/>
          <w:szCs w:val="22"/>
        </w:rPr>
      </w:pPr>
      <w:r>
        <w:rPr>
          <w:rStyle w:val="FootnoteReference"/>
        </w:rPr>
        <w:footnoteRef/>
      </w:r>
      <w:r>
        <w:t xml:space="preserve"> </w:t>
      </w:r>
      <w:proofErr w:type="gramStart"/>
      <w:r>
        <w:t>Bynum.</w:t>
      </w:r>
      <w:proofErr w:type="gramEnd"/>
      <w:r>
        <w:t xml:space="preserve"> C-W, </w:t>
      </w:r>
      <w:r w:rsidRPr="00D268D0">
        <w:t>‘Death and Resurrection in the Middle Ages: Some Modern Implications’</w:t>
      </w:r>
      <w:r>
        <w:t>, (Vol.124 No.4), {Dec.1998}, p.589</w:t>
      </w:r>
    </w:p>
  </w:footnote>
  <w:footnote w:id="9">
    <w:p w:rsidR="000E0583" w:rsidRDefault="000E0583">
      <w:pPr>
        <w:pStyle w:val="FootnoteText"/>
      </w:pPr>
      <w:r>
        <w:rPr>
          <w:rStyle w:val="FootnoteReference"/>
        </w:rPr>
        <w:footnoteRef/>
      </w:r>
      <w:r>
        <w:t xml:space="preserve"> </w:t>
      </w:r>
      <w:bookmarkStart w:id="3" w:name="_Hlk536697975"/>
      <w:r>
        <w:t xml:space="preserve">Bynum. C-W, </w:t>
      </w:r>
      <w:r w:rsidRPr="00D268D0">
        <w:t>‘Death and Resurrection in the Middle Ages: Some Modern Implications’</w:t>
      </w:r>
      <w:r>
        <w:t>, p.</w:t>
      </w:r>
      <w:bookmarkEnd w:id="3"/>
      <w:r>
        <w:t>589-590</w:t>
      </w:r>
    </w:p>
  </w:footnote>
  <w:footnote w:id="10">
    <w:p w:rsidR="000E0583" w:rsidRDefault="000E0583">
      <w:pPr>
        <w:pStyle w:val="FootnoteText"/>
      </w:pPr>
      <w:r>
        <w:rPr>
          <w:rStyle w:val="FootnoteReference"/>
        </w:rPr>
        <w:footnoteRef/>
      </w:r>
      <w:r>
        <w:t xml:space="preserve"> Bynum. C-W, </w:t>
      </w:r>
      <w:r w:rsidRPr="00D268D0">
        <w:t>‘Death and Resurrection in the Middle Ages: Some Modern Implications’</w:t>
      </w:r>
      <w:r>
        <w:t>, p. 590</w:t>
      </w:r>
    </w:p>
  </w:footnote>
  <w:footnote w:id="11">
    <w:p w:rsidR="000E0583" w:rsidRDefault="000E0583">
      <w:pPr>
        <w:pStyle w:val="FootnoteText"/>
      </w:pPr>
      <w:r>
        <w:rPr>
          <w:rStyle w:val="FootnoteReference"/>
        </w:rPr>
        <w:footnoteRef/>
      </w:r>
      <w:r>
        <w:t xml:space="preserve"> </w:t>
      </w:r>
      <w:r w:rsidRPr="00DE48ED">
        <w:t xml:space="preserve">Whaley. J, </w:t>
      </w:r>
      <w:bookmarkStart w:id="5" w:name="_Hlk536704635"/>
      <w:r w:rsidRPr="00DE48ED">
        <w:t>‘Mirrors of Mortality’, (Edited Version), {</w:t>
      </w:r>
      <w:proofErr w:type="spellStart"/>
      <w:r w:rsidRPr="00DE48ED">
        <w:t>Routledge</w:t>
      </w:r>
      <w:proofErr w:type="spellEnd"/>
      <w:r w:rsidRPr="00DE48ED">
        <w:t xml:space="preserve">, </w:t>
      </w:r>
      <w:proofErr w:type="spellStart"/>
      <w:r w:rsidRPr="00DE48ED">
        <w:t>Oxden</w:t>
      </w:r>
      <w:proofErr w:type="spellEnd"/>
      <w:r w:rsidRPr="00DE48ED">
        <w:t>, 2011}</w:t>
      </w:r>
      <w:bookmarkEnd w:id="5"/>
      <w:r w:rsidRPr="00DE48ED">
        <w:t>, p. 31</w:t>
      </w:r>
      <w:r>
        <w:rPr>
          <w:sz w:val="24"/>
          <w:szCs w:val="24"/>
        </w:rPr>
        <w:t xml:space="preserve"> </w:t>
      </w:r>
    </w:p>
  </w:footnote>
  <w:footnote w:id="12">
    <w:p w:rsidR="000E0583" w:rsidRDefault="000E0583">
      <w:pPr>
        <w:pStyle w:val="FootnoteText"/>
      </w:pPr>
      <w:r>
        <w:rPr>
          <w:rStyle w:val="FootnoteReference"/>
        </w:rPr>
        <w:footnoteRef/>
      </w:r>
      <w:r>
        <w:t xml:space="preserve"> </w:t>
      </w:r>
      <w:proofErr w:type="spellStart"/>
      <w:r>
        <w:t>Bahadur</w:t>
      </w:r>
      <w:proofErr w:type="spellEnd"/>
      <w:r>
        <w:t>, T, ‘</w:t>
      </w:r>
      <w:proofErr w:type="spellStart"/>
      <w:r>
        <w:t>Danse</w:t>
      </w:r>
      <w:proofErr w:type="spellEnd"/>
      <w:r>
        <w:t xml:space="preserve"> Macabre’, (</w:t>
      </w:r>
      <w:hyperlink r:id="rId2" w:history="1">
        <w:r w:rsidRPr="00170270">
          <w:rPr>
            <w:rStyle w:val="Hyperlink"/>
          </w:rPr>
          <w:t>https://onartandaesthetics.com/2016/10/24/danse-macabre/</w:t>
        </w:r>
      </w:hyperlink>
      <w:r>
        <w:t>), (24/10/2016)</w:t>
      </w:r>
    </w:p>
  </w:footnote>
  <w:footnote w:id="13">
    <w:p w:rsidR="000E0583" w:rsidRPr="00AE764A" w:rsidRDefault="000E0583">
      <w:pPr>
        <w:pStyle w:val="FootnoteText"/>
      </w:pPr>
      <w:r>
        <w:rPr>
          <w:rStyle w:val="FootnoteReference"/>
        </w:rPr>
        <w:footnoteRef/>
      </w:r>
      <w:r>
        <w:t xml:space="preserve"> Tukey. A &amp; Hindman. S, </w:t>
      </w:r>
      <w:r w:rsidRPr="004C5E85">
        <w:rPr>
          <w:i/>
        </w:rPr>
        <w:t>‘</w:t>
      </w:r>
      <w:r>
        <w:rPr>
          <w:i/>
        </w:rPr>
        <w:t>Women’s art Journal</w:t>
      </w:r>
      <w:r w:rsidRPr="004C5E85">
        <w:rPr>
          <w:i/>
        </w:rPr>
        <w:t>’</w:t>
      </w:r>
      <w:r>
        <w:rPr>
          <w:i/>
        </w:rPr>
        <w:t>, (</w:t>
      </w:r>
      <w:r>
        <w:t>Vol 18. No.1), {Spring-Summer 1977}, p.40</w:t>
      </w:r>
    </w:p>
  </w:footnote>
  <w:footnote w:id="14">
    <w:p w:rsidR="000E0583" w:rsidRPr="004804AA" w:rsidRDefault="000E0583">
      <w:pPr>
        <w:pStyle w:val="FootnoteText"/>
      </w:pPr>
      <w:r>
        <w:rPr>
          <w:rStyle w:val="FootnoteReference"/>
        </w:rPr>
        <w:footnoteRef/>
      </w:r>
      <w:r>
        <w:t xml:space="preserve"> </w:t>
      </w:r>
      <w:proofErr w:type="gramStart"/>
      <w:r>
        <w:t>Land.</w:t>
      </w:r>
      <w:proofErr w:type="gramEnd"/>
      <w:r>
        <w:t xml:space="preserve"> G, ‘</w:t>
      </w:r>
      <w:r w:rsidRPr="00B17E7C">
        <w:rPr>
          <w:i/>
        </w:rPr>
        <w:t>Was life in Medieval Europe Dominated by a fear of Purgatory?’</w:t>
      </w:r>
      <w:r>
        <w:rPr>
          <w:i/>
        </w:rPr>
        <w:t xml:space="preserve">, </w:t>
      </w:r>
      <w:r w:rsidRPr="004804AA">
        <w:t>(24/07/18) {https://www.historyhit.com/was-life-in-medieval-europe-dominated-by-a-fear-of-purgatory/}, [Accessed 30/01/19]</w:t>
      </w:r>
    </w:p>
  </w:footnote>
  <w:footnote w:id="15">
    <w:p w:rsidR="000E0583" w:rsidRDefault="000E0583">
      <w:pPr>
        <w:pStyle w:val="FootnoteText"/>
      </w:pPr>
      <w:r>
        <w:rPr>
          <w:rStyle w:val="FootnoteReference"/>
        </w:rPr>
        <w:footnoteRef/>
      </w:r>
      <w:r>
        <w:t xml:space="preserve"> </w:t>
      </w:r>
      <w:proofErr w:type="spellStart"/>
      <w:r w:rsidRPr="00D10EF4">
        <w:t>Caciola</w:t>
      </w:r>
      <w:proofErr w:type="spellEnd"/>
      <w:r w:rsidRPr="00D10EF4">
        <w:t>. N, ‘</w:t>
      </w:r>
      <w:r w:rsidRPr="00D10EF4">
        <w:rPr>
          <w:i/>
        </w:rPr>
        <w:t>Afterlives: The return of the dead in the middle ages’, (Cornell University Press 2016), p19</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1E96277"/>
    <w:multiLevelType w:val="hybridMultilevel"/>
    <w:tmpl w:val="FF224F2E"/>
    <w:lvl w:ilvl="0" w:tplc="EA14C444">
      <w:start w:val="1"/>
      <w:numFmt w:val="upperLetter"/>
      <w:lvlText w:val="%1."/>
      <w:lvlJc w:val="left"/>
      <w:pPr>
        <w:ind w:left="360" w:hanging="360"/>
      </w:pPr>
      <w:rPr>
        <w:rFonts w:hint="default"/>
        <w:b w:val="0"/>
        <w:i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nsid w:val="7CE7053D"/>
    <w:multiLevelType w:val="hybridMultilevel"/>
    <w:tmpl w:val="6B702596"/>
    <w:lvl w:ilvl="0" w:tplc="240057A2">
      <w:start w:val="1"/>
      <w:numFmt w:val="upperLetter"/>
      <w:lvlText w:val="%1."/>
      <w:lvlJc w:val="left"/>
      <w:pPr>
        <w:ind w:left="720" w:hanging="360"/>
      </w:pPr>
      <w:rPr>
        <w:rFonts w:hint="default"/>
        <w:b w:val="0"/>
        <w:i w:val="0"/>
        <w:sz w:val="22"/>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E0583"/>
    <w:rsid w:val="00052573"/>
    <w:rsid w:val="000E0583"/>
    <w:rsid w:val="00802D83"/>
    <w:rsid w:val="00CC08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0E058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E0583"/>
    <w:rPr>
      <w:sz w:val="20"/>
      <w:szCs w:val="20"/>
    </w:rPr>
  </w:style>
  <w:style w:type="character" w:styleId="FootnoteReference">
    <w:name w:val="footnote reference"/>
    <w:basedOn w:val="DefaultParagraphFont"/>
    <w:uiPriority w:val="99"/>
    <w:semiHidden/>
    <w:unhideWhenUsed/>
    <w:rsid w:val="000E0583"/>
    <w:rPr>
      <w:vertAlign w:val="superscript"/>
    </w:rPr>
  </w:style>
  <w:style w:type="character" w:styleId="Hyperlink">
    <w:name w:val="Hyperlink"/>
    <w:basedOn w:val="DefaultParagraphFont"/>
    <w:uiPriority w:val="99"/>
    <w:unhideWhenUsed/>
    <w:rsid w:val="000E0583"/>
    <w:rPr>
      <w:color w:val="0000FF" w:themeColor="hyperlink"/>
      <w:u w:val="single"/>
    </w:rPr>
  </w:style>
  <w:style w:type="paragraph" w:styleId="ListParagraph">
    <w:name w:val="List Paragraph"/>
    <w:basedOn w:val="Normal"/>
    <w:uiPriority w:val="34"/>
    <w:qFormat/>
    <w:rsid w:val="000E0583"/>
    <w:pPr>
      <w:spacing w:after="160" w:line="259" w:lineRule="auto"/>
      <w:ind w:left="720"/>
      <w:contextualSpacing/>
    </w:pPr>
  </w:style>
  <w:style w:type="paragraph" w:styleId="BalloonText">
    <w:name w:val="Balloon Text"/>
    <w:basedOn w:val="Normal"/>
    <w:link w:val="BalloonTextChar"/>
    <w:uiPriority w:val="99"/>
    <w:semiHidden/>
    <w:unhideWhenUsed/>
    <w:rsid w:val="000E058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E0583"/>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0E058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E0583"/>
    <w:rPr>
      <w:sz w:val="20"/>
      <w:szCs w:val="20"/>
    </w:rPr>
  </w:style>
  <w:style w:type="character" w:styleId="FootnoteReference">
    <w:name w:val="footnote reference"/>
    <w:basedOn w:val="DefaultParagraphFont"/>
    <w:uiPriority w:val="99"/>
    <w:semiHidden/>
    <w:unhideWhenUsed/>
    <w:rsid w:val="000E0583"/>
    <w:rPr>
      <w:vertAlign w:val="superscript"/>
    </w:rPr>
  </w:style>
  <w:style w:type="character" w:styleId="Hyperlink">
    <w:name w:val="Hyperlink"/>
    <w:basedOn w:val="DefaultParagraphFont"/>
    <w:uiPriority w:val="99"/>
    <w:unhideWhenUsed/>
    <w:rsid w:val="000E0583"/>
    <w:rPr>
      <w:color w:val="0000FF" w:themeColor="hyperlink"/>
      <w:u w:val="single"/>
    </w:rPr>
  </w:style>
  <w:style w:type="paragraph" w:styleId="ListParagraph">
    <w:name w:val="List Paragraph"/>
    <w:basedOn w:val="Normal"/>
    <w:uiPriority w:val="34"/>
    <w:qFormat/>
    <w:rsid w:val="000E0583"/>
    <w:pPr>
      <w:spacing w:after="160" w:line="259" w:lineRule="auto"/>
      <w:ind w:left="720"/>
      <w:contextualSpacing/>
    </w:pPr>
  </w:style>
  <w:style w:type="paragraph" w:styleId="BalloonText">
    <w:name w:val="Balloon Text"/>
    <w:basedOn w:val="Normal"/>
    <w:link w:val="BalloonTextChar"/>
    <w:uiPriority w:val="99"/>
    <w:semiHidden/>
    <w:unhideWhenUsed/>
    <w:rsid w:val="000E058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E058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www.bl.uk/the-middle-ages/articles/death-and-the-afterlife-how-dying-affected-the-living" TargetMode="External"/><Relationship Id="rId5" Type="http://schemas.openxmlformats.org/officeDocument/2006/relationships/webSettings" Target="webSettings.xml"/><Relationship Id="rId10" Type="http://schemas.openxmlformats.org/officeDocument/2006/relationships/hyperlink" Target="http://www.dodedans.com/Eparis-verard.htm" TargetMode="External"/><Relationship Id="rId4" Type="http://schemas.openxmlformats.org/officeDocument/2006/relationships/settings" Target="settings.xml"/><Relationship Id="rId9" Type="http://schemas.openxmlformats.org/officeDocument/2006/relationships/hyperlink" Target="https://onartandaesthetics.com/2016/10/24/danse-macabre/" TargetMode="External"/></Relationships>
</file>

<file path=word/_rels/footnotes.xml.rels><?xml version="1.0" encoding="UTF-8" standalone="yes"?>
<Relationships xmlns="http://schemas.openxmlformats.org/package/2006/relationships"><Relationship Id="rId2" Type="http://schemas.openxmlformats.org/officeDocument/2006/relationships/hyperlink" Target="https://onartandaesthetics.com/2016/10/24/danse-macabre/" TargetMode="External"/><Relationship Id="rId1" Type="http://schemas.openxmlformats.org/officeDocument/2006/relationships/hyperlink" Target="https://www.bl.uk/the-middle-ages/articles/death-and-the-afterlife-how-dying-affected-the-liv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14</Pages>
  <Words>3494</Words>
  <Characters>19922</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23370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Tosh</dc:creator>
  <cp:lastModifiedBy>Tosh</cp:lastModifiedBy>
  <cp:revision>2</cp:revision>
  <dcterms:created xsi:type="dcterms:W3CDTF">2019-02-01T17:15:00Z</dcterms:created>
  <dcterms:modified xsi:type="dcterms:W3CDTF">2019-02-01T17:24:00Z</dcterms:modified>
</cp:coreProperties>
</file>