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E48FC" w:rsidRPr="006E48FC" w:rsidRDefault="006E48FC" w:rsidP="006E48FC">
      <w:pPr>
        <w:rPr>
          <w:rFonts w:asciiTheme="majorHAnsi" w:hAnsiTheme="majorHAnsi" w:cstheme="majorHAnsi"/>
          <w:sz w:val="28"/>
          <w:szCs w:val="28"/>
        </w:rPr>
      </w:pPr>
      <w:r w:rsidRPr="006E48FC">
        <w:rPr>
          <w:rFonts w:asciiTheme="majorHAnsi" w:hAnsiTheme="majorHAnsi" w:cstheme="majorHAnsi"/>
          <w:sz w:val="28"/>
          <w:szCs w:val="28"/>
        </w:rPr>
        <w:t>1903588    Paula</w:t>
      </w:r>
      <w:r w:rsidR="00DC0C52">
        <w:rPr>
          <w:rFonts w:asciiTheme="majorHAnsi" w:hAnsiTheme="majorHAnsi" w:cstheme="majorHAnsi"/>
          <w:sz w:val="28"/>
          <w:szCs w:val="28"/>
        </w:rPr>
        <w:t xml:space="preserve"> Smith             </w:t>
      </w:r>
      <w:bookmarkStart w:id="0" w:name="_GoBack"/>
      <w:bookmarkEnd w:id="0"/>
      <w:r w:rsidR="00DC0C52">
        <w:rPr>
          <w:rFonts w:asciiTheme="majorHAnsi" w:hAnsiTheme="majorHAnsi" w:cstheme="majorHAnsi"/>
          <w:sz w:val="28"/>
          <w:szCs w:val="28"/>
        </w:rPr>
        <w:t>Module   3</w:t>
      </w:r>
      <w:r w:rsidRPr="006E48FC">
        <w:rPr>
          <w:rFonts w:asciiTheme="majorHAnsi" w:hAnsiTheme="majorHAnsi" w:cstheme="majorHAnsi"/>
          <w:sz w:val="28"/>
          <w:szCs w:val="28"/>
        </w:rPr>
        <w:t>005                       03/11/2020</w:t>
      </w:r>
    </w:p>
    <w:p w:rsidR="006E48FC" w:rsidRPr="006E48FC" w:rsidRDefault="006E48FC" w:rsidP="006E48FC">
      <w:pPr>
        <w:rPr>
          <w:rFonts w:asciiTheme="majorHAnsi" w:hAnsiTheme="majorHAnsi" w:cstheme="majorHAnsi"/>
          <w:sz w:val="28"/>
          <w:szCs w:val="28"/>
        </w:rPr>
      </w:pPr>
      <w:r w:rsidRPr="006E48FC">
        <w:rPr>
          <w:rFonts w:asciiTheme="majorHAnsi" w:hAnsiTheme="majorHAnsi" w:cstheme="majorHAnsi"/>
          <w:sz w:val="28"/>
          <w:szCs w:val="28"/>
        </w:rPr>
        <w:t>Essay plan-</w:t>
      </w:r>
    </w:p>
    <w:p w:rsidR="007C7370" w:rsidRPr="006E48FC" w:rsidRDefault="007C7370" w:rsidP="00C00B8F">
      <w:pPr>
        <w:rPr>
          <w:rFonts w:asciiTheme="majorHAnsi" w:hAnsiTheme="majorHAnsi" w:cstheme="majorHAnsi"/>
          <w:sz w:val="28"/>
          <w:szCs w:val="28"/>
        </w:rPr>
      </w:pPr>
    </w:p>
    <w:p w:rsidR="00C00B8F" w:rsidRPr="006E48FC" w:rsidRDefault="006C1738" w:rsidP="00C00B8F">
      <w:pPr>
        <w:rPr>
          <w:rFonts w:asciiTheme="majorHAnsi" w:hAnsiTheme="majorHAnsi" w:cstheme="majorHAnsi"/>
          <w:color w:val="303030"/>
          <w:sz w:val="28"/>
          <w:szCs w:val="28"/>
          <w:shd w:val="clear" w:color="auto" w:fill="FFFFFF"/>
        </w:rPr>
      </w:pPr>
      <w:r w:rsidRPr="006E48FC">
        <w:rPr>
          <w:rFonts w:asciiTheme="majorHAnsi" w:hAnsiTheme="majorHAnsi" w:cstheme="majorHAnsi"/>
          <w:sz w:val="28"/>
          <w:szCs w:val="28"/>
        </w:rPr>
        <w:t>B</w:t>
      </w:r>
      <w:r w:rsidR="00C00B8F" w:rsidRPr="006E48FC">
        <w:rPr>
          <w:rFonts w:asciiTheme="majorHAnsi" w:hAnsiTheme="majorHAnsi" w:cstheme="majorHAnsi"/>
          <w:sz w:val="28"/>
          <w:szCs w:val="28"/>
        </w:rPr>
        <w:t>ereavement can trigger both physical and mental health issues (Gupta.2015). A depressive reaction can lead to developing Prolonged Grief</w:t>
      </w:r>
      <w:r w:rsidRPr="006E48FC">
        <w:rPr>
          <w:rFonts w:asciiTheme="majorHAnsi" w:hAnsiTheme="majorHAnsi" w:cstheme="majorHAnsi"/>
          <w:sz w:val="28"/>
          <w:szCs w:val="28"/>
        </w:rPr>
        <w:t xml:space="preserve"> Disorder which</w:t>
      </w:r>
      <w:r w:rsidR="00C0373A">
        <w:rPr>
          <w:rFonts w:asciiTheme="majorHAnsi" w:hAnsiTheme="majorHAnsi" w:cstheme="majorHAnsi"/>
          <w:sz w:val="28"/>
          <w:szCs w:val="28"/>
        </w:rPr>
        <w:t xml:space="preserve"> can have a </w:t>
      </w:r>
      <w:r w:rsidRPr="006E48FC">
        <w:rPr>
          <w:rFonts w:asciiTheme="majorHAnsi" w:hAnsiTheme="majorHAnsi" w:cstheme="majorHAnsi"/>
          <w:sz w:val="28"/>
          <w:szCs w:val="28"/>
        </w:rPr>
        <w:t>poor</w:t>
      </w:r>
      <w:r w:rsidR="00C0373A">
        <w:rPr>
          <w:rFonts w:asciiTheme="majorHAnsi" w:hAnsiTheme="majorHAnsi" w:cstheme="majorHAnsi"/>
          <w:sz w:val="28"/>
          <w:szCs w:val="28"/>
        </w:rPr>
        <w:t xml:space="preserve"> outcome</w:t>
      </w:r>
      <w:r w:rsidR="00C00B8F" w:rsidRPr="006E48FC">
        <w:rPr>
          <w:rFonts w:asciiTheme="majorHAnsi" w:hAnsiTheme="majorHAnsi" w:cstheme="majorHAnsi"/>
          <w:sz w:val="28"/>
          <w:szCs w:val="28"/>
        </w:rPr>
        <w:t xml:space="preserve">. Depression can be fatal, and failing to diagnose it because there has been the loss of a loved </w:t>
      </w:r>
      <w:r w:rsidR="004E5A76" w:rsidRPr="006E48FC">
        <w:rPr>
          <w:rFonts w:asciiTheme="majorHAnsi" w:hAnsiTheme="majorHAnsi" w:cstheme="majorHAnsi"/>
          <w:sz w:val="28"/>
          <w:szCs w:val="28"/>
        </w:rPr>
        <w:t>one can leave a person</w:t>
      </w:r>
      <w:r w:rsidR="00C00B8F" w:rsidRPr="006E48FC">
        <w:rPr>
          <w:rFonts w:asciiTheme="majorHAnsi" w:hAnsiTheme="majorHAnsi" w:cstheme="majorHAnsi"/>
          <w:sz w:val="28"/>
          <w:szCs w:val="28"/>
        </w:rPr>
        <w:t xml:space="preserve"> vulnerable</w:t>
      </w:r>
      <w:r w:rsidR="004E5A76" w:rsidRPr="006E48FC">
        <w:rPr>
          <w:rFonts w:asciiTheme="majorHAnsi" w:hAnsiTheme="majorHAnsi" w:cstheme="majorHAnsi"/>
          <w:sz w:val="28"/>
          <w:szCs w:val="28"/>
        </w:rPr>
        <w:t xml:space="preserve"> to</w:t>
      </w:r>
      <w:r w:rsidR="00C00B8F" w:rsidRPr="006E48FC">
        <w:rPr>
          <w:rFonts w:asciiTheme="majorHAnsi" w:hAnsiTheme="majorHAnsi" w:cstheme="majorHAnsi"/>
          <w:sz w:val="28"/>
          <w:szCs w:val="28"/>
        </w:rPr>
        <w:t xml:space="preserve"> a life threatening illness (</w:t>
      </w:r>
      <w:r w:rsidR="00C00B8F" w:rsidRPr="006E48FC">
        <w:rPr>
          <w:rFonts w:asciiTheme="majorHAnsi" w:hAnsiTheme="majorHAnsi" w:cstheme="majorHAnsi"/>
          <w:color w:val="303030"/>
          <w:sz w:val="28"/>
          <w:szCs w:val="28"/>
          <w:shd w:val="clear" w:color="auto" w:fill="FFFFFF"/>
        </w:rPr>
        <w:t>Pies.2014).</w:t>
      </w:r>
    </w:p>
    <w:p w:rsidR="004E36C8" w:rsidRPr="006E48FC" w:rsidRDefault="004E36C8" w:rsidP="004E36C8">
      <w:pPr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</w:pPr>
      <w:r w:rsidRPr="006E48FC">
        <w:rPr>
          <w:rFonts w:asciiTheme="majorHAnsi" w:hAnsiTheme="majorHAnsi" w:cstheme="majorHAnsi"/>
          <w:sz w:val="28"/>
          <w:szCs w:val="28"/>
        </w:rPr>
        <w:t>There is no right way to grieve, and the experi</w:t>
      </w:r>
      <w:r w:rsidR="006C1738" w:rsidRPr="006E48FC">
        <w:rPr>
          <w:rFonts w:asciiTheme="majorHAnsi" w:hAnsiTheme="majorHAnsi" w:cstheme="majorHAnsi"/>
          <w:sz w:val="28"/>
          <w:szCs w:val="28"/>
        </w:rPr>
        <w:t>ence varies according to</w:t>
      </w:r>
      <w:r w:rsidRPr="006E48FC">
        <w:rPr>
          <w:rFonts w:asciiTheme="majorHAnsi" w:hAnsiTheme="majorHAnsi" w:cstheme="majorHAnsi"/>
          <w:sz w:val="28"/>
          <w:szCs w:val="28"/>
        </w:rPr>
        <w:t xml:space="preserve"> factors including a person’s age</w:t>
      </w:r>
      <w:r w:rsidRPr="006E48FC"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  <w:t xml:space="preserve"> (Burns. 2020)</w:t>
      </w:r>
      <w:r w:rsidRPr="006E48FC">
        <w:rPr>
          <w:rFonts w:asciiTheme="majorHAnsi" w:hAnsiTheme="majorHAnsi" w:cstheme="majorHAnsi"/>
          <w:sz w:val="28"/>
          <w:szCs w:val="28"/>
        </w:rPr>
        <w:t>, culture</w:t>
      </w: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 (Catlin.1993),</w:t>
      </w:r>
      <w:r w:rsidRPr="006E48FC">
        <w:rPr>
          <w:rFonts w:asciiTheme="majorHAnsi" w:hAnsiTheme="majorHAnsi" w:cstheme="majorHAnsi"/>
          <w:sz w:val="28"/>
          <w:szCs w:val="28"/>
        </w:rPr>
        <w:t xml:space="preserve"> and intellectual ability</w:t>
      </w: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 (</w:t>
      </w:r>
      <w:proofErr w:type="spellStart"/>
      <w:r w:rsidR="006E48FC"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Alcedo</w:t>
      </w:r>
      <w:proofErr w:type="spellEnd"/>
      <w:r w:rsidR="006E48FC"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 </w:t>
      </w:r>
      <w:proofErr w:type="gramStart"/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Rodríguez </w:t>
      </w:r>
      <w:r w:rsidR="006E48FC"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,</w:t>
      </w:r>
      <w:proofErr w:type="gramEnd"/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 </w:t>
      </w:r>
      <w:proofErr w:type="spellStart"/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Ángeles</w:t>
      </w:r>
      <w:proofErr w:type="spellEnd"/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, 2018)</w:t>
      </w:r>
      <w:r w:rsidRPr="006E48FC">
        <w:rPr>
          <w:rFonts w:asciiTheme="majorHAnsi" w:hAnsiTheme="majorHAnsi" w:cstheme="majorHAnsi"/>
          <w:sz w:val="28"/>
          <w:szCs w:val="28"/>
        </w:rPr>
        <w:t>. In children it is particularly hard to spot, as they have a different response to understanding loss</w:t>
      </w:r>
      <w:r w:rsidR="006C1738" w:rsidRPr="006E48FC">
        <w:rPr>
          <w:rFonts w:asciiTheme="majorHAnsi" w:hAnsiTheme="majorHAnsi" w:cstheme="majorHAnsi"/>
          <w:sz w:val="28"/>
          <w:szCs w:val="28"/>
        </w:rPr>
        <w:t xml:space="preserve"> than adults (Burns</w:t>
      </w:r>
      <w:proofErr w:type="gramStart"/>
      <w:r w:rsidR="006C1738" w:rsidRPr="006E48FC">
        <w:rPr>
          <w:rFonts w:asciiTheme="majorHAnsi" w:hAnsiTheme="majorHAnsi" w:cstheme="majorHAnsi"/>
          <w:sz w:val="28"/>
          <w:szCs w:val="28"/>
        </w:rPr>
        <w:t>,2010</w:t>
      </w:r>
      <w:proofErr w:type="gramEnd"/>
      <w:r w:rsidR="006C1738" w:rsidRPr="006E48FC">
        <w:rPr>
          <w:rFonts w:asciiTheme="majorHAnsi" w:hAnsiTheme="majorHAnsi" w:cstheme="majorHAnsi"/>
          <w:sz w:val="28"/>
          <w:szCs w:val="28"/>
        </w:rPr>
        <w:t>).</w:t>
      </w:r>
    </w:p>
    <w:p w:rsidR="00C00B8F" w:rsidRPr="006E48FC" w:rsidRDefault="00C00B8F" w:rsidP="00C00B8F">
      <w:pPr>
        <w:rPr>
          <w:rFonts w:asciiTheme="majorHAnsi" w:hAnsiTheme="majorHAnsi" w:cstheme="majorHAnsi"/>
          <w:sz w:val="28"/>
          <w:szCs w:val="28"/>
        </w:rPr>
      </w:pPr>
      <w:r w:rsidRPr="006E48FC">
        <w:rPr>
          <w:rFonts w:asciiTheme="majorHAnsi" w:hAnsiTheme="majorHAnsi" w:cstheme="majorHAnsi"/>
          <w:sz w:val="28"/>
          <w:szCs w:val="28"/>
        </w:rPr>
        <w:t>Grief is a dynamic process, with t</w:t>
      </w:r>
      <w:r w:rsidR="004E5A76" w:rsidRPr="006E48FC">
        <w:rPr>
          <w:rFonts w:asciiTheme="majorHAnsi" w:hAnsiTheme="majorHAnsi" w:cstheme="majorHAnsi"/>
          <w:sz w:val="28"/>
          <w:szCs w:val="28"/>
        </w:rPr>
        <w:t>imes of distress and sadness fluctuating with</w:t>
      </w:r>
      <w:r w:rsidRPr="006E48FC">
        <w:rPr>
          <w:rFonts w:asciiTheme="majorHAnsi" w:hAnsiTheme="majorHAnsi" w:cstheme="majorHAnsi"/>
          <w:sz w:val="28"/>
          <w:szCs w:val="28"/>
        </w:rPr>
        <w:t xml:space="preserve"> times of being a</w:t>
      </w:r>
      <w:r w:rsidR="00C008AE" w:rsidRPr="006E48FC">
        <w:rPr>
          <w:rFonts w:asciiTheme="majorHAnsi" w:hAnsiTheme="majorHAnsi" w:cstheme="majorHAnsi"/>
          <w:sz w:val="28"/>
          <w:szCs w:val="28"/>
        </w:rPr>
        <w:t>ble to engage with life (</w:t>
      </w:r>
      <w:proofErr w:type="spellStart"/>
      <w:r w:rsidR="00C008AE" w:rsidRPr="007C7370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Stroebe</w:t>
      </w:r>
      <w:proofErr w:type="spellEnd"/>
      <w:r w:rsidR="00C008AE" w:rsidRPr="007C7370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 M, </w:t>
      </w:r>
      <w:proofErr w:type="spellStart"/>
      <w:proofErr w:type="gramStart"/>
      <w:r w:rsidR="00C008AE" w:rsidRPr="007C7370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Schut</w:t>
      </w:r>
      <w:proofErr w:type="spellEnd"/>
      <w:r w:rsidR="00C008AE" w:rsidRPr="007C7370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 </w:t>
      </w:r>
      <w:r w:rsidR="00C008AE" w:rsidRPr="006E48FC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)</w:t>
      </w:r>
      <w:proofErr w:type="gramEnd"/>
      <w:r w:rsidR="00C008AE" w:rsidRPr="006E48FC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. </w:t>
      </w:r>
      <w:r w:rsidRPr="006E48FC">
        <w:rPr>
          <w:rFonts w:asciiTheme="majorHAnsi" w:hAnsiTheme="majorHAnsi" w:cstheme="majorHAnsi"/>
          <w:sz w:val="28"/>
          <w:szCs w:val="28"/>
        </w:rPr>
        <w:t>Depression is not so dynamic. It tends to be relentless sadness, with a drive towards isolation. Mood does not lift with experiences, and symptoms persist over weeks. When a person has a history of depression, loss can cause a rel</w:t>
      </w:r>
      <w:r w:rsidR="00C008AE" w:rsidRPr="006E48FC">
        <w:rPr>
          <w:rFonts w:asciiTheme="majorHAnsi" w:hAnsiTheme="majorHAnsi" w:cstheme="majorHAnsi"/>
          <w:sz w:val="28"/>
          <w:szCs w:val="28"/>
        </w:rPr>
        <w:t>apse (</w:t>
      </w:r>
      <w:r w:rsidR="00C008AE"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Parker</w:t>
      </w: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, et al. 2015.)</w:t>
      </w:r>
    </w:p>
    <w:p w:rsidR="00E233C3" w:rsidRPr="006E48FC" w:rsidRDefault="00E233C3" w:rsidP="00E233C3">
      <w:pPr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</w:pP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It may be possible to underst</w:t>
      </w:r>
      <w:r w:rsidR="006C1738"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and that a person with </w:t>
      </w:r>
      <w:r w:rsidR="00A05567"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a </w:t>
      </w:r>
      <w:r w:rsidR="004E5A76"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vulnerability to depression and</w:t>
      </w:r>
      <w:r w:rsidR="006C1738"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 the</w:t>
      </w: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 accompanying emotional and social isolation, </w:t>
      </w:r>
      <w:r w:rsidR="00A05567"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cannot easily access </w:t>
      </w: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the known benefits of social </w:t>
      </w:r>
      <w:r w:rsidR="00A05567"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bonding (</w:t>
      </w: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Catlin.1993).  </w:t>
      </w:r>
      <w:r w:rsidR="004E5A76"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With this in mind</w:t>
      </w: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, prolonged grief may be easier to understand. Knowing gri</w:t>
      </w:r>
      <w:r w:rsidR="004E5A76"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ef does not preclude depression </w:t>
      </w:r>
      <w:r w:rsidR="004E5A76" w:rsidRPr="006E48FC">
        <w:rPr>
          <w:rFonts w:asciiTheme="majorHAnsi" w:hAnsiTheme="majorHAnsi" w:cstheme="majorHAnsi"/>
          <w:sz w:val="28"/>
          <w:szCs w:val="28"/>
        </w:rPr>
        <w:t>(</w:t>
      </w:r>
      <w:r w:rsidR="004E5A76" w:rsidRPr="006E48FC">
        <w:rPr>
          <w:rFonts w:asciiTheme="majorHAnsi" w:hAnsiTheme="majorHAnsi" w:cstheme="majorHAnsi"/>
          <w:color w:val="303030"/>
          <w:sz w:val="28"/>
          <w:szCs w:val="28"/>
          <w:shd w:val="clear" w:color="auto" w:fill="FFFFFF"/>
        </w:rPr>
        <w:t xml:space="preserve">Pies.2014), </w:t>
      </w: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treatment could combine </w:t>
      </w:r>
      <w:r w:rsidR="004E5A76"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antidepressant </w:t>
      </w: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medication that</w:t>
      </w:r>
      <w:r w:rsidR="004E5A76"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 changes</w:t>
      </w:r>
      <w:r w:rsidR="006C1738"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 the chemical</w:t>
      </w: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 balance in </w:t>
      </w:r>
      <w:r w:rsidR="006C1738"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the body,</w:t>
      </w:r>
      <w:r w:rsidR="004E5A76"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 alongside the </w:t>
      </w: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conversation and consistent good will </w:t>
      </w:r>
      <w:r w:rsidR="004E5A76"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of a therapeutic relationship, to rebuild</w:t>
      </w: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 lives.</w:t>
      </w:r>
    </w:p>
    <w:p w:rsidR="007C7370" w:rsidRPr="006E48FC" w:rsidRDefault="007C7370" w:rsidP="00C00B8F">
      <w:pPr>
        <w:rPr>
          <w:rFonts w:asciiTheme="majorHAnsi" w:hAnsiTheme="majorHAnsi" w:cstheme="majorHAnsi"/>
          <w:sz w:val="28"/>
          <w:szCs w:val="28"/>
        </w:rPr>
      </w:pPr>
    </w:p>
    <w:p w:rsidR="007C7370" w:rsidRPr="006E48FC" w:rsidRDefault="00E17149" w:rsidP="00C00B8F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Reference list-</w:t>
      </w:r>
    </w:p>
    <w:p w:rsidR="00E17149" w:rsidRPr="00E17149" w:rsidRDefault="00E17149" w:rsidP="00E17149">
      <w:pPr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</w:pPr>
      <w:r w:rsidRPr="00E17149"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  <w:t>Burns, Donna M</w:t>
      </w:r>
      <w:proofErr w:type="gramStart"/>
      <w:r w:rsidRPr="00E17149"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  <w:t>.(</w:t>
      </w:r>
      <w:proofErr w:type="gramEnd"/>
      <w:r w:rsidRPr="00E17149"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  <w:t xml:space="preserve">2010) When Kids are </w:t>
      </w:r>
      <w:proofErr w:type="spellStart"/>
      <w:r w:rsidRPr="00E17149"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  <w:t>Grieving.SAGE</w:t>
      </w:r>
      <w:proofErr w:type="spellEnd"/>
      <w:r w:rsidRPr="00E17149"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  <w:t xml:space="preserve"> Ltd.Londan.UK</w:t>
      </w:r>
    </w:p>
    <w:p w:rsidR="00E17149" w:rsidRDefault="00A05567" w:rsidP="00A05567">
      <w:pPr>
        <w:rPr>
          <w:rFonts w:asciiTheme="majorHAnsi" w:hAnsiTheme="majorHAnsi" w:cstheme="majorHAnsi"/>
          <w:iCs/>
          <w:color w:val="333333"/>
          <w:sz w:val="28"/>
          <w:szCs w:val="28"/>
          <w:shd w:val="clear" w:color="auto" w:fill="FFFFFF"/>
        </w:rPr>
      </w:pP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Catlin, George, 1993. The Role of Culture in Grief. </w:t>
      </w:r>
      <w:r w:rsidRPr="006E48FC">
        <w:rPr>
          <w:rFonts w:asciiTheme="majorHAnsi" w:hAnsiTheme="majorHAnsi" w:cstheme="majorHAnsi"/>
          <w:i/>
          <w:iCs/>
          <w:color w:val="3A3A3A"/>
          <w:sz w:val="28"/>
          <w:szCs w:val="28"/>
          <w:shd w:val="clear" w:color="auto" w:fill="FFFFFF"/>
        </w:rPr>
        <w:t>Journal of Social Psychology</w:t>
      </w: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, </w:t>
      </w:r>
      <w:proofErr w:type="gramStart"/>
      <w:r w:rsidR="00E17149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vol</w:t>
      </w: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133(</w:t>
      </w:r>
      <w:proofErr w:type="gramEnd"/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2), pp.173–185.</w:t>
      </w:r>
    </w:p>
    <w:p w:rsidR="00A05567" w:rsidRPr="00E17149" w:rsidRDefault="00A05567" w:rsidP="00A05567">
      <w:pPr>
        <w:rPr>
          <w:rFonts w:asciiTheme="majorHAnsi" w:hAnsiTheme="majorHAnsi" w:cstheme="majorHAnsi"/>
          <w:iCs/>
          <w:color w:val="333333"/>
          <w:sz w:val="28"/>
          <w:szCs w:val="28"/>
          <w:shd w:val="clear" w:color="auto" w:fill="FFFFFF"/>
        </w:rPr>
      </w:pPr>
      <w:proofErr w:type="spellStart"/>
      <w:r w:rsidRPr="006E48FC">
        <w:rPr>
          <w:rFonts w:asciiTheme="majorHAnsi" w:hAnsiTheme="majorHAnsi" w:cstheme="majorHAnsi"/>
          <w:sz w:val="28"/>
          <w:szCs w:val="28"/>
        </w:rPr>
        <w:t>Gupta</w:t>
      </w:r>
      <w:proofErr w:type="gramStart"/>
      <w:r w:rsidRPr="006E48FC">
        <w:rPr>
          <w:rFonts w:asciiTheme="majorHAnsi" w:hAnsiTheme="majorHAnsi" w:cstheme="majorHAnsi"/>
          <w:sz w:val="28"/>
          <w:szCs w:val="28"/>
        </w:rPr>
        <w:t>,S</w:t>
      </w:r>
      <w:proofErr w:type="spellEnd"/>
      <w:proofErr w:type="gramEnd"/>
      <w:r w:rsidRPr="006E48FC">
        <w:rPr>
          <w:rFonts w:asciiTheme="majorHAnsi" w:hAnsiTheme="majorHAnsi" w:cstheme="majorHAnsi"/>
          <w:sz w:val="28"/>
          <w:szCs w:val="28"/>
        </w:rPr>
        <w:t xml:space="preserve">. 2015. </w:t>
      </w:r>
      <w:proofErr w:type="spellStart"/>
      <w:r w:rsidRPr="006E48FC">
        <w:rPr>
          <w:rFonts w:asciiTheme="majorHAnsi" w:hAnsiTheme="majorHAnsi" w:cstheme="majorHAnsi"/>
          <w:sz w:val="28"/>
          <w:szCs w:val="28"/>
        </w:rPr>
        <w:t>Ever</w:t>
      </w:r>
      <w:proofErr w:type="spellEnd"/>
      <w:r w:rsidRPr="006E48FC">
        <w:rPr>
          <w:rFonts w:asciiTheme="majorHAnsi" w:hAnsiTheme="majorHAnsi" w:cstheme="majorHAnsi"/>
          <w:sz w:val="28"/>
          <w:szCs w:val="28"/>
        </w:rPr>
        <w:t xml:space="preserve"> Day Health. How Grief Can Make You Sick. Available at: </w:t>
      </w:r>
      <w:hyperlink r:id="rId4" w:history="1">
        <w:r w:rsidRPr="006E48FC">
          <w:rPr>
            <w:rStyle w:val="Hyperlink"/>
            <w:rFonts w:asciiTheme="majorHAnsi" w:hAnsiTheme="majorHAnsi" w:cstheme="majorHAnsi"/>
            <w:sz w:val="28"/>
            <w:szCs w:val="28"/>
          </w:rPr>
          <w:t>https://www.everydayhealth.com/news/how-grief-can-make-you-sick/</w:t>
        </w:r>
      </w:hyperlink>
      <w:r w:rsidRPr="006E48FC">
        <w:rPr>
          <w:rFonts w:asciiTheme="majorHAnsi" w:hAnsiTheme="majorHAnsi" w:cstheme="majorHAnsi"/>
          <w:sz w:val="28"/>
          <w:szCs w:val="28"/>
        </w:rPr>
        <w:t>. Accessed on 02/11/2020</w:t>
      </w:r>
    </w:p>
    <w:p w:rsidR="00A05567" w:rsidRPr="00E17149" w:rsidRDefault="00A05567" w:rsidP="00E17149">
      <w:pPr>
        <w:shd w:val="clear" w:color="auto" w:fill="FFFFFF"/>
        <w:spacing w:after="240" w:line="240" w:lineRule="auto"/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</w:pP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lastRenderedPageBreak/>
        <w:t xml:space="preserve">Parker, Gordon, </w:t>
      </w:r>
      <w:proofErr w:type="spellStart"/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McCraw</w:t>
      </w:r>
      <w:proofErr w:type="spellEnd"/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, Stacey &amp; Paterson, Amelia, 2015. </w:t>
      </w:r>
      <w:r w:rsidRPr="006E48FC">
        <w:rPr>
          <w:rFonts w:asciiTheme="majorHAnsi" w:hAnsiTheme="majorHAnsi" w:cstheme="majorHAnsi"/>
          <w:i/>
          <w:iCs/>
          <w:color w:val="3A3A3A"/>
          <w:sz w:val="28"/>
          <w:szCs w:val="28"/>
          <w:shd w:val="clear" w:color="auto" w:fill="FFFFFF"/>
        </w:rPr>
        <w:t>Journal of Affective Disorders</w:t>
      </w: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, </w:t>
      </w:r>
      <w:r w:rsidR="00E17149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vol</w:t>
      </w: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176, pp.43–47.</w:t>
      </w:r>
    </w:p>
    <w:p w:rsidR="00A05567" w:rsidRDefault="00A05567" w:rsidP="00A05567">
      <w:pPr>
        <w:shd w:val="clear" w:color="auto" w:fill="FFFFFF"/>
        <w:spacing w:after="0" w:line="240" w:lineRule="auto"/>
        <w:rPr>
          <w:rFonts w:asciiTheme="majorHAnsi" w:hAnsiTheme="majorHAnsi" w:cstheme="majorHAnsi"/>
          <w:color w:val="303030"/>
          <w:sz w:val="28"/>
          <w:szCs w:val="28"/>
          <w:shd w:val="clear" w:color="auto" w:fill="FFFFFF"/>
        </w:rPr>
      </w:pPr>
      <w:r w:rsidRPr="006E48FC">
        <w:rPr>
          <w:rFonts w:asciiTheme="majorHAnsi" w:hAnsiTheme="majorHAnsi" w:cstheme="majorHAnsi"/>
          <w:color w:val="303030"/>
          <w:sz w:val="28"/>
          <w:szCs w:val="28"/>
          <w:shd w:val="clear" w:color="auto" w:fill="FFFFFF"/>
        </w:rPr>
        <w:t>Pies R. W. (2014).</w:t>
      </w:r>
      <w:r w:rsidR="00E17149" w:rsidRPr="006E48FC">
        <w:rPr>
          <w:rFonts w:asciiTheme="majorHAnsi" w:hAnsiTheme="majorHAnsi" w:cstheme="majorHAnsi"/>
          <w:i/>
          <w:iCs/>
          <w:color w:val="303030"/>
          <w:sz w:val="28"/>
          <w:szCs w:val="28"/>
          <w:shd w:val="clear" w:color="auto" w:fill="FFFFFF"/>
        </w:rPr>
        <w:t xml:space="preserve"> </w:t>
      </w:r>
      <w:r w:rsidRPr="006E48FC">
        <w:rPr>
          <w:rFonts w:asciiTheme="majorHAnsi" w:hAnsiTheme="majorHAnsi" w:cstheme="majorHAnsi"/>
          <w:i/>
          <w:iCs/>
          <w:color w:val="303030"/>
          <w:sz w:val="28"/>
          <w:szCs w:val="28"/>
          <w:shd w:val="clear" w:color="auto" w:fill="FFFFFF"/>
        </w:rPr>
        <w:t>Innovations in clinical neuroscience</w:t>
      </w:r>
      <w:r w:rsidRPr="006E48FC">
        <w:rPr>
          <w:rFonts w:asciiTheme="majorHAnsi" w:hAnsiTheme="majorHAnsi" w:cstheme="majorHAnsi"/>
          <w:color w:val="303030"/>
          <w:sz w:val="28"/>
          <w:szCs w:val="28"/>
          <w:shd w:val="clear" w:color="auto" w:fill="FFFFFF"/>
        </w:rPr>
        <w:t>, </w:t>
      </w:r>
      <w:proofErr w:type="gramStart"/>
      <w:r w:rsidR="00E17149">
        <w:rPr>
          <w:rFonts w:asciiTheme="majorHAnsi" w:hAnsiTheme="majorHAnsi" w:cstheme="majorHAnsi"/>
          <w:color w:val="303030"/>
          <w:sz w:val="28"/>
          <w:szCs w:val="28"/>
          <w:shd w:val="clear" w:color="auto" w:fill="FFFFFF"/>
        </w:rPr>
        <w:t>vol</w:t>
      </w:r>
      <w:r w:rsidRPr="006E48FC">
        <w:rPr>
          <w:rFonts w:asciiTheme="majorHAnsi" w:hAnsiTheme="majorHAnsi" w:cstheme="majorHAnsi"/>
          <w:i/>
          <w:iCs/>
          <w:color w:val="303030"/>
          <w:sz w:val="28"/>
          <w:szCs w:val="28"/>
          <w:shd w:val="clear" w:color="auto" w:fill="FFFFFF"/>
        </w:rPr>
        <w:t>11</w:t>
      </w:r>
      <w:r w:rsidRPr="006E48FC">
        <w:rPr>
          <w:rFonts w:asciiTheme="majorHAnsi" w:hAnsiTheme="majorHAnsi" w:cstheme="majorHAnsi"/>
          <w:color w:val="303030"/>
          <w:sz w:val="28"/>
          <w:szCs w:val="28"/>
          <w:shd w:val="clear" w:color="auto" w:fill="FFFFFF"/>
        </w:rPr>
        <w:t>(</w:t>
      </w:r>
      <w:proofErr w:type="gramEnd"/>
      <w:r w:rsidRPr="006E48FC">
        <w:rPr>
          <w:rFonts w:asciiTheme="majorHAnsi" w:hAnsiTheme="majorHAnsi" w:cstheme="majorHAnsi"/>
          <w:color w:val="303030"/>
          <w:sz w:val="28"/>
          <w:szCs w:val="28"/>
          <w:shd w:val="clear" w:color="auto" w:fill="FFFFFF"/>
        </w:rPr>
        <w:t xml:space="preserve">7-8), </w:t>
      </w:r>
      <w:r w:rsidR="00E17149">
        <w:rPr>
          <w:rFonts w:asciiTheme="majorHAnsi" w:hAnsiTheme="majorHAnsi" w:cstheme="majorHAnsi"/>
          <w:color w:val="303030"/>
          <w:sz w:val="28"/>
          <w:szCs w:val="28"/>
          <w:shd w:val="clear" w:color="auto" w:fill="FFFFFF"/>
        </w:rPr>
        <w:t>pp</w:t>
      </w:r>
      <w:r w:rsidRPr="006E48FC">
        <w:rPr>
          <w:rFonts w:asciiTheme="majorHAnsi" w:hAnsiTheme="majorHAnsi" w:cstheme="majorHAnsi"/>
          <w:color w:val="303030"/>
          <w:sz w:val="28"/>
          <w:szCs w:val="28"/>
          <w:shd w:val="clear" w:color="auto" w:fill="FFFFFF"/>
        </w:rPr>
        <w:t>19–22. Available at:</w:t>
      </w:r>
      <w:r w:rsidRPr="006E48FC">
        <w:rPr>
          <w:rFonts w:asciiTheme="majorHAnsi" w:hAnsiTheme="majorHAnsi" w:cstheme="majorHAnsi"/>
          <w:sz w:val="28"/>
          <w:szCs w:val="28"/>
        </w:rPr>
        <w:t xml:space="preserve"> </w:t>
      </w:r>
      <w:hyperlink r:id="rId5" w:history="1">
        <w:r w:rsidRPr="006E48FC">
          <w:rPr>
            <w:rStyle w:val="Hyperlink"/>
            <w:rFonts w:asciiTheme="majorHAnsi" w:hAnsiTheme="majorHAnsi" w:cstheme="majorHAnsi"/>
            <w:sz w:val="28"/>
            <w:szCs w:val="28"/>
            <w:shd w:val="clear" w:color="auto" w:fill="FFFFFF"/>
          </w:rPr>
          <w:t>https://www.ncbi.nlm.nih.gov/pmc/articles/PMC4204469/</w:t>
        </w:r>
      </w:hyperlink>
      <w:r w:rsidRPr="006E48FC">
        <w:rPr>
          <w:rFonts w:asciiTheme="majorHAnsi" w:hAnsiTheme="majorHAnsi" w:cstheme="majorHAnsi"/>
          <w:color w:val="303030"/>
          <w:sz w:val="28"/>
          <w:szCs w:val="28"/>
          <w:shd w:val="clear" w:color="auto" w:fill="FFFFFF"/>
        </w:rPr>
        <w:t>. Accessed on 24/10/2020.</w:t>
      </w:r>
    </w:p>
    <w:p w:rsidR="00E17149" w:rsidRPr="006E48FC" w:rsidRDefault="00E17149" w:rsidP="00A05567">
      <w:pPr>
        <w:shd w:val="clear" w:color="auto" w:fill="FFFFFF"/>
        <w:spacing w:after="0" w:line="240" w:lineRule="auto"/>
        <w:rPr>
          <w:rFonts w:asciiTheme="majorHAnsi" w:eastAsia="Times New Roman" w:hAnsiTheme="majorHAnsi" w:cstheme="majorHAnsi"/>
          <w:color w:val="000000"/>
          <w:sz w:val="28"/>
          <w:szCs w:val="28"/>
          <w:lang w:eastAsia="en-GB"/>
        </w:rPr>
      </w:pPr>
    </w:p>
    <w:p w:rsidR="00A05567" w:rsidRPr="00E17149" w:rsidRDefault="00E17149" w:rsidP="00E17149">
      <w:pPr>
        <w:shd w:val="clear" w:color="auto" w:fill="FFFFFF"/>
        <w:spacing w:after="0" w:line="240" w:lineRule="auto"/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</w:pPr>
      <w:proofErr w:type="spellStart"/>
      <w:r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Rodríguez</w:t>
      </w:r>
      <w:proofErr w:type="gramStart"/>
      <w:r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,A</w:t>
      </w:r>
      <w:proofErr w:type="spellEnd"/>
      <w:proofErr w:type="gramEnd"/>
      <w:r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 and</w:t>
      </w: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 M. </w:t>
      </w:r>
      <w:proofErr w:type="spellStart"/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Ángeles</w:t>
      </w:r>
      <w:proofErr w:type="spellEnd"/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, 2018. </w:t>
      </w:r>
      <w:r w:rsidRPr="006E48FC">
        <w:rPr>
          <w:rFonts w:asciiTheme="majorHAnsi" w:hAnsiTheme="majorHAnsi" w:cstheme="majorHAnsi"/>
          <w:i/>
          <w:iCs/>
          <w:color w:val="3A3A3A"/>
          <w:sz w:val="28"/>
          <w:szCs w:val="28"/>
          <w:shd w:val="clear" w:color="auto" w:fill="FFFFFF"/>
        </w:rPr>
        <w:t>Journal of Applied Research in Intellectual Disabilities</w:t>
      </w: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 xml:space="preserve">, </w:t>
      </w:r>
      <w:proofErr w:type="gramStart"/>
      <w:r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vol</w:t>
      </w:r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31(</w:t>
      </w:r>
      <w:proofErr w:type="gramEnd"/>
      <w:r w:rsidRPr="006E48FC">
        <w:rPr>
          <w:rFonts w:asciiTheme="majorHAnsi" w:hAnsiTheme="majorHAnsi" w:cstheme="majorHAnsi"/>
          <w:color w:val="3A3A3A"/>
          <w:sz w:val="28"/>
          <w:szCs w:val="28"/>
          <w:shd w:val="clear" w:color="auto" w:fill="FFFFFF"/>
        </w:rPr>
        <w:t>6), pp.999–1008.</w:t>
      </w:r>
    </w:p>
    <w:p w:rsidR="00C008AE" w:rsidRPr="006E48FC" w:rsidRDefault="00C008AE" w:rsidP="007C7370">
      <w:pPr>
        <w:shd w:val="clear" w:color="auto" w:fill="FFFFFF"/>
        <w:spacing w:after="0" w:line="240" w:lineRule="auto"/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</w:pPr>
    </w:p>
    <w:p w:rsidR="007C7370" w:rsidRPr="007C7370" w:rsidRDefault="007C7370" w:rsidP="007C7370">
      <w:pPr>
        <w:shd w:val="clear" w:color="auto" w:fill="FFFFFF"/>
        <w:spacing w:after="0" w:line="240" w:lineRule="auto"/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</w:pPr>
      <w:proofErr w:type="spellStart"/>
      <w:r w:rsidRPr="007C7370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Stroebe</w:t>
      </w:r>
      <w:proofErr w:type="spellEnd"/>
      <w:r w:rsidRPr="007C7370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 M, </w:t>
      </w:r>
      <w:proofErr w:type="spellStart"/>
      <w:r w:rsidRPr="007C7370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Schut</w:t>
      </w:r>
      <w:proofErr w:type="spellEnd"/>
      <w:r w:rsidRPr="007C7370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 H. </w:t>
      </w:r>
      <w:r w:rsidR="00E17149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(2010</w:t>
      </w:r>
      <w:proofErr w:type="gramStart"/>
      <w:r w:rsidR="00E17149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)</w:t>
      </w:r>
      <w:r w:rsidRPr="007C7370">
        <w:rPr>
          <w:rFonts w:asciiTheme="majorHAnsi" w:eastAsia="Times New Roman" w:hAnsiTheme="majorHAnsi" w:cstheme="majorHAnsi"/>
          <w:i/>
          <w:iCs/>
          <w:color w:val="333333"/>
          <w:sz w:val="28"/>
          <w:szCs w:val="28"/>
          <w:lang w:eastAsia="en-GB"/>
        </w:rPr>
        <w:t>OMEGA</w:t>
      </w:r>
      <w:proofErr w:type="gramEnd"/>
      <w:r w:rsidRPr="007C7370">
        <w:rPr>
          <w:rFonts w:asciiTheme="majorHAnsi" w:eastAsia="Times New Roman" w:hAnsiTheme="majorHAnsi" w:cstheme="majorHAnsi"/>
          <w:i/>
          <w:iCs/>
          <w:color w:val="333333"/>
          <w:sz w:val="28"/>
          <w:szCs w:val="28"/>
          <w:lang w:eastAsia="en-GB"/>
        </w:rPr>
        <w:t xml:space="preserve"> - Journal of Death and Dying</w:t>
      </w:r>
      <w:r w:rsidRPr="007C7370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. 2010</w:t>
      </w:r>
      <w:proofErr w:type="gramStart"/>
      <w:r w:rsidRPr="007C7370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;</w:t>
      </w:r>
      <w:r w:rsidR="00E17149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vol</w:t>
      </w:r>
      <w:r w:rsidRPr="007C7370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61</w:t>
      </w:r>
      <w:proofErr w:type="gramEnd"/>
      <w:r w:rsidRPr="007C7370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(4):</w:t>
      </w:r>
      <w:r w:rsidR="00E17149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pp</w:t>
      </w:r>
      <w:r w:rsidRPr="007C7370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273-289</w:t>
      </w:r>
      <w:r w:rsidR="00E17149" w:rsidRPr="007C7370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 </w:t>
      </w:r>
    </w:p>
    <w:p w:rsidR="007C7370" w:rsidRPr="006E48FC" w:rsidRDefault="007C7370" w:rsidP="00C00B8F">
      <w:pPr>
        <w:rPr>
          <w:rFonts w:asciiTheme="majorHAnsi" w:hAnsiTheme="majorHAnsi" w:cstheme="majorHAnsi"/>
          <w:sz w:val="28"/>
          <w:szCs w:val="28"/>
        </w:rPr>
      </w:pPr>
    </w:p>
    <w:p w:rsidR="00A563FA" w:rsidRPr="006E48FC" w:rsidRDefault="00A563FA">
      <w:pPr>
        <w:rPr>
          <w:rFonts w:asciiTheme="majorHAnsi" w:hAnsiTheme="majorHAnsi" w:cstheme="majorHAnsi"/>
          <w:sz w:val="28"/>
          <w:szCs w:val="28"/>
        </w:rPr>
      </w:pPr>
    </w:p>
    <w:sectPr w:rsidR="00A563FA" w:rsidRPr="006E48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sbAwszQxt7AwMjEztjBV0lEKTi0uzszPAykwqgUA9lC6KiwAAAA="/>
  </w:docVars>
  <w:rsids>
    <w:rsidRoot w:val="00C00B8F"/>
    <w:rsid w:val="002B20DE"/>
    <w:rsid w:val="00380FA5"/>
    <w:rsid w:val="004E36C8"/>
    <w:rsid w:val="004E5A76"/>
    <w:rsid w:val="006C1738"/>
    <w:rsid w:val="006E48FC"/>
    <w:rsid w:val="007C7370"/>
    <w:rsid w:val="009604B3"/>
    <w:rsid w:val="00A05567"/>
    <w:rsid w:val="00A563FA"/>
    <w:rsid w:val="00C008AE"/>
    <w:rsid w:val="00C00B8F"/>
    <w:rsid w:val="00C0373A"/>
    <w:rsid w:val="00DC0C52"/>
    <w:rsid w:val="00E17149"/>
    <w:rsid w:val="00E233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28CDE46-A10C-40BC-8D87-3F1AB002AE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00B8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C737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C7370"/>
    <w:rPr>
      <w:rFonts w:ascii="Segoe UI" w:hAnsi="Segoe UI" w:cs="Segoe UI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C008AE"/>
    <w:rPr>
      <w:i/>
      <w:iCs/>
    </w:rPr>
  </w:style>
  <w:style w:type="character" w:styleId="Hyperlink">
    <w:name w:val="Hyperlink"/>
    <w:basedOn w:val="DefaultParagraphFont"/>
    <w:uiPriority w:val="99"/>
    <w:unhideWhenUsed/>
    <w:rsid w:val="00A0556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9355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6402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17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ncbi.nlm.nih.gov/pmc/articles/PMC4204469/" TargetMode="External"/><Relationship Id="rId4" Type="http://schemas.openxmlformats.org/officeDocument/2006/relationships/hyperlink" Target="https://www.everydayhealth.com/news/how-grief-can-make-you-sic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401</Words>
  <Characters>2286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2682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Maeve</dc:creator>
  <cp:keywords/>
  <dc:description/>
  <cp:lastModifiedBy>Maeve</cp:lastModifiedBy>
  <cp:revision>2</cp:revision>
  <cp:lastPrinted>2020-11-03T07:43:00Z</cp:lastPrinted>
  <dcterms:created xsi:type="dcterms:W3CDTF">2020-11-03T11:59:00Z</dcterms:created>
  <dcterms:modified xsi:type="dcterms:W3CDTF">2020-11-03T11:59:00Z</dcterms:modified>
</cp:coreProperties>
</file>