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409A4" w14:textId="77777777" w:rsidR="00D91B43" w:rsidRDefault="00D91B43" w:rsidP="00D91B43">
      <w:pPr>
        <w:jc w:val="center"/>
      </w:pPr>
      <w:r>
        <w:rPr>
          <w:noProof/>
        </w:rPr>
        <w:drawing>
          <wp:inline distT="0" distB="0" distL="0" distR="0" wp14:anchorId="40F1ACEE" wp14:editId="1284022D">
            <wp:extent cx="2272145" cy="781414"/>
            <wp:effectExtent l="0" t="0" r="0" b="0"/>
            <wp:docPr id="382100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9706" t="16326" r="10352" b="17850"/>
                    <a:stretch>
                      <a:fillRect/>
                    </a:stretch>
                  </pic:blipFill>
                  <pic:spPr bwMode="auto">
                    <a:xfrm>
                      <a:off x="0" y="0"/>
                      <a:ext cx="2296704" cy="789860"/>
                    </a:xfrm>
                    <a:prstGeom prst="rect">
                      <a:avLst/>
                    </a:prstGeom>
                    <a:noFill/>
                    <a:ln>
                      <a:noFill/>
                    </a:ln>
                    <a:extLst>
                      <a:ext uri="{53640926-AAD7-44D8-BBD7-CCE9431645EC}">
                        <a14:shadowObscured xmlns:a14="http://schemas.microsoft.com/office/drawing/2010/main"/>
                      </a:ext>
                    </a:extLst>
                  </pic:spPr>
                </pic:pic>
              </a:graphicData>
            </a:graphic>
          </wp:inline>
        </w:drawing>
      </w:r>
    </w:p>
    <w:p w14:paraId="2C2299C4" w14:textId="77777777" w:rsidR="00D91B43" w:rsidRDefault="00D91B43" w:rsidP="00D91B43">
      <w:pPr>
        <w:jc w:val="center"/>
      </w:pPr>
    </w:p>
    <w:p w14:paraId="4671CF17" w14:textId="77777777" w:rsidR="00D91B43" w:rsidRDefault="00D91B43" w:rsidP="00D91B43">
      <w:pPr>
        <w:jc w:val="center"/>
        <w:rPr>
          <w:b/>
          <w:bCs/>
          <w:sz w:val="28"/>
          <w:szCs w:val="28"/>
        </w:rPr>
      </w:pPr>
      <w:proofErr w:type="spellStart"/>
      <w:r w:rsidRPr="003364EF">
        <w:rPr>
          <w:b/>
          <w:bCs/>
          <w:sz w:val="28"/>
          <w:szCs w:val="28"/>
        </w:rPr>
        <w:t>Programme</w:t>
      </w:r>
      <w:proofErr w:type="spellEnd"/>
      <w:r w:rsidRPr="003364EF">
        <w:rPr>
          <w:b/>
          <w:bCs/>
          <w:sz w:val="28"/>
          <w:szCs w:val="28"/>
        </w:rPr>
        <w:t>: Master of Business Administration</w:t>
      </w:r>
    </w:p>
    <w:p w14:paraId="17228BDC" w14:textId="77777777" w:rsidR="00D91B43" w:rsidRPr="003364EF" w:rsidRDefault="00D91B43" w:rsidP="00D91B43">
      <w:pPr>
        <w:jc w:val="center"/>
        <w:rPr>
          <w:b/>
          <w:bCs/>
          <w:sz w:val="28"/>
          <w:szCs w:val="28"/>
        </w:rPr>
      </w:pPr>
    </w:p>
    <w:p w14:paraId="235C3CFB" w14:textId="77777777" w:rsidR="00D91B43" w:rsidRPr="003364EF" w:rsidRDefault="00D91B43" w:rsidP="00D91B43">
      <w:pPr>
        <w:jc w:val="center"/>
        <w:rPr>
          <w:b/>
          <w:bCs/>
          <w:sz w:val="28"/>
          <w:szCs w:val="28"/>
        </w:rPr>
      </w:pPr>
      <w:r w:rsidRPr="003364EF">
        <w:rPr>
          <w:b/>
          <w:bCs/>
          <w:sz w:val="28"/>
          <w:szCs w:val="28"/>
        </w:rPr>
        <w:t>Module: Marketing Management</w:t>
      </w:r>
    </w:p>
    <w:p w14:paraId="249C3CA8" w14:textId="77777777" w:rsidR="00D91B43" w:rsidRPr="003364EF" w:rsidRDefault="00D91B43" w:rsidP="00D91B43">
      <w:pPr>
        <w:jc w:val="center"/>
        <w:rPr>
          <w:b/>
          <w:bCs/>
          <w:sz w:val="28"/>
          <w:szCs w:val="28"/>
        </w:rPr>
      </w:pPr>
      <w:r w:rsidRPr="003364EF">
        <w:rPr>
          <w:b/>
          <w:bCs/>
          <w:sz w:val="28"/>
          <w:szCs w:val="28"/>
        </w:rPr>
        <w:t>Module code: LCMB7024</w:t>
      </w:r>
    </w:p>
    <w:p w14:paraId="18CFB9D9" w14:textId="77777777" w:rsidR="00D91B43" w:rsidRPr="003364EF" w:rsidRDefault="00D91B43" w:rsidP="00D91B43">
      <w:pPr>
        <w:jc w:val="center"/>
        <w:rPr>
          <w:b/>
          <w:bCs/>
          <w:sz w:val="28"/>
          <w:szCs w:val="28"/>
        </w:rPr>
      </w:pPr>
      <w:r w:rsidRPr="003364EF">
        <w:rPr>
          <w:b/>
          <w:bCs/>
          <w:sz w:val="28"/>
          <w:szCs w:val="28"/>
        </w:rPr>
        <w:t xml:space="preserve">Lecturer: Laila </w:t>
      </w:r>
      <w:proofErr w:type="spellStart"/>
      <w:r w:rsidRPr="003364EF">
        <w:rPr>
          <w:b/>
          <w:bCs/>
          <w:sz w:val="28"/>
          <w:szCs w:val="28"/>
        </w:rPr>
        <w:t>Maazouz</w:t>
      </w:r>
      <w:proofErr w:type="spellEnd"/>
    </w:p>
    <w:p w14:paraId="741971E0" w14:textId="77777777" w:rsidR="00D91B43" w:rsidRPr="003364EF" w:rsidRDefault="00D91B43" w:rsidP="00D91B43">
      <w:pPr>
        <w:jc w:val="center"/>
        <w:rPr>
          <w:b/>
          <w:bCs/>
          <w:sz w:val="28"/>
          <w:szCs w:val="28"/>
        </w:rPr>
      </w:pPr>
      <w:r>
        <w:rPr>
          <w:b/>
          <w:bCs/>
          <w:sz w:val="28"/>
          <w:szCs w:val="28"/>
        </w:rPr>
        <w:t xml:space="preserve">                                                            </w:t>
      </w:r>
      <w:r w:rsidRPr="003364EF">
        <w:rPr>
          <w:b/>
          <w:bCs/>
          <w:sz w:val="28"/>
          <w:szCs w:val="28"/>
        </w:rPr>
        <w:t xml:space="preserve">Taonga Kaonga </w:t>
      </w:r>
      <w:proofErr w:type="spellStart"/>
      <w:r w:rsidRPr="003364EF">
        <w:rPr>
          <w:b/>
          <w:bCs/>
          <w:sz w:val="28"/>
          <w:szCs w:val="28"/>
        </w:rPr>
        <w:t>Sobere-Snithers</w:t>
      </w:r>
      <w:proofErr w:type="spellEnd"/>
    </w:p>
    <w:p w14:paraId="0F32997C" w14:textId="77777777" w:rsidR="00D91B43" w:rsidRDefault="00D91B43" w:rsidP="00D91B43">
      <w:pPr>
        <w:jc w:val="center"/>
        <w:rPr>
          <w:b/>
          <w:bCs/>
          <w:sz w:val="28"/>
          <w:szCs w:val="28"/>
        </w:rPr>
      </w:pPr>
      <w:r w:rsidRPr="003364EF">
        <w:rPr>
          <w:b/>
          <w:bCs/>
          <w:sz w:val="28"/>
          <w:szCs w:val="28"/>
        </w:rPr>
        <w:t>Assignment Title: Marketing Environment Analysis</w:t>
      </w:r>
    </w:p>
    <w:p w14:paraId="2336EE4F" w14:textId="77777777" w:rsidR="00D91B43" w:rsidRDefault="00D91B43" w:rsidP="00D91B43">
      <w:pPr>
        <w:jc w:val="center"/>
        <w:rPr>
          <w:b/>
          <w:bCs/>
          <w:sz w:val="28"/>
          <w:szCs w:val="28"/>
        </w:rPr>
      </w:pPr>
    </w:p>
    <w:p w14:paraId="0D611263" w14:textId="77777777" w:rsidR="00D91B43" w:rsidRDefault="00D91B43" w:rsidP="00D91B43">
      <w:pPr>
        <w:jc w:val="center"/>
        <w:rPr>
          <w:b/>
          <w:bCs/>
          <w:sz w:val="28"/>
          <w:szCs w:val="28"/>
        </w:rPr>
      </w:pPr>
    </w:p>
    <w:p w14:paraId="600B1097" w14:textId="77777777" w:rsidR="00D91B43" w:rsidRPr="003364EF" w:rsidRDefault="00D91B43" w:rsidP="00D91B43">
      <w:pPr>
        <w:jc w:val="center"/>
        <w:rPr>
          <w:b/>
          <w:bCs/>
          <w:sz w:val="28"/>
          <w:szCs w:val="28"/>
        </w:rPr>
      </w:pPr>
    </w:p>
    <w:p w14:paraId="23886CA4" w14:textId="7D05C1EF" w:rsidR="00D91B43" w:rsidRPr="003364EF" w:rsidRDefault="00D91B43" w:rsidP="00D91B43">
      <w:pPr>
        <w:jc w:val="center"/>
        <w:rPr>
          <w:b/>
          <w:bCs/>
          <w:sz w:val="28"/>
          <w:szCs w:val="28"/>
        </w:rPr>
      </w:pPr>
      <w:r w:rsidRPr="003364EF">
        <w:rPr>
          <w:b/>
          <w:bCs/>
          <w:sz w:val="28"/>
          <w:szCs w:val="28"/>
        </w:rPr>
        <w:t xml:space="preserve">Student </w:t>
      </w:r>
      <w:r>
        <w:rPr>
          <w:b/>
          <w:bCs/>
          <w:sz w:val="28"/>
          <w:szCs w:val="28"/>
        </w:rPr>
        <w:t>N</w:t>
      </w:r>
      <w:r w:rsidRPr="003364EF">
        <w:rPr>
          <w:b/>
          <w:bCs/>
          <w:sz w:val="28"/>
          <w:szCs w:val="28"/>
        </w:rPr>
        <w:t>ame:</w:t>
      </w:r>
      <w:r>
        <w:rPr>
          <w:b/>
          <w:bCs/>
          <w:sz w:val="28"/>
          <w:szCs w:val="28"/>
        </w:rPr>
        <w:t xml:space="preserve"> </w:t>
      </w:r>
      <w:proofErr w:type="spellStart"/>
      <w:r>
        <w:rPr>
          <w:b/>
          <w:bCs/>
          <w:sz w:val="28"/>
          <w:szCs w:val="28"/>
        </w:rPr>
        <w:t>Amishaben</w:t>
      </w:r>
      <w:proofErr w:type="spellEnd"/>
      <w:r>
        <w:rPr>
          <w:b/>
          <w:bCs/>
          <w:sz w:val="28"/>
          <w:szCs w:val="28"/>
        </w:rPr>
        <w:t xml:space="preserve"> </w:t>
      </w:r>
      <w:proofErr w:type="spellStart"/>
      <w:r>
        <w:rPr>
          <w:b/>
          <w:bCs/>
          <w:sz w:val="28"/>
          <w:szCs w:val="28"/>
        </w:rPr>
        <w:t>Bhikhabhai</w:t>
      </w:r>
      <w:proofErr w:type="spellEnd"/>
      <w:r>
        <w:rPr>
          <w:b/>
          <w:bCs/>
          <w:sz w:val="28"/>
          <w:szCs w:val="28"/>
        </w:rPr>
        <w:t xml:space="preserve"> Panchal </w:t>
      </w:r>
    </w:p>
    <w:p w14:paraId="43BC85C0" w14:textId="2102ECE0" w:rsidR="00D91B43" w:rsidRPr="003364EF" w:rsidRDefault="00D91B43" w:rsidP="00D91B43">
      <w:pPr>
        <w:jc w:val="center"/>
        <w:rPr>
          <w:b/>
          <w:bCs/>
          <w:sz w:val="28"/>
          <w:szCs w:val="28"/>
        </w:rPr>
      </w:pPr>
      <w:r w:rsidRPr="003364EF">
        <w:rPr>
          <w:b/>
          <w:bCs/>
          <w:sz w:val="28"/>
          <w:szCs w:val="28"/>
        </w:rPr>
        <w:t xml:space="preserve">Student ID </w:t>
      </w:r>
      <w:r>
        <w:rPr>
          <w:b/>
          <w:bCs/>
          <w:sz w:val="28"/>
          <w:szCs w:val="28"/>
        </w:rPr>
        <w:t>N</w:t>
      </w:r>
      <w:r w:rsidRPr="003364EF">
        <w:rPr>
          <w:b/>
          <w:bCs/>
          <w:sz w:val="28"/>
          <w:szCs w:val="28"/>
        </w:rPr>
        <w:t>umber:</w:t>
      </w:r>
      <w:r>
        <w:rPr>
          <w:b/>
          <w:bCs/>
          <w:sz w:val="28"/>
          <w:szCs w:val="28"/>
        </w:rPr>
        <w:t xml:space="preserve"> 2537875</w:t>
      </w:r>
    </w:p>
    <w:p w14:paraId="3263FD1A" w14:textId="07EC4135" w:rsidR="00D91B43" w:rsidRPr="003364EF" w:rsidRDefault="00D91B43" w:rsidP="00D91B43">
      <w:pPr>
        <w:jc w:val="center"/>
        <w:rPr>
          <w:b/>
          <w:bCs/>
          <w:sz w:val="28"/>
          <w:szCs w:val="28"/>
        </w:rPr>
      </w:pPr>
      <w:r w:rsidRPr="003364EF">
        <w:rPr>
          <w:b/>
          <w:bCs/>
          <w:sz w:val="28"/>
          <w:szCs w:val="28"/>
        </w:rPr>
        <w:t>Word Count:</w:t>
      </w:r>
      <w:r>
        <w:rPr>
          <w:b/>
          <w:bCs/>
          <w:sz w:val="28"/>
          <w:szCs w:val="28"/>
        </w:rPr>
        <w:t xml:space="preserve"> 2741 Words</w:t>
      </w:r>
    </w:p>
    <w:p w14:paraId="3B092CE1" w14:textId="77777777" w:rsidR="00D91B43" w:rsidRDefault="00D91B43">
      <w:pPr>
        <w:spacing w:line="240" w:lineRule="auto"/>
        <w:jc w:val="left"/>
        <w:rPr>
          <w:b/>
          <w:bCs/>
          <w:sz w:val="28"/>
          <w:szCs w:val="28"/>
        </w:rPr>
      </w:pPr>
      <w:r>
        <w:rPr>
          <w:b/>
          <w:bCs/>
          <w:sz w:val="28"/>
          <w:szCs w:val="28"/>
        </w:rPr>
        <w:br w:type="page"/>
      </w:r>
    </w:p>
    <w:p w14:paraId="59731733" w14:textId="79DD54BF" w:rsidR="00A70AE5" w:rsidRPr="00D91B43" w:rsidRDefault="00000000">
      <w:pPr>
        <w:keepNext/>
        <w:keepLines/>
        <w:pBdr>
          <w:top w:val="none" w:sz="0" w:space="0" w:color="000000"/>
          <w:left w:val="none" w:sz="0" w:space="0" w:color="000000"/>
          <w:bottom w:val="none" w:sz="0" w:space="0" w:color="000000"/>
          <w:right w:val="none" w:sz="0" w:space="0" w:color="000000"/>
          <w:between w:val="none" w:sz="0" w:space="0" w:color="000000"/>
        </w:pBdr>
        <w:spacing w:before="480"/>
        <w:jc w:val="center"/>
        <w:rPr>
          <w:rFonts w:ascii="Calibri" w:eastAsia="Calibri" w:hAnsi="Calibri" w:cs="Calibri"/>
          <w:b/>
          <w:bCs/>
          <w:sz w:val="28"/>
          <w:szCs w:val="28"/>
        </w:rPr>
      </w:pPr>
      <w:r w:rsidRPr="00D91B43">
        <w:rPr>
          <w:b/>
          <w:bCs/>
          <w:sz w:val="28"/>
          <w:szCs w:val="28"/>
        </w:rPr>
        <w:lastRenderedPageBreak/>
        <w:t>Table of Contents</w:t>
      </w:r>
    </w:p>
    <w:sdt>
      <w:sdtPr>
        <w:id w:val="-1021877667"/>
        <w:docPartObj>
          <w:docPartGallery w:val="Table of Contents"/>
          <w:docPartUnique/>
        </w:docPartObj>
      </w:sdtPr>
      <w:sdtContent>
        <w:p w14:paraId="219DFDCA" w14:textId="79295351" w:rsidR="003C40ED" w:rsidRDefault="00000000">
          <w:pPr>
            <w:pStyle w:val="TOC1"/>
            <w:tabs>
              <w:tab w:val="right" w:pos="9350"/>
            </w:tabs>
            <w:rPr>
              <w:noProof/>
            </w:rPr>
          </w:pPr>
          <w:r w:rsidRPr="00D91B43">
            <w:fldChar w:fldCharType="begin"/>
          </w:r>
          <w:r w:rsidRPr="00D91B43">
            <w:instrText xml:space="preserve"> TOC \h \u \z \t "Heading 1,1,Heading 2,2,Heading 3,3,"</w:instrText>
          </w:r>
          <w:r w:rsidRPr="00D91B43">
            <w:fldChar w:fldCharType="separate"/>
          </w:r>
          <w:hyperlink w:anchor="_Toc235739062" w:history="1">
            <w:r w:rsidR="003C40ED" w:rsidRPr="00EE5DC7">
              <w:rPr>
                <w:rStyle w:val="Hyperlink"/>
                <w:noProof/>
              </w:rPr>
              <w:t>Task 1: Marketing Environment Analysis</w:t>
            </w:r>
            <w:r w:rsidR="003C40ED">
              <w:rPr>
                <w:noProof/>
                <w:webHidden/>
              </w:rPr>
              <w:tab/>
            </w:r>
            <w:r w:rsidR="003C40ED">
              <w:rPr>
                <w:noProof/>
                <w:webHidden/>
              </w:rPr>
              <w:fldChar w:fldCharType="begin"/>
            </w:r>
            <w:r w:rsidR="003C40ED">
              <w:rPr>
                <w:noProof/>
                <w:webHidden/>
              </w:rPr>
              <w:instrText xml:space="preserve"> PAGEREF _Toc235739062 \h </w:instrText>
            </w:r>
            <w:r w:rsidR="003C40ED">
              <w:rPr>
                <w:noProof/>
                <w:webHidden/>
              </w:rPr>
            </w:r>
            <w:r w:rsidR="003C40ED">
              <w:rPr>
                <w:noProof/>
                <w:webHidden/>
              </w:rPr>
              <w:fldChar w:fldCharType="separate"/>
            </w:r>
            <w:r w:rsidR="00435B4F">
              <w:rPr>
                <w:noProof/>
                <w:webHidden/>
              </w:rPr>
              <w:t>3</w:t>
            </w:r>
            <w:r w:rsidR="003C40ED">
              <w:rPr>
                <w:noProof/>
                <w:webHidden/>
              </w:rPr>
              <w:fldChar w:fldCharType="end"/>
            </w:r>
          </w:hyperlink>
        </w:p>
        <w:p w14:paraId="451DEFF2" w14:textId="3BB6BC54" w:rsidR="003C40ED" w:rsidRDefault="003C40ED">
          <w:pPr>
            <w:pStyle w:val="TOC2"/>
            <w:tabs>
              <w:tab w:val="right" w:pos="9350"/>
            </w:tabs>
            <w:rPr>
              <w:noProof/>
            </w:rPr>
          </w:pPr>
          <w:hyperlink w:anchor="_Toc235739063" w:history="1">
            <w:r w:rsidRPr="00EE5DC7">
              <w:rPr>
                <w:rStyle w:val="Hyperlink"/>
                <w:noProof/>
              </w:rPr>
              <w:t>1.1 Overview of Tata Steel: Scale, Carbon Footprint, and Net-Zero Commitment</w:t>
            </w:r>
            <w:r>
              <w:rPr>
                <w:noProof/>
                <w:webHidden/>
              </w:rPr>
              <w:tab/>
            </w:r>
            <w:r>
              <w:rPr>
                <w:noProof/>
                <w:webHidden/>
              </w:rPr>
              <w:fldChar w:fldCharType="begin"/>
            </w:r>
            <w:r>
              <w:rPr>
                <w:noProof/>
                <w:webHidden/>
              </w:rPr>
              <w:instrText xml:space="preserve"> PAGEREF _Toc235739063 \h </w:instrText>
            </w:r>
            <w:r>
              <w:rPr>
                <w:noProof/>
                <w:webHidden/>
              </w:rPr>
            </w:r>
            <w:r>
              <w:rPr>
                <w:noProof/>
                <w:webHidden/>
              </w:rPr>
              <w:fldChar w:fldCharType="separate"/>
            </w:r>
            <w:r w:rsidR="00435B4F">
              <w:rPr>
                <w:noProof/>
                <w:webHidden/>
              </w:rPr>
              <w:t>3</w:t>
            </w:r>
            <w:r>
              <w:rPr>
                <w:noProof/>
                <w:webHidden/>
              </w:rPr>
              <w:fldChar w:fldCharType="end"/>
            </w:r>
          </w:hyperlink>
        </w:p>
        <w:p w14:paraId="288AEE48" w14:textId="4632C3C7" w:rsidR="003C40ED" w:rsidRDefault="003C40ED">
          <w:pPr>
            <w:pStyle w:val="TOC2"/>
            <w:tabs>
              <w:tab w:val="right" w:pos="9350"/>
            </w:tabs>
            <w:rPr>
              <w:noProof/>
            </w:rPr>
          </w:pPr>
          <w:hyperlink w:anchor="_Toc235739064" w:history="1">
            <w:r w:rsidRPr="00EE5DC7">
              <w:rPr>
                <w:rStyle w:val="Hyperlink"/>
                <w:noProof/>
              </w:rPr>
              <w:t>1.2 The Natural Environment as a Core Marketing Environment Actor</w:t>
            </w:r>
            <w:r>
              <w:rPr>
                <w:noProof/>
                <w:webHidden/>
              </w:rPr>
              <w:tab/>
            </w:r>
            <w:r>
              <w:rPr>
                <w:noProof/>
                <w:webHidden/>
              </w:rPr>
              <w:fldChar w:fldCharType="begin"/>
            </w:r>
            <w:r>
              <w:rPr>
                <w:noProof/>
                <w:webHidden/>
              </w:rPr>
              <w:instrText xml:space="preserve"> PAGEREF _Toc235739064 \h </w:instrText>
            </w:r>
            <w:r>
              <w:rPr>
                <w:noProof/>
                <w:webHidden/>
              </w:rPr>
            </w:r>
            <w:r>
              <w:rPr>
                <w:noProof/>
                <w:webHidden/>
              </w:rPr>
              <w:fldChar w:fldCharType="separate"/>
            </w:r>
            <w:r w:rsidR="00435B4F">
              <w:rPr>
                <w:noProof/>
                <w:webHidden/>
              </w:rPr>
              <w:t>4</w:t>
            </w:r>
            <w:r>
              <w:rPr>
                <w:noProof/>
                <w:webHidden/>
              </w:rPr>
              <w:fldChar w:fldCharType="end"/>
            </w:r>
          </w:hyperlink>
        </w:p>
        <w:p w14:paraId="74E4120D" w14:textId="6481FA4C" w:rsidR="003C40ED" w:rsidRDefault="003C40ED">
          <w:pPr>
            <w:pStyle w:val="TOC2"/>
            <w:tabs>
              <w:tab w:val="right" w:pos="9350"/>
            </w:tabs>
            <w:rPr>
              <w:noProof/>
            </w:rPr>
          </w:pPr>
          <w:hyperlink w:anchor="_Toc235739065" w:history="1">
            <w:r w:rsidRPr="00EE5DC7">
              <w:rPr>
                <w:rStyle w:val="Hyperlink"/>
                <w:noProof/>
              </w:rPr>
              <w:t>1.3 Regulators and Government Publics as External Marketing Environment Actors</w:t>
            </w:r>
            <w:r>
              <w:rPr>
                <w:noProof/>
                <w:webHidden/>
              </w:rPr>
              <w:tab/>
            </w:r>
            <w:r>
              <w:rPr>
                <w:noProof/>
                <w:webHidden/>
              </w:rPr>
              <w:fldChar w:fldCharType="begin"/>
            </w:r>
            <w:r>
              <w:rPr>
                <w:noProof/>
                <w:webHidden/>
              </w:rPr>
              <w:instrText xml:space="preserve"> PAGEREF _Toc235739065 \h </w:instrText>
            </w:r>
            <w:r>
              <w:rPr>
                <w:noProof/>
                <w:webHidden/>
              </w:rPr>
            </w:r>
            <w:r>
              <w:rPr>
                <w:noProof/>
                <w:webHidden/>
              </w:rPr>
              <w:fldChar w:fldCharType="separate"/>
            </w:r>
            <w:r w:rsidR="00435B4F">
              <w:rPr>
                <w:noProof/>
                <w:webHidden/>
              </w:rPr>
              <w:t>6</w:t>
            </w:r>
            <w:r>
              <w:rPr>
                <w:noProof/>
                <w:webHidden/>
              </w:rPr>
              <w:fldChar w:fldCharType="end"/>
            </w:r>
          </w:hyperlink>
        </w:p>
        <w:p w14:paraId="6C956B04" w14:textId="73E9A5CE" w:rsidR="003C40ED" w:rsidRDefault="003C40ED">
          <w:pPr>
            <w:pStyle w:val="TOC3"/>
            <w:tabs>
              <w:tab w:val="right" w:pos="9350"/>
            </w:tabs>
            <w:rPr>
              <w:noProof/>
            </w:rPr>
          </w:pPr>
          <w:hyperlink w:anchor="_Toc235739066" w:history="1">
            <w:r w:rsidRPr="00EE5DC7">
              <w:rPr>
                <w:rStyle w:val="Hyperlink"/>
                <w:noProof/>
              </w:rPr>
              <w:t>1.3.1 EU Industrial Decarbonisation Accelerator Act</w:t>
            </w:r>
            <w:r>
              <w:rPr>
                <w:noProof/>
                <w:webHidden/>
              </w:rPr>
              <w:tab/>
            </w:r>
            <w:r>
              <w:rPr>
                <w:noProof/>
                <w:webHidden/>
              </w:rPr>
              <w:fldChar w:fldCharType="begin"/>
            </w:r>
            <w:r>
              <w:rPr>
                <w:noProof/>
                <w:webHidden/>
              </w:rPr>
              <w:instrText xml:space="preserve"> PAGEREF _Toc235739066 \h </w:instrText>
            </w:r>
            <w:r>
              <w:rPr>
                <w:noProof/>
                <w:webHidden/>
              </w:rPr>
            </w:r>
            <w:r>
              <w:rPr>
                <w:noProof/>
                <w:webHidden/>
              </w:rPr>
              <w:fldChar w:fldCharType="separate"/>
            </w:r>
            <w:r w:rsidR="00435B4F">
              <w:rPr>
                <w:noProof/>
                <w:webHidden/>
              </w:rPr>
              <w:t>6</w:t>
            </w:r>
            <w:r>
              <w:rPr>
                <w:noProof/>
                <w:webHidden/>
              </w:rPr>
              <w:fldChar w:fldCharType="end"/>
            </w:r>
          </w:hyperlink>
        </w:p>
        <w:p w14:paraId="3B3760AE" w14:textId="188CEAB2" w:rsidR="003C40ED" w:rsidRDefault="003C40ED">
          <w:pPr>
            <w:pStyle w:val="TOC3"/>
            <w:tabs>
              <w:tab w:val="right" w:pos="9350"/>
            </w:tabs>
            <w:rPr>
              <w:noProof/>
            </w:rPr>
          </w:pPr>
          <w:hyperlink w:anchor="_Toc235739067" w:history="1">
            <w:r w:rsidRPr="00EE5DC7">
              <w:rPr>
                <w:rStyle w:val="Hyperlink"/>
                <w:noProof/>
              </w:rPr>
              <w:t>1.3.2 Science-Based Targets Initiative (SBTi) and Net-Zero Standards</w:t>
            </w:r>
            <w:r>
              <w:rPr>
                <w:noProof/>
                <w:webHidden/>
              </w:rPr>
              <w:tab/>
            </w:r>
            <w:r>
              <w:rPr>
                <w:noProof/>
                <w:webHidden/>
              </w:rPr>
              <w:fldChar w:fldCharType="begin"/>
            </w:r>
            <w:r>
              <w:rPr>
                <w:noProof/>
                <w:webHidden/>
              </w:rPr>
              <w:instrText xml:space="preserve"> PAGEREF _Toc235739067 \h </w:instrText>
            </w:r>
            <w:r>
              <w:rPr>
                <w:noProof/>
                <w:webHidden/>
              </w:rPr>
            </w:r>
            <w:r>
              <w:rPr>
                <w:noProof/>
                <w:webHidden/>
              </w:rPr>
              <w:fldChar w:fldCharType="separate"/>
            </w:r>
            <w:r w:rsidR="00435B4F">
              <w:rPr>
                <w:noProof/>
                <w:webHidden/>
              </w:rPr>
              <w:t>6</w:t>
            </w:r>
            <w:r>
              <w:rPr>
                <w:noProof/>
                <w:webHidden/>
              </w:rPr>
              <w:fldChar w:fldCharType="end"/>
            </w:r>
          </w:hyperlink>
        </w:p>
        <w:p w14:paraId="5684C029" w14:textId="3578F717" w:rsidR="003C40ED" w:rsidRDefault="003C40ED">
          <w:pPr>
            <w:pStyle w:val="TOC3"/>
            <w:tabs>
              <w:tab w:val="right" w:pos="9350"/>
            </w:tabs>
            <w:rPr>
              <w:noProof/>
            </w:rPr>
          </w:pPr>
          <w:hyperlink w:anchor="_Toc235739068" w:history="1">
            <w:r w:rsidRPr="00EE5DC7">
              <w:rPr>
                <w:rStyle w:val="Hyperlink"/>
                <w:noProof/>
              </w:rPr>
              <w:t>1.3.3 Industrial Energy Transformation Fund (IETF)</w:t>
            </w:r>
            <w:r>
              <w:rPr>
                <w:noProof/>
                <w:webHidden/>
              </w:rPr>
              <w:tab/>
            </w:r>
            <w:r>
              <w:rPr>
                <w:noProof/>
                <w:webHidden/>
              </w:rPr>
              <w:fldChar w:fldCharType="begin"/>
            </w:r>
            <w:r>
              <w:rPr>
                <w:noProof/>
                <w:webHidden/>
              </w:rPr>
              <w:instrText xml:space="preserve"> PAGEREF _Toc235739068 \h </w:instrText>
            </w:r>
            <w:r>
              <w:rPr>
                <w:noProof/>
                <w:webHidden/>
              </w:rPr>
            </w:r>
            <w:r>
              <w:rPr>
                <w:noProof/>
                <w:webHidden/>
              </w:rPr>
              <w:fldChar w:fldCharType="separate"/>
            </w:r>
            <w:r w:rsidR="00435B4F">
              <w:rPr>
                <w:noProof/>
                <w:webHidden/>
              </w:rPr>
              <w:t>7</w:t>
            </w:r>
            <w:r>
              <w:rPr>
                <w:noProof/>
                <w:webHidden/>
              </w:rPr>
              <w:fldChar w:fldCharType="end"/>
            </w:r>
          </w:hyperlink>
        </w:p>
        <w:p w14:paraId="3DCCD3A4" w14:textId="6A52CC3C" w:rsidR="003C40ED" w:rsidRDefault="003C40ED">
          <w:pPr>
            <w:pStyle w:val="TOC3"/>
            <w:tabs>
              <w:tab w:val="right" w:pos="9350"/>
            </w:tabs>
            <w:rPr>
              <w:noProof/>
            </w:rPr>
          </w:pPr>
          <w:hyperlink w:anchor="_Toc235739069" w:history="1">
            <w:r w:rsidRPr="00EE5DC7">
              <w:rPr>
                <w:rStyle w:val="Hyperlink"/>
                <w:noProof/>
              </w:rPr>
              <w:t>1.3.4 Indian Government Policies Supporting Decarbonisation</w:t>
            </w:r>
            <w:r>
              <w:rPr>
                <w:noProof/>
                <w:webHidden/>
              </w:rPr>
              <w:tab/>
            </w:r>
            <w:r>
              <w:rPr>
                <w:noProof/>
                <w:webHidden/>
              </w:rPr>
              <w:fldChar w:fldCharType="begin"/>
            </w:r>
            <w:r>
              <w:rPr>
                <w:noProof/>
                <w:webHidden/>
              </w:rPr>
              <w:instrText xml:space="preserve"> PAGEREF _Toc235739069 \h </w:instrText>
            </w:r>
            <w:r>
              <w:rPr>
                <w:noProof/>
                <w:webHidden/>
              </w:rPr>
            </w:r>
            <w:r>
              <w:rPr>
                <w:noProof/>
                <w:webHidden/>
              </w:rPr>
              <w:fldChar w:fldCharType="separate"/>
            </w:r>
            <w:r w:rsidR="00435B4F">
              <w:rPr>
                <w:noProof/>
                <w:webHidden/>
              </w:rPr>
              <w:t>7</w:t>
            </w:r>
            <w:r>
              <w:rPr>
                <w:noProof/>
                <w:webHidden/>
              </w:rPr>
              <w:fldChar w:fldCharType="end"/>
            </w:r>
          </w:hyperlink>
        </w:p>
        <w:p w14:paraId="75DFFFE2" w14:textId="057EC220" w:rsidR="003C40ED" w:rsidRDefault="003C40ED">
          <w:pPr>
            <w:pStyle w:val="TOC3"/>
            <w:tabs>
              <w:tab w:val="right" w:pos="9350"/>
            </w:tabs>
            <w:rPr>
              <w:noProof/>
            </w:rPr>
          </w:pPr>
          <w:hyperlink w:anchor="_Toc235739070" w:history="1">
            <w:r w:rsidRPr="00EE5DC7">
              <w:rPr>
                <w:rStyle w:val="Hyperlink"/>
                <w:noProof/>
              </w:rPr>
              <w:t>1.3.5 Critical Evaluation of Regulatory Pressures</w:t>
            </w:r>
            <w:r>
              <w:rPr>
                <w:noProof/>
                <w:webHidden/>
              </w:rPr>
              <w:tab/>
            </w:r>
            <w:r>
              <w:rPr>
                <w:noProof/>
                <w:webHidden/>
              </w:rPr>
              <w:fldChar w:fldCharType="begin"/>
            </w:r>
            <w:r>
              <w:rPr>
                <w:noProof/>
                <w:webHidden/>
              </w:rPr>
              <w:instrText xml:space="preserve"> PAGEREF _Toc235739070 \h </w:instrText>
            </w:r>
            <w:r>
              <w:rPr>
                <w:noProof/>
                <w:webHidden/>
              </w:rPr>
            </w:r>
            <w:r>
              <w:rPr>
                <w:noProof/>
                <w:webHidden/>
              </w:rPr>
              <w:fldChar w:fldCharType="separate"/>
            </w:r>
            <w:r w:rsidR="00435B4F">
              <w:rPr>
                <w:noProof/>
                <w:webHidden/>
              </w:rPr>
              <w:t>8</w:t>
            </w:r>
            <w:r>
              <w:rPr>
                <w:noProof/>
                <w:webHidden/>
              </w:rPr>
              <w:fldChar w:fldCharType="end"/>
            </w:r>
          </w:hyperlink>
        </w:p>
        <w:p w14:paraId="2D6881FB" w14:textId="2B4B8009" w:rsidR="003C40ED" w:rsidRDefault="003C40ED">
          <w:pPr>
            <w:pStyle w:val="TOC1"/>
            <w:tabs>
              <w:tab w:val="right" w:pos="9350"/>
            </w:tabs>
            <w:rPr>
              <w:noProof/>
            </w:rPr>
          </w:pPr>
          <w:hyperlink w:anchor="_Toc235739071" w:history="1">
            <w:r w:rsidRPr="00EE5DC7">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_Toc235739071 \h </w:instrText>
            </w:r>
            <w:r>
              <w:rPr>
                <w:noProof/>
                <w:webHidden/>
              </w:rPr>
            </w:r>
            <w:r>
              <w:rPr>
                <w:noProof/>
                <w:webHidden/>
              </w:rPr>
              <w:fldChar w:fldCharType="separate"/>
            </w:r>
            <w:r w:rsidR="00435B4F">
              <w:rPr>
                <w:noProof/>
                <w:webHidden/>
              </w:rPr>
              <w:t>9</w:t>
            </w:r>
            <w:r>
              <w:rPr>
                <w:noProof/>
                <w:webHidden/>
              </w:rPr>
              <w:fldChar w:fldCharType="end"/>
            </w:r>
          </w:hyperlink>
        </w:p>
        <w:p w14:paraId="1D4F3DD9" w14:textId="43E129E2" w:rsidR="003C40ED" w:rsidRDefault="003C40ED">
          <w:pPr>
            <w:pStyle w:val="TOC2"/>
            <w:tabs>
              <w:tab w:val="right" w:pos="9350"/>
            </w:tabs>
            <w:rPr>
              <w:noProof/>
            </w:rPr>
          </w:pPr>
          <w:hyperlink w:anchor="_Toc235739072" w:history="1">
            <w:r w:rsidRPr="00EE5DC7">
              <w:rPr>
                <w:rStyle w:val="Hyperlink"/>
                <w:noProof/>
              </w:rPr>
              <w:t>2.1 Application of the Ansoff Matrix: Product Development Strategy for Low-Carbon Steel</w:t>
            </w:r>
            <w:r>
              <w:rPr>
                <w:noProof/>
                <w:webHidden/>
              </w:rPr>
              <w:tab/>
            </w:r>
            <w:r>
              <w:rPr>
                <w:noProof/>
                <w:webHidden/>
              </w:rPr>
              <w:fldChar w:fldCharType="begin"/>
            </w:r>
            <w:r>
              <w:rPr>
                <w:noProof/>
                <w:webHidden/>
              </w:rPr>
              <w:instrText xml:space="preserve"> PAGEREF _Toc235739072 \h </w:instrText>
            </w:r>
            <w:r>
              <w:rPr>
                <w:noProof/>
                <w:webHidden/>
              </w:rPr>
            </w:r>
            <w:r>
              <w:rPr>
                <w:noProof/>
                <w:webHidden/>
              </w:rPr>
              <w:fldChar w:fldCharType="separate"/>
            </w:r>
            <w:r w:rsidR="00435B4F">
              <w:rPr>
                <w:noProof/>
                <w:webHidden/>
              </w:rPr>
              <w:t>9</w:t>
            </w:r>
            <w:r>
              <w:rPr>
                <w:noProof/>
                <w:webHidden/>
              </w:rPr>
              <w:fldChar w:fldCharType="end"/>
            </w:r>
          </w:hyperlink>
        </w:p>
        <w:p w14:paraId="04046223" w14:textId="070E6A7D" w:rsidR="003C40ED" w:rsidRDefault="003C40ED">
          <w:pPr>
            <w:pStyle w:val="TOC2"/>
            <w:tabs>
              <w:tab w:val="right" w:pos="9350"/>
            </w:tabs>
            <w:rPr>
              <w:noProof/>
            </w:rPr>
          </w:pPr>
          <w:hyperlink w:anchor="_Toc235739073" w:history="1">
            <w:r w:rsidRPr="00EE5DC7">
              <w:rPr>
                <w:rStyle w:val="Hyperlink"/>
                <w:noProof/>
              </w:rPr>
              <w:t>2.2 Competitive Advantage Through Electric Arc Furnace (EAF) Adoption: A Porter's Generic Strategies Perspective</w:t>
            </w:r>
            <w:r>
              <w:rPr>
                <w:noProof/>
                <w:webHidden/>
              </w:rPr>
              <w:tab/>
            </w:r>
            <w:r>
              <w:rPr>
                <w:noProof/>
                <w:webHidden/>
              </w:rPr>
              <w:fldChar w:fldCharType="begin"/>
            </w:r>
            <w:r>
              <w:rPr>
                <w:noProof/>
                <w:webHidden/>
              </w:rPr>
              <w:instrText xml:space="preserve"> PAGEREF _Toc235739073 \h </w:instrText>
            </w:r>
            <w:r>
              <w:rPr>
                <w:noProof/>
                <w:webHidden/>
              </w:rPr>
            </w:r>
            <w:r>
              <w:rPr>
                <w:noProof/>
                <w:webHidden/>
              </w:rPr>
              <w:fldChar w:fldCharType="separate"/>
            </w:r>
            <w:r w:rsidR="00435B4F">
              <w:rPr>
                <w:noProof/>
                <w:webHidden/>
              </w:rPr>
              <w:t>11</w:t>
            </w:r>
            <w:r>
              <w:rPr>
                <w:noProof/>
                <w:webHidden/>
              </w:rPr>
              <w:fldChar w:fldCharType="end"/>
            </w:r>
          </w:hyperlink>
        </w:p>
        <w:p w14:paraId="373583F3" w14:textId="62929C61" w:rsidR="003C40ED" w:rsidRDefault="003C40ED">
          <w:pPr>
            <w:pStyle w:val="TOC2"/>
            <w:tabs>
              <w:tab w:val="right" w:pos="9350"/>
            </w:tabs>
            <w:rPr>
              <w:noProof/>
            </w:rPr>
          </w:pPr>
          <w:hyperlink w:anchor="_Toc235739074" w:history="1">
            <w:r w:rsidRPr="00EE5DC7">
              <w:rPr>
                <w:rStyle w:val="Hyperlink"/>
                <w:noProof/>
              </w:rPr>
              <w:t>2.3 Critical Recommendation</w:t>
            </w:r>
            <w:r>
              <w:rPr>
                <w:noProof/>
                <w:webHidden/>
              </w:rPr>
              <w:tab/>
            </w:r>
            <w:r>
              <w:rPr>
                <w:noProof/>
                <w:webHidden/>
              </w:rPr>
              <w:fldChar w:fldCharType="begin"/>
            </w:r>
            <w:r>
              <w:rPr>
                <w:noProof/>
                <w:webHidden/>
              </w:rPr>
              <w:instrText xml:space="preserve"> PAGEREF _Toc235739074 \h </w:instrText>
            </w:r>
            <w:r>
              <w:rPr>
                <w:noProof/>
                <w:webHidden/>
              </w:rPr>
            </w:r>
            <w:r>
              <w:rPr>
                <w:noProof/>
                <w:webHidden/>
              </w:rPr>
              <w:fldChar w:fldCharType="separate"/>
            </w:r>
            <w:r w:rsidR="00435B4F">
              <w:rPr>
                <w:noProof/>
                <w:webHidden/>
              </w:rPr>
              <w:t>12</w:t>
            </w:r>
            <w:r>
              <w:rPr>
                <w:noProof/>
                <w:webHidden/>
              </w:rPr>
              <w:fldChar w:fldCharType="end"/>
            </w:r>
          </w:hyperlink>
        </w:p>
        <w:p w14:paraId="1B13D3B3" w14:textId="0DA96529" w:rsidR="003C40ED" w:rsidRDefault="003C40ED">
          <w:pPr>
            <w:pStyle w:val="TOC1"/>
            <w:tabs>
              <w:tab w:val="right" w:pos="9350"/>
            </w:tabs>
            <w:rPr>
              <w:noProof/>
            </w:rPr>
          </w:pPr>
          <w:hyperlink w:anchor="_Toc235739075" w:history="1">
            <w:r w:rsidRPr="00EE5DC7">
              <w:rPr>
                <w:rStyle w:val="Hyperlink"/>
                <w:noProof/>
              </w:rPr>
              <w:t>Task 3: Critical Reflection on AI Usage</w:t>
            </w:r>
            <w:r>
              <w:rPr>
                <w:noProof/>
                <w:webHidden/>
              </w:rPr>
              <w:tab/>
            </w:r>
            <w:r>
              <w:rPr>
                <w:noProof/>
                <w:webHidden/>
              </w:rPr>
              <w:fldChar w:fldCharType="begin"/>
            </w:r>
            <w:r>
              <w:rPr>
                <w:noProof/>
                <w:webHidden/>
              </w:rPr>
              <w:instrText xml:space="preserve"> PAGEREF _Toc235739075 \h </w:instrText>
            </w:r>
            <w:r>
              <w:rPr>
                <w:noProof/>
                <w:webHidden/>
              </w:rPr>
            </w:r>
            <w:r>
              <w:rPr>
                <w:noProof/>
                <w:webHidden/>
              </w:rPr>
              <w:fldChar w:fldCharType="separate"/>
            </w:r>
            <w:r w:rsidR="00435B4F">
              <w:rPr>
                <w:noProof/>
                <w:webHidden/>
              </w:rPr>
              <w:t>13</w:t>
            </w:r>
            <w:r>
              <w:rPr>
                <w:noProof/>
                <w:webHidden/>
              </w:rPr>
              <w:fldChar w:fldCharType="end"/>
            </w:r>
          </w:hyperlink>
        </w:p>
        <w:p w14:paraId="62AD4C5F" w14:textId="6401B73F" w:rsidR="003C40ED" w:rsidRDefault="003C40ED">
          <w:pPr>
            <w:pStyle w:val="TOC1"/>
            <w:tabs>
              <w:tab w:val="right" w:pos="9350"/>
            </w:tabs>
            <w:rPr>
              <w:noProof/>
            </w:rPr>
          </w:pPr>
          <w:hyperlink w:anchor="_Toc235739076" w:history="1">
            <w:r w:rsidRPr="00EE5DC7">
              <w:rPr>
                <w:rStyle w:val="Hyperlink"/>
                <w:noProof/>
              </w:rPr>
              <w:t>3.1 AI Tool Disclosure</w:t>
            </w:r>
            <w:r>
              <w:rPr>
                <w:noProof/>
                <w:webHidden/>
              </w:rPr>
              <w:tab/>
            </w:r>
            <w:r>
              <w:rPr>
                <w:noProof/>
                <w:webHidden/>
              </w:rPr>
              <w:fldChar w:fldCharType="begin"/>
            </w:r>
            <w:r>
              <w:rPr>
                <w:noProof/>
                <w:webHidden/>
              </w:rPr>
              <w:instrText xml:space="preserve"> PAGEREF _Toc235739076 \h </w:instrText>
            </w:r>
            <w:r>
              <w:rPr>
                <w:noProof/>
                <w:webHidden/>
              </w:rPr>
            </w:r>
            <w:r>
              <w:rPr>
                <w:noProof/>
                <w:webHidden/>
              </w:rPr>
              <w:fldChar w:fldCharType="separate"/>
            </w:r>
            <w:r w:rsidR="00435B4F">
              <w:rPr>
                <w:noProof/>
                <w:webHidden/>
              </w:rPr>
              <w:t>13</w:t>
            </w:r>
            <w:r>
              <w:rPr>
                <w:noProof/>
                <w:webHidden/>
              </w:rPr>
              <w:fldChar w:fldCharType="end"/>
            </w:r>
          </w:hyperlink>
        </w:p>
        <w:p w14:paraId="2D57CA41" w14:textId="1834CE42" w:rsidR="003C40ED" w:rsidRDefault="003C40ED">
          <w:pPr>
            <w:pStyle w:val="TOC2"/>
            <w:tabs>
              <w:tab w:val="right" w:pos="9350"/>
            </w:tabs>
            <w:rPr>
              <w:noProof/>
            </w:rPr>
          </w:pPr>
          <w:hyperlink w:anchor="_Toc235739077" w:history="1">
            <w:r w:rsidRPr="00EE5DC7">
              <w:rPr>
                <w:rStyle w:val="Hyperlink"/>
                <w:noProof/>
              </w:rPr>
              <w:t>3.2 Critical Evaluation &amp; Error Correction</w:t>
            </w:r>
            <w:r>
              <w:rPr>
                <w:noProof/>
                <w:webHidden/>
              </w:rPr>
              <w:tab/>
            </w:r>
            <w:r>
              <w:rPr>
                <w:noProof/>
                <w:webHidden/>
              </w:rPr>
              <w:fldChar w:fldCharType="begin"/>
            </w:r>
            <w:r>
              <w:rPr>
                <w:noProof/>
                <w:webHidden/>
              </w:rPr>
              <w:instrText xml:space="preserve"> PAGEREF _Toc235739077 \h </w:instrText>
            </w:r>
            <w:r>
              <w:rPr>
                <w:noProof/>
                <w:webHidden/>
              </w:rPr>
            </w:r>
            <w:r>
              <w:rPr>
                <w:noProof/>
                <w:webHidden/>
              </w:rPr>
              <w:fldChar w:fldCharType="separate"/>
            </w:r>
            <w:r w:rsidR="00435B4F">
              <w:rPr>
                <w:noProof/>
                <w:webHidden/>
              </w:rPr>
              <w:t>13</w:t>
            </w:r>
            <w:r>
              <w:rPr>
                <w:noProof/>
                <w:webHidden/>
              </w:rPr>
              <w:fldChar w:fldCharType="end"/>
            </w:r>
          </w:hyperlink>
        </w:p>
        <w:p w14:paraId="1BF6EF1D" w14:textId="7B2959BE" w:rsidR="003C40ED" w:rsidRDefault="003C40ED">
          <w:pPr>
            <w:pStyle w:val="TOC2"/>
            <w:tabs>
              <w:tab w:val="right" w:pos="9350"/>
            </w:tabs>
            <w:rPr>
              <w:noProof/>
            </w:rPr>
          </w:pPr>
          <w:hyperlink w:anchor="_Toc235739078" w:history="1">
            <w:r w:rsidRPr="00EE5DC7">
              <w:rPr>
                <w:rStyle w:val="Hyperlink"/>
                <w:noProof/>
              </w:rPr>
              <w:t>3.3 Contribution Analysis</w:t>
            </w:r>
            <w:r>
              <w:rPr>
                <w:noProof/>
                <w:webHidden/>
              </w:rPr>
              <w:tab/>
            </w:r>
            <w:r>
              <w:rPr>
                <w:noProof/>
                <w:webHidden/>
              </w:rPr>
              <w:fldChar w:fldCharType="begin"/>
            </w:r>
            <w:r>
              <w:rPr>
                <w:noProof/>
                <w:webHidden/>
              </w:rPr>
              <w:instrText xml:space="preserve"> PAGEREF _Toc235739078 \h </w:instrText>
            </w:r>
            <w:r>
              <w:rPr>
                <w:noProof/>
                <w:webHidden/>
              </w:rPr>
            </w:r>
            <w:r>
              <w:rPr>
                <w:noProof/>
                <w:webHidden/>
              </w:rPr>
              <w:fldChar w:fldCharType="separate"/>
            </w:r>
            <w:r w:rsidR="00435B4F">
              <w:rPr>
                <w:noProof/>
                <w:webHidden/>
              </w:rPr>
              <w:t>13</w:t>
            </w:r>
            <w:r>
              <w:rPr>
                <w:noProof/>
                <w:webHidden/>
              </w:rPr>
              <w:fldChar w:fldCharType="end"/>
            </w:r>
          </w:hyperlink>
        </w:p>
        <w:p w14:paraId="6B3FFAA8" w14:textId="40BBAAAA" w:rsidR="003C40ED" w:rsidRDefault="003C40ED">
          <w:pPr>
            <w:pStyle w:val="TOC3"/>
            <w:tabs>
              <w:tab w:val="right" w:pos="9350"/>
            </w:tabs>
            <w:rPr>
              <w:noProof/>
            </w:rPr>
          </w:pPr>
          <w:hyperlink w:anchor="_Toc235739079" w:history="1">
            <w:r w:rsidRPr="00EE5DC7">
              <w:rPr>
                <w:rStyle w:val="Hyperlink"/>
                <w:noProof/>
              </w:rPr>
              <w:t>3.3.1 AI Contribution</w:t>
            </w:r>
            <w:r>
              <w:rPr>
                <w:noProof/>
                <w:webHidden/>
              </w:rPr>
              <w:tab/>
            </w:r>
            <w:r>
              <w:rPr>
                <w:noProof/>
                <w:webHidden/>
              </w:rPr>
              <w:fldChar w:fldCharType="begin"/>
            </w:r>
            <w:r>
              <w:rPr>
                <w:noProof/>
                <w:webHidden/>
              </w:rPr>
              <w:instrText xml:space="preserve"> PAGEREF _Toc235739079 \h </w:instrText>
            </w:r>
            <w:r>
              <w:rPr>
                <w:noProof/>
                <w:webHidden/>
              </w:rPr>
            </w:r>
            <w:r>
              <w:rPr>
                <w:noProof/>
                <w:webHidden/>
              </w:rPr>
              <w:fldChar w:fldCharType="separate"/>
            </w:r>
            <w:r w:rsidR="00435B4F">
              <w:rPr>
                <w:noProof/>
                <w:webHidden/>
              </w:rPr>
              <w:t>13</w:t>
            </w:r>
            <w:r>
              <w:rPr>
                <w:noProof/>
                <w:webHidden/>
              </w:rPr>
              <w:fldChar w:fldCharType="end"/>
            </w:r>
          </w:hyperlink>
        </w:p>
        <w:p w14:paraId="107FF80B" w14:textId="5E36A083" w:rsidR="003C40ED" w:rsidRDefault="003C40ED">
          <w:pPr>
            <w:pStyle w:val="TOC3"/>
            <w:tabs>
              <w:tab w:val="right" w:pos="9350"/>
            </w:tabs>
            <w:rPr>
              <w:noProof/>
            </w:rPr>
          </w:pPr>
          <w:hyperlink w:anchor="_Toc235739080" w:history="1">
            <w:r w:rsidRPr="00EE5DC7">
              <w:rPr>
                <w:rStyle w:val="Hyperlink"/>
                <w:noProof/>
              </w:rPr>
              <w:t>3.3.2 Original Contribution</w:t>
            </w:r>
            <w:r>
              <w:rPr>
                <w:noProof/>
                <w:webHidden/>
              </w:rPr>
              <w:tab/>
            </w:r>
            <w:r>
              <w:rPr>
                <w:noProof/>
                <w:webHidden/>
              </w:rPr>
              <w:fldChar w:fldCharType="begin"/>
            </w:r>
            <w:r>
              <w:rPr>
                <w:noProof/>
                <w:webHidden/>
              </w:rPr>
              <w:instrText xml:space="preserve"> PAGEREF _Toc235739080 \h </w:instrText>
            </w:r>
            <w:r>
              <w:rPr>
                <w:noProof/>
                <w:webHidden/>
              </w:rPr>
            </w:r>
            <w:r>
              <w:rPr>
                <w:noProof/>
                <w:webHidden/>
              </w:rPr>
              <w:fldChar w:fldCharType="separate"/>
            </w:r>
            <w:r w:rsidR="00435B4F">
              <w:rPr>
                <w:noProof/>
                <w:webHidden/>
              </w:rPr>
              <w:t>14</w:t>
            </w:r>
            <w:r>
              <w:rPr>
                <w:noProof/>
                <w:webHidden/>
              </w:rPr>
              <w:fldChar w:fldCharType="end"/>
            </w:r>
          </w:hyperlink>
        </w:p>
        <w:p w14:paraId="185B7EF6" w14:textId="765A8F2E" w:rsidR="003C40ED" w:rsidRDefault="003C40ED">
          <w:pPr>
            <w:pStyle w:val="TOC3"/>
            <w:tabs>
              <w:tab w:val="right" w:pos="9350"/>
            </w:tabs>
            <w:rPr>
              <w:noProof/>
            </w:rPr>
          </w:pPr>
          <w:hyperlink w:anchor="_Toc235739081" w:history="1">
            <w:r w:rsidRPr="00EE5DC7">
              <w:rPr>
                <w:rStyle w:val="Hyperlink"/>
                <w:noProof/>
              </w:rPr>
              <w:t>3.3.3 Ethical and Professional Reflection</w:t>
            </w:r>
            <w:r>
              <w:rPr>
                <w:noProof/>
                <w:webHidden/>
              </w:rPr>
              <w:tab/>
            </w:r>
            <w:r>
              <w:rPr>
                <w:noProof/>
                <w:webHidden/>
              </w:rPr>
              <w:fldChar w:fldCharType="begin"/>
            </w:r>
            <w:r>
              <w:rPr>
                <w:noProof/>
                <w:webHidden/>
              </w:rPr>
              <w:instrText xml:space="preserve"> PAGEREF _Toc235739081 \h </w:instrText>
            </w:r>
            <w:r>
              <w:rPr>
                <w:noProof/>
                <w:webHidden/>
              </w:rPr>
            </w:r>
            <w:r>
              <w:rPr>
                <w:noProof/>
                <w:webHidden/>
              </w:rPr>
              <w:fldChar w:fldCharType="separate"/>
            </w:r>
            <w:r w:rsidR="00435B4F">
              <w:rPr>
                <w:noProof/>
                <w:webHidden/>
              </w:rPr>
              <w:t>14</w:t>
            </w:r>
            <w:r>
              <w:rPr>
                <w:noProof/>
                <w:webHidden/>
              </w:rPr>
              <w:fldChar w:fldCharType="end"/>
            </w:r>
          </w:hyperlink>
        </w:p>
        <w:p w14:paraId="0922695B" w14:textId="5DE689A7" w:rsidR="003C40ED" w:rsidRDefault="003C40ED">
          <w:pPr>
            <w:pStyle w:val="TOC1"/>
            <w:tabs>
              <w:tab w:val="right" w:pos="9350"/>
            </w:tabs>
            <w:rPr>
              <w:noProof/>
            </w:rPr>
          </w:pPr>
          <w:hyperlink w:anchor="_Toc235739082" w:history="1">
            <w:r w:rsidRPr="00EE5DC7">
              <w:rPr>
                <w:rStyle w:val="Hyperlink"/>
                <w:noProof/>
              </w:rPr>
              <w:t>Reference List</w:t>
            </w:r>
            <w:r>
              <w:rPr>
                <w:noProof/>
                <w:webHidden/>
              </w:rPr>
              <w:tab/>
            </w:r>
            <w:r>
              <w:rPr>
                <w:noProof/>
                <w:webHidden/>
              </w:rPr>
              <w:fldChar w:fldCharType="begin"/>
            </w:r>
            <w:r>
              <w:rPr>
                <w:noProof/>
                <w:webHidden/>
              </w:rPr>
              <w:instrText xml:space="preserve"> PAGEREF _Toc235739082 \h </w:instrText>
            </w:r>
            <w:r>
              <w:rPr>
                <w:noProof/>
                <w:webHidden/>
              </w:rPr>
            </w:r>
            <w:r>
              <w:rPr>
                <w:noProof/>
                <w:webHidden/>
              </w:rPr>
              <w:fldChar w:fldCharType="separate"/>
            </w:r>
            <w:r w:rsidR="00435B4F">
              <w:rPr>
                <w:noProof/>
                <w:webHidden/>
              </w:rPr>
              <w:t>15</w:t>
            </w:r>
            <w:r>
              <w:rPr>
                <w:noProof/>
                <w:webHidden/>
              </w:rPr>
              <w:fldChar w:fldCharType="end"/>
            </w:r>
          </w:hyperlink>
        </w:p>
        <w:p w14:paraId="4AC96ED5" w14:textId="08306E33" w:rsidR="00A70AE5" w:rsidRPr="00D91B43" w:rsidRDefault="00000000">
          <w:r w:rsidRPr="00D91B43">
            <w:fldChar w:fldCharType="end"/>
          </w:r>
        </w:p>
      </w:sdtContent>
    </w:sdt>
    <w:p w14:paraId="2CADB021" w14:textId="77777777" w:rsidR="00A70AE5" w:rsidRPr="00D91B43" w:rsidRDefault="00000000">
      <w:pPr>
        <w:pStyle w:val="Heading1"/>
        <w:rPr>
          <w:color w:val="auto"/>
        </w:rPr>
      </w:pPr>
      <w:r w:rsidRPr="00D91B43">
        <w:rPr>
          <w:color w:val="auto"/>
        </w:rPr>
        <w:br w:type="page"/>
      </w:r>
      <w:bookmarkStart w:id="0" w:name="_Toc235739062"/>
      <w:r w:rsidRPr="00D91B43">
        <w:rPr>
          <w:color w:val="auto"/>
        </w:rPr>
        <w:lastRenderedPageBreak/>
        <w:t>Task 1: Marketing Environment Analysis</w:t>
      </w:r>
      <w:bookmarkEnd w:id="0"/>
      <w:r w:rsidRPr="00D91B43">
        <w:rPr>
          <w:color w:val="auto"/>
        </w:rPr>
        <w:t xml:space="preserve"> </w:t>
      </w:r>
    </w:p>
    <w:p w14:paraId="1E4AB828" w14:textId="77777777" w:rsidR="00A70AE5" w:rsidRPr="00D91B43" w:rsidRDefault="00000000">
      <w:pPr>
        <w:pStyle w:val="Heading2"/>
        <w:rPr>
          <w:color w:val="auto"/>
        </w:rPr>
      </w:pPr>
      <w:bookmarkStart w:id="1" w:name="_Toc235739063"/>
      <w:r w:rsidRPr="00D91B43">
        <w:rPr>
          <w:color w:val="auto"/>
        </w:rPr>
        <w:t>1.1 Overview of Tata Steel: Scale, Carbon Footprint, and Net-Zero Commitment</w:t>
      </w:r>
      <w:bookmarkEnd w:id="1"/>
    </w:p>
    <w:p w14:paraId="3387AC07" w14:textId="77777777" w:rsidR="00A70AE5" w:rsidRPr="00D91B43" w:rsidRDefault="00000000">
      <w:bookmarkStart w:id="2" w:name="_jsykvm5obk8h" w:colFirst="0" w:colLast="0"/>
      <w:bookmarkEnd w:id="2"/>
      <w:r w:rsidRPr="00D91B43">
        <w:t>Tata Steel is one of the world's biggest diversified steel-producing companies with manufacturing plants in India, the Netherlands, the UK and Thailand. The company has a solid global presence, having combined steel-making activities, mining and downstream value-added products, which are increasingly moving towards "steelmaking with a purpose". During FY2026, Tata Steel India produced 23.48MT of crude steel, which is the best-ever annual production in the year for this company's production volume/ market leadership (Tata Steel, 2026a).</w:t>
      </w:r>
    </w:p>
    <w:p w14:paraId="76DF45AE" w14:textId="77777777" w:rsidR="00A70AE5" w:rsidRPr="00D91B43" w:rsidRDefault="00000000">
      <w:pPr>
        <w:jc w:val="center"/>
      </w:pPr>
      <w:r w:rsidRPr="00D91B43">
        <w:rPr>
          <w:noProof/>
        </w:rPr>
        <w:drawing>
          <wp:inline distT="114300" distB="114300" distL="114300" distR="114300" wp14:anchorId="5BA9B17C" wp14:editId="180ACBB3">
            <wp:extent cx="5943600" cy="348678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5943600" cy="3486785"/>
                    </a:xfrm>
                    <a:prstGeom prst="rect">
                      <a:avLst/>
                    </a:prstGeom>
                    <a:ln w="12700">
                      <a:solidFill>
                        <a:srgbClr val="000000"/>
                      </a:solidFill>
                      <a:prstDash val="solid"/>
                    </a:ln>
                  </pic:spPr>
                </pic:pic>
              </a:graphicData>
            </a:graphic>
          </wp:inline>
        </w:drawing>
      </w:r>
    </w:p>
    <w:p w14:paraId="6E812CCD" w14:textId="77777777" w:rsidR="00A70AE5" w:rsidRPr="00D91B43" w:rsidRDefault="00000000">
      <w:pPr>
        <w:jc w:val="center"/>
        <w:rPr>
          <w:b/>
          <w:bCs/>
        </w:rPr>
      </w:pPr>
      <w:r w:rsidRPr="00D91B43">
        <w:rPr>
          <w:b/>
          <w:bCs/>
        </w:rPr>
        <w:t>Figure 1: Tata Steel: Key Data</w:t>
      </w:r>
    </w:p>
    <w:p w14:paraId="6CA0B9C5" w14:textId="77777777" w:rsidR="00A70AE5" w:rsidRPr="00D91B43" w:rsidRDefault="00000000">
      <w:pPr>
        <w:jc w:val="center"/>
      </w:pPr>
      <w:r w:rsidRPr="00D91B43">
        <w:rPr>
          <w:highlight w:val="white"/>
        </w:rPr>
        <w:t>(Source: Acumen Group, 2026)</w:t>
      </w:r>
      <w:r w:rsidRPr="00D91B43">
        <w:t xml:space="preserve"> </w:t>
      </w:r>
    </w:p>
    <w:p w14:paraId="6D0399CC" w14:textId="77777777" w:rsidR="00A70AE5" w:rsidRPr="00D91B43" w:rsidRDefault="00000000">
      <w:r w:rsidRPr="00D91B43">
        <w:t xml:space="preserve">Tata Steel has a market </w:t>
      </w:r>
      <w:proofErr w:type="spellStart"/>
      <w:r w:rsidRPr="00D91B43">
        <w:t>capitalisation</w:t>
      </w:r>
      <w:proofErr w:type="spellEnd"/>
      <w:r w:rsidRPr="00D91B43">
        <w:t xml:space="preserve"> of ₹2.64 lakh crore and 23.48 MT crude steel production in India as of 30 April 2026.</w:t>
      </w:r>
    </w:p>
    <w:p w14:paraId="3E302238" w14:textId="77777777" w:rsidR="00A70AE5" w:rsidRPr="00D91B43" w:rsidRDefault="00000000">
      <w:r w:rsidRPr="00D91B43">
        <w:t xml:space="preserve">In view of Tata Steel's emissions-intensive operations, the company has ambitious </w:t>
      </w:r>
      <w:proofErr w:type="spellStart"/>
      <w:r w:rsidRPr="00D91B43">
        <w:t>decarbonisation</w:t>
      </w:r>
      <w:proofErr w:type="spellEnd"/>
      <w:r w:rsidRPr="00D91B43">
        <w:t xml:space="preserve"> plans. The company has pledged to become a net-zero greenhouse gas </w:t>
      </w:r>
      <w:r w:rsidRPr="00D91B43">
        <w:lastRenderedPageBreak/>
        <w:t>(GHG) emitter for the Tata Steel Group by 2045, with strategic investments in electric arc furnaces, renewable energy, circular economy initiatives, biochar, and low-carbon steel technologies (Tata Steel, 2026b). By 2030, it has goals of cutting emissions intensity of GDP by 33–35%, making progress towards climate objectives tangible and keeping operations competitive (Press Information Bureau, 2026a).</w:t>
      </w:r>
    </w:p>
    <w:p w14:paraId="579D829A" w14:textId="77777777" w:rsidR="00A70AE5" w:rsidRPr="00D91B43" w:rsidRDefault="00000000">
      <w:pPr>
        <w:pStyle w:val="Heading2"/>
        <w:rPr>
          <w:color w:val="auto"/>
        </w:rPr>
      </w:pPr>
      <w:bookmarkStart w:id="3" w:name="_Toc235739064"/>
      <w:r w:rsidRPr="00D91B43">
        <w:rPr>
          <w:color w:val="auto"/>
        </w:rPr>
        <w:t>1.2 The Natural Environment as a Core Marketing Environment Actor</w:t>
      </w:r>
      <w:bookmarkEnd w:id="3"/>
      <w:r w:rsidRPr="00D91B43">
        <w:rPr>
          <w:color w:val="auto"/>
        </w:rPr>
        <w:t xml:space="preserve"> </w:t>
      </w:r>
    </w:p>
    <w:p w14:paraId="50A839FE"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t>Depletion of Finite Resources: Dependence on Metallurgical Coal</w:t>
      </w:r>
    </w:p>
    <w:p w14:paraId="60C59C43"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A major environmental challenge in the Tata Steel marketing environment is the exhaustion of finite sources of Natural Resources, especially Metallurgical (coking) Coal (Srikanth, 2024). A large amount of coking coal is still used in the steel-making process for blast furnaces, and there is a substantial risk due to the scarcity of resources, fluctuations in prices and import dependence (Ávila et al., 2025). Pressures give Tata Steel an impetus to further invest in low-carbon technologies like electric arc furnace (EAF), hydrogen-based steelmaking and recycling of steel in its continuation of strengthening the sustainability portfolio. Quite interestingly, by 2026, the Government of India (</w:t>
      </w:r>
      <w:proofErr w:type="spellStart"/>
      <w:r w:rsidRPr="00D91B43">
        <w:t>GoI</w:t>
      </w:r>
      <w:proofErr w:type="spellEnd"/>
      <w:r w:rsidRPr="00D91B43">
        <w:t xml:space="preserve">) identified coking coal as a "critical and strategic mineral", and as much as 95% of steel's demand for coking coal is imported (Press Information Bureau, 2026b). </w:t>
      </w:r>
    </w:p>
    <w:p w14:paraId="1808B220"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t>Greenhouse Gas Caps and Carbon Emission Pressures</w:t>
      </w:r>
    </w:p>
    <w:p w14:paraId="20A62BCD"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 xml:space="preserve">The external marketing environment faced by Tata Steel is also changing due to GHG caps and carbon emission regulations to which greater pressure is exerted for reducing the emissions of carbon-intensive steel production. With the increasing focus on climate policies by governments, the steel industry </w:t>
      </w:r>
      <w:proofErr w:type="gramStart"/>
      <w:r w:rsidRPr="00D91B43">
        <w:t>has to</w:t>
      </w:r>
      <w:proofErr w:type="gramEnd"/>
      <w:r w:rsidRPr="00D91B43">
        <w:t xml:space="preserve"> find ways to invest in cleaner technologies, which are crucial to its competitiveness and to opening doors to world markets (Jain, 2024). The European Union's Carbon Border Adjustment Mechanism (CBAM</w:t>
      </w:r>
      <w:proofErr w:type="gramStart"/>
      <w:r w:rsidRPr="00D91B43">
        <w:t>) is</w:t>
      </w:r>
      <w:proofErr w:type="gramEnd"/>
      <w:r w:rsidRPr="00D91B43">
        <w:t xml:space="preserve"> launched its definitive phase in 2026 and is a key regulatory incentive (European Commission, 2026). </w:t>
      </w:r>
    </w:p>
    <w:p w14:paraId="21EB1777"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t xml:space="preserve"> Physical Risks </w:t>
      </w:r>
    </w:p>
    <w:p w14:paraId="52EFE85A"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 xml:space="preserve">Steel's action in transportation of raw materials, manufacturing and raw material supply chains </w:t>
      </w:r>
      <w:r w:rsidRPr="00D91B43">
        <w:rPr>
          <w:highlight w:val="white"/>
        </w:rPr>
        <w:t>(Alam, 2025)</w:t>
      </w:r>
      <w:r w:rsidRPr="00D91B43">
        <w:t xml:space="preserve">. These risks can lead to higher operating expenses and lower production </w:t>
      </w:r>
      <w:proofErr w:type="gramStart"/>
      <w:r w:rsidRPr="00D91B43">
        <w:t>certainty</w:t>
      </w:r>
      <w:proofErr w:type="gramEnd"/>
      <w:r w:rsidRPr="00D91B43">
        <w:t xml:space="preserve">, with a need for more investments in adaptation to climate change </w:t>
      </w:r>
      <w:r w:rsidRPr="00D91B43">
        <w:lastRenderedPageBreak/>
        <w:t xml:space="preserve">and resilient infrastructure. Germany lost 60 billion cubic </w:t>
      </w:r>
      <w:proofErr w:type="spellStart"/>
      <w:r w:rsidRPr="00D91B43">
        <w:t>metres</w:t>
      </w:r>
      <w:proofErr w:type="spellEnd"/>
      <w:r w:rsidRPr="00D91B43">
        <w:t xml:space="preserve"> of water in the last 25 years, and in 2026 they began a national low-water monitoring system, which indicates that water scarcity can have an impact on steel production and industrial logistics (Reuters, 2026). </w:t>
      </w:r>
    </w:p>
    <w:p w14:paraId="58B1A068"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t>The Push Towards a Circular Economy</w:t>
      </w:r>
    </w:p>
    <w:p w14:paraId="31639C36"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 xml:space="preserve">The shift to a circular economy is changing Tata Steel's marketing landscape, increasing the demand for recycled steel, the efficiency of resource use of resources, and a reduction in waste. This helps </w:t>
      </w:r>
      <w:proofErr w:type="spellStart"/>
      <w:r w:rsidRPr="00D91B43">
        <w:t>minimise</w:t>
      </w:r>
      <w:proofErr w:type="spellEnd"/>
      <w:r w:rsidRPr="00D91B43">
        <w:t xml:space="preserve"> reliance on raw materials, reduce carbon footprint and boost the company's sustainability credentials with regulators and environmentally aware customers (Ogiemwonyi, 2025). According to the Bureau of International Recycling (BIR), the world's recycled steel usage grew by 4.5% to 480 million </w:t>
      </w:r>
      <w:proofErr w:type="spellStart"/>
      <w:r w:rsidRPr="00D91B43">
        <w:t>tonnes</w:t>
      </w:r>
      <w:proofErr w:type="spellEnd"/>
      <w:r w:rsidRPr="00D91B43">
        <w:t xml:space="preserve"> in 2026 (Bureau of International Recycling, 2026). </w:t>
      </w:r>
    </w:p>
    <w:p w14:paraId="556C82B5" w14:textId="77777777" w:rsidR="00A70AE5" w:rsidRPr="00D91B43" w:rsidRDefault="00000000">
      <w:bookmarkStart w:id="4" w:name="_j86zjnqsf7pe" w:colFirst="0" w:colLast="0"/>
      <w:bookmarkEnd w:id="4"/>
      <w:r w:rsidRPr="00D91B43">
        <w:br w:type="page"/>
      </w:r>
    </w:p>
    <w:p w14:paraId="3EDF3158" w14:textId="77777777" w:rsidR="00A70AE5" w:rsidRPr="00D91B43" w:rsidRDefault="00000000">
      <w:pPr>
        <w:pStyle w:val="Heading2"/>
        <w:rPr>
          <w:color w:val="auto"/>
        </w:rPr>
      </w:pPr>
      <w:bookmarkStart w:id="5" w:name="_Toc235739065"/>
      <w:r w:rsidRPr="00D91B43">
        <w:rPr>
          <w:color w:val="auto"/>
        </w:rPr>
        <w:lastRenderedPageBreak/>
        <w:t>1.3 Regulators and Government Publics as External Marketing Environment Actors</w:t>
      </w:r>
      <w:bookmarkEnd w:id="5"/>
      <w:r w:rsidRPr="00D91B43">
        <w:rPr>
          <w:color w:val="auto"/>
        </w:rPr>
        <w:t xml:space="preserve">  </w:t>
      </w:r>
    </w:p>
    <w:p w14:paraId="1374E3C6" w14:textId="77777777" w:rsidR="00A70AE5" w:rsidRPr="00D91B43" w:rsidRDefault="00000000">
      <w:pPr>
        <w:pStyle w:val="Heading3"/>
        <w:keepNext w:val="0"/>
        <w:keepLines w:val="0"/>
        <w:rPr>
          <w:color w:val="auto"/>
        </w:rPr>
      </w:pPr>
      <w:bookmarkStart w:id="6" w:name="_Toc235739066"/>
      <w:r w:rsidRPr="00D91B43">
        <w:rPr>
          <w:color w:val="auto"/>
        </w:rPr>
        <w:t xml:space="preserve">1.3.1 EU Industrial </w:t>
      </w:r>
      <w:proofErr w:type="spellStart"/>
      <w:r w:rsidRPr="00D91B43">
        <w:rPr>
          <w:color w:val="auto"/>
        </w:rPr>
        <w:t>Decarbonisation</w:t>
      </w:r>
      <w:proofErr w:type="spellEnd"/>
      <w:r w:rsidRPr="00D91B43">
        <w:rPr>
          <w:color w:val="auto"/>
        </w:rPr>
        <w:t xml:space="preserve"> Accelerator Act</w:t>
      </w:r>
      <w:bookmarkEnd w:id="6"/>
      <w:r w:rsidRPr="00D91B43">
        <w:rPr>
          <w:color w:val="auto"/>
        </w:rPr>
        <w:t xml:space="preserve"> </w:t>
      </w:r>
    </w:p>
    <w:p w14:paraId="0652DE80" w14:textId="77777777" w:rsidR="00A70AE5" w:rsidRPr="00D91B43" w:rsidRDefault="00000000">
      <w:r w:rsidRPr="00D91B43">
        <w:t xml:space="preserve">The EU Industrial </w:t>
      </w:r>
      <w:proofErr w:type="spellStart"/>
      <w:r w:rsidRPr="00D91B43">
        <w:t>Decarbonisation</w:t>
      </w:r>
      <w:proofErr w:type="spellEnd"/>
      <w:r w:rsidRPr="00D91B43">
        <w:t xml:space="preserve"> Accelerator Act increases the competitiveness of energy intensive industries through investments in low carbon manufacturing, clean technologies and streamlining regulatory processes (Kopecky et al., 2026). The policy is very pertinent to Tata Steel Nederland as the company is also investing in greener steelmaking technologies to cut emissions and meet European sustainability standards. The Act helps Tata Steel in its transition to low-carbon production by making steel production more accessible to finance, fostering innovation and raising demand for sustainable steel in pan-European markets. Moreover, the European Commission's 2026 proposal is expected to contribute at least 20% of EU GDP by 2035 through industrial manufacturing to support opportunities for low-carbon steel producers in the long-term (EPRS, 2026).</w:t>
      </w:r>
    </w:p>
    <w:p w14:paraId="342E977D" w14:textId="77777777" w:rsidR="00A70AE5" w:rsidRPr="00D91B43" w:rsidRDefault="00000000">
      <w:pPr>
        <w:pStyle w:val="Heading3"/>
        <w:keepNext w:val="0"/>
        <w:keepLines w:val="0"/>
        <w:rPr>
          <w:color w:val="auto"/>
        </w:rPr>
      </w:pPr>
      <w:bookmarkStart w:id="7" w:name="_Toc235739067"/>
      <w:r w:rsidRPr="00D91B43">
        <w:rPr>
          <w:color w:val="auto"/>
        </w:rPr>
        <w:t>1.3.2 Science-Based Targets Initiative (SBTi) and Net-Zero Standards</w:t>
      </w:r>
      <w:bookmarkEnd w:id="7"/>
      <w:r w:rsidRPr="00D91B43">
        <w:rPr>
          <w:color w:val="auto"/>
        </w:rPr>
        <w:t xml:space="preserve"> </w:t>
      </w:r>
    </w:p>
    <w:p w14:paraId="7A7658B8" w14:textId="77777777" w:rsidR="00A70AE5" w:rsidRPr="00D91B43" w:rsidRDefault="00000000">
      <w:r w:rsidRPr="00D91B43">
        <w:t xml:space="preserve">Science Based Targets initiative (SBTi) sets internationally </w:t>
      </w:r>
      <w:proofErr w:type="spellStart"/>
      <w:r w:rsidRPr="00D91B43">
        <w:t>recognised</w:t>
      </w:r>
      <w:proofErr w:type="spellEnd"/>
      <w:r w:rsidRPr="00D91B43">
        <w:t xml:space="preserve"> guidelines for companies to set greenhouse gas reduction targets that are in line with science and the Paris Agreement. Tata Steel's pledge to tackle its emissions while aiming for net zero steel production with the available technology like Electric Arc Furnaces, renewable energy, and resources efficiency. SBTi alignment bolsters Tata Steel's credibility as an investor, customer and regulator as well as access to growing global markets for low-carbon steel. The SBTi has over 10,000 companies with validated targets and 13,000 commitments, covering more than 40% of global market </w:t>
      </w:r>
      <w:proofErr w:type="spellStart"/>
      <w:r w:rsidRPr="00D91B43">
        <w:t>capitalisation</w:t>
      </w:r>
      <w:proofErr w:type="spellEnd"/>
      <w:r w:rsidRPr="00D91B43">
        <w:t xml:space="preserve"> in over 86 territories and 52 sectors (</w:t>
      </w:r>
      <w:proofErr w:type="spellStart"/>
      <w:r w:rsidRPr="00D91B43">
        <w:t>Nexio</w:t>
      </w:r>
      <w:proofErr w:type="spellEnd"/>
      <w:r w:rsidRPr="00D91B43">
        <w:t xml:space="preserve"> Projects, 2026). </w:t>
      </w:r>
    </w:p>
    <w:p w14:paraId="29368188" w14:textId="77777777" w:rsidR="00A70AE5" w:rsidRPr="00D91B43" w:rsidRDefault="00000000">
      <w:pPr>
        <w:jc w:val="center"/>
      </w:pPr>
      <w:r w:rsidRPr="00D91B43">
        <w:rPr>
          <w:noProof/>
        </w:rPr>
        <w:lastRenderedPageBreak/>
        <w:drawing>
          <wp:inline distT="114300" distB="114300" distL="114300" distR="114300" wp14:anchorId="713549D9" wp14:editId="245EF009">
            <wp:extent cx="5943600" cy="31242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8"/>
                    <a:srcRect/>
                    <a:stretch>
                      <a:fillRect/>
                    </a:stretch>
                  </pic:blipFill>
                  <pic:spPr>
                    <a:xfrm>
                      <a:off x="0" y="0"/>
                      <a:ext cx="5943600" cy="3124200"/>
                    </a:xfrm>
                    <a:prstGeom prst="rect">
                      <a:avLst/>
                    </a:prstGeom>
                    <a:ln w="12700">
                      <a:solidFill>
                        <a:srgbClr val="000000"/>
                      </a:solidFill>
                      <a:prstDash val="solid"/>
                    </a:ln>
                  </pic:spPr>
                </pic:pic>
              </a:graphicData>
            </a:graphic>
          </wp:inline>
        </w:drawing>
      </w:r>
    </w:p>
    <w:p w14:paraId="2B140D75" w14:textId="77777777" w:rsidR="00A70AE5" w:rsidRPr="00D91B43" w:rsidRDefault="00000000">
      <w:pPr>
        <w:jc w:val="center"/>
      </w:pPr>
      <w:r w:rsidRPr="00D91B43">
        <w:rPr>
          <w:b/>
          <w:bCs/>
        </w:rPr>
        <w:t>Figure 2: Science-based targets have become a baseline expectation</w:t>
      </w:r>
    </w:p>
    <w:p w14:paraId="3B550D2F" w14:textId="77777777" w:rsidR="00A70AE5" w:rsidRPr="00D91B43" w:rsidRDefault="00000000">
      <w:pPr>
        <w:jc w:val="center"/>
      </w:pPr>
      <w:r w:rsidRPr="00D91B43">
        <w:t xml:space="preserve">(Source: </w:t>
      </w:r>
      <w:proofErr w:type="spellStart"/>
      <w:r w:rsidRPr="00D91B43">
        <w:t>Nexio</w:t>
      </w:r>
      <w:proofErr w:type="spellEnd"/>
      <w:r w:rsidRPr="00D91B43">
        <w:t xml:space="preserve"> Projects, 2026) </w:t>
      </w:r>
    </w:p>
    <w:p w14:paraId="48E78915" w14:textId="77777777" w:rsidR="00A70AE5" w:rsidRPr="00D91B43" w:rsidRDefault="00000000">
      <w:pPr>
        <w:pStyle w:val="Heading3"/>
        <w:keepNext w:val="0"/>
        <w:keepLines w:val="0"/>
        <w:rPr>
          <w:color w:val="auto"/>
          <w:highlight w:val="yellow"/>
        </w:rPr>
      </w:pPr>
      <w:bookmarkStart w:id="8" w:name="_Toc235739068"/>
      <w:r w:rsidRPr="00D91B43">
        <w:rPr>
          <w:color w:val="auto"/>
        </w:rPr>
        <w:t>1.3.3 Industrial Energy Transformation Fund (IETF)</w:t>
      </w:r>
      <w:bookmarkEnd w:id="8"/>
      <w:r w:rsidRPr="00D91B43">
        <w:rPr>
          <w:color w:val="auto"/>
          <w:highlight w:val="yellow"/>
        </w:rPr>
        <w:t xml:space="preserve"> </w:t>
      </w:r>
    </w:p>
    <w:p w14:paraId="7582CFA1" w14:textId="77777777" w:rsidR="00A70AE5" w:rsidRPr="00D91B43" w:rsidRDefault="00000000">
      <w:r w:rsidRPr="00D91B43">
        <w:t xml:space="preserve">The energy intensive industries will be funded to achieve industrial </w:t>
      </w:r>
      <w:proofErr w:type="spellStart"/>
      <w:r w:rsidRPr="00D91B43">
        <w:t>decarbonisation</w:t>
      </w:r>
      <w:proofErr w:type="spellEnd"/>
      <w:r w:rsidRPr="00D91B43">
        <w:t xml:space="preserve"> and apply energy efficient and low carbon technologies using the Industrial Energy Transformation Fund (IETF). It is very much relevant here to Tata Steel UK, especially to the company's Port Talbot site, where Tata Steel is switching from conventional blast furnace technology towards Electric Arc Furnace (EAF) steel technology, which, amongst others, decreases carbon emissions. As announced the IETF Phase 3 of the industrial </w:t>
      </w:r>
      <w:proofErr w:type="spellStart"/>
      <w:r w:rsidRPr="00D91B43">
        <w:t>decarbonisation</w:t>
      </w:r>
      <w:proofErr w:type="spellEnd"/>
      <w:r w:rsidRPr="00D91B43">
        <w:t xml:space="preserve"> projects at £500 million became available in 2026 (Department for Energy Security and Net Zero, 2024).</w:t>
      </w:r>
    </w:p>
    <w:p w14:paraId="36644DFF" w14:textId="77777777" w:rsidR="00A70AE5" w:rsidRPr="00D91B43" w:rsidRDefault="00000000">
      <w:pPr>
        <w:pStyle w:val="Heading3"/>
        <w:keepNext w:val="0"/>
        <w:keepLines w:val="0"/>
        <w:rPr>
          <w:color w:val="auto"/>
        </w:rPr>
      </w:pPr>
      <w:bookmarkStart w:id="9" w:name="_Toc235739069"/>
      <w:r w:rsidRPr="00D91B43">
        <w:rPr>
          <w:color w:val="auto"/>
        </w:rPr>
        <w:t xml:space="preserve">1.3.4 Indian Government Policies Supporting </w:t>
      </w:r>
      <w:proofErr w:type="spellStart"/>
      <w:r w:rsidRPr="00D91B43">
        <w:rPr>
          <w:color w:val="auto"/>
        </w:rPr>
        <w:t>Decarbonisation</w:t>
      </w:r>
      <w:bookmarkEnd w:id="9"/>
      <w:proofErr w:type="spellEnd"/>
    </w:p>
    <w:p w14:paraId="411108E0" w14:textId="77777777" w:rsidR="00A70AE5" w:rsidRPr="00D91B43" w:rsidRDefault="00000000">
      <w:r w:rsidRPr="00D91B43">
        <w:t xml:space="preserve">The Indian Government is pushing towards a </w:t>
      </w:r>
      <w:proofErr w:type="spellStart"/>
      <w:r w:rsidRPr="00D91B43">
        <w:t>decarbonisation</w:t>
      </w:r>
      <w:proofErr w:type="spellEnd"/>
      <w:r w:rsidRPr="00D91B43">
        <w:t xml:space="preserve"> pathway and there are several initiatives to support the </w:t>
      </w:r>
      <w:proofErr w:type="spellStart"/>
      <w:r w:rsidRPr="00D91B43">
        <w:t>decarbonisation</w:t>
      </w:r>
      <w:proofErr w:type="spellEnd"/>
      <w:r w:rsidRPr="00D91B43">
        <w:t xml:space="preserve"> of the steel sector, including the National Green Hydrogen Mission, Green Steel Taxonomy and pilot projects on production of low carbon steel. The importance of these policies cannot be overstated for Tata Steel, as they align with the company's path towards Green Steel; policies that promote efforts to develop and use hydrogen to make steel, reduce carbon emissions, and have access to </w:t>
      </w:r>
      <w:r w:rsidRPr="00D91B43">
        <w:lastRenderedPageBreak/>
        <w:t xml:space="preserve">cleaner technologies. The Government has committed to US$41 million over a </w:t>
      </w:r>
      <w:proofErr w:type="gramStart"/>
      <w:r w:rsidRPr="00D91B43">
        <w:t>three year</w:t>
      </w:r>
      <w:proofErr w:type="gramEnd"/>
      <w:r w:rsidRPr="00D91B43">
        <w:t xml:space="preserve"> period to back three initial green hydrogen steel projects (GMK Centre, 2026a).</w:t>
      </w:r>
    </w:p>
    <w:p w14:paraId="458E6007" w14:textId="77777777" w:rsidR="00A70AE5" w:rsidRPr="00D91B43" w:rsidRDefault="00000000">
      <w:pPr>
        <w:pStyle w:val="Heading3"/>
        <w:keepNext w:val="0"/>
        <w:keepLines w:val="0"/>
        <w:rPr>
          <w:color w:val="auto"/>
        </w:rPr>
      </w:pPr>
      <w:bookmarkStart w:id="10" w:name="_Toc235739070"/>
      <w:r w:rsidRPr="00D91B43">
        <w:rPr>
          <w:color w:val="auto"/>
        </w:rPr>
        <w:t>1.3.5 Critical Evaluation of Regulatory Pressures</w:t>
      </w:r>
      <w:bookmarkEnd w:id="10"/>
    </w:p>
    <w:p w14:paraId="0206C08B" w14:textId="77777777" w:rsidR="00A70AE5" w:rsidRPr="00D91B43" w:rsidRDefault="00000000">
      <w:r w:rsidRPr="00D91B43">
        <w:t xml:space="preserve">Tata Steel faces challenges as well as opportunities from regulatory pressures. Evolving environmental policies come with significant investment in low-carbon technologies, which means there is a direct impact on the short-term operating costs. These regulations also spur innovation, boost the sustainability performance, sharpen market competitiveness and increase access to environment-oriented consumers and investors. </w:t>
      </w:r>
    </w:p>
    <w:p w14:paraId="5815395C"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br w:type="page"/>
      </w:r>
    </w:p>
    <w:p w14:paraId="4146665A" w14:textId="77777777" w:rsidR="00A70AE5" w:rsidRPr="00D91B43" w:rsidRDefault="00000000">
      <w:pPr>
        <w:pStyle w:val="Heading1"/>
        <w:rPr>
          <w:color w:val="auto"/>
        </w:rPr>
      </w:pPr>
      <w:bookmarkStart w:id="11" w:name="_Toc235739071"/>
      <w:r w:rsidRPr="00D91B43">
        <w:rPr>
          <w:color w:val="auto"/>
        </w:rPr>
        <w:lastRenderedPageBreak/>
        <w:t>Task 2: Strategic Growth and Competitive Positioning</w:t>
      </w:r>
      <w:bookmarkEnd w:id="11"/>
    </w:p>
    <w:p w14:paraId="44D152B4" w14:textId="77777777" w:rsidR="00A70AE5" w:rsidRPr="00D91B43" w:rsidRDefault="00000000">
      <w:pPr>
        <w:pStyle w:val="Heading2"/>
        <w:rPr>
          <w:color w:val="auto"/>
        </w:rPr>
      </w:pPr>
      <w:bookmarkStart w:id="12" w:name="_Toc235739072"/>
      <w:r w:rsidRPr="00D91B43">
        <w:rPr>
          <w:color w:val="auto"/>
        </w:rPr>
        <w:t>2.1 Application of the Ansoff Matrix: Product Development Strategy for Low-Carbon Steel</w:t>
      </w:r>
      <w:bookmarkEnd w:id="12"/>
      <w:r w:rsidRPr="00D91B43">
        <w:rPr>
          <w:color w:val="auto"/>
        </w:rPr>
        <w:t xml:space="preserve"> </w:t>
      </w:r>
    </w:p>
    <w:p w14:paraId="2D5E8C39"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t>Market Penetration</w:t>
      </w:r>
    </w:p>
    <w:p w14:paraId="1F362F77"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 xml:space="preserve">Tata Steel can </w:t>
      </w:r>
      <w:proofErr w:type="spellStart"/>
      <w:r w:rsidRPr="00D91B43">
        <w:t>utilise</w:t>
      </w:r>
      <w:proofErr w:type="spellEnd"/>
      <w:r w:rsidRPr="00D91B43">
        <w:t xml:space="preserve"> Ansoff's market penetration strategy to boost sales of its low-carbon steel in the current market by winning more customers or by reducing prices, using the brand "low carbon" and improving relationships with customers. The increased demand for more environmentally responsible steel is giving sales a boost without penetrating new markets. The World Steel Association predicted that in 2026, the global demand of steel will be 1.724 billion </w:t>
      </w:r>
      <w:proofErr w:type="spellStart"/>
      <w:r w:rsidRPr="00D91B43">
        <w:t>tonnes</w:t>
      </w:r>
      <w:proofErr w:type="spellEnd"/>
      <w:r w:rsidRPr="00D91B43">
        <w:t xml:space="preserve">, with a growth rate of 0.3% (World Steel Association, 2026). </w:t>
      </w:r>
    </w:p>
    <w:p w14:paraId="7CC7AA04"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jc w:val="center"/>
      </w:pPr>
      <w:r w:rsidRPr="00D91B43">
        <w:rPr>
          <w:noProof/>
        </w:rPr>
        <w:drawing>
          <wp:inline distT="114300" distB="114300" distL="114300" distR="114300" wp14:anchorId="692B59D1" wp14:editId="3F218AE1">
            <wp:extent cx="5943600" cy="14986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9"/>
                    <a:srcRect/>
                    <a:stretch>
                      <a:fillRect/>
                    </a:stretch>
                  </pic:blipFill>
                  <pic:spPr>
                    <a:xfrm>
                      <a:off x="0" y="0"/>
                      <a:ext cx="5943600" cy="1498600"/>
                    </a:xfrm>
                    <a:prstGeom prst="rect">
                      <a:avLst/>
                    </a:prstGeom>
                    <a:ln w="12700">
                      <a:solidFill>
                        <a:srgbClr val="000000"/>
                      </a:solidFill>
                      <a:prstDash val="solid"/>
                    </a:ln>
                  </pic:spPr>
                </pic:pic>
              </a:graphicData>
            </a:graphic>
          </wp:inline>
        </w:drawing>
      </w:r>
    </w:p>
    <w:p w14:paraId="12D247BA"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jc w:val="center"/>
        <w:rPr>
          <w:b/>
          <w:bCs/>
        </w:rPr>
      </w:pPr>
      <w:r w:rsidRPr="00D91B43">
        <w:rPr>
          <w:b/>
          <w:bCs/>
        </w:rPr>
        <w:t xml:space="preserve">Figure 3: </w:t>
      </w:r>
      <w:proofErr w:type="spellStart"/>
      <w:r w:rsidRPr="00D91B43">
        <w:rPr>
          <w:b/>
          <w:bCs/>
        </w:rPr>
        <w:t>Worldsteel</w:t>
      </w:r>
      <w:proofErr w:type="spellEnd"/>
      <w:r w:rsidRPr="00D91B43">
        <w:rPr>
          <w:b/>
          <w:bCs/>
        </w:rPr>
        <w:t xml:space="preserve"> Short Range Outlook </w:t>
      </w:r>
    </w:p>
    <w:p w14:paraId="2816702E"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jc w:val="center"/>
      </w:pPr>
      <w:r w:rsidRPr="00D91B43">
        <w:t xml:space="preserve">(Source: </w:t>
      </w:r>
      <w:r w:rsidRPr="00D91B43">
        <w:rPr>
          <w:highlight w:val="white"/>
        </w:rPr>
        <w:t>World Steel Association, 2026)</w:t>
      </w:r>
      <w:r w:rsidRPr="00D91B43">
        <w:t xml:space="preserve"> </w:t>
      </w:r>
    </w:p>
    <w:p w14:paraId="7FDA64BB"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t>Market Development</w:t>
      </w:r>
    </w:p>
    <w:p w14:paraId="785759D5"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t>The market development approach of Ansoff helps Tata Steel to explore its already low-carbon steel security into the Indian infrastructure and renewable energy market where inhabitants are quickly exerting pressure on sustainable development of construction materials (Majumder and Dutta, 2025). The company can strategize to intensify its targets through large-scale infrastructure initiatives, renewable energy initiatives, and green factories. Growing the domestic applied segments will spread out revenue streams, market share, and in the process, enhancing the competitiveness of Tata Steel in sustainable steel production. According to the World Steel Association (2026), the steel demand in India is predicted to rise by 7.4 percent in 2026 which will make it the most active major steel consumer and a promising target of Tata steel low-carbon steel products (World Steel Association, 2026).</w:t>
      </w:r>
    </w:p>
    <w:p w14:paraId="4A1E42FB"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lastRenderedPageBreak/>
        <w:t>Product Development</w:t>
      </w:r>
    </w:p>
    <w:p w14:paraId="05FC61BE"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 xml:space="preserve">Tata Steel can leverage Ansoff's product development strategy by investing in and manufacturing groundbreaking solutions in the field of low-carbon steel, </w:t>
      </w:r>
      <w:proofErr w:type="spellStart"/>
      <w:r w:rsidRPr="00D91B43">
        <w:t>utilising</w:t>
      </w:r>
      <w:proofErr w:type="spellEnd"/>
      <w:r w:rsidRPr="00D91B43">
        <w:t xml:space="preserve"> green hydrogen, EAF and recycled steel. The products are responding to the rising demand for sustainable steel in the automotive industry, in construction and for engineering applications, as well as for </w:t>
      </w:r>
      <w:proofErr w:type="spellStart"/>
      <w:r w:rsidRPr="00D91B43">
        <w:t>decarbonisation</w:t>
      </w:r>
      <w:proofErr w:type="spellEnd"/>
      <w:r w:rsidRPr="00D91B43">
        <w:t xml:space="preserve"> efforts. Tata Steel Nederland raised €2 billion in funding in 2026 for executing its “Green Steel Plan” that boosts the transition to low-carbon steel production and product development (GMK Center, 2026).</w:t>
      </w:r>
    </w:p>
    <w:p w14:paraId="3E3E5F3C"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jc w:val="center"/>
      </w:pPr>
      <w:r w:rsidRPr="00D91B43">
        <w:rPr>
          <w:noProof/>
        </w:rPr>
        <w:drawing>
          <wp:inline distT="114300" distB="114300" distL="114300" distR="114300" wp14:anchorId="04D9BF6B" wp14:editId="30913201">
            <wp:extent cx="5943600" cy="2549525"/>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10"/>
                    <a:srcRect/>
                    <a:stretch>
                      <a:fillRect/>
                    </a:stretch>
                  </pic:blipFill>
                  <pic:spPr>
                    <a:xfrm>
                      <a:off x="0" y="0"/>
                      <a:ext cx="5943600" cy="2549525"/>
                    </a:xfrm>
                    <a:prstGeom prst="rect">
                      <a:avLst/>
                    </a:prstGeom>
                    <a:ln w="12700">
                      <a:solidFill>
                        <a:srgbClr val="000000"/>
                      </a:solidFill>
                      <a:prstDash val="solid"/>
                    </a:ln>
                  </pic:spPr>
                </pic:pic>
              </a:graphicData>
            </a:graphic>
          </wp:inline>
        </w:drawing>
      </w:r>
    </w:p>
    <w:p w14:paraId="79D856E3"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jc w:val="center"/>
        <w:rPr>
          <w:b/>
          <w:bCs/>
        </w:rPr>
      </w:pPr>
      <w:r w:rsidRPr="00D91B43">
        <w:rPr>
          <w:b/>
          <w:bCs/>
          <w:highlight w:val="white"/>
        </w:rPr>
        <w:t>Figure 4: Tata Steel Nederland</w:t>
      </w:r>
      <w:r w:rsidRPr="00D91B43">
        <w:rPr>
          <w:b/>
          <w:bCs/>
        </w:rPr>
        <w:t xml:space="preserve"> </w:t>
      </w:r>
    </w:p>
    <w:p w14:paraId="7B8A375A"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jc w:val="center"/>
      </w:pPr>
      <w:r w:rsidRPr="00D91B43">
        <w:t xml:space="preserve">(Source: GMK Centre, 2026b) </w:t>
      </w:r>
    </w:p>
    <w:p w14:paraId="007A5F53"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t xml:space="preserve"> </w:t>
      </w:r>
      <w:r w:rsidRPr="00D91B43">
        <w:rPr>
          <w:b/>
          <w:bCs/>
        </w:rPr>
        <w:t>Diversification</w:t>
      </w:r>
    </w:p>
    <w:p w14:paraId="71A7AEB8"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 xml:space="preserve">To mitigate its reliance on traditional steel markets, Tata Steel can consider nurturing new business ventures through Ansoff's diversification approach, including green hydrogen, steel recycling, renewable energy, and low-carbon construction materials. Diversification leads to a strengthening of long-term resilience, thus offering new streams of income and contributing to a sustainability agenda (Ávila et al., 2025). To boost its diversification into low-carbon and circular steelmaking operations, Tata Steel has commissioned its 0.75 million </w:t>
      </w:r>
      <w:proofErr w:type="spellStart"/>
      <w:r w:rsidRPr="00D91B43">
        <w:t>tonnes</w:t>
      </w:r>
      <w:proofErr w:type="spellEnd"/>
      <w:r w:rsidRPr="00D91B43">
        <w:t xml:space="preserve"> per annum (MTPA) Electric Arc Furnace (EAF) based on waste steel at Ludhiana in 2026 (</w:t>
      </w:r>
      <w:proofErr w:type="spellStart"/>
      <w:r w:rsidRPr="00D91B43">
        <w:t>Swarajya</w:t>
      </w:r>
      <w:proofErr w:type="spellEnd"/>
      <w:r w:rsidRPr="00D91B43">
        <w:t>, 2026).</w:t>
      </w:r>
    </w:p>
    <w:p w14:paraId="60E4795B" w14:textId="77777777" w:rsidR="00880E04" w:rsidRDefault="00880E04">
      <w:pPr>
        <w:spacing w:line="240" w:lineRule="auto"/>
        <w:jc w:val="left"/>
        <w:rPr>
          <w:b/>
          <w:bCs/>
        </w:rPr>
      </w:pPr>
      <w:r>
        <w:rPr>
          <w:b/>
          <w:bCs/>
        </w:rPr>
        <w:br w:type="page"/>
      </w:r>
    </w:p>
    <w:p w14:paraId="48E6B232" w14:textId="641DA8E0"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lastRenderedPageBreak/>
        <w:t>Justification</w:t>
      </w:r>
    </w:p>
    <w:p w14:paraId="554EF603"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 xml:space="preserve">Tata Steel should choose Product Development as it is the most suitable alternative for them among all Ansoff's strategies </w:t>
      </w:r>
      <w:r w:rsidRPr="00D91B43">
        <w:rPr>
          <w:highlight w:val="white"/>
        </w:rPr>
        <w:t>(Tata Steel Limited, 2026)</w:t>
      </w:r>
      <w:r w:rsidRPr="00D91B43">
        <w:t xml:space="preserve">. The company has already built up an international circle of customers and </w:t>
      </w:r>
      <w:proofErr w:type="gramStart"/>
      <w:r w:rsidRPr="00D91B43">
        <w:t>has the ability to</w:t>
      </w:r>
      <w:proofErr w:type="gramEnd"/>
      <w:r w:rsidRPr="00D91B43">
        <w:t xml:space="preserve"> manufacture and market products, thereby entering a new market with innovative low-carbon steel products. The move represents a step towards environmental compliance, heightening consumer expectations for greener products, and Tata Steel's </w:t>
      </w:r>
      <w:proofErr w:type="spellStart"/>
      <w:r w:rsidRPr="00D91B43">
        <w:t>decarbonisation</w:t>
      </w:r>
      <w:proofErr w:type="spellEnd"/>
      <w:r w:rsidRPr="00D91B43">
        <w:t xml:space="preserve"> goals. As a result, product development is a way to build competitive advantage, to build a reputation for its brand and to sustain a </w:t>
      </w:r>
      <w:proofErr w:type="gramStart"/>
      <w:r w:rsidRPr="00D91B43">
        <w:t>long term</w:t>
      </w:r>
      <w:proofErr w:type="gramEnd"/>
      <w:r w:rsidRPr="00D91B43">
        <w:t xml:space="preserve"> growth.</w:t>
      </w:r>
    </w:p>
    <w:p w14:paraId="5140C6BA" w14:textId="38108C0C" w:rsidR="00A70AE5" w:rsidRPr="00D91B43" w:rsidRDefault="00A70AE5">
      <w:bookmarkStart w:id="13" w:name="_nvrn3fsou4d" w:colFirst="0" w:colLast="0"/>
      <w:bookmarkEnd w:id="13"/>
    </w:p>
    <w:p w14:paraId="3D14AE27" w14:textId="77777777" w:rsidR="00A70AE5" w:rsidRPr="00D91B43" w:rsidRDefault="00000000">
      <w:pPr>
        <w:pStyle w:val="Heading2"/>
        <w:rPr>
          <w:color w:val="auto"/>
        </w:rPr>
      </w:pPr>
      <w:bookmarkStart w:id="14" w:name="_Toc235739073"/>
      <w:r w:rsidRPr="00D91B43">
        <w:rPr>
          <w:color w:val="auto"/>
        </w:rPr>
        <w:t>2.2 Competitive Advantage Through Electric Arc Furnace (EAF) Adoption: A Porter's Generic Strategies Perspective</w:t>
      </w:r>
      <w:bookmarkEnd w:id="14"/>
      <w:r w:rsidRPr="00D91B43">
        <w:rPr>
          <w:color w:val="auto"/>
        </w:rPr>
        <w:t xml:space="preserve"> </w:t>
      </w:r>
    </w:p>
    <w:p w14:paraId="5D69ED2D" w14:textId="77777777" w:rsidR="00A70AE5" w:rsidRPr="00D91B43" w:rsidRDefault="00000000">
      <w:r w:rsidRPr="00D91B43">
        <w:t xml:space="preserve">Firms can achieve competitive advantages through cost leadership, differentiation or focus according to Porter's Generic Strategies. By focusing on EAF technology, Tata Steel primarily aims to implement a differentiation strategy by producing low-carbon steel complying with a more environment-friendly resorting of the environmental standards and changes in customer preferences. </w:t>
      </w:r>
    </w:p>
    <w:p w14:paraId="43BCBD7A" w14:textId="77777777" w:rsidR="00A70AE5" w:rsidRPr="00D91B43" w:rsidRDefault="00000000">
      <w:r w:rsidRPr="00D91B43">
        <w:t xml:space="preserve">Cost competitiveness benefits of EFAs enable the </w:t>
      </w:r>
      <w:proofErr w:type="spellStart"/>
      <w:r w:rsidRPr="00D91B43">
        <w:t>optimisation</w:t>
      </w:r>
      <w:proofErr w:type="spellEnd"/>
      <w:r w:rsidRPr="00D91B43">
        <w:t xml:space="preserve"> of the EAF technology to ensure a more efficient operation of the facility over the long term, resulting in reduced energy consumption, reliance on imported coking coal, and exposure to carbon pricing policies like the EU ETS and CBAM (Holzer and </w:t>
      </w:r>
      <w:proofErr w:type="spellStart"/>
      <w:r w:rsidRPr="00D91B43">
        <w:t>Kopytsia</w:t>
      </w:r>
      <w:proofErr w:type="spellEnd"/>
      <w:r w:rsidRPr="00D91B43">
        <w:t>, 2023). Such savings enable Tata Steel to reduce costs and meet evolving environmental legislation requirements. Moreover, initial capital investment in low-carbon steel production contributes to gaining a competitive edge over other firms that still use traditional blast furnace facilities when taking part in the premium green steel market.</w:t>
      </w:r>
    </w:p>
    <w:p w14:paraId="3ABDBAE7" w14:textId="77777777" w:rsidR="00A70AE5" w:rsidRPr="00D91B43" w:rsidRDefault="00000000">
      <w:r w:rsidRPr="00D91B43">
        <w:t xml:space="preserve">In 2026, Tata Steel UK began work on its </w:t>
      </w:r>
      <w:proofErr w:type="gramStart"/>
      <w:r w:rsidRPr="00D91B43">
        <w:t>brand new</w:t>
      </w:r>
      <w:proofErr w:type="gramEnd"/>
      <w:r w:rsidRPr="00D91B43">
        <w:t xml:space="preserve"> EAF, which is the biggest change in UK steel production in decades. Part of a modern, lower-carbon steel production facility, the project is part of a £1.25 billion investment </w:t>
      </w:r>
      <w:proofErr w:type="spellStart"/>
      <w:r w:rsidRPr="00D91B43">
        <w:t>programme</w:t>
      </w:r>
      <w:proofErr w:type="spellEnd"/>
      <w:r w:rsidRPr="00D91B43">
        <w:t xml:space="preserve"> (Tata Steel UK, 2026). Moreover, the project will help to cut down the carbon footprint of the site by about 90% </w:t>
      </w:r>
      <w:r w:rsidRPr="00D91B43">
        <w:lastRenderedPageBreak/>
        <w:t xml:space="preserve">(around 5 million </w:t>
      </w:r>
      <w:proofErr w:type="spellStart"/>
      <w:r w:rsidRPr="00D91B43">
        <w:t>tonnes</w:t>
      </w:r>
      <w:proofErr w:type="spellEnd"/>
      <w:r w:rsidRPr="00D91B43">
        <w:t xml:space="preserve"> of CO₂ per year) once operational, which will give Tata Steel a major long-term competitive edge in sustainable manufacturing (Tata Steel, 2025).</w:t>
      </w:r>
    </w:p>
    <w:p w14:paraId="1BB7F1A2" w14:textId="77777777" w:rsidR="00A70AE5" w:rsidRPr="00D91B43" w:rsidRDefault="00000000">
      <w:pPr>
        <w:pStyle w:val="Heading2"/>
        <w:rPr>
          <w:color w:val="auto"/>
        </w:rPr>
      </w:pPr>
      <w:bookmarkStart w:id="15" w:name="_Toc235739074"/>
      <w:r w:rsidRPr="00D91B43">
        <w:rPr>
          <w:color w:val="auto"/>
        </w:rPr>
        <w:t>2.3 Critical Recommendation</w:t>
      </w:r>
      <w:bookmarkEnd w:id="15"/>
    </w:p>
    <w:p w14:paraId="7ABD92CA" w14:textId="77777777" w:rsidR="00A70AE5" w:rsidRPr="00D91B43" w:rsidRDefault="00000000">
      <w:r w:rsidRPr="00D91B43">
        <w:t xml:space="preserve">After considering Porter's generic strategies, Tata Steel should opt for a differentiation strategy, </w:t>
      </w:r>
      <w:proofErr w:type="gramStart"/>
      <w:r w:rsidRPr="00D91B43">
        <w:t>so as to</w:t>
      </w:r>
      <w:proofErr w:type="gramEnd"/>
      <w:r w:rsidRPr="00D91B43">
        <w:t xml:space="preserve"> gain a long-term competitive advantage. The company needs to leverage their competitive edge not primarily on the cost, but in the production of premium low-carbon steel based on Electric Arc Furnace (EAF) technology, renewable energy, green hydrogen and </w:t>
      </w:r>
      <w:proofErr w:type="spellStart"/>
      <w:r w:rsidRPr="00D91B43">
        <w:t>utilisation</w:t>
      </w:r>
      <w:proofErr w:type="spellEnd"/>
      <w:r w:rsidRPr="00D91B43">
        <w:t xml:space="preserve"> of recycled steel. Doing this will not only provide customers with something distinctive, but it will also meet </w:t>
      </w:r>
      <w:proofErr w:type="gramStart"/>
      <w:r w:rsidRPr="00D91B43">
        <w:t>more and more</w:t>
      </w:r>
      <w:proofErr w:type="gramEnd"/>
      <w:r w:rsidRPr="00D91B43">
        <w:t xml:space="preserve"> stringent climate laws worldwide.</w:t>
      </w:r>
    </w:p>
    <w:p w14:paraId="55B53F66" w14:textId="77777777" w:rsidR="00A70AE5" w:rsidRPr="00D91B43" w:rsidRDefault="00000000">
      <w:r w:rsidRPr="00D91B43">
        <w:t xml:space="preserve">There is a need to support differentiation by actively increasing investment in research and development for Tata Steel to produce certified green steel products having a lower embedded carbon footprint for the automotive, construction and engineering sectors (Gupta, 2023). Furthermore, the company should work on improving its digital traceability systems </w:t>
      </w:r>
      <w:proofErr w:type="gramStart"/>
      <w:r w:rsidRPr="00D91B43">
        <w:t>so as to</w:t>
      </w:r>
      <w:proofErr w:type="gramEnd"/>
      <w:r w:rsidRPr="00D91B43">
        <w:t xml:space="preserve"> make carbon footprint information transparent and, consequently, enable customers to carry out their sustainability commitments. Other critical factors are market positioning and innovation, which can be enhanced through strategic partnerships with large industrial customers and governments (Tata Steel UK, 2026).</w:t>
      </w:r>
    </w:p>
    <w:p w14:paraId="254E1B2D" w14:textId="77777777" w:rsidR="00A70AE5" w:rsidRPr="00D91B43" w:rsidRDefault="00000000">
      <w:r w:rsidRPr="00D91B43">
        <w:t xml:space="preserve">The implementation of EAF technology helps to improve operational efficiency; however, Tata Steel should refrain from only a cost leadership strategy, because low-cost producers may still maintain price leadership (Sinha, 2025). Rather, the company should look at providing high quality </w:t>
      </w:r>
      <w:proofErr w:type="gramStart"/>
      <w:r w:rsidRPr="00D91B43">
        <w:t>product</w:t>
      </w:r>
      <w:proofErr w:type="gramEnd"/>
      <w:r w:rsidRPr="00D91B43">
        <w:t>, high sustainability attributes, technological newness, and low-carbon steel solutions. This way of differentiation will ensure that the company will have a long-lasting competitive advantage, which will be difficult for others to replicate and enjoy long-term profitability and global leadership.</w:t>
      </w:r>
    </w:p>
    <w:p w14:paraId="40754F23" w14:textId="77777777" w:rsidR="00A70AE5" w:rsidRPr="00D91B43" w:rsidRDefault="00A70AE5"/>
    <w:p w14:paraId="6F69B79F" w14:textId="77777777" w:rsidR="00A70AE5" w:rsidRPr="00D91B43" w:rsidRDefault="00A70AE5"/>
    <w:p w14:paraId="45B63AA9"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br w:type="page"/>
      </w:r>
    </w:p>
    <w:p w14:paraId="7AF52E72" w14:textId="77777777" w:rsidR="00A70AE5" w:rsidRPr="00D91B43" w:rsidRDefault="00000000">
      <w:pPr>
        <w:pStyle w:val="Heading1"/>
        <w:rPr>
          <w:color w:val="auto"/>
        </w:rPr>
      </w:pPr>
      <w:bookmarkStart w:id="16" w:name="_Toc235739075"/>
      <w:r w:rsidRPr="00D91B43">
        <w:rPr>
          <w:color w:val="auto"/>
        </w:rPr>
        <w:lastRenderedPageBreak/>
        <w:t>Task 3: Critical Reflection on AI Usage</w:t>
      </w:r>
      <w:bookmarkEnd w:id="16"/>
      <w:r w:rsidRPr="00D91B43">
        <w:rPr>
          <w:color w:val="auto"/>
        </w:rPr>
        <w:t xml:space="preserve"> </w:t>
      </w:r>
    </w:p>
    <w:p w14:paraId="2B03CF70" w14:textId="77777777" w:rsidR="00A70AE5" w:rsidRPr="00D91B43" w:rsidRDefault="00000000">
      <w:pPr>
        <w:pStyle w:val="Heading1"/>
        <w:rPr>
          <w:color w:val="auto"/>
        </w:rPr>
      </w:pPr>
      <w:bookmarkStart w:id="17" w:name="_Toc235739076"/>
      <w:r w:rsidRPr="00D91B43">
        <w:rPr>
          <w:color w:val="auto"/>
        </w:rPr>
        <w:t>3.1 AI Tool Disclosure</w:t>
      </w:r>
      <w:bookmarkEnd w:id="17"/>
    </w:p>
    <w:p w14:paraId="4C39D7A0" w14:textId="77777777" w:rsidR="00A70AE5" w:rsidRPr="00D91B43" w:rsidRDefault="00000000">
      <w:r w:rsidRPr="00D91B43">
        <w:t xml:space="preserve">The use of Artificial Intelligence (AI) tools to support proofreading, grammar, sentence refinement and improvement on academic writing style in this report is limited to the above-listed purposes only. The use of AI to generate the main content of the report, for research, data analysis, argument writing, or the provision of recommendations was not used </w:t>
      </w:r>
      <w:proofErr w:type="gramStart"/>
      <w:r w:rsidRPr="00D91B43">
        <w:t>as a means to</w:t>
      </w:r>
      <w:proofErr w:type="gramEnd"/>
      <w:r w:rsidRPr="00D91B43">
        <w:t xml:space="preserve"> prepare the report. The list of literature, critical analysis, interpretation of evidence, environment of Kotler in marketing, Ansoff Matrix, Porter's generic strategy and conclusions were all independently conducted by me using credible academic, industrial and official sources as per the Academic Integrity requirements of the institution.</w:t>
      </w:r>
    </w:p>
    <w:p w14:paraId="6211EA18" w14:textId="77777777" w:rsidR="00A70AE5" w:rsidRPr="00D91B43" w:rsidRDefault="00000000">
      <w:pPr>
        <w:pStyle w:val="Heading2"/>
        <w:rPr>
          <w:color w:val="auto"/>
        </w:rPr>
      </w:pPr>
      <w:bookmarkStart w:id="18" w:name="_Toc235739077"/>
      <w:r w:rsidRPr="00D91B43">
        <w:rPr>
          <w:color w:val="auto"/>
        </w:rPr>
        <w:t>3.2 Critical Evaluation &amp; Error Correction</w:t>
      </w:r>
      <w:bookmarkEnd w:id="18"/>
      <w:r w:rsidRPr="00D91B43">
        <w:rPr>
          <w:color w:val="auto"/>
        </w:rPr>
        <w:t xml:space="preserve"> </w:t>
      </w:r>
    </w:p>
    <w:p w14:paraId="644E73CE" w14:textId="77777777" w:rsidR="00A70AE5" w:rsidRPr="00D91B43" w:rsidRDefault="00000000">
      <w:proofErr w:type="gramStart"/>
      <w:r w:rsidRPr="00D91B43">
        <w:t>In order to</w:t>
      </w:r>
      <w:proofErr w:type="gramEnd"/>
      <w:r w:rsidRPr="00D91B43">
        <w:t xml:space="preserve"> enhance the academic writing style, to improve sentence structure, to enhance clarity, and to proofread grammar, only after the report was completed was AI used. All the information provided in each section, be it the strategic analysis, statistical data, in-text citations or the Harvard references were separately researched and verified by the author by using official sources such as Tata Steel reports, government publications, Reuters and </w:t>
      </w:r>
      <w:proofErr w:type="spellStart"/>
      <w:r w:rsidRPr="00D91B43">
        <w:t>recognised</w:t>
      </w:r>
      <w:proofErr w:type="spellEnd"/>
      <w:r w:rsidRPr="00D91B43">
        <w:t xml:space="preserve"> industry </w:t>
      </w:r>
      <w:proofErr w:type="spellStart"/>
      <w:r w:rsidRPr="00D91B43">
        <w:t>organisations</w:t>
      </w:r>
      <w:proofErr w:type="spellEnd"/>
      <w:r w:rsidRPr="00D91B43">
        <w:t>. AI language suggestions that changed the meaning or academic accuracy were not accepted. The result of this review process was to ensure that the report was original, factually correct, transparent and fully adhered to the academic standards of the institution in relation to academic integrity.</w:t>
      </w:r>
    </w:p>
    <w:p w14:paraId="30BDA4EA" w14:textId="77777777" w:rsidR="00A70AE5" w:rsidRPr="00D91B43" w:rsidRDefault="00000000">
      <w:pPr>
        <w:pStyle w:val="Heading2"/>
        <w:rPr>
          <w:color w:val="auto"/>
        </w:rPr>
      </w:pPr>
      <w:bookmarkStart w:id="19" w:name="_Toc235739078"/>
      <w:r w:rsidRPr="00D91B43">
        <w:rPr>
          <w:color w:val="auto"/>
        </w:rPr>
        <w:t>3.3 Contribution Analysis</w:t>
      </w:r>
      <w:bookmarkEnd w:id="19"/>
      <w:r w:rsidRPr="00D91B43">
        <w:rPr>
          <w:color w:val="auto"/>
        </w:rPr>
        <w:t xml:space="preserve"> </w:t>
      </w:r>
    </w:p>
    <w:p w14:paraId="766C813E" w14:textId="77777777" w:rsidR="00A70AE5" w:rsidRPr="00D91B43" w:rsidRDefault="00000000">
      <w:pPr>
        <w:pStyle w:val="Heading3"/>
        <w:rPr>
          <w:color w:val="auto"/>
        </w:rPr>
      </w:pPr>
      <w:bookmarkStart w:id="20" w:name="_Toc235739079"/>
      <w:r w:rsidRPr="00D91B43">
        <w:rPr>
          <w:color w:val="auto"/>
        </w:rPr>
        <w:t>3.3.1 AI Contribution</w:t>
      </w:r>
      <w:bookmarkEnd w:id="20"/>
    </w:p>
    <w:p w14:paraId="3BA7185E" w14:textId="77777777" w:rsidR="00A70AE5" w:rsidRPr="00D91B43" w:rsidRDefault="00000000">
      <w:r w:rsidRPr="00D91B43">
        <w:t xml:space="preserve">The role of AI in this report was restricted to proofreading, making corrections in grammar, restructuring sentences and enhancing academic writing. AI also helped to improve clarity, coherence, and readability, while maintaining the intellectual content of the report. Additionally, it was not employed to produce original thoughts, research, or to </w:t>
      </w:r>
      <w:proofErr w:type="spellStart"/>
      <w:r w:rsidRPr="00D91B43">
        <w:t>analyse</w:t>
      </w:r>
      <w:proofErr w:type="spellEnd"/>
      <w:r w:rsidRPr="00D91B43">
        <w:t xml:space="preserve"> the data and apply theoretical models </w:t>
      </w:r>
      <w:proofErr w:type="gramStart"/>
      <w:r w:rsidRPr="00D91B43">
        <w:t>in an effort to</w:t>
      </w:r>
      <w:proofErr w:type="gramEnd"/>
      <w:r w:rsidRPr="00D91B43">
        <w:t xml:space="preserve"> reach conclusions and recommendations. </w:t>
      </w:r>
    </w:p>
    <w:p w14:paraId="35DE11E7" w14:textId="77777777" w:rsidR="007F6DE7" w:rsidRDefault="007F6DE7">
      <w:pPr>
        <w:spacing w:line="240" w:lineRule="auto"/>
        <w:jc w:val="left"/>
        <w:rPr>
          <w:b/>
          <w:bCs/>
          <w:i/>
          <w:iCs/>
        </w:rPr>
      </w:pPr>
      <w:bookmarkStart w:id="21" w:name="_Toc235739080"/>
      <w:r>
        <w:br w:type="page"/>
      </w:r>
    </w:p>
    <w:p w14:paraId="145E96E8" w14:textId="7362F1AB" w:rsidR="00A70AE5" w:rsidRPr="00D91B43" w:rsidRDefault="00000000">
      <w:pPr>
        <w:pStyle w:val="Heading3"/>
        <w:rPr>
          <w:color w:val="auto"/>
        </w:rPr>
      </w:pPr>
      <w:r w:rsidRPr="00D91B43">
        <w:rPr>
          <w:color w:val="auto"/>
        </w:rPr>
        <w:lastRenderedPageBreak/>
        <w:t>3.3.2 Original Contribution</w:t>
      </w:r>
      <w:bookmarkEnd w:id="21"/>
    </w:p>
    <w:p w14:paraId="0BD00412" w14:textId="77777777" w:rsidR="00A70AE5" w:rsidRPr="00D91B43" w:rsidRDefault="00000000">
      <w:r w:rsidRPr="00D91B43">
        <w:t xml:space="preserve">I independently selected Tata Steel as the case </w:t>
      </w:r>
      <w:proofErr w:type="spellStart"/>
      <w:r w:rsidRPr="00D91B43">
        <w:t>organisation</w:t>
      </w:r>
      <w:proofErr w:type="spellEnd"/>
      <w:r w:rsidRPr="00D91B43">
        <w:t xml:space="preserve"> and critically evaluated the natural and political/regulatory marketing environment using credible academic literature, industry reports, and official publications. The Kotler's Marketing Environment and Ansoff Matrix and Porter's Generic Strategies, interpretation of evidence, strategic recommendations and </w:t>
      </w:r>
      <w:proofErr w:type="gramStart"/>
      <w:r w:rsidRPr="00D91B43">
        <w:t>final conclusion</w:t>
      </w:r>
      <w:proofErr w:type="gramEnd"/>
      <w:r w:rsidRPr="00D91B43">
        <w:t xml:space="preserve"> were developed </w:t>
      </w:r>
      <w:proofErr w:type="gramStart"/>
      <w:r w:rsidRPr="00D91B43">
        <w:t>as a result of</w:t>
      </w:r>
      <w:proofErr w:type="gramEnd"/>
      <w:r w:rsidRPr="00D91B43">
        <w:t xml:space="preserve"> my personal critical thinking, analysis and judgment and are original and retain academic integrity standards.</w:t>
      </w:r>
    </w:p>
    <w:p w14:paraId="4638EC72" w14:textId="77777777" w:rsidR="00A70AE5" w:rsidRPr="00D91B43" w:rsidRDefault="00000000">
      <w:pPr>
        <w:pStyle w:val="Heading3"/>
        <w:rPr>
          <w:color w:val="auto"/>
        </w:rPr>
      </w:pPr>
      <w:bookmarkStart w:id="22" w:name="_Toc235739081"/>
      <w:r w:rsidRPr="00D91B43">
        <w:rPr>
          <w:color w:val="auto"/>
        </w:rPr>
        <w:t>3.3.3 Ethical and Professional Reflection</w:t>
      </w:r>
      <w:bookmarkEnd w:id="22"/>
      <w:r w:rsidRPr="00D91B43">
        <w:rPr>
          <w:color w:val="auto"/>
        </w:rPr>
        <w:t xml:space="preserve"> </w:t>
      </w:r>
    </w:p>
    <w:p w14:paraId="10D3BD50"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t>Benefits</w:t>
      </w:r>
    </w:p>
    <w:p w14:paraId="26126F1F"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The AI was also used to proofread and refine the content of this report and helped to improve its readability, reducing the time spent on manual editing. The other advantage of AI in academic writing is that it can identify the inconsistencies in a sentence and enhance the style of writing. However, all the research, the choice of the source, critical analysis and interpretation according to theoretical schemes and strategies instruction has been arranged by me and presented to the world, as original one, so the report is an effective success (Lo et al., 2025).</w:t>
      </w:r>
    </w:p>
    <w:p w14:paraId="2C3DAF8F"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rPr>
          <w:b/>
          <w:bCs/>
        </w:rPr>
        <w:t>Ethical Issues</w:t>
      </w:r>
    </w:p>
    <w:p w14:paraId="5584DCBC"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pPr>
      <w:r w:rsidRPr="00D91B43">
        <w:t xml:space="preserve">Some of the ethical aspects of employing AI are the fact that it will give incorrect data, false references, biased outcomes with bias, violation of copyright and plagiarism in case the student uses AI without verification. The AI-generated content can </w:t>
      </w:r>
      <w:proofErr w:type="gramStart"/>
      <w:r w:rsidRPr="00D91B43">
        <w:t>as well</w:t>
      </w:r>
      <w:proofErr w:type="gramEnd"/>
      <w:r w:rsidRPr="00D91B43">
        <w:t xml:space="preserve"> have outdated or unsupported information. I would therefore advise the exercise of caution on any AI generated content with references to authoritative and scholarly sources before use. </w:t>
      </w:r>
    </w:p>
    <w:p w14:paraId="651505B1"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b/>
          <w:bCs/>
        </w:rPr>
      </w:pPr>
      <w:r w:rsidRPr="00D91B43">
        <w:br w:type="page"/>
      </w:r>
    </w:p>
    <w:p w14:paraId="728838A1" w14:textId="77777777" w:rsidR="00A70AE5" w:rsidRPr="00D91B43" w:rsidRDefault="00000000">
      <w:pPr>
        <w:pStyle w:val="Heading1"/>
        <w:rPr>
          <w:color w:val="auto"/>
        </w:rPr>
      </w:pPr>
      <w:bookmarkStart w:id="23" w:name="_Toc235739082"/>
      <w:r w:rsidRPr="00D91B43">
        <w:rPr>
          <w:color w:val="auto"/>
        </w:rPr>
        <w:lastRenderedPageBreak/>
        <w:t>Reference List</w:t>
      </w:r>
      <w:bookmarkEnd w:id="23"/>
    </w:p>
    <w:p w14:paraId="6EF176D1" w14:textId="77777777" w:rsidR="00A70AE5" w:rsidRPr="00D91B43" w:rsidRDefault="00000000">
      <w:pPr>
        <w:rPr>
          <w:highlight w:val="white"/>
        </w:rPr>
      </w:pPr>
      <w:r w:rsidRPr="00D91B43">
        <w:rPr>
          <w:highlight w:val="white"/>
        </w:rPr>
        <w:t xml:space="preserve">Acumen Group (2026) </w:t>
      </w:r>
      <w:r w:rsidRPr="00D91B43">
        <w:rPr>
          <w:i/>
          <w:iCs/>
          <w:highlight w:val="white"/>
        </w:rPr>
        <w:t>Tata Steel share price analysis</w:t>
      </w:r>
      <w:r w:rsidRPr="00D91B43">
        <w:rPr>
          <w:highlight w:val="white"/>
        </w:rPr>
        <w:t xml:space="preserve">. Available at: </w:t>
      </w:r>
      <w:hyperlink r:id="rId11">
        <w:r w:rsidRPr="00D91B43">
          <w:rPr>
            <w:highlight w:val="white"/>
            <w:u w:val="single"/>
          </w:rPr>
          <w:t>https://acumengroup.in/tata-steel-share-price-analysis/</w:t>
        </w:r>
      </w:hyperlink>
    </w:p>
    <w:p w14:paraId="4068135B" w14:textId="77777777" w:rsidR="00A70AE5" w:rsidRPr="00D91B43" w:rsidRDefault="00000000">
      <w:pPr>
        <w:rPr>
          <w:highlight w:val="white"/>
        </w:rPr>
      </w:pPr>
      <w:r w:rsidRPr="00D91B43">
        <w:rPr>
          <w:highlight w:val="white"/>
        </w:rPr>
        <w:t xml:space="preserve"> Alam, S. (</w:t>
      </w:r>
      <w:proofErr w:type="gramStart"/>
      <w:r w:rsidRPr="00D91B43">
        <w:rPr>
          <w:highlight w:val="white"/>
        </w:rPr>
        <w:t>2025) ‘</w:t>
      </w:r>
      <w:proofErr w:type="gramEnd"/>
      <w:r w:rsidRPr="00D91B43">
        <w:rPr>
          <w:highlight w:val="white"/>
        </w:rPr>
        <w:t xml:space="preserve">A study on supply chain system of manufacturing steel industry’, </w:t>
      </w:r>
      <w:r w:rsidRPr="00D91B43">
        <w:rPr>
          <w:i/>
          <w:iCs/>
          <w:highlight w:val="white"/>
        </w:rPr>
        <w:t>International Journal of Science Engineering and Technology</w:t>
      </w:r>
      <w:r w:rsidRPr="00D91B43">
        <w:rPr>
          <w:highlight w:val="white"/>
        </w:rPr>
        <w:t xml:space="preserve">, 13, pp. 2395-4752. Available at: </w:t>
      </w:r>
      <w:hyperlink r:id="rId12">
        <w:r w:rsidRPr="00D91B43">
          <w:rPr>
            <w:highlight w:val="white"/>
            <w:u w:val="single"/>
          </w:rPr>
          <w:t>https://ijnrefm.com/wp-content/uploads/IJNREFM_V2_issue3_114.pdf</w:t>
        </w:r>
      </w:hyperlink>
    </w:p>
    <w:p w14:paraId="73BB6565" w14:textId="77777777" w:rsidR="00A70AE5" w:rsidRPr="00D91B43" w:rsidRDefault="00000000">
      <w:r w:rsidRPr="00D91B43">
        <w:t xml:space="preserve">Ávila, M., Verbrugge, S., Bellemans, I. and </w:t>
      </w:r>
      <w:proofErr w:type="spellStart"/>
      <w:r w:rsidRPr="00D91B43">
        <w:t>Verbeken</w:t>
      </w:r>
      <w:proofErr w:type="spellEnd"/>
      <w:r w:rsidRPr="00D91B43">
        <w:t xml:space="preserve">, K. (2025) “Economic and environmental analysis of coking coal and solid recovered fuels supply to </w:t>
      </w:r>
      <w:proofErr w:type="spellStart"/>
      <w:r w:rsidRPr="00D91B43">
        <w:t>european</w:t>
      </w:r>
      <w:proofErr w:type="spellEnd"/>
      <w:r w:rsidRPr="00D91B43">
        <w:t xml:space="preserve"> steelmaking plants,” </w:t>
      </w:r>
      <w:r w:rsidRPr="00D91B43">
        <w:rPr>
          <w:i/>
          <w:iCs/>
        </w:rPr>
        <w:t>Journal of Environmental management</w:t>
      </w:r>
      <w:r w:rsidRPr="00D91B43">
        <w:t xml:space="preserve">, 393, p. 127158. Available at: </w:t>
      </w:r>
      <w:hyperlink r:id="rId13">
        <w:r w:rsidRPr="00D91B43">
          <w:rPr>
            <w:u w:val="single"/>
          </w:rPr>
          <w:t>https://doi.org/10.1016/j.jenvman.2025.127158</w:t>
        </w:r>
      </w:hyperlink>
      <w:r w:rsidRPr="00D91B43">
        <w:t xml:space="preserve">. </w:t>
      </w:r>
    </w:p>
    <w:p w14:paraId="772DBDA3" w14:textId="77777777" w:rsidR="00A70AE5" w:rsidRPr="00D91B43" w:rsidRDefault="00000000">
      <w:pPr>
        <w:rPr>
          <w:highlight w:val="white"/>
        </w:rPr>
      </w:pPr>
      <w:r w:rsidRPr="00D91B43">
        <w:rPr>
          <w:highlight w:val="white"/>
        </w:rPr>
        <w:t xml:space="preserve"> Bureau of International Recycling (2026) </w:t>
      </w:r>
      <w:r w:rsidRPr="00D91B43">
        <w:rPr>
          <w:i/>
          <w:iCs/>
          <w:highlight w:val="white"/>
        </w:rPr>
        <w:t>BIR Gothenburg 2026 – Ferrous Division – Statistics: 17th edition of "World Steel Recycling in Figures"</w:t>
      </w:r>
      <w:r w:rsidRPr="00D91B43">
        <w:rPr>
          <w:highlight w:val="white"/>
        </w:rPr>
        <w:t>. Available at:</w:t>
      </w:r>
      <w:hyperlink r:id="rId14">
        <w:r w:rsidRPr="00D91B43">
          <w:rPr>
            <w:highlight w:val="white"/>
          </w:rPr>
          <w:t xml:space="preserve"> </w:t>
        </w:r>
      </w:hyperlink>
      <w:hyperlink r:id="rId15">
        <w:r w:rsidRPr="00D91B43">
          <w:rPr>
            <w:highlight w:val="white"/>
            <w:u w:val="single"/>
          </w:rPr>
          <w:t>https://www.bir.org/news-press/news/1000042794-ir-gothenburg-2026-ferrous-division-statistics-17th-edition-of-world-steel-recycling-in-figures</w:t>
        </w:r>
      </w:hyperlink>
      <w:r w:rsidRPr="00D91B43">
        <w:rPr>
          <w:highlight w:val="white"/>
        </w:rPr>
        <w:t xml:space="preserve"> </w:t>
      </w:r>
    </w:p>
    <w:p w14:paraId="30D1106D" w14:textId="77777777" w:rsidR="00A70AE5" w:rsidRPr="00D91B43" w:rsidRDefault="00000000">
      <w:pPr>
        <w:rPr>
          <w:highlight w:val="white"/>
        </w:rPr>
      </w:pPr>
      <w:r w:rsidRPr="00D91B43">
        <w:rPr>
          <w:highlight w:val="white"/>
        </w:rPr>
        <w:t xml:space="preserve"> Department for Energy Security and Net Zero (2024) </w:t>
      </w:r>
      <w:r w:rsidRPr="00D91B43">
        <w:rPr>
          <w:i/>
          <w:iCs/>
          <w:highlight w:val="white"/>
        </w:rPr>
        <w:t>Industrial Energy Transformation Fund (IETF): final process evaluation</w:t>
      </w:r>
      <w:r w:rsidRPr="00D91B43">
        <w:rPr>
          <w:highlight w:val="white"/>
        </w:rPr>
        <w:t xml:space="preserve">. Available at: </w:t>
      </w:r>
      <w:hyperlink r:id="rId16">
        <w:r w:rsidRPr="00D91B43">
          <w:rPr>
            <w:highlight w:val="white"/>
            <w:u w:val="single"/>
          </w:rPr>
          <w:t>https://assets.publishing.service.gov.uk/media/6972cbf6d8adeaf266040583/ietf-final-process-evaluation.pdf</w:t>
        </w:r>
      </w:hyperlink>
    </w:p>
    <w:p w14:paraId="5F6FE2F6" w14:textId="77777777" w:rsidR="00A70AE5" w:rsidRPr="00D91B43" w:rsidRDefault="00000000">
      <w:pPr>
        <w:rPr>
          <w:highlight w:val="white"/>
        </w:rPr>
      </w:pPr>
      <w:r w:rsidRPr="00D91B43">
        <w:rPr>
          <w:highlight w:val="white"/>
        </w:rPr>
        <w:t xml:space="preserve">European Commission (2026) </w:t>
      </w:r>
      <w:r w:rsidRPr="00D91B43">
        <w:rPr>
          <w:i/>
          <w:iCs/>
          <w:highlight w:val="white"/>
        </w:rPr>
        <w:t>190 million EU ETS allowances to be placed in the Market Stability Reserve between September 2026 and August 2027</w:t>
      </w:r>
      <w:r w:rsidRPr="00D91B43">
        <w:rPr>
          <w:highlight w:val="white"/>
        </w:rPr>
        <w:t xml:space="preserve">. Available at: </w:t>
      </w:r>
      <w:hyperlink r:id="rId17">
        <w:r w:rsidRPr="00D91B43">
          <w:rPr>
            <w:highlight w:val="white"/>
            <w:u w:val="single"/>
          </w:rPr>
          <w:t>https://climate.ec.europa.eu/news-other-reads/news/190-million-eu-ets-allowances-be-placed-market-stability-reserve-between-september-2026-and-august-2026-05-29_en</w:t>
        </w:r>
      </w:hyperlink>
    </w:p>
    <w:p w14:paraId="6262EE80" w14:textId="77777777" w:rsidR="00A70AE5" w:rsidRPr="00D91B43" w:rsidRDefault="00000000">
      <w:pPr>
        <w:rPr>
          <w:highlight w:val="white"/>
        </w:rPr>
      </w:pPr>
      <w:r w:rsidRPr="00D91B43">
        <w:rPr>
          <w:highlight w:val="white"/>
        </w:rPr>
        <w:t xml:space="preserve">European Commission (2026a) </w:t>
      </w:r>
      <w:r w:rsidRPr="00D91B43">
        <w:rPr>
          <w:i/>
          <w:iCs/>
          <w:highlight w:val="white"/>
        </w:rPr>
        <w:t>CBAM successfully entered into force on 1 January 2026</w:t>
      </w:r>
      <w:r w:rsidRPr="00D91B43">
        <w:rPr>
          <w:highlight w:val="white"/>
        </w:rPr>
        <w:t>. Directorate-General for Taxation and Customs Union. Available at:</w:t>
      </w:r>
      <w:hyperlink r:id="rId18">
        <w:r w:rsidRPr="00D91B43">
          <w:rPr>
            <w:highlight w:val="white"/>
          </w:rPr>
          <w:t xml:space="preserve"> </w:t>
        </w:r>
      </w:hyperlink>
      <w:hyperlink r:id="rId19">
        <w:r w:rsidRPr="00D91B43">
          <w:rPr>
            <w:highlight w:val="white"/>
            <w:u w:val="single"/>
          </w:rPr>
          <w:t>https://taxation-customs.ec.europa.eu/news/cbam-successfully-entered-force-1-january-2026-2026-01-14_en</w:t>
        </w:r>
      </w:hyperlink>
      <w:r w:rsidRPr="00D91B43">
        <w:rPr>
          <w:highlight w:val="white"/>
        </w:rPr>
        <w:t xml:space="preserve"> </w:t>
      </w:r>
    </w:p>
    <w:p w14:paraId="08649D5D" w14:textId="77777777" w:rsidR="00A70AE5" w:rsidRPr="00D91B43" w:rsidRDefault="00000000">
      <w:pPr>
        <w:rPr>
          <w:highlight w:val="white"/>
        </w:rPr>
      </w:pPr>
      <w:r w:rsidRPr="00D91B43">
        <w:rPr>
          <w:highlight w:val="white"/>
        </w:rPr>
        <w:t xml:space="preserve"> European Parliamentary Research Service (2026) </w:t>
      </w:r>
      <w:r w:rsidRPr="00D91B43">
        <w:rPr>
          <w:i/>
          <w:iCs/>
          <w:highlight w:val="white"/>
        </w:rPr>
        <w:t>[Insert Title from Source]</w:t>
      </w:r>
      <w:r w:rsidRPr="00D91B43">
        <w:rPr>
          <w:highlight w:val="white"/>
        </w:rPr>
        <w:t xml:space="preserve"> (EPRS Briefing 789300). Available at: </w:t>
      </w:r>
      <w:hyperlink r:id="rId20">
        <w:r w:rsidRPr="00D91B43">
          <w:rPr>
            <w:highlight w:val="white"/>
            <w:u w:val="single"/>
          </w:rPr>
          <w:t>https://www.europarl.europa.eu/thinktank/en/academic/EPRS_BRI%282026%29789300</w:t>
        </w:r>
      </w:hyperlink>
    </w:p>
    <w:p w14:paraId="16F5ABBD" w14:textId="77777777" w:rsidR="00A70AE5" w:rsidRPr="00D91B43" w:rsidRDefault="00000000">
      <w:pPr>
        <w:rPr>
          <w:highlight w:val="white"/>
        </w:rPr>
      </w:pPr>
      <w:r w:rsidRPr="00D91B43">
        <w:rPr>
          <w:highlight w:val="white"/>
        </w:rPr>
        <w:lastRenderedPageBreak/>
        <w:t xml:space="preserve"> GMK Center (2026a) </w:t>
      </w:r>
      <w:r w:rsidRPr="00D91B43">
        <w:rPr>
          <w:i/>
          <w:iCs/>
          <w:highlight w:val="white"/>
        </w:rPr>
        <w:t>India will fund three pilot hydrogen projects for steel production</w:t>
      </w:r>
      <w:r w:rsidRPr="00D91B43">
        <w:rPr>
          <w:highlight w:val="white"/>
        </w:rPr>
        <w:t xml:space="preserve">. Available at: </w:t>
      </w:r>
      <w:hyperlink r:id="rId21">
        <w:r w:rsidRPr="00D91B43">
          <w:rPr>
            <w:highlight w:val="white"/>
            <w:u w:val="single"/>
          </w:rPr>
          <w:t>https://gmk.center/en/news/india-will-fund-three-pilot-hydrogen-projects-for-steel-production/</w:t>
        </w:r>
      </w:hyperlink>
    </w:p>
    <w:p w14:paraId="69CA38EA" w14:textId="77777777" w:rsidR="00A70AE5" w:rsidRPr="00D91B43" w:rsidRDefault="00000000">
      <w:pPr>
        <w:rPr>
          <w:highlight w:val="white"/>
        </w:rPr>
      </w:pPr>
      <w:r w:rsidRPr="00D91B43">
        <w:rPr>
          <w:highlight w:val="white"/>
        </w:rPr>
        <w:t xml:space="preserve"> GMK Center (2026b) </w:t>
      </w:r>
      <w:r w:rsidRPr="00D91B43">
        <w:rPr>
          <w:i/>
          <w:iCs/>
          <w:highlight w:val="white"/>
        </w:rPr>
        <w:t>State aid of €2 billion for Tata Steel Nederland remains in doubt</w:t>
      </w:r>
      <w:r w:rsidRPr="00D91B43">
        <w:rPr>
          <w:highlight w:val="white"/>
        </w:rPr>
        <w:t>. Available at:</w:t>
      </w:r>
      <w:hyperlink r:id="rId22">
        <w:r w:rsidRPr="00D91B43">
          <w:rPr>
            <w:highlight w:val="white"/>
          </w:rPr>
          <w:t xml:space="preserve"> </w:t>
        </w:r>
      </w:hyperlink>
      <w:hyperlink r:id="rId23">
        <w:r w:rsidRPr="00D91B43">
          <w:rPr>
            <w:highlight w:val="white"/>
            <w:u w:val="single"/>
          </w:rPr>
          <w:t>https://gmk.center/en/news/state-aid-of-e2-billion-for-tata-steel-nederland-remains-in-doubt/</w:t>
        </w:r>
      </w:hyperlink>
      <w:r w:rsidRPr="00D91B43">
        <w:rPr>
          <w:highlight w:val="white"/>
        </w:rPr>
        <w:t xml:space="preserve"> </w:t>
      </w:r>
    </w:p>
    <w:p w14:paraId="0DF65F3F" w14:textId="77777777" w:rsidR="00A70AE5" w:rsidRPr="00D91B43" w:rsidRDefault="00000000">
      <w:pPr>
        <w:rPr>
          <w:highlight w:val="white"/>
        </w:rPr>
      </w:pPr>
      <w:r w:rsidRPr="00D91B43">
        <w:rPr>
          <w:highlight w:val="white"/>
        </w:rPr>
        <w:t xml:space="preserve"> Gupta, M. (2023) </w:t>
      </w:r>
      <w:r w:rsidRPr="00D91B43">
        <w:rPr>
          <w:i/>
          <w:iCs/>
          <w:highlight w:val="white"/>
        </w:rPr>
        <w:t>Corporate Sustainability Architecture: A Case-Study for Tata Steel</w:t>
      </w:r>
      <w:r w:rsidRPr="00D91B43">
        <w:rPr>
          <w:highlight w:val="white"/>
        </w:rPr>
        <w:t>. Doctoral dissertation. Kautilya School of Public Policy, Gandhi Institute of Technology and Management (GITAM). Available at:</w:t>
      </w:r>
      <w:hyperlink r:id="rId24">
        <w:r w:rsidRPr="00D91B43">
          <w:rPr>
            <w:highlight w:val="white"/>
          </w:rPr>
          <w:t xml:space="preserve"> </w:t>
        </w:r>
      </w:hyperlink>
      <w:hyperlink r:id="rId25">
        <w:r w:rsidRPr="00D91B43">
          <w:rPr>
            <w:highlight w:val="white"/>
            <w:u w:val="single"/>
          </w:rPr>
          <w:t>Kautilya School of Public Policy Capstone Project</w:t>
        </w:r>
      </w:hyperlink>
      <w:r w:rsidRPr="00D91B43">
        <w:rPr>
          <w:highlight w:val="white"/>
        </w:rPr>
        <w:t xml:space="preserve"> </w:t>
      </w:r>
    </w:p>
    <w:p w14:paraId="3FB0BF7D" w14:textId="77777777" w:rsidR="00A70AE5" w:rsidRPr="00D91B43" w:rsidRDefault="00000000">
      <w:pPr>
        <w:rPr>
          <w:highlight w:val="white"/>
        </w:rPr>
      </w:pPr>
      <w:r w:rsidRPr="00D91B43">
        <w:rPr>
          <w:highlight w:val="white"/>
        </w:rPr>
        <w:t xml:space="preserve"> Holzer, K. and </w:t>
      </w:r>
      <w:proofErr w:type="spellStart"/>
      <w:r w:rsidRPr="00D91B43">
        <w:rPr>
          <w:highlight w:val="white"/>
        </w:rPr>
        <w:t>Kopytsia</w:t>
      </w:r>
      <w:proofErr w:type="spellEnd"/>
      <w:r w:rsidRPr="00D91B43">
        <w:rPr>
          <w:highlight w:val="white"/>
        </w:rPr>
        <w:t xml:space="preserve">, I. (2023) ‘Legal challenges of tracing carbon emissions in steel trade’, </w:t>
      </w:r>
      <w:r w:rsidRPr="00D91B43">
        <w:rPr>
          <w:i/>
          <w:iCs/>
          <w:highlight w:val="white"/>
        </w:rPr>
        <w:t>Korea Europe Review: an interdisciplinary journal of politics, society, and economics</w:t>
      </w:r>
      <w:r w:rsidRPr="00D91B43">
        <w:rPr>
          <w:highlight w:val="white"/>
        </w:rPr>
        <w:t xml:space="preserve">, (4). Available at: </w:t>
      </w:r>
      <w:hyperlink r:id="rId26">
        <w:r w:rsidRPr="00D91B43">
          <w:rPr>
            <w:highlight w:val="white"/>
            <w:u w:val="single"/>
          </w:rPr>
          <w:t>https://www.korea-europe-review.org/index.php/ker/article/view/23</w:t>
        </w:r>
      </w:hyperlink>
    </w:p>
    <w:p w14:paraId="7AAF02D0" w14:textId="77777777" w:rsidR="00A70AE5" w:rsidRPr="00D91B43" w:rsidRDefault="00000000">
      <w:r w:rsidRPr="00D91B43">
        <w:t xml:space="preserve">Jain, H. (2024) “From pollution to progress: Groundbreaking advances in clean technology unveiled,” </w:t>
      </w:r>
      <w:r w:rsidRPr="00D91B43">
        <w:rPr>
          <w:i/>
          <w:iCs/>
        </w:rPr>
        <w:t>Innovation and green development</w:t>
      </w:r>
      <w:r w:rsidRPr="00D91B43">
        <w:t xml:space="preserve">, 3(2), pp. 100143–100143. Available at: </w:t>
      </w:r>
      <w:hyperlink r:id="rId27">
        <w:r w:rsidRPr="00D91B43">
          <w:rPr>
            <w:u w:val="single"/>
          </w:rPr>
          <w:t>https://doi.org/10.1016/j.igd.2024.100143</w:t>
        </w:r>
      </w:hyperlink>
      <w:r w:rsidRPr="00D91B43">
        <w:t xml:space="preserve">. </w:t>
      </w:r>
    </w:p>
    <w:p w14:paraId="270BCEB0" w14:textId="77777777" w:rsidR="00A70AE5" w:rsidRPr="00D91B43" w:rsidRDefault="00000000">
      <w:r w:rsidRPr="00D91B43">
        <w:t xml:space="preserve">Kopecky, S., </w:t>
      </w:r>
      <w:proofErr w:type="spellStart"/>
      <w:r w:rsidRPr="00D91B43">
        <w:t>Albora</w:t>
      </w:r>
      <w:proofErr w:type="spellEnd"/>
      <w:r w:rsidRPr="00D91B43">
        <w:t xml:space="preserve">, G., Georgakaki, A., Ince, E., </w:t>
      </w:r>
      <w:proofErr w:type="spellStart"/>
      <w:r w:rsidRPr="00D91B43">
        <w:t>Mountraki</w:t>
      </w:r>
      <w:proofErr w:type="spellEnd"/>
      <w:r w:rsidRPr="00D91B43">
        <w:t xml:space="preserve">, A., Piela, K., Schmitz, A., </w:t>
      </w:r>
      <w:proofErr w:type="spellStart"/>
      <w:r w:rsidRPr="00D91B43">
        <w:t>Versino</w:t>
      </w:r>
      <w:proofErr w:type="spellEnd"/>
      <w:r w:rsidRPr="00D91B43">
        <w:t xml:space="preserve">, C., </w:t>
      </w:r>
      <w:proofErr w:type="spellStart"/>
      <w:r w:rsidRPr="00D91B43">
        <w:t>Fuetterer</w:t>
      </w:r>
      <w:proofErr w:type="spellEnd"/>
      <w:r w:rsidRPr="00D91B43">
        <w:t xml:space="preserve">, M., Martin, R.M. and Martin, O. (2026) </w:t>
      </w:r>
      <w:r w:rsidRPr="00D91B43">
        <w:rPr>
          <w:i/>
          <w:iCs/>
        </w:rPr>
        <w:t>Clean Energy Technology Observatory: Nuclear Power in the European Union – 2025 Status Report on Technology Development, Trends, Value Chains and Markets</w:t>
      </w:r>
      <w:r w:rsidRPr="00D91B43">
        <w:t>. Luxembourg: Publications Office of the European Union. Available at:</w:t>
      </w:r>
      <w:hyperlink r:id="rId28">
        <w:r w:rsidRPr="00D91B43">
          <w:t xml:space="preserve"> </w:t>
        </w:r>
      </w:hyperlink>
      <w:hyperlink r:id="rId29">
        <w:r w:rsidRPr="00D91B43">
          <w:rPr>
            <w:u w:val="single"/>
          </w:rPr>
          <w:t>https://publications.jrc.ec.europa.eu/repository/handle/JRC144653</w:t>
        </w:r>
      </w:hyperlink>
      <w:r w:rsidRPr="00D91B43">
        <w:t xml:space="preserve"> </w:t>
      </w:r>
    </w:p>
    <w:p w14:paraId="0B0509C9" w14:textId="77777777" w:rsidR="00A70AE5" w:rsidRPr="00D91B43" w:rsidRDefault="00000000">
      <w:pPr>
        <w:pBdr>
          <w:top w:val="none" w:sz="0" w:space="0" w:color="000000"/>
          <w:left w:val="none" w:sz="0" w:space="0" w:color="000000"/>
          <w:bottom w:val="none" w:sz="0" w:space="0" w:color="000000"/>
          <w:right w:val="none" w:sz="0" w:space="0" w:color="000000"/>
          <w:between w:val="none" w:sz="0" w:space="0" w:color="000000"/>
        </w:pBdr>
        <w:rPr>
          <w:u w:val="single"/>
        </w:rPr>
      </w:pPr>
      <w:r w:rsidRPr="00D91B43">
        <w:t xml:space="preserve">Lo, J., Wong, C., Ng, A., Wong, P., Cheung, D. and Lai, P. (2025) “Stretching AI’s reach: Assessing an AI-driven feedback system for extended academic writing,” </w:t>
      </w:r>
      <w:r w:rsidRPr="00D91B43">
        <w:rPr>
          <w:i/>
          <w:iCs/>
        </w:rPr>
        <w:t>Computers and education: Artificial intelligence</w:t>
      </w:r>
      <w:r w:rsidRPr="00D91B43">
        <w:t xml:space="preserve">, p. 100511. Available at: </w:t>
      </w:r>
      <w:hyperlink r:id="rId30">
        <w:r w:rsidRPr="00D91B43">
          <w:rPr>
            <w:u w:val="single"/>
          </w:rPr>
          <w:t>https://doi.org/10.1016/j.caeai.2025.100511</w:t>
        </w:r>
      </w:hyperlink>
    </w:p>
    <w:p w14:paraId="5B55214F" w14:textId="77777777" w:rsidR="00A70AE5" w:rsidRPr="00D91B43" w:rsidRDefault="00000000">
      <w:proofErr w:type="spellStart"/>
      <w:r w:rsidRPr="00D91B43">
        <w:t>Nexio</w:t>
      </w:r>
      <w:proofErr w:type="spellEnd"/>
      <w:r w:rsidRPr="00D91B43">
        <w:t xml:space="preserve"> Projects (2026) </w:t>
      </w:r>
      <w:r w:rsidRPr="00D91B43">
        <w:rPr>
          <w:i/>
          <w:iCs/>
        </w:rPr>
        <w:t>SBTi in 2026: The Road to Net Zero and Compliance</w:t>
      </w:r>
      <w:r w:rsidRPr="00D91B43">
        <w:t>. 30 March. Available at:</w:t>
      </w:r>
      <w:hyperlink r:id="rId31">
        <w:r w:rsidRPr="00D91B43">
          <w:t xml:space="preserve"> </w:t>
        </w:r>
      </w:hyperlink>
      <w:hyperlink r:id="rId32">
        <w:r w:rsidRPr="00D91B43">
          <w:rPr>
            <w:u w:val="single"/>
          </w:rPr>
          <w:t>https://nexioprojects.com/sbti-in-2026-the-road-to-net-zero-and-compliance/</w:t>
        </w:r>
      </w:hyperlink>
      <w:r w:rsidRPr="00D91B43">
        <w:t xml:space="preserve"> </w:t>
      </w:r>
    </w:p>
    <w:p w14:paraId="6BEBC3DD" w14:textId="77777777" w:rsidR="00A70AE5" w:rsidRPr="00D91B43" w:rsidRDefault="00000000">
      <w:r w:rsidRPr="00D91B43">
        <w:lastRenderedPageBreak/>
        <w:t xml:space="preserve">Ogiemwonyi, O. (2025) “A conceptual review of circular economy position from a marketing perspective,” </w:t>
      </w:r>
      <w:r w:rsidRPr="00D91B43">
        <w:rPr>
          <w:i/>
          <w:iCs/>
        </w:rPr>
        <w:t>Innovation and green development</w:t>
      </w:r>
      <w:r w:rsidRPr="00D91B43">
        <w:t xml:space="preserve">, 4(4), p. 100258. Available at: </w:t>
      </w:r>
      <w:hyperlink r:id="rId33">
        <w:r w:rsidRPr="00D91B43">
          <w:rPr>
            <w:u w:val="single"/>
          </w:rPr>
          <w:t>https://doi.org/10.1016/j.igd.2025.100258</w:t>
        </w:r>
      </w:hyperlink>
      <w:r w:rsidRPr="00D91B43">
        <w:t xml:space="preserve">. </w:t>
      </w:r>
    </w:p>
    <w:p w14:paraId="4EC5F244" w14:textId="77777777" w:rsidR="00A70AE5" w:rsidRPr="00D91B43" w:rsidRDefault="00000000">
      <w:r w:rsidRPr="00D91B43">
        <w:t xml:space="preserve">Press Information Bureau (2026a) </w:t>
      </w:r>
      <w:r w:rsidRPr="00D91B43">
        <w:rPr>
          <w:i/>
          <w:iCs/>
        </w:rPr>
        <w:t>Cabinet approves India’s Nationally Determined Contribution (2031–2035) to be communicated to the United Nations Framework Convention on Climate Change</w:t>
      </w:r>
      <w:r w:rsidRPr="00D91B43">
        <w:t>. Government of India. Available at:</w:t>
      </w:r>
      <w:hyperlink r:id="rId34">
        <w:r w:rsidRPr="00D91B43">
          <w:t xml:space="preserve"> </w:t>
        </w:r>
      </w:hyperlink>
      <w:hyperlink r:id="rId35">
        <w:r w:rsidRPr="00D91B43">
          <w:rPr>
            <w:u w:val="single"/>
          </w:rPr>
          <w:t>https://www.pib.gov.in/PressReleasePage.aspx?PRID=2245209&amp;reg=3&amp;lang=2</w:t>
        </w:r>
      </w:hyperlink>
      <w:r w:rsidRPr="00D91B43">
        <w:t xml:space="preserve"> </w:t>
      </w:r>
    </w:p>
    <w:p w14:paraId="1AEBF3A5" w14:textId="77777777" w:rsidR="00A70AE5" w:rsidRPr="00D91B43" w:rsidRDefault="00000000">
      <w:pPr>
        <w:rPr>
          <w:highlight w:val="white"/>
        </w:rPr>
      </w:pPr>
      <w:r w:rsidRPr="00D91B43">
        <w:rPr>
          <w:highlight w:val="white"/>
        </w:rPr>
        <w:t xml:space="preserve">Press Information Bureau (2026b) </w:t>
      </w:r>
      <w:r w:rsidRPr="00D91B43">
        <w:rPr>
          <w:i/>
          <w:iCs/>
          <w:highlight w:val="white"/>
        </w:rPr>
        <w:t>Government notifies coking coal as critical &amp; strategic mineral under MMDR Act, 1957</w:t>
      </w:r>
      <w:r w:rsidRPr="00D91B43">
        <w:rPr>
          <w:highlight w:val="white"/>
        </w:rPr>
        <w:t>. Ministry of Coal, Government of India. Available at:</w:t>
      </w:r>
      <w:hyperlink r:id="rId36">
        <w:r w:rsidRPr="00D91B43">
          <w:rPr>
            <w:highlight w:val="white"/>
          </w:rPr>
          <w:t xml:space="preserve"> </w:t>
        </w:r>
      </w:hyperlink>
      <w:hyperlink r:id="rId37">
        <w:r w:rsidRPr="00D91B43">
          <w:rPr>
            <w:highlight w:val="white"/>
            <w:u w:val="single"/>
          </w:rPr>
          <w:t>https://www.pib.gov.in/PressReleasePage.aspx?PRID=2219947&amp;reg=3&amp;lang=2</w:t>
        </w:r>
      </w:hyperlink>
      <w:r w:rsidRPr="00D91B43">
        <w:rPr>
          <w:highlight w:val="white"/>
        </w:rPr>
        <w:t xml:space="preserve"> </w:t>
      </w:r>
    </w:p>
    <w:p w14:paraId="68EECBB8" w14:textId="77777777" w:rsidR="00A70AE5" w:rsidRPr="00D91B43" w:rsidRDefault="00000000">
      <w:r w:rsidRPr="00D91B43">
        <w:t xml:space="preserve">Reuters (2026) </w:t>
      </w:r>
      <w:r w:rsidRPr="00D91B43">
        <w:rPr>
          <w:i/>
          <w:iCs/>
        </w:rPr>
        <w:t>Germany launches water monitoring system as Rhine drought hits industry</w:t>
      </w:r>
      <w:r w:rsidRPr="00D91B43">
        <w:t>. 15 July. Available at:</w:t>
      </w:r>
      <w:hyperlink r:id="rId38">
        <w:r w:rsidRPr="00D91B43">
          <w:t xml:space="preserve"> </w:t>
        </w:r>
      </w:hyperlink>
      <w:hyperlink r:id="rId39">
        <w:r w:rsidRPr="00D91B43">
          <w:rPr>
            <w:u w:val="single"/>
          </w:rPr>
          <w:t>https://www.reuters.com/business/environment/germany-launches-water-monitor-system-rhine-drought-hits-industry-2026-07-15/</w:t>
        </w:r>
      </w:hyperlink>
      <w:r w:rsidRPr="00D91B43">
        <w:t xml:space="preserve"> </w:t>
      </w:r>
    </w:p>
    <w:p w14:paraId="2C0A3653" w14:textId="77777777" w:rsidR="00A70AE5" w:rsidRPr="00D91B43" w:rsidRDefault="00000000">
      <w:pPr>
        <w:rPr>
          <w:highlight w:val="white"/>
        </w:rPr>
      </w:pPr>
      <w:proofErr w:type="spellStart"/>
      <w:r w:rsidRPr="00D91B43">
        <w:rPr>
          <w:highlight w:val="white"/>
        </w:rPr>
        <w:t>Shee</w:t>
      </w:r>
      <w:proofErr w:type="spellEnd"/>
      <w:r w:rsidRPr="00D91B43">
        <w:rPr>
          <w:highlight w:val="white"/>
        </w:rPr>
        <w:t xml:space="preserve"> Weng, L. (2025) ‘The EU's carbon border adjustment mechanism (CBAM): balancing climate action and global trade’, </w:t>
      </w:r>
      <w:r w:rsidRPr="00D91B43">
        <w:rPr>
          <w:i/>
          <w:iCs/>
          <w:highlight w:val="white"/>
        </w:rPr>
        <w:t>SSRN</w:t>
      </w:r>
      <w:r w:rsidRPr="00D91B43">
        <w:rPr>
          <w:highlight w:val="white"/>
        </w:rPr>
        <w:t xml:space="preserve">, 1 March. Available at: </w:t>
      </w:r>
      <w:hyperlink r:id="rId40">
        <w:r w:rsidRPr="00D91B43">
          <w:rPr>
            <w:highlight w:val="white"/>
            <w:u w:val="single"/>
          </w:rPr>
          <w:t>https://papers.ssrn.com/sol3/papers.cfm?abstract_id=5160814</w:t>
        </w:r>
      </w:hyperlink>
    </w:p>
    <w:p w14:paraId="1ED2D7E2" w14:textId="77777777" w:rsidR="00A70AE5" w:rsidRPr="00D91B43" w:rsidRDefault="00000000">
      <w:pPr>
        <w:rPr>
          <w:highlight w:val="white"/>
        </w:rPr>
      </w:pPr>
      <w:r w:rsidRPr="00D91B43">
        <w:rPr>
          <w:highlight w:val="white"/>
        </w:rPr>
        <w:t xml:space="preserve">Sinha, S. (2025) </w:t>
      </w:r>
      <w:r w:rsidRPr="00D91B43">
        <w:rPr>
          <w:i/>
          <w:iCs/>
          <w:highlight w:val="white"/>
        </w:rPr>
        <w:t xml:space="preserve">Fundamentals of Product and Pricing Management: Following the Syllabi of the Subject “Product &amp; Pricing Management” for Semester V of 4-Year B.Com. (Honours &amp; Honours with Research) and 3-Year B.Com. (MDC) </w:t>
      </w:r>
      <w:proofErr w:type="spellStart"/>
      <w:r w:rsidRPr="00D91B43">
        <w:rPr>
          <w:i/>
          <w:iCs/>
          <w:highlight w:val="white"/>
        </w:rPr>
        <w:t>Programmes</w:t>
      </w:r>
      <w:proofErr w:type="spellEnd"/>
      <w:r w:rsidRPr="00D91B43">
        <w:rPr>
          <w:i/>
          <w:iCs/>
          <w:highlight w:val="white"/>
        </w:rPr>
        <w:t xml:space="preserve"> (under CCF, 2022, based on NEP, 2020) of the University of Calcutta</w:t>
      </w:r>
      <w:r w:rsidRPr="00D91B43">
        <w:rPr>
          <w:highlight w:val="white"/>
        </w:rPr>
        <w:t>. Kolkata: Kolkata Press Books. Available at:</w:t>
      </w:r>
      <w:hyperlink r:id="rId41">
        <w:r w:rsidRPr="00D91B43">
          <w:rPr>
            <w:highlight w:val="white"/>
          </w:rPr>
          <w:t xml:space="preserve"> </w:t>
        </w:r>
      </w:hyperlink>
      <w:hyperlink r:id="rId42">
        <w:r w:rsidRPr="00D91B43">
          <w:rPr>
            <w:highlight w:val="white"/>
            <w:u w:val="single"/>
          </w:rPr>
          <w:t>ResearchGate PDF</w:t>
        </w:r>
      </w:hyperlink>
      <w:r w:rsidRPr="00D91B43">
        <w:rPr>
          <w:highlight w:val="white"/>
        </w:rPr>
        <w:t xml:space="preserve"> </w:t>
      </w:r>
    </w:p>
    <w:p w14:paraId="19B0C8C1" w14:textId="77777777" w:rsidR="00A70AE5" w:rsidRPr="00D91B43" w:rsidRDefault="00000000">
      <w:pPr>
        <w:rPr>
          <w:highlight w:val="white"/>
        </w:rPr>
      </w:pPr>
      <w:r w:rsidRPr="00D91B43">
        <w:rPr>
          <w:highlight w:val="white"/>
        </w:rPr>
        <w:t xml:space="preserve"> Srikanth, R. (2024) </w:t>
      </w:r>
      <w:r w:rsidRPr="00D91B43">
        <w:rPr>
          <w:i/>
          <w:iCs/>
          <w:highlight w:val="white"/>
        </w:rPr>
        <w:t>Enhancing Domestic Coking Coal Availability to Reduce the Import of Coking Coal</w:t>
      </w:r>
      <w:r w:rsidRPr="00D91B43">
        <w:rPr>
          <w:highlight w:val="white"/>
        </w:rPr>
        <w:t>. New Delhi: NITI Aayog. Available at:</w:t>
      </w:r>
      <w:hyperlink r:id="rId43">
        <w:r w:rsidRPr="00D91B43">
          <w:rPr>
            <w:highlight w:val="white"/>
          </w:rPr>
          <w:t xml:space="preserve"> </w:t>
        </w:r>
      </w:hyperlink>
      <w:hyperlink r:id="rId44">
        <w:r w:rsidRPr="00D91B43">
          <w:rPr>
            <w:highlight w:val="white"/>
            <w:u w:val="single"/>
          </w:rPr>
          <w:t>https://www.niti.gov.in/sites/default/files/2024-11/Report_Enhancing%20Domestic%20Coking%20Coal%20Availability%20to%20Reduce%20the%20Import%20of%20Coking%20Coal.pdf</w:t>
        </w:r>
      </w:hyperlink>
      <w:r w:rsidRPr="00D91B43">
        <w:rPr>
          <w:highlight w:val="white"/>
        </w:rPr>
        <w:t xml:space="preserve"> </w:t>
      </w:r>
    </w:p>
    <w:p w14:paraId="2E124AD0" w14:textId="77777777" w:rsidR="00A70AE5" w:rsidRPr="00D91B43" w:rsidRDefault="00000000">
      <w:pPr>
        <w:rPr>
          <w:highlight w:val="white"/>
        </w:rPr>
      </w:pPr>
      <w:r w:rsidRPr="00D91B43">
        <w:rPr>
          <w:highlight w:val="white"/>
        </w:rPr>
        <w:t xml:space="preserve"> </w:t>
      </w:r>
      <w:proofErr w:type="spellStart"/>
      <w:r w:rsidRPr="00D91B43">
        <w:rPr>
          <w:highlight w:val="white"/>
        </w:rPr>
        <w:t>Swarajya</w:t>
      </w:r>
      <w:proofErr w:type="spellEnd"/>
      <w:r w:rsidRPr="00D91B43">
        <w:rPr>
          <w:highlight w:val="white"/>
        </w:rPr>
        <w:t xml:space="preserve"> (2026) </w:t>
      </w:r>
      <w:r w:rsidRPr="00D91B43">
        <w:rPr>
          <w:i/>
          <w:iCs/>
          <w:highlight w:val="white"/>
        </w:rPr>
        <w:t xml:space="preserve">Tata Steel Inaugurates Its First Scrap-Based Electric Arc Furnace Plant With 0.75 MTPA Capacity </w:t>
      </w:r>
      <w:proofErr w:type="gramStart"/>
      <w:r w:rsidRPr="00D91B43">
        <w:rPr>
          <w:i/>
          <w:iCs/>
          <w:highlight w:val="white"/>
        </w:rPr>
        <w:t>In</w:t>
      </w:r>
      <w:proofErr w:type="gramEnd"/>
      <w:r w:rsidRPr="00D91B43">
        <w:rPr>
          <w:i/>
          <w:iCs/>
          <w:highlight w:val="white"/>
        </w:rPr>
        <w:t xml:space="preserve"> Ludhiana</w:t>
      </w:r>
      <w:r w:rsidRPr="00D91B43">
        <w:rPr>
          <w:highlight w:val="white"/>
        </w:rPr>
        <w:t xml:space="preserve">. Available at: </w:t>
      </w:r>
      <w:hyperlink r:id="rId45">
        <w:r w:rsidRPr="00D91B43">
          <w:rPr>
            <w:highlight w:val="white"/>
            <w:u w:val="single"/>
          </w:rPr>
          <w:t>https://swarajyamag.com/infrastructure/tata-steel-inaugurates-its-first-scrap-based-electric-arc-furnace-plant-with-075-mtpa-capacity-in-ludhiana</w:t>
        </w:r>
      </w:hyperlink>
    </w:p>
    <w:p w14:paraId="0ECCD7F8" w14:textId="77777777" w:rsidR="00A70AE5" w:rsidRPr="00D91B43" w:rsidRDefault="00000000">
      <w:pPr>
        <w:rPr>
          <w:highlight w:val="white"/>
        </w:rPr>
      </w:pPr>
      <w:r w:rsidRPr="00D91B43">
        <w:rPr>
          <w:highlight w:val="white"/>
        </w:rPr>
        <w:lastRenderedPageBreak/>
        <w:t xml:space="preserve">Tata Steel (2025) </w:t>
      </w:r>
      <w:r w:rsidRPr="00D91B43">
        <w:rPr>
          <w:i/>
          <w:iCs/>
          <w:highlight w:val="white"/>
        </w:rPr>
        <w:t>Tata Group Chairman N. Chandrasekaran marks groundbreaking of new Electric Arc Furnace at Port Talbot</w:t>
      </w:r>
      <w:r w:rsidRPr="00D91B43">
        <w:rPr>
          <w:highlight w:val="white"/>
        </w:rPr>
        <w:t>. Tata Steel. 14 July. Available at:</w:t>
      </w:r>
      <w:hyperlink r:id="rId46">
        <w:r w:rsidRPr="00D91B43">
          <w:rPr>
            <w:highlight w:val="white"/>
          </w:rPr>
          <w:t xml:space="preserve"> </w:t>
        </w:r>
      </w:hyperlink>
      <w:hyperlink r:id="rId47">
        <w:r w:rsidRPr="00D91B43">
          <w:rPr>
            <w:highlight w:val="white"/>
            <w:u w:val="single"/>
          </w:rPr>
          <w:t>https://www.tatasteel.com/newsroom/press-releases/india/2025/tata-group-chairman-n-chandrasekaran-marks-groundbreaking-of-new-electric-arc-furnace-at-port-talbot/</w:t>
        </w:r>
      </w:hyperlink>
      <w:r w:rsidRPr="00D91B43">
        <w:rPr>
          <w:highlight w:val="white"/>
        </w:rPr>
        <w:t xml:space="preserve"> </w:t>
      </w:r>
    </w:p>
    <w:p w14:paraId="638606BB" w14:textId="77777777" w:rsidR="00A70AE5" w:rsidRPr="00D91B43" w:rsidRDefault="00000000">
      <w:pPr>
        <w:rPr>
          <w:highlight w:val="white"/>
        </w:rPr>
      </w:pPr>
      <w:r w:rsidRPr="00D91B43">
        <w:rPr>
          <w:highlight w:val="white"/>
        </w:rPr>
        <w:t xml:space="preserve">Tata Steel (2026a) </w:t>
      </w:r>
      <w:r w:rsidRPr="00D91B43">
        <w:rPr>
          <w:i/>
          <w:iCs/>
          <w:highlight w:val="white"/>
        </w:rPr>
        <w:t>Tata Steel: 4QFY2026 and FY2026 Production and Delivery Volumes (Provisional)</w:t>
      </w:r>
      <w:r w:rsidRPr="00D91B43">
        <w:rPr>
          <w:highlight w:val="white"/>
        </w:rPr>
        <w:t xml:space="preserve">. Available at: </w:t>
      </w:r>
      <w:hyperlink r:id="rId48">
        <w:r w:rsidRPr="00D91B43">
          <w:rPr>
            <w:highlight w:val="white"/>
            <w:u w:val="single"/>
          </w:rPr>
          <w:t>https://www.tatasteel.com/newsroom/press-releases/india/2026/tata-steel-4qfy2026-and-fy2026-production-and-delivery-volumes-provisional/</w:t>
        </w:r>
      </w:hyperlink>
    </w:p>
    <w:p w14:paraId="27BD1245" w14:textId="77777777" w:rsidR="00A70AE5" w:rsidRPr="00D91B43" w:rsidRDefault="00000000">
      <w:pPr>
        <w:rPr>
          <w:highlight w:val="white"/>
        </w:rPr>
      </w:pPr>
      <w:r w:rsidRPr="00D91B43">
        <w:rPr>
          <w:highlight w:val="white"/>
        </w:rPr>
        <w:t xml:space="preserve">Tata Steel (2026b) </w:t>
      </w:r>
      <w:r w:rsidRPr="00D91B43">
        <w:rPr>
          <w:i/>
          <w:iCs/>
          <w:highlight w:val="white"/>
        </w:rPr>
        <w:t>ESG Indicators Factsheet</w:t>
      </w:r>
      <w:r w:rsidRPr="00D91B43">
        <w:rPr>
          <w:highlight w:val="white"/>
        </w:rPr>
        <w:t xml:space="preserve">. Available at: </w:t>
      </w:r>
      <w:hyperlink r:id="rId49">
        <w:r w:rsidRPr="00D91B43">
          <w:rPr>
            <w:highlight w:val="white"/>
            <w:u w:val="single"/>
          </w:rPr>
          <w:t>https://www.tatasteel.com/sustainability/esg-indicators-factsheet</w:t>
        </w:r>
      </w:hyperlink>
    </w:p>
    <w:p w14:paraId="1B72AED8" w14:textId="77777777" w:rsidR="00A70AE5" w:rsidRPr="00D91B43" w:rsidRDefault="00000000">
      <w:pPr>
        <w:rPr>
          <w:highlight w:val="white"/>
        </w:rPr>
      </w:pPr>
      <w:r w:rsidRPr="00D91B43">
        <w:rPr>
          <w:highlight w:val="white"/>
        </w:rPr>
        <w:t xml:space="preserve">Tata Steel Limited (2026) </w:t>
      </w:r>
      <w:r w:rsidRPr="00D91B43">
        <w:rPr>
          <w:i/>
          <w:iCs/>
          <w:highlight w:val="white"/>
        </w:rPr>
        <w:t>Integrated Annual Report 2025-26</w:t>
      </w:r>
      <w:r w:rsidRPr="00D91B43">
        <w:rPr>
          <w:highlight w:val="white"/>
        </w:rPr>
        <w:t xml:space="preserve">. Available at: </w:t>
      </w:r>
      <w:hyperlink r:id="rId50">
        <w:r w:rsidRPr="00D91B43">
          <w:rPr>
            <w:highlight w:val="white"/>
            <w:u w:val="single"/>
          </w:rPr>
          <w:t>https://www.tatasteel.com/media/25904/tatasteel-iar-2025-26.pdf</w:t>
        </w:r>
      </w:hyperlink>
    </w:p>
    <w:p w14:paraId="19AA5CC7" w14:textId="77777777" w:rsidR="00A70AE5" w:rsidRPr="00D91B43" w:rsidRDefault="00000000">
      <w:pPr>
        <w:rPr>
          <w:highlight w:val="white"/>
        </w:rPr>
      </w:pPr>
      <w:r w:rsidRPr="00D91B43">
        <w:rPr>
          <w:highlight w:val="white"/>
        </w:rPr>
        <w:t xml:space="preserve">Tata Steel UK (2026) </w:t>
      </w:r>
      <w:r w:rsidRPr="00D91B43">
        <w:rPr>
          <w:i/>
          <w:iCs/>
          <w:highlight w:val="white"/>
        </w:rPr>
        <w:t>Green Steel Future</w:t>
      </w:r>
      <w:r w:rsidRPr="00D91B43">
        <w:rPr>
          <w:highlight w:val="white"/>
        </w:rPr>
        <w:t>. Available at:</w:t>
      </w:r>
      <w:hyperlink r:id="rId51">
        <w:r w:rsidRPr="00D91B43">
          <w:rPr>
            <w:highlight w:val="white"/>
          </w:rPr>
          <w:t xml:space="preserve"> </w:t>
        </w:r>
      </w:hyperlink>
      <w:hyperlink r:id="rId52">
        <w:r w:rsidRPr="00D91B43">
          <w:rPr>
            <w:highlight w:val="white"/>
            <w:u w:val="single"/>
          </w:rPr>
          <w:t>https://www.tatasteeluk.com/green-steel-future</w:t>
        </w:r>
      </w:hyperlink>
      <w:r w:rsidRPr="00D91B43">
        <w:rPr>
          <w:highlight w:val="white"/>
        </w:rPr>
        <w:t xml:space="preserve"> </w:t>
      </w:r>
    </w:p>
    <w:p w14:paraId="37B5FCA2" w14:textId="77777777" w:rsidR="00A70AE5" w:rsidRPr="00D91B43" w:rsidRDefault="00000000">
      <w:pPr>
        <w:rPr>
          <w:highlight w:val="white"/>
        </w:rPr>
      </w:pPr>
      <w:r w:rsidRPr="00D91B43">
        <w:rPr>
          <w:highlight w:val="white"/>
        </w:rPr>
        <w:t xml:space="preserve"> World Steel Association (2026) </w:t>
      </w:r>
      <w:proofErr w:type="spellStart"/>
      <w:r w:rsidRPr="00D91B43">
        <w:rPr>
          <w:i/>
          <w:iCs/>
          <w:highlight w:val="white"/>
        </w:rPr>
        <w:t>worldsteel</w:t>
      </w:r>
      <w:proofErr w:type="spellEnd"/>
      <w:r w:rsidRPr="00D91B43">
        <w:rPr>
          <w:i/>
          <w:iCs/>
          <w:highlight w:val="white"/>
        </w:rPr>
        <w:t xml:space="preserve"> Short Range Outlook April 2026</w:t>
      </w:r>
      <w:r w:rsidRPr="00D91B43">
        <w:rPr>
          <w:highlight w:val="white"/>
        </w:rPr>
        <w:t xml:space="preserve">. Available at: </w:t>
      </w:r>
      <w:hyperlink r:id="rId53">
        <w:r w:rsidRPr="00D91B43">
          <w:rPr>
            <w:highlight w:val="white"/>
            <w:u w:val="single"/>
          </w:rPr>
          <w:t>https://worldsteel.org/media/press-releases/2026/worldsteel-short-range-outlook-april-2026/</w:t>
        </w:r>
      </w:hyperlink>
    </w:p>
    <w:sectPr w:rsidR="00A70AE5" w:rsidRPr="00D91B43">
      <w:headerReference w:type="default" r:id="rId54"/>
      <w:footerReference w:type="default" r:id="rId5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95F29" w14:textId="77777777" w:rsidR="00046DE8" w:rsidRDefault="00046DE8">
      <w:pPr>
        <w:spacing w:line="240" w:lineRule="auto"/>
      </w:pPr>
      <w:r>
        <w:separator/>
      </w:r>
    </w:p>
  </w:endnote>
  <w:endnote w:type="continuationSeparator" w:id="0">
    <w:p w14:paraId="0DE598A5" w14:textId="77777777" w:rsidR="00046DE8" w:rsidRDefault="00046D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E61514C-DB61-490A-8D6F-04C4AA50B908}"/>
    <w:embedBold r:id="rId2" w:fontKey="{CE61507B-84CE-44D5-BB41-FA92000BF2C7}"/>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3" w:fontKey="{3C836565-7812-42CF-9B2D-6CD33EB3F3DC}"/>
  </w:font>
  <w:font w:name="Cambria">
    <w:panose1 w:val="02040503050406030204"/>
    <w:charset w:val="00"/>
    <w:family w:val="roman"/>
    <w:pitch w:val="variable"/>
    <w:sig w:usb0="E00006FF" w:usb1="420024FF" w:usb2="02000000" w:usb3="00000000" w:csb0="0000019F" w:csb1="00000000"/>
    <w:embedRegular r:id="rId4" w:fontKey="{60F85CC9-3EFE-40F1-B1C0-17E7D15015C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8F933" w14:textId="77777777" w:rsidR="00A70AE5" w:rsidRDefault="00000000">
    <w:pP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91B43">
      <w:rPr>
        <w:noProof/>
        <w:color w:val="000000"/>
      </w:rPr>
      <w:t>2</w:t>
    </w:r>
    <w:r>
      <w:rPr>
        <w:color w:val="000000"/>
      </w:rPr>
      <w:fldChar w:fldCharType="end"/>
    </w:r>
  </w:p>
  <w:p w14:paraId="01CD116B" w14:textId="77777777" w:rsidR="00A70AE5" w:rsidRDefault="00A70AE5">
    <w:pP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64D47" w14:textId="77777777" w:rsidR="00046DE8" w:rsidRDefault="00046DE8">
      <w:r>
        <w:separator/>
      </w:r>
    </w:p>
  </w:footnote>
  <w:footnote w:type="continuationSeparator" w:id="0">
    <w:p w14:paraId="06F34969" w14:textId="77777777" w:rsidR="00046DE8" w:rsidRDefault="00046D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8F406" w14:textId="77777777" w:rsidR="00A70AE5" w:rsidRDefault="00000000">
    <w:pPr>
      <w:tabs>
        <w:tab w:val="center" w:pos="4680"/>
        <w:tab w:val="right" w:pos="9360"/>
      </w:tabs>
      <w:spacing w:line="240" w:lineRule="auto"/>
      <w:jc w:val="right"/>
      <w:rPr>
        <w:color w:val="000000"/>
      </w:rPr>
    </w:pPr>
    <w:r>
      <w:rPr>
        <w:noProof/>
        <w:color w:val="000000"/>
      </w:rPr>
      <w:drawing>
        <wp:inline distT="0" distB="0" distL="0" distR="0" wp14:anchorId="265324C0" wp14:editId="5EB5A3B4">
          <wp:extent cx="1593850" cy="64960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1"/>
                  <a:srcRect/>
                  <a:stretch>
                    <a:fillRect/>
                  </a:stretch>
                </pic:blipFill>
                <pic:spPr>
                  <a:xfrm>
                    <a:off x="0" y="0"/>
                    <a:ext cx="1593999" cy="649832"/>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AE5"/>
    <w:rsid w:val="00046DE8"/>
    <w:rsid w:val="003C40ED"/>
    <w:rsid w:val="00435B4F"/>
    <w:rsid w:val="007F6DE7"/>
    <w:rsid w:val="00880E04"/>
    <w:rsid w:val="00976A62"/>
    <w:rsid w:val="00A0751C"/>
    <w:rsid w:val="00A70AE5"/>
    <w:rsid w:val="00D91B43"/>
    <w:rsid w:val="02F74BED"/>
    <w:rsid w:val="3D320BF7"/>
    <w:rsid w:val="43673CDB"/>
    <w:rsid w:val="55396B5E"/>
    <w:rsid w:val="55434EEF"/>
    <w:rsid w:val="63174EFD"/>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E589C"/>
  <w15:docId w15:val="{79F21211-FEA0-4C5B-B402-AE5DC112E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IN" w:eastAsia="en-IN" w:bidi="gu-IN"/>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qFormat="1"/>
    <w:lsdException w:name="index 2" w:qFormat="1"/>
    <w:lsdException w:name="index 3" w:qFormat="1"/>
    <w:lsdException w:name="index 4" w:qFormat="1"/>
    <w:lsdException w:name="index 5" w:qFormat="1"/>
    <w:lsdException w:name="index 6" w:qFormat="1"/>
    <w:lsdException w:name="index 7" w:qFormat="1"/>
    <w:lsdException w:name="index 8" w:qFormat="1"/>
    <w:lsdException w:name="index 9" w:qFormat="1"/>
    <w:lsdException w:name="toc 1" w:uiPriority="39"/>
    <w:lsdException w:name="toc 2" w:uiPriority="39"/>
    <w:lsdException w:name="toc 3" w:uiPriority="39"/>
    <w:lsdException w:name="Normal Indent" w:qFormat="1"/>
    <w:lsdException w:name="footnote text" w:qFormat="1"/>
    <w:lsdException w:name="annotation text" w:qFormat="1"/>
    <w:lsdException w:name="header" w:qFormat="1"/>
    <w:lsdException w:name="footer" w:qFormat="1"/>
    <w:lsdException w:name="index heading" w:qFormat="1"/>
    <w:lsdException w:name="caption" w:semiHidden="1" w:unhideWhenUsed="1" w:qFormat="1"/>
    <w:lsdException w:name="envelope address" w:qFormat="1"/>
    <w:lsdException w:name="envelope return" w:qFormat="1"/>
    <w:lsdException w:name="footnote reference" w:qFormat="1"/>
    <w:lsdException w:name="annotation reference" w:qFormat="1"/>
    <w:lsdException w:name="line number" w:qFormat="1"/>
    <w:lsdException w:name="page number" w:qFormat="1"/>
    <w:lsdException w:name="endnote reference" w:qFormat="1"/>
    <w:lsdException w:name="endnote text" w:qFormat="1"/>
    <w:lsdException w:name="macro" w:qFormat="1"/>
    <w:lsdException w:name="List" w:qFormat="1"/>
    <w:lsdException w:name="List Bullet" w:qFormat="1"/>
    <w:lsdException w:name="List Number" w:qFormat="1"/>
    <w:lsdException w:name="List 2" w:qFormat="1"/>
    <w:lsdException w:name="List 3" w:qFormat="1"/>
    <w:lsdException w:name="List 4" w:qFormat="1"/>
    <w:lsdException w:name="List 5" w:qFormat="1"/>
    <w:lsdException w:name="List Bullet 2" w:qFormat="1"/>
    <w:lsdException w:name="List Bullet 3" w:qFormat="1"/>
    <w:lsdException w:name="List Bullet 4" w:qFormat="1"/>
    <w:lsdException w:name="List Bullet 5" w:qFormat="1"/>
    <w:lsdException w:name="List Number 2" w:qFormat="1"/>
    <w:lsdException w:name="List Number 3" w:qFormat="1"/>
    <w:lsdException w:name="List Number 4" w:qFormat="1"/>
    <w:lsdException w:name="List Number 5" w:qFormat="1"/>
    <w:lsdException w:name="Title" w:qFormat="1"/>
    <w:lsdException w:name="Closing" w:qFormat="1"/>
    <w:lsdException w:name="Default Paragraph Font" w:semiHidden="1" w:qFormat="1"/>
    <w:lsdException w:name="Body Text" w:qFormat="1"/>
    <w:lsdException w:name="Body Text Indent" w:qFormat="1"/>
    <w:lsdException w:name="List Continue" w:qFormat="1"/>
    <w:lsdException w:name="List Continue 2" w:qFormat="1"/>
    <w:lsdException w:name="List Continue 3" w:qFormat="1"/>
    <w:lsdException w:name="List Continue 4" w:qFormat="1"/>
    <w:lsdException w:name="List Continue 5" w:qFormat="1"/>
    <w:lsdException w:name="Message Header" w:qFormat="1"/>
    <w:lsdException w:name="Subtitle" w:qFormat="1"/>
    <w:lsdException w:name="Date" w:qFormat="1"/>
    <w:lsdException w:name="Body Text First Indent" w:qFormat="1"/>
    <w:lsdException w:name="Body Text First Indent 2" w:qFormat="1"/>
    <w:lsdException w:name="Note Heading" w:qFormat="1"/>
    <w:lsdException w:name="Body Text 2" w:qFormat="1"/>
    <w:lsdException w:name="Body Text 3" w:qFormat="1"/>
    <w:lsdException w:name="Body Text Indent 2" w:qFormat="1"/>
    <w:lsdException w:name="Body Text Indent 3" w:qFormat="1"/>
    <w:lsdException w:name="Block Text" w:qFormat="1"/>
    <w:lsdException w:name="Hyperlink" w:uiPriority="99" w:qFormat="1"/>
    <w:lsdException w:name="FollowedHyperlink" w:qFormat="1"/>
    <w:lsdException w:name="Strong" w:qFormat="1"/>
    <w:lsdException w:name="Emphasis" w:qFormat="1"/>
    <w:lsdException w:name="Document Map" w:qFormat="1"/>
    <w:lsdException w:name="Plain Text" w:qFormat="1"/>
    <w:lsdException w:name="E-mail Signature" w:qFormat="1"/>
    <w:lsdException w:name="HTML Top of Form" w:semiHidden="1" w:uiPriority="99" w:unhideWhenUsed="1"/>
    <w:lsdException w:name="HTML Bottom of Form" w:semiHidden="1" w:uiPriority="99" w:unhideWhenUsed="1"/>
    <w:lsdException w:name="Normal (Web)" w:qFormat="1"/>
    <w:lsdException w:name="HTML Acronym" w:qFormat="1"/>
    <w:lsdException w:name="HTML Address" w:qFormat="1"/>
    <w:lsdException w:name="HTML Cite" w:qFormat="1"/>
    <w:lsdException w:name="HTML Code" w:qFormat="1"/>
    <w:lsdException w:name="HTML Definition" w:qFormat="1"/>
    <w:lsdException w:name="HTML Keyboard" w:qFormat="1"/>
    <w:lsdException w:name="HTML Preformatted" w:qFormat="1"/>
    <w:lsdException w:name="HTML Sample" w:qFormat="1"/>
    <w:lsdException w:name="HTML Typewriter" w:qFormat="1"/>
    <w:lsdException w:name="HTML Variable" w:qFormat="1"/>
    <w:lsdException w:name="Normal Table" w:semiHidden="1"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qFormat="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qFormat="1"/>
    <w:lsdException w:name="Colorful Grid" w:uiPriority="73" w:qFormat="1"/>
    <w:lsdException w:name="Light Shading Accent 1" w:uiPriority="60"/>
    <w:lsdException w:name="Light List Accent 1" w:uiPriority="61" w:qFormat="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qFormat="1"/>
    <w:lsdException w:name="Colorful Grid Accent 1" w:uiPriority="73" w:qFormat="1"/>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qFormat="1"/>
    <w:lsdException w:name="Colorful Grid Accent 2" w:uiPriority="73" w:qFormat="1"/>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qFormat="1"/>
    <w:lsdException w:name="Colorful Grid Accent 3" w:uiPriority="73" w:qFormat="1"/>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qFormat="1"/>
    <w:lsdException w:name="Colorful List Accent 4" w:uiPriority="72" w:qFormat="1"/>
    <w:lsdException w:name="Colorful Grid Accent 4" w:uiPriority="73" w:qFormat="1"/>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qFormat="1"/>
    <w:lsdException w:name="Colorful List Accent 5" w:uiPriority="72" w:qFormat="1"/>
    <w:lsdException w:name="Colorful Grid Accent 5" w:uiPriority="73" w:qFormat="1"/>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qFormat="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360" w:lineRule="auto"/>
      <w:jc w:val="both"/>
    </w:pPr>
    <w:rPr>
      <w:sz w:val="24"/>
      <w:szCs w:val="24"/>
      <w:lang w:val="en"/>
    </w:rPr>
  </w:style>
  <w:style w:type="paragraph" w:styleId="Heading1">
    <w:name w:val="heading 1"/>
    <w:basedOn w:val="Normal"/>
    <w:next w:val="Normal"/>
    <w:qFormat/>
    <w:pPr>
      <w:keepNext/>
      <w:keepLines/>
      <w:pBdr>
        <w:top w:val="none" w:sz="0" w:space="0" w:color="000000"/>
        <w:left w:val="none" w:sz="0" w:space="0" w:color="000000"/>
        <w:bottom w:val="none" w:sz="0" w:space="0" w:color="000000"/>
        <w:right w:val="none" w:sz="0" w:space="0" w:color="000000"/>
        <w:between w:val="none" w:sz="0" w:space="0" w:color="000000"/>
      </w:pBdr>
      <w:outlineLvl w:val="0"/>
    </w:pPr>
    <w:rPr>
      <w:b/>
      <w:bCs/>
      <w:color w:val="000000"/>
      <w:sz w:val="28"/>
      <w:szCs w:val="28"/>
    </w:rPr>
  </w:style>
  <w:style w:type="paragraph" w:styleId="Heading2">
    <w:name w:val="heading 2"/>
    <w:basedOn w:val="Normal"/>
    <w:next w:val="Normal"/>
    <w:qFormat/>
    <w:pPr>
      <w:keepNext/>
      <w:keepLines/>
      <w:pBdr>
        <w:top w:val="none" w:sz="0" w:space="0" w:color="000000"/>
        <w:left w:val="none" w:sz="0" w:space="0" w:color="000000"/>
        <w:bottom w:val="none" w:sz="0" w:space="0" w:color="000000"/>
        <w:right w:val="none" w:sz="0" w:space="0" w:color="000000"/>
        <w:between w:val="none" w:sz="0" w:space="0" w:color="000000"/>
      </w:pBdr>
      <w:outlineLvl w:val="1"/>
    </w:pPr>
    <w:rPr>
      <w:b/>
      <w:bCs/>
      <w:color w:val="000000"/>
      <w:sz w:val="26"/>
      <w:szCs w:val="26"/>
    </w:rPr>
  </w:style>
  <w:style w:type="paragraph" w:styleId="Heading3">
    <w:name w:val="heading 3"/>
    <w:basedOn w:val="Normal"/>
    <w:next w:val="Normal"/>
    <w:qFormat/>
    <w:pPr>
      <w:keepNext/>
      <w:keepLines/>
      <w:pBdr>
        <w:top w:val="none" w:sz="0" w:space="0" w:color="000000"/>
        <w:left w:val="none" w:sz="0" w:space="0" w:color="000000"/>
        <w:bottom w:val="none" w:sz="0" w:space="0" w:color="000000"/>
        <w:right w:val="none" w:sz="0" w:space="0" w:color="000000"/>
        <w:between w:val="none" w:sz="0" w:space="0" w:color="000000"/>
      </w:pBdr>
      <w:outlineLvl w:val="2"/>
    </w:pPr>
    <w:rPr>
      <w:b/>
      <w:bCs/>
      <w:i/>
      <w:iCs/>
      <w:color w:val="000000"/>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color w:val="000000"/>
      <w:sz w:val="52"/>
      <w:szCs w:val="52"/>
    </w:rPr>
  </w:style>
  <w:style w:type="table" w:customStyle="1" w:styleId="TableNormal0">
    <w:name w:val="TableNormal"/>
    <w:tblPr>
      <w:tblCellMar>
        <w:top w:w="100" w:type="dxa"/>
        <w:left w:w="100" w:type="dxa"/>
        <w:bottom w:w="100" w:type="dxa"/>
        <w:right w:w="100" w:type="dxa"/>
      </w:tblCellMar>
    </w:tblPr>
  </w:style>
  <w:style w:type="paragraph" w:styleId="TOC1">
    <w:name w:val="toc 1"/>
    <w:basedOn w:val="Normal"/>
    <w:next w:val="Normal"/>
    <w:autoRedefine/>
    <w:uiPriority w:val="39"/>
    <w:rsid w:val="003C40ED"/>
    <w:pPr>
      <w:spacing w:after="100"/>
    </w:pPr>
  </w:style>
  <w:style w:type="paragraph" w:styleId="TOC2">
    <w:name w:val="toc 2"/>
    <w:basedOn w:val="Normal"/>
    <w:next w:val="Normal"/>
    <w:autoRedefine/>
    <w:uiPriority w:val="39"/>
    <w:rsid w:val="003C40ED"/>
    <w:pPr>
      <w:spacing w:after="100"/>
      <w:ind w:left="240"/>
    </w:pPr>
  </w:style>
  <w:style w:type="paragraph" w:styleId="TOC3">
    <w:name w:val="toc 3"/>
    <w:basedOn w:val="Normal"/>
    <w:next w:val="Normal"/>
    <w:autoRedefine/>
    <w:uiPriority w:val="39"/>
    <w:rsid w:val="003C40ED"/>
    <w:pPr>
      <w:spacing w:after="100"/>
      <w:ind w:left="480"/>
    </w:pPr>
  </w:style>
  <w:style w:type="character" w:styleId="Hyperlink">
    <w:name w:val="Hyperlink"/>
    <w:basedOn w:val="DefaultParagraphFont"/>
    <w:uiPriority w:val="99"/>
    <w:unhideWhenUsed/>
    <w:rsid w:val="003C40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16/j.jenvman.2025.127158" TargetMode="External"/><Relationship Id="rId18" Type="http://schemas.openxmlformats.org/officeDocument/2006/relationships/hyperlink" Target="https://taxation-customs.ec.europa.eu/news/cbam-successfully-entered-force-1-january-2026-2026-01-14_en" TargetMode="External"/><Relationship Id="rId26" Type="http://schemas.openxmlformats.org/officeDocument/2006/relationships/hyperlink" Target="https://www.korea-europe-review.org/index.php/ker/article/view/23" TargetMode="External"/><Relationship Id="rId39" Type="http://schemas.openxmlformats.org/officeDocument/2006/relationships/hyperlink" Target="https://www.reuters.com/business/environment/germany-launches-water-monitor-system-rhine-drought-hits-industry-2026-07-15/" TargetMode="External"/><Relationship Id="rId21" Type="http://schemas.openxmlformats.org/officeDocument/2006/relationships/hyperlink" Target="https://gmk.center/en/news/india-will-fund-three-pilot-hydrogen-projects-for-steel-production/" TargetMode="External"/><Relationship Id="rId34" Type="http://schemas.openxmlformats.org/officeDocument/2006/relationships/hyperlink" Target="https://www.pib.gov.in/PressReleasePage.aspx?PRID=2245209&amp;reg=3&amp;lang=2&amp;utm_source=chatgpt.com" TargetMode="External"/><Relationship Id="rId42" Type="http://schemas.openxmlformats.org/officeDocument/2006/relationships/hyperlink" Target="https://www.researchgate.net/publication/394520103_Fundamentals_of_Product_and_Pricing_Management_Following_the_Syllabi_of_the_Subject_Product_Pricing_Management_for_Semester_V_of_4-Year_BCom_Honours_Honours_with_Research_and_3-Year_BCom_MDC_Programme?utm_source=chatgpt.com" TargetMode="External"/><Relationship Id="rId47" Type="http://schemas.openxmlformats.org/officeDocument/2006/relationships/hyperlink" Target="https://www.tatasteel.com/newsroom/press-releases/india/2025/tata-group-chairman-n-chandrasekaran-marks-groundbreaking-of-new-electric-arc-furnace-at-port-talbot/?utm_source=chatgpt.com" TargetMode="External"/><Relationship Id="rId50" Type="http://schemas.openxmlformats.org/officeDocument/2006/relationships/hyperlink" Target="https://www.tatasteel.com/media/25904/tatasteel-iar-2025-26.pdf" TargetMode="External"/><Relationship Id="rId55" Type="http://schemas.openxmlformats.org/officeDocument/2006/relationships/footer" Target="foot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assets.publishing.service.gov.uk/media/6972cbf6d8adeaf266040583/ietf-final-process-evaluation.pdf" TargetMode="External"/><Relationship Id="rId29" Type="http://schemas.openxmlformats.org/officeDocument/2006/relationships/hyperlink" Target="https://publications.jrc.ec.europa.eu/repository/handle/JRC144653" TargetMode="External"/><Relationship Id="rId11" Type="http://schemas.openxmlformats.org/officeDocument/2006/relationships/hyperlink" Target="https://acumengroup.in/tata-steel-share-price-analysis/" TargetMode="External"/><Relationship Id="rId24" Type="http://schemas.openxmlformats.org/officeDocument/2006/relationships/hyperlink" Target="https://www.kspp.edu.in/capstone-project/corporate-sustainability-architecture-a-case-study-for-tata-steel?utm_source=chatgpt.com" TargetMode="External"/><Relationship Id="rId32" Type="http://schemas.openxmlformats.org/officeDocument/2006/relationships/hyperlink" Target="https://nexioprojects.com/sbti-in-2026-the-road-to-net-zero-and-compliance/?utm_source=chatgpt.com" TargetMode="External"/><Relationship Id="rId37" Type="http://schemas.openxmlformats.org/officeDocument/2006/relationships/hyperlink" Target="https://www.pib.gov.in/PressReleasePage.aspx?PRID=2219947&amp;lang=1&amp;noshow=1&amp;reg=3&amp;utm_source=chatgpt.com" TargetMode="External"/><Relationship Id="rId40" Type="http://schemas.openxmlformats.org/officeDocument/2006/relationships/hyperlink" Target="https://papers.ssrn.com/sol3/papers.cfm?abstract_id=5160814" TargetMode="External"/><Relationship Id="rId45" Type="http://schemas.openxmlformats.org/officeDocument/2006/relationships/hyperlink" Target="https://swarajyamag.com/infrastructure/tata-steel-inaugurates-its-first-scrap-based-electric-arc-furnace-plant-with-075-mtpa-capacity-in-ludhiana" TargetMode="External"/><Relationship Id="rId53" Type="http://schemas.openxmlformats.org/officeDocument/2006/relationships/hyperlink" Target="https://worldsteel.org/media/press-releases/2026/worldsteel-short-range-outlook-april-2026/" TargetMode="External"/><Relationship Id="rId5" Type="http://schemas.openxmlformats.org/officeDocument/2006/relationships/endnotes" Target="endnotes.xml"/><Relationship Id="rId19" Type="http://schemas.openxmlformats.org/officeDocument/2006/relationships/hyperlink" Target="https://taxation-customs.ec.europa.eu/news/cbam-successfully-entered-force-1-january-2026-2026-01-14_en"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bir.org/news-press/news/1000042794-ir-gothenburg-2026-ferrous-division-statistics-17th-edition-of-world-steel-recycling-in-figures" TargetMode="External"/><Relationship Id="rId22" Type="http://schemas.openxmlformats.org/officeDocument/2006/relationships/hyperlink" Target="https://gmk.center/en/news/state-aid-of-e2-billion-for-tata-steel-nederland-remains-in-doubt/" TargetMode="External"/><Relationship Id="rId27" Type="http://schemas.openxmlformats.org/officeDocument/2006/relationships/hyperlink" Target="https://doi.org/10.1016/j.igd.2024.100143" TargetMode="External"/><Relationship Id="rId30" Type="http://schemas.openxmlformats.org/officeDocument/2006/relationships/hyperlink" Target="https://doi.org/10.1016/j.caeai.2025.100511" TargetMode="External"/><Relationship Id="rId35" Type="http://schemas.openxmlformats.org/officeDocument/2006/relationships/hyperlink" Target="https://www.pib.gov.in/PressReleasePage.aspx?PRID=2245209&amp;reg=3&amp;lang=2&amp;utm_source=chatgpt.com" TargetMode="External"/><Relationship Id="rId43" Type="http://schemas.openxmlformats.org/officeDocument/2006/relationships/hyperlink" Target="https://www.niti.gov.in/sites/default/files/2024-11/Report_Enhancing%20Domestic%20Coking%20Coal%20Availability%20to%20Reduce%20the%20Import%20of%20Coking%20Coal.pdf" TargetMode="External"/><Relationship Id="rId48" Type="http://schemas.openxmlformats.org/officeDocument/2006/relationships/hyperlink" Target="https://www.tatasteel.com/newsroom/press-releases/india/2026/tata-steel-4qfy2026-and-fy2026-production-and-delivery-volumes-provisional/" TargetMode="External"/><Relationship Id="rId56"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www.tatasteeluk.com/green-steel-future?utm_source=chatgpt.com" TargetMode="External"/><Relationship Id="rId3" Type="http://schemas.openxmlformats.org/officeDocument/2006/relationships/webSettings" Target="webSettings.xml"/><Relationship Id="rId12" Type="http://schemas.openxmlformats.org/officeDocument/2006/relationships/hyperlink" Target="https://ijnrefm.com/wp-content/uploads/IJNREFM_V2_issue3_114.pdf" TargetMode="External"/><Relationship Id="rId17" Type="http://schemas.openxmlformats.org/officeDocument/2006/relationships/hyperlink" Target="https://climate.ec.europa.eu/news-other-reads/news/190-million-eu-ets-allowances-be-placed-market-stability-reserve-between-september-2026-and-august-2026-05-29_en" TargetMode="External"/><Relationship Id="rId25" Type="http://schemas.openxmlformats.org/officeDocument/2006/relationships/hyperlink" Target="https://www.kspp.edu.in/capstone-project/corporate-sustainability-architecture-a-case-study-for-tata-steel?utm_source=chatgpt.com" TargetMode="External"/><Relationship Id="rId33" Type="http://schemas.openxmlformats.org/officeDocument/2006/relationships/hyperlink" Target="https://doi.org/10.1016/j.igd.2025.100258" TargetMode="External"/><Relationship Id="rId38" Type="http://schemas.openxmlformats.org/officeDocument/2006/relationships/hyperlink" Target="https://www.reuters.com/business/environment/germany-launches-water-monitor-system-rhine-drought-hits-industry-2026-07-15/" TargetMode="External"/><Relationship Id="rId46" Type="http://schemas.openxmlformats.org/officeDocument/2006/relationships/hyperlink" Target="https://www.tatasteel.com/newsroom/press-releases/india/2025/tata-group-chairman-n-chandrasekaran-marks-groundbreaking-of-new-electric-arc-furnace-at-port-talbot/?utm_source=chatgpt.com" TargetMode="External"/><Relationship Id="rId20" Type="http://schemas.openxmlformats.org/officeDocument/2006/relationships/hyperlink" Target="https://www.europarl.europa.eu/thinktank/en/academic/EPRS_BRI%282026%29789300" TargetMode="External"/><Relationship Id="rId41" Type="http://schemas.openxmlformats.org/officeDocument/2006/relationships/hyperlink" Target="https://www.researchgate.net/publication/394520103_Fundamentals_of_Product_and_Pricing_Management_Following_the_Syllabi_of_the_Subject_Product_Pricing_Management_for_Semester_V_of_4-Year_BCom_Honours_Honours_with_Research_and_3-Year_BCom_MDC_Programme?utm_source=chatgpt.com" TargetMode="External"/><Relationship Id="rId54"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bir.org/news-press/news/1000042794-ir-gothenburg-2026-ferrous-division-statistics-17th-edition-of-world-steel-recycling-in-figures" TargetMode="External"/><Relationship Id="rId23" Type="http://schemas.openxmlformats.org/officeDocument/2006/relationships/hyperlink" Target="https://gmk.center/en/news/state-aid-of-e2-billion-for-tata-steel-nederland-remains-in-doubt/" TargetMode="External"/><Relationship Id="rId28" Type="http://schemas.openxmlformats.org/officeDocument/2006/relationships/hyperlink" Target="https://publications.jrc.ec.europa.eu/repository/handle/JRC144653" TargetMode="External"/><Relationship Id="rId36" Type="http://schemas.openxmlformats.org/officeDocument/2006/relationships/hyperlink" Target="https://www.pib.gov.in/PressReleasePage.aspx?PRID=2219947&amp;lang=1&amp;noshow=1&amp;reg=3&amp;utm_source=chatgpt.com" TargetMode="External"/><Relationship Id="rId49" Type="http://schemas.openxmlformats.org/officeDocument/2006/relationships/hyperlink" Target="https://www.tatasteel.com/sustainability/esg-indicators-factsheet" TargetMode="External"/><Relationship Id="rId57" Type="http://schemas.openxmlformats.org/officeDocument/2006/relationships/theme" Target="theme/theme1.xml"/><Relationship Id="rId10" Type="http://schemas.openxmlformats.org/officeDocument/2006/relationships/image" Target="media/image5.png"/><Relationship Id="rId31" Type="http://schemas.openxmlformats.org/officeDocument/2006/relationships/hyperlink" Target="https://nexioprojects.com/sbti-in-2026-the-road-to-net-zero-and-compliance/?utm_source=chatgpt.com" TargetMode="External"/><Relationship Id="rId44" Type="http://schemas.openxmlformats.org/officeDocument/2006/relationships/hyperlink" Target="https://www.niti.gov.in/sites/default/files/2024-11/Report_Enhancing%20Domestic%20Coking%20Coal%20Availability%20to%20Reduce%20the%20Import%20of%20Coking%20Coal.pdf" TargetMode="External"/><Relationship Id="rId52" Type="http://schemas.openxmlformats.org/officeDocument/2006/relationships/hyperlink" Target="https://www.tatasteeluk.com/green-steel-future?utm_source=chatgpt.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207</TotalTime>
  <Pages>18</Pages>
  <Words>4587</Words>
  <Characters>30186</Characters>
  <Application>Microsoft Office Word</Application>
  <DocSecurity>0</DocSecurity>
  <Lines>529</Lines>
  <Paragraphs>185</Paragraphs>
  <ScaleCrop>false</ScaleCrop>
  <Company/>
  <LinksUpToDate>false</LinksUpToDate>
  <CharactersWithSpaces>34588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tarak</dc:creator>
  <cp:lastModifiedBy>Bending Moments</cp:lastModifiedBy>
  <cp:revision>7</cp:revision>
  <dcterms:created xsi:type="dcterms:W3CDTF">2026-07-23T06:51:00Z</dcterms:created>
  <dcterms:modified xsi:type="dcterms:W3CDTF">2026-07-23T17:16:00Z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eyJoZGlkIjoiZThmNjAzMWJlZjFkMmQwODUwMTJkYzE2ODFiYmFmYTciLCJ1c2VySWQiOiI1NjcwNjQzMDkzMTEifQ==</vt:lpwstr>
  </property>
  <property fmtid="{D5CDD505-2E9C-101B-9397-08002B2CF9AE}" pid="3" name="KSOProductBuildVer">
    <vt:lpwstr>1033-12.1.0.26880</vt:lpwstr>
  </property>
  <property fmtid="{D5CDD505-2E9C-101B-9397-08002B2CF9AE}" pid="4" name="ICV">
    <vt:lpwstr>FCFD53B4B2494D53A7143FDA2F81DBAD_13</vt:lpwstr>
  </property>
</Properties>
</file>