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00E7AD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F20BA">
              <w:rPr>
                <w:b/>
                <w:color w:val="auto"/>
                <w:sz w:val="32"/>
              </w:rPr>
              <w:t>Patrick Bell</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158E38B" w:rsidR="00575A8F" w:rsidRDefault="008F20BA" w:rsidP="00E6298B">
            <w:pPr>
              <w:overflowPunct/>
              <w:autoSpaceDE/>
              <w:autoSpaceDN/>
              <w:adjustRightInd/>
              <w:ind w:right="107"/>
              <w:textAlignment w:val="auto"/>
              <w:rPr>
                <w:b/>
                <w:color w:val="auto"/>
                <w:sz w:val="32"/>
              </w:rPr>
            </w:pPr>
            <w:hyperlink r:id="rId12" w:history="1">
              <w:r>
                <w:rPr>
                  <w:rStyle w:val="Hyperlink"/>
                  <w:rFonts w:ascii="Segoe UI" w:hAnsi="Segoe UI" w:cs="Segoe UI"/>
                  <w:color w:val="000A0F"/>
                  <w:sz w:val="23"/>
                  <w:szCs w:val="23"/>
                </w:rPr>
                <w:t>2134361</w:t>
              </w:r>
            </w:hyperlink>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3">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F20BA" w:rsidP="6A581E81">
      <w:pPr>
        <w:jc w:val="both"/>
      </w:pPr>
      <w:hyperlink r:id="rId14">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099D444D" w14:textId="77777777" w:rsidR="008F20BA" w:rsidRDefault="008F20BA" w:rsidP="008F20BA">
      <w:r>
        <w:t xml:space="preserve">Within this essay I will critically analyse the coping strategies I have used over the past seven months since attesting as a Police Constable primarily during the training school phase of my career. I have selected Bortons Reflective Cycle to provide my essay with clear themes and clearly articulate how each strategy selected positively benefited me throughout the initial stages of a high stress career. </w:t>
      </w:r>
    </w:p>
    <w:p w14:paraId="7151FAD0" w14:textId="77777777" w:rsidR="008F20BA" w:rsidRDefault="008F20BA" w:rsidP="008F20BA"/>
    <w:p w14:paraId="710FEA48" w14:textId="77777777" w:rsidR="008F20BA" w:rsidRDefault="008F20BA" w:rsidP="008F20BA">
      <w:r>
        <w:t xml:space="preserve">The World Health Organisation define stress as a state of mental or emotional strain caused by adverse or unpleasant circumstances (World Health Organisation,2023.) Stress therefore can be separated into acute and chronic as with most medical phenomena (World Health Organisation,2023.) However, stress when considered holistically is not completely averse to the body and serves a very important biological function. Historically stress response exists within the body to protect itself from threats such as predators. This led American physiologist Walter Cannon to develop the concept of “Fight or Flight” (Mcarthy,2016.) During a stressful situation the body will flood with stress hormones such as cortisol and adrenaline. This diverts bloody flow towards muscle groups that will help us defend ourselves or flee such as the calf muscles and triceps and away from normal bodily functions such as digestion. This is controlled by the sympathetic nervous system. Within the modern world issues such as predators and hunting do not apply yet the body still responds with the same biological response to other stressful moments such as examination stress which is particularly pertinent. </w:t>
      </w:r>
    </w:p>
    <w:p w14:paraId="0A9BBB94" w14:textId="77777777" w:rsidR="008F20BA" w:rsidRDefault="008F20BA" w:rsidP="008F20BA"/>
    <w:p w14:paraId="1377D424" w14:textId="77777777" w:rsidR="008F20BA" w:rsidRDefault="008F20BA" w:rsidP="008F20BA">
      <w:r>
        <w:t xml:space="preserve">When this happens consistently over a prolonged time this acute stress becomes chronic, and this has detrimental impacts upon our physiological health. For example, when the sympathetic nervous system provides a stress response hormone such as adrenaline cause Vaso-constriction increasing blood pressure, however if this persists over time it greatly increases the risk of ischaemic complications such as stroke, heart attack and pulmonary embolism from damage to the vascular walls. </w:t>
      </w:r>
    </w:p>
    <w:p w14:paraId="77122578" w14:textId="77777777" w:rsidR="008F20BA" w:rsidRDefault="008F20BA" w:rsidP="008F20BA"/>
    <w:p w14:paraId="0E3455DF" w14:textId="77777777" w:rsidR="008F20BA" w:rsidRDefault="008F20BA" w:rsidP="008F20BA">
      <w:r>
        <w:t xml:space="preserve">This is especially pertinent within the context of law enforcement. Globally law enforcement officers are up to five times as likely to suffer from stress induced illness such as Post Traumatic Stress Disorder (Yuan et al 2011.) This means that it has never been more imperative for newly recruited officers such as myself to develop effective coping strategies early on within service to not only be more effective professionally but to also avoid burnout. Therefore, in accordance with Bortons Reflective Cycle I will now elaborate what I have done surrounding this important issue as well as how it has benefited me as an individual, but most importantly as a police officer. </w:t>
      </w:r>
    </w:p>
    <w:p w14:paraId="08CF076F" w14:textId="77777777" w:rsidR="008F20BA" w:rsidRDefault="008F20BA" w:rsidP="008F20BA"/>
    <w:p w14:paraId="095CE261" w14:textId="77777777" w:rsidR="008F20BA" w:rsidRDefault="008F20BA" w:rsidP="008F20BA">
      <w:r>
        <w:t xml:space="preserve">The first strategy I utilised throughout my first six months since attesting as a Police Constable was exercise. The National Health Service published in 2021 that the average adult should exercise at least two and a half hours a week, spread over four or five days. The benefits of this cannot be understated. Exercising at least twice a week has been clinically proven to reduce the risk of heart disease and stroke by almost half (NHS,2021.) </w:t>
      </w:r>
    </w:p>
    <w:p w14:paraId="4B65476E" w14:textId="77777777" w:rsidR="008F20BA" w:rsidRDefault="008F20BA" w:rsidP="008F20BA"/>
    <w:p w14:paraId="0772168A" w14:textId="77777777" w:rsidR="008F20BA" w:rsidRDefault="008F20BA" w:rsidP="008F20BA">
      <w:r>
        <w:t xml:space="preserve">I personally have always been a very active individual and usually exercise at least five times a week, using weight training in a commercial gym. This not only benefits how I have felt physically but also mentally and allowed me to complete Officer Safety Training without the additional stress factors surrounding being fit </w:t>
      </w:r>
      <w:r>
        <w:lastRenderedPageBreak/>
        <w:t>enough to complete the various fitness tests we were assigned by the trainers. The primary limitation surrounding all research surrounding psychological health is the lack of long-term study upon exercise and the correlation with mental health. This is because mental health in general had significant social stigma attached to it and thus was often either ignored or not expressed to avoid creating a social taboo (</w:t>
      </w:r>
      <w:r>
        <w:rPr>
          <w:shd w:val="clear" w:color="auto" w:fill="FFFFFF"/>
        </w:rPr>
        <w:t>Brouwers,2020</w:t>
      </w:r>
      <w:r>
        <w:t xml:space="preserve">.) </w:t>
      </w:r>
    </w:p>
    <w:p w14:paraId="3ED75BDD" w14:textId="77777777" w:rsidR="008F20BA" w:rsidRDefault="008F20BA" w:rsidP="008F20BA"/>
    <w:p w14:paraId="66EBFBCF" w14:textId="77777777" w:rsidR="008F20BA" w:rsidRDefault="008F20BA" w:rsidP="008F20BA">
      <w:r>
        <w:t xml:space="preserve">Despite this several academics have published papers detailing the effects of exercise upon mental health and more specifically stress. The effects of regular exercise when observed in American university students was found to be as beneficial in raising levels of neurotransmitters associated with positive feelings such as dopamine and serotonin, as in artificial treatments for stress such as anti-anxiety medications (Jackson,2013.) Comparatively a systematic review of the literature conducted in 2017 concluded that there was statistical significance to confidently conclude that “Exercise routines and physical activity through sport have been shown to provide a distraction from negative thoughts and ruminations, and a boost in self-esteem through self-efficacy or mastery. The often social aspect of physical activity can also provide an outlet for people suffering from depression, anxiety and/or stress.” (Mikkelsen, et al, 2017.)  </w:t>
      </w:r>
    </w:p>
    <w:p w14:paraId="06281BD4" w14:textId="77777777" w:rsidR="008F20BA" w:rsidRDefault="008F20BA" w:rsidP="008F20BA"/>
    <w:p w14:paraId="4BC04F82" w14:textId="77777777" w:rsidR="008F20BA" w:rsidRDefault="008F20BA" w:rsidP="008F20BA">
      <w:r>
        <w:t xml:space="preserve">I believed that a physical outlet in isolation was not enough for myself. The second coping strategy that I employed within the early stages of my career was the use of reading fiction to reduce stress levels. It is important to note that by fiction reading I personally utilised fantasy literature, more specifically the works of J.R.R Tolkien. </w:t>
      </w:r>
    </w:p>
    <w:p w14:paraId="2BB7109C" w14:textId="77777777" w:rsidR="008F20BA" w:rsidRDefault="008F20BA" w:rsidP="008F20BA"/>
    <w:p w14:paraId="2904F71B" w14:textId="77777777" w:rsidR="008F20BA" w:rsidRDefault="008F20BA" w:rsidP="008F20BA">
      <w:r>
        <w:t xml:space="preserve">Whilst it may sound mentally fatiguing to relax from study and learning a new profession with novella it is well documented that engaging in reading to utilise escapism in order to relieve mental stress and improve well being is a well-documented practice (Billington,2013) with the Mersey Care NHS Mental Health Trust even creating a scheme known as “get into reading” as an alternative mental health therapy (NHS,2013.) (Robertson,2008) Conducted a survey of mental health professionals and found that professionals who used literature as an alternative treatment for mental health patients were hugely positive surrounding the ability for reading to alleviate symptoms of disorders such as anxiety and depression. It is important to note however the study also documented that whilst reading can alleviate the effects of mild mental health conditions, further research will still have to be conducted in relation to the effects on severe stress and long term stress, within relation to law enforcement this is important as long term stress is the type that most regularly affects police officers (University of Cambridge,2015.) </w:t>
      </w:r>
    </w:p>
    <w:p w14:paraId="3E8896C2" w14:textId="77777777" w:rsidR="008F20BA" w:rsidRDefault="008F20BA" w:rsidP="008F20BA"/>
    <w:p w14:paraId="190C630D" w14:textId="77777777" w:rsidR="008F20BA" w:rsidRDefault="008F20BA" w:rsidP="008F20BA">
      <w:r>
        <w:t>The above list is not comprehensive as many other strategies were utilised within the first chapter of what will be a long and eye-opening career and with experience, I will learn which strategies I find more and less beneficial to hopefully be a well rounded and level headed police officer who can serve the public to the best of my ability.</w:t>
      </w: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7762D8D" w14:textId="77777777" w:rsidR="008F20BA" w:rsidRDefault="008F20BA" w:rsidP="008F20BA">
      <w:r>
        <w:t xml:space="preserve">Due to the nature of the policing profession and its integral role in protecting life conflict unfortunately is inevitable. Therefore, the most vital skill that a police officer can utilise is the ability to de-escalate a situation to prevent conflict exaggerating and if necessary, the ability to safely detain an individual in the least invasive way possible. Robert Peele once said, “the police are the public and the public are the police” (Martin,2021) The importance of this cannot be understated within the context of conflict management as it clearly underpins that any conflict management techniques whether they be verbal or physical must hold up to the law, public scrutiny and must not cause rifts that may damage community cohesion </w:t>
      </w:r>
      <w:r>
        <w:rPr>
          <w:rFonts w:ascii="Roboto" w:hAnsi="Roboto"/>
          <w:color w:val="2C3E50"/>
          <w:sz w:val="23"/>
          <w:szCs w:val="23"/>
          <w:shd w:val="clear" w:color="auto" w:fill="FFFFFF"/>
        </w:rPr>
        <w:t>(</w:t>
      </w:r>
      <w:r>
        <w:rPr>
          <w:rFonts w:ascii="Roboto" w:hAnsi="Roboto"/>
          <w:i/>
          <w:iCs/>
          <w:color w:val="2C3E50"/>
          <w:sz w:val="23"/>
          <w:szCs w:val="23"/>
          <w:shd w:val="clear" w:color="auto" w:fill="FFFFFF"/>
        </w:rPr>
        <w:t>University of Washington,2021</w:t>
      </w:r>
      <w:r>
        <w:rPr>
          <w:rFonts w:ascii="Roboto" w:hAnsi="Roboto"/>
          <w:color w:val="2C3E50"/>
          <w:sz w:val="23"/>
          <w:szCs w:val="23"/>
          <w:shd w:val="clear" w:color="auto" w:fill="FFFFFF"/>
        </w:rPr>
        <w:t>)</w:t>
      </w:r>
    </w:p>
    <w:p w14:paraId="3BBE5E41" w14:textId="77777777" w:rsidR="008F20BA" w:rsidRDefault="008F20BA" w:rsidP="008F20BA"/>
    <w:p w14:paraId="1132A9E6" w14:textId="77777777" w:rsidR="008F20BA" w:rsidRDefault="008F20BA" w:rsidP="008F20BA">
      <w:r>
        <w:t xml:space="preserve">Within my first few weeks deployed as a frontline police officer I have encountered a wide range of scenarios in which I had to employ conflict management techniques in which I have rapidly had to assess a subject’s behaviour and use the National Decision Model to formulate a strategy before acting. This type of incident will be explored within my writing and how I used what I have learned from both training and indeed life experience to deal with an adversarial member of the public whilst strictly adhering to data protection and using anonymity throughout the essay.  </w:t>
      </w:r>
    </w:p>
    <w:p w14:paraId="5FAC9E91" w14:textId="77777777" w:rsidR="008F20BA" w:rsidRDefault="008F20BA" w:rsidP="008F20BA"/>
    <w:p w14:paraId="7C4BFB7C" w14:textId="77777777" w:rsidR="008F20BA" w:rsidRDefault="008F20BA" w:rsidP="008F20BA">
      <w:r>
        <w:t xml:space="preserve">My work will be structured using Gibbs Reflective Cycle (University of Edinburgh,2020) and how this related to best practice as well as how academic theory and practical application come together to adhere to the law as well as the current guidelines outlined by the college of policing. </w:t>
      </w:r>
    </w:p>
    <w:p w14:paraId="09FBC9F3" w14:textId="77777777" w:rsidR="008F20BA" w:rsidRDefault="008F20BA" w:rsidP="008F20BA"/>
    <w:p w14:paraId="1B7F132C" w14:textId="77777777" w:rsidR="008F20BA" w:rsidRDefault="008F20BA" w:rsidP="008F20BA">
      <w:r>
        <w:t xml:space="preserve">Firstly, I will provide a synopsis of the incident that provides the basis of my writing. Due to my role as a city centre police officer, my colleagues and I are regularly deployed to conduct night-time economy patrols to ensure that weekend revellers are safe to celebrate and relax at the end of a working week. As a standard this roll involves dedicated foot patrols through busy areas of the town to deter offences such as being drunk and disorderly in a public place, assault, and public order offences. However, an often-underappreciated side of this role is to provide a high visibility presence so that staff and patrons of the various bars and night clubs feel safe and have an officer to speak to should they need anything we can assist with. </w:t>
      </w:r>
    </w:p>
    <w:p w14:paraId="750F32AF" w14:textId="77777777" w:rsidR="008F20BA" w:rsidRDefault="008F20BA" w:rsidP="008F20BA"/>
    <w:p w14:paraId="63184A26" w14:textId="77777777" w:rsidR="008F20BA" w:rsidRDefault="008F20BA" w:rsidP="008F20BA">
      <w:r>
        <w:t xml:space="preserve">Security staff made me aware of a male who had been ejected from the premises after becoming increasingly loud and swearing which had offended other patrons of the premises. Usually, this kind of incident does not require police presence as licencing is a council regulated matter (Newport City Council,2021) and as such it falls to the licence holder to make the decision as to who they choose to serve alcohol to.  Security staff </w:t>
      </w:r>
      <w:r>
        <w:lastRenderedPageBreak/>
        <w:t xml:space="preserve">however had removed the male and he had become more aggressive due to this, immediately shouting in the street believing he had been wronged by his ejection. </w:t>
      </w:r>
    </w:p>
    <w:p w14:paraId="35E18745" w14:textId="77777777" w:rsidR="008F20BA" w:rsidRDefault="008F20BA" w:rsidP="008F20BA"/>
    <w:p w14:paraId="280F3863" w14:textId="77777777" w:rsidR="008F20BA" w:rsidRDefault="008F20BA" w:rsidP="008F20BA">
      <w:r>
        <w:t>Whilst this initially was not an offence, the males conduct towards security staff concerned me and I quickly realised that we would have to diffuse the rapidly escalating situation to harm to all involved parties and potentially members of the public. A colleague and I approached the male to move him away from the area as we believed that the best decision for the male given the information we had. Within the United Kingdom we police by consent (Jackson et al,2012.) This is in direct contrast to other models of policing which are more oppressive. This means that public interest must underpin our practice, decisions are always made within the public’s best interests and therefore within the context of lower-level offences such as being drunk and disorderly in a public place. Attempts to get the intoxicated party to go home safely will always be prerogative to avoid arrest and the injuries that may occur due to use of force. Additionally, the process of taking someone through the legal system and providing them with their legal right to free and independent legal advice can cost taxpayers heavily. Therefore, arresting for offences such as these without first attempting to make someone voluntarily leave the situation is often against public interest (Snowdon,2015)</w:t>
      </w:r>
    </w:p>
    <w:p w14:paraId="6AF2EB07" w14:textId="77777777" w:rsidR="008F20BA" w:rsidRDefault="008F20BA" w:rsidP="008F20BA"/>
    <w:p w14:paraId="042F6D2C" w14:textId="77777777" w:rsidR="008F20BA" w:rsidRDefault="008F20BA" w:rsidP="008F20BA">
      <w:r>
        <w:t xml:space="preserve">The male however ignored my clear instructions on three separate occasions, and it became clear to myself as well as my colleagues that the male would not heed our warning and instead was determined to voice his views with the staff who he believed had wronged him. This was clear through the male’s increasing volume in his complaints as well as him taking on what is often referred to as a “fighting stance” (Gabbey,2013) Concerned due to the male’s complete disregard for our instructions as well as fears for his safety should he continue to become aggressive, I made the decision to arrest the male for being drunk and disorderly within a public place. Using the National Decision Model, I determined that this was the safest option available to myself to deal with this male and promptly handcuffed him to the rear in a “rear stack” position. This decision to use force was made due to the male swinging his arms around as if to punch the air prior to my arrest. </w:t>
      </w:r>
    </w:p>
    <w:p w14:paraId="2A7BEDC1" w14:textId="77777777" w:rsidR="008F20BA" w:rsidRDefault="008F20BA" w:rsidP="008F20BA"/>
    <w:p w14:paraId="6F5CC480" w14:textId="77777777" w:rsidR="008F20BA" w:rsidRDefault="008F20BA" w:rsidP="008F20BA">
      <w:r>
        <w:t>This scenario holds particular significance within modern policing due to the significant challenges that alcohol creates not just within policing but public services in general. The National Office of Statistics reported that in only 2016-2017 in England and Wales, “12.4% of theft offences, 20.6% of criminal damage and 21.5% of hate crimes were alcohol-related.” All three offences outlined are considered “volume” crimes (National Office of Statistics,2021.) The College of Police defines a volume crime as “</w:t>
      </w:r>
      <w:r>
        <w:rPr>
          <w:spacing w:val="3"/>
        </w:rPr>
        <w:t xml:space="preserve">any crime which, through its sheer volume, has a significant impact on the community and the ability of the local police to tackle it.” Consequently, the link between policing demand and alcohol could not be clearer. </w:t>
      </w:r>
    </w:p>
    <w:p w14:paraId="54EB55F7" w14:textId="77777777" w:rsidR="008F20BA" w:rsidRDefault="008F20BA" w:rsidP="008F20BA">
      <w:pPr>
        <w:rPr>
          <w:spacing w:val="3"/>
        </w:rPr>
      </w:pPr>
    </w:p>
    <w:p w14:paraId="634DBB1F" w14:textId="77777777" w:rsidR="008F20BA" w:rsidRDefault="008F20BA" w:rsidP="008F20BA">
      <w:pPr>
        <w:rPr>
          <w:spacing w:val="3"/>
        </w:rPr>
      </w:pPr>
      <w:r>
        <w:rPr>
          <w:spacing w:val="3"/>
        </w:rPr>
        <w:t xml:space="preserve">I was provided with a clear legal basis in my ultimate decision to arrest the male in section 91 (1) of the Criminal Justice Act 1967 which states that “It is an offence to behave in a disorderly manner in a public place whilst being drunk.” (The act also allows for police officers to make the decision as to whether an individual can be considered intoxicated. Within this context I believed due to the male’s presentation of slurred speech, glazed eyes, and the smell of intoxicating liqueur. </w:t>
      </w:r>
    </w:p>
    <w:p w14:paraId="38107EA9" w14:textId="77777777" w:rsidR="008F20BA" w:rsidRDefault="008F20BA" w:rsidP="008F20BA">
      <w:pPr>
        <w:rPr>
          <w:spacing w:val="3"/>
        </w:rPr>
      </w:pPr>
    </w:p>
    <w:p w14:paraId="6BD7F089" w14:textId="77777777" w:rsidR="008F20BA" w:rsidRDefault="008F20BA" w:rsidP="008F20BA">
      <w:pPr>
        <w:rPr>
          <w:spacing w:val="3"/>
        </w:rPr>
      </w:pPr>
    </w:p>
    <w:p w14:paraId="56339B20" w14:textId="77777777" w:rsidR="008F20BA" w:rsidRDefault="008F20BA" w:rsidP="008F20BA">
      <w:pPr>
        <w:rPr>
          <w:spacing w:val="3"/>
        </w:rPr>
      </w:pPr>
      <w:r>
        <w:rPr>
          <w:spacing w:val="3"/>
        </w:rPr>
        <w:t xml:space="preserve">Firstly, I calmy asked the male to leave the area, the male voiced how displeased he was with security staff, albeit calmy. I therefore realised that the male’s demeanour was initially passive and did not therefore warrant an escalation in my reaction. I initially believed that this would be the best solution to conflict management. I used active listening skills as well as rapport building to listen to the males’ complaints. I did this so that the male was aware I was empathising and cared about what he perceived to be an injustice whilst also explaining to him that despite his plight it is within the licence holder’s discretion to choose their clientele and not something the police have power over. I had hoped by me doing this the male would move on and go home preventing the need for further police intervention. </w:t>
      </w:r>
    </w:p>
    <w:p w14:paraId="14D2EF12" w14:textId="77777777" w:rsidR="008F20BA" w:rsidRDefault="008F20BA" w:rsidP="008F20BA">
      <w:pPr>
        <w:rPr>
          <w:spacing w:val="3"/>
        </w:rPr>
      </w:pPr>
    </w:p>
    <w:p w14:paraId="7B2A5436" w14:textId="77777777" w:rsidR="008F20BA" w:rsidRDefault="008F20BA" w:rsidP="008F20BA">
      <w:pPr>
        <w:rPr>
          <w:spacing w:val="3"/>
        </w:rPr>
      </w:pPr>
      <w:r>
        <w:rPr>
          <w:spacing w:val="3"/>
        </w:rPr>
        <w:t xml:space="preserve">This was a very familiar experience for myself due to my previous role as a Paramedic with the North-East Ambulance Service. The strains that alcohol places (Snowdon,2015) on the emergency services by no means are isolated to the South Wales region nor the police service. In my previous role throughout my years as a Paramedic I attended numerous calls for intoxicated people within the night-time economy. The difference within my two roles is that as a Paramedic, verbal strategies were the only conflict management techniques I was trained to carry out. Previous experience underpinned my entire demeanour and provided me with the confidence to identify how the male was responding to my efforts. In this case my attempts at peaceful resolution through communication was futile, however should this situation arise again which inevitably throughout my career it will, I would not change my actions. This is due to the </w:t>
      </w:r>
      <w:r>
        <w:rPr>
          <w:spacing w:val="3"/>
        </w:rPr>
        <w:lastRenderedPageBreak/>
        <w:t xml:space="preserve">College of Policing guidelines about the escalation of conflict management strategy and the importance of providing subjects with the opportunity to deal with police without a confrontational encounter arising. </w:t>
      </w:r>
    </w:p>
    <w:p w14:paraId="21ED912F" w14:textId="77777777" w:rsidR="008F20BA" w:rsidRDefault="008F20BA" w:rsidP="008F20BA">
      <w:pPr>
        <w:rPr>
          <w:spacing w:val="3"/>
          <w:sz w:val="30"/>
          <w:szCs w:val="30"/>
        </w:rPr>
      </w:pPr>
    </w:p>
    <w:p w14:paraId="31E76B67" w14:textId="77777777" w:rsidR="008F20BA" w:rsidRDefault="008F20BA" w:rsidP="008F20BA">
      <w:pPr>
        <w:rPr>
          <w:spacing w:val="3"/>
        </w:rPr>
      </w:pPr>
      <w:r>
        <w:rPr>
          <w:spacing w:val="3"/>
        </w:rPr>
        <w:t xml:space="preserve">Ultimately my involvement was central to the resolution of this. I was the officer to initially engage with the male and crucially the officer who made the decision to handcuff and subsequently arrest him for the offence of being drunk and disorderly in a public place. </w:t>
      </w:r>
    </w:p>
    <w:p w14:paraId="16101228" w14:textId="77777777" w:rsidR="008F20BA" w:rsidRDefault="008F20BA" w:rsidP="008F20BA">
      <w:pPr>
        <w:rPr>
          <w:spacing w:val="3"/>
        </w:rPr>
      </w:pPr>
    </w:p>
    <w:p w14:paraId="019543CE" w14:textId="77777777" w:rsidR="008F20BA" w:rsidRDefault="008F20BA" w:rsidP="008F20BA">
      <w:pPr>
        <w:rPr>
          <w:spacing w:val="3"/>
        </w:rPr>
      </w:pPr>
      <w:r>
        <w:rPr>
          <w:spacing w:val="3"/>
        </w:rPr>
        <w:t xml:space="preserve">This was my first arrest in which I made the decision to arrest independently, and I am very happy with how this went.I believe this decision was not only the correct one for the wider public but also for the subject. My reason for believing this is because of the males’ aggressive attitude and intoxicated state. I believe that should the male have remained within the city centre he would have attempted to become physically aggressive with the door staff who has removed him from the premises. </w:t>
      </w:r>
    </w:p>
    <w:p w14:paraId="5656DCF3" w14:textId="77777777" w:rsidR="008F20BA" w:rsidRDefault="008F20BA" w:rsidP="008F20BA">
      <w:pPr>
        <w:rPr>
          <w:spacing w:val="3"/>
          <w:sz w:val="30"/>
          <w:szCs w:val="30"/>
        </w:rPr>
      </w:pPr>
    </w:p>
    <w:p w14:paraId="5D672913" w14:textId="77777777" w:rsidR="008F20BA" w:rsidRDefault="008F20BA" w:rsidP="008F20BA">
      <w:pPr>
        <w:rPr>
          <w:spacing w:val="3"/>
        </w:rPr>
      </w:pPr>
      <w:r>
        <w:rPr>
          <w:spacing w:val="3"/>
        </w:rPr>
        <w:t xml:space="preserve">Code G of the Police and Criminal Evidence Act 1984 states that officers must have one or more of nine separate necessities. In this case I selected prevent further harm (Gov.uk,2012), it is important to note that this does not just mean to others but also to prevent harm to the person being arrested. I was fearful that should the male have tried to start a fight with security staff he could have seriously injured others or himself, this is especially relevant with the rise of so called “one punch killings” (Queensland Hospital,2017.) </w:t>
      </w:r>
    </w:p>
    <w:p w14:paraId="599F9831" w14:textId="77777777" w:rsidR="008F20BA" w:rsidRDefault="008F20BA" w:rsidP="008F20BA">
      <w:pPr>
        <w:rPr>
          <w:spacing w:val="3"/>
        </w:rPr>
      </w:pPr>
    </w:p>
    <w:p w14:paraId="5A9E64EB" w14:textId="77777777" w:rsidR="008F20BA" w:rsidRDefault="008F20BA" w:rsidP="008F20BA">
      <w:pPr>
        <w:rPr>
          <w:spacing w:val="3"/>
        </w:rPr>
      </w:pPr>
      <w:r>
        <w:rPr>
          <w:spacing w:val="3"/>
        </w:rPr>
        <w:t xml:space="preserve">The male however did not understand my rationale and became highly aggressive and abusive towards myself, he began to kick the cell door and use very personal insults towards myself and threaten my personal safety, however I also believe this adds to the success of my handling of the incident. Not only was my rationale proven by the male’s attitude, however I managed to safely arrest, handle and deal with the male without any injury or incident to the male, officers, or custody staff despite the males’ threats to physical violence towards myself and other officers. </w:t>
      </w:r>
    </w:p>
    <w:p w14:paraId="09927267" w14:textId="77777777" w:rsidR="008F20BA" w:rsidRDefault="008F20BA" w:rsidP="008F20BA">
      <w:pPr>
        <w:rPr>
          <w:spacing w:val="3"/>
        </w:rPr>
      </w:pPr>
    </w:p>
    <w:p w14:paraId="523B8387" w14:textId="77777777" w:rsidR="008F20BA" w:rsidRDefault="008F20BA" w:rsidP="008F20BA">
      <w:pPr>
        <w:rPr>
          <w:spacing w:val="3"/>
        </w:rPr>
      </w:pPr>
      <w:r>
        <w:rPr>
          <w:spacing w:val="3"/>
        </w:rPr>
        <w:t xml:space="preserve">This was the first incident as a police officer that I had to deal with in which communication was not an effective way to deescalate the situation, usually my strengths lie in effective communication, however due to the male’s intoxication and level of anger I had to utilise a hands-on approach and handcuff the male to the rear. I believe that had I been hesitant to use hands on conflict management tactics the males’ actions could have proven significantly more difficult to manage, by making the decision to cuff the male to the rear promptly it prevented him from becoming more violent which ultimately proved to be a warranted concern due to him kicking the holding cell inside of custody and threatening officers. </w:t>
      </w:r>
    </w:p>
    <w:p w14:paraId="5031AF07" w14:textId="77777777" w:rsidR="008F20BA" w:rsidRDefault="008F20BA" w:rsidP="008F20BA">
      <w:pPr>
        <w:rPr>
          <w:spacing w:val="3"/>
        </w:rPr>
      </w:pPr>
    </w:p>
    <w:p w14:paraId="1D148958" w14:textId="77777777" w:rsidR="008F20BA" w:rsidRDefault="008F20BA" w:rsidP="008F20BA">
      <w:pPr>
        <w:rPr>
          <w:spacing w:val="3"/>
        </w:rPr>
      </w:pPr>
      <w:r>
        <w:rPr>
          <w:spacing w:val="3"/>
        </w:rPr>
        <w:t xml:space="preserve">If I was to be involved within this scenario again, I would have made more effort to ascertain the males’ personal details. Initially the male swore at me and was highly abusive refusing all details, however when in custody the male was more responsive once at the sergeant’s desk. To prevent delays, I would have attempted to further bargain and reassure the male to obtain the relevant details. </w:t>
      </w:r>
    </w:p>
    <w:p w14:paraId="37E5BABA" w14:textId="77777777" w:rsidR="008F20BA" w:rsidRDefault="008F20BA" w:rsidP="008F20BA">
      <w:pPr>
        <w:rPr>
          <w:spacing w:val="3"/>
        </w:rPr>
      </w:pPr>
    </w:p>
    <w:p w14:paraId="03394F89" w14:textId="77777777" w:rsidR="008F20BA" w:rsidRDefault="008F20BA" w:rsidP="008F20BA">
      <w:pPr>
        <w:rPr>
          <w:spacing w:val="3"/>
        </w:rPr>
      </w:pPr>
      <w:r>
        <w:rPr>
          <w:spacing w:val="3"/>
        </w:rPr>
        <w:t>This correlates with the concept of Betaris box. Betaris box theorises that the attitude you have when entering a situation will directly affect your behaviour. For example, if you approach a situation with understanding and a calm attitude, this directly translates into your overall demeanour and your behaviour will noticeably reflect this. The second aspect of Betaris Box is that your behaviour will impact the other persons attitudes and thus their behaviour will also be changed. Within the concept of law enforcement this means that a calm and authoritative police officer will always have a direct advantage as opposed to an officer who portrays a nervous or confrontational projection of themselves (College Of Policing,2020)</w:t>
      </w:r>
    </w:p>
    <w:p w14:paraId="48ACE5B4" w14:textId="77777777" w:rsidR="008F20BA" w:rsidRDefault="008F20BA" w:rsidP="008F20BA">
      <w:pPr>
        <w:rPr>
          <w:spacing w:val="3"/>
          <w:sz w:val="30"/>
          <w:szCs w:val="30"/>
        </w:rPr>
      </w:pPr>
    </w:p>
    <w:p w14:paraId="2BF5074E" w14:textId="77777777" w:rsidR="008F20BA" w:rsidRDefault="008F20BA" w:rsidP="008F20BA">
      <w:pPr>
        <w:rPr>
          <w:spacing w:val="3"/>
          <w:sz w:val="30"/>
          <w:szCs w:val="30"/>
        </w:rPr>
      </w:pPr>
      <w:r>
        <w:rPr>
          <w:spacing w:val="3"/>
          <w:sz w:val="30"/>
          <w:szCs w:val="30"/>
        </w:rPr>
        <w:t xml:space="preserve">The primary limitation of this model is that it suggests that conflict can be avoided through officers displaying a calm and authoritative disposition. However, this can be seen as insular of the human condition, for example Banduras Bobo doll experiment into Social Learning Theory demonstrated that children learn behaviours that they carry later into life from external stimuli, it is therefore inappropriate to </w:t>
      </w:r>
      <w:r>
        <w:rPr>
          <w:spacing w:val="3"/>
          <w:sz w:val="30"/>
          <w:szCs w:val="30"/>
        </w:rPr>
        <w:lastRenderedPageBreak/>
        <w:t>view officer attitudes as the independent factor within conflict management.</w:t>
      </w:r>
    </w:p>
    <w:p w14:paraId="72260ECE" w14:textId="77777777" w:rsidR="008F20BA" w:rsidRDefault="008F20BA" w:rsidP="008F20BA">
      <w:pPr>
        <w:rPr>
          <w:spacing w:val="3"/>
          <w:sz w:val="30"/>
          <w:szCs w:val="30"/>
        </w:rPr>
      </w:pPr>
    </w:p>
    <w:p w14:paraId="3912DC03" w14:textId="77777777" w:rsidR="008F20BA" w:rsidRDefault="008F20BA" w:rsidP="008F20BA">
      <w:pPr>
        <w:rPr>
          <w:spacing w:val="3"/>
          <w:sz w:val="30"/>
          <w:szCs w:val="30"/>
        </w:rPr>
      </w:pPr>
      <w:r>
        <w:rPr>
          <w:spacing w:val="3"/>
          <w:sz w:val="30"/>
          <w:szCs w:val="30"/>
        </w:rPr>
        <w:t xml:space="preserve">A comparative model of human interaction therefore is the “Drama Triangle” (Karpman,1968.) This theory states that within conflict management situations three archetypal roles exist that humans will instinctively fill. </w:t>
      </w:r>
    </w:p>
    <w:p w14:paraId="238F3D94" w14:textId="77777777" w:rsidR="008F20BA" w:rsidRDefault="008F20BA" w:rsidP="008F20BA">
      <w:pPr>
        <w:rPr>
          <w:spacing w:val="3"/>
          <w:sz w:val="30"/>
          <w:szCs w:val="30"/>
        </w:rPr>
      </w:pPr>
    </w:p>
    <w:p w14:paraId="493A0C1D" w14:textId="77777777" w:rsidR="008F20BA" w:rsidRDefault="008F20BA" w:rsidP="008F20BA">
      <w:pPr>
        <w:rPr>
          <w:spacing w:val="3"/>
          <w:sz w:val="30"/>
          <w:szCs w:val="30"/>
        </w:rPr>
      </w:pPr>
      <w:r>
        <w:rPr>
          <w:spacing w:val="3"/>
          <w:sz w:val="30"/>
          <w:szCs w:val="30"/>
        </w:rPr>
        <w:t xml:space="preserve">These are the victim, the persecutor and finally the protector. This model appears particularly pertinent to policing with the officer stepping into the role of protector, however policing in practice is rarely ever this black and white and often victims and Persecutors can overlap juxtaposing the core beliefs of the model (Karpman,1968) </w:t>
      </w:r>
    </w:p>
    <w:p w14:paraId="52EF9AF6" w14:textId="77777777" w:rsidR="008F20BA" w:rsidRDefault="008F20BA" w:rsidP="008F20BA">
      <w:pPr>
        <w:rPr>
          <w:spacing w:val="3"/>
          <w:sz w:val="30"/>
          <w:szCs w:val="30"/>
        </w:rPr>
      </w:pPr>
    </w:p>
    <w:p w14:paraId="4D18B4D2" w14:textId="77777777" w:rsidR="008F20BA" w:rsidRDefault="008F20BA" w:rsidP="008F20BA">
      <w:pPr>
        <w:rPr>
          <w:spacing w:val="3"/>
          <w:sz w:val="30"/>
          <w:szCs w:val="30"/>
        </w:rPr>
      </w:pPr>
      <w:r>
        <w:rPr>
          <w:spacing w:val="3"/>
          <w:sz w:val="30"/>
          <w:szCs w:val="30"/>
        </w:rPr>
        <w:t xml:space="preserve">Therefore, once again, similar to Betaris box it can be argued that the primary limitation for this model, especially within policing is its attempt to simplify the human condition. </w:t>
      </w:r>
    </w:p>
    <w:p w14:paraId="47DDB3E1" w14:textId="77777777" w:rsidR="008F20BA" w:rsidRDefault="008F20BA" w:rsidP="008F20BA">
      <w:pPr>
        <w:rPr>
          <w:spacing w:val="3"/>
          <w:sz w:val="30"/>
          <w:szCs w:val="30"/>
        </w:rPr>
      </w:pPr>
    </w:p>
    <w:p w14:paraId="1F4AA58B" w14:textId="77777777" w:rsidR="008F20BA" w:rsidRDefault="008F20BA" w:rsidP="008F20BA">
      <w:pPr>
        <w:rPr>
          <w:spacing w:val="3"/>
          <w:sz w:val="30"/>
          <w:szCs w:val="30"/>
        </w:rPr>
      </w:pPr>
      <w:r>
        <w:rPr>
          <w:spacing w:val="3"/>
          <w:sz w:val="30"/>
          <w:szCs w:val="30"/>
        </w:rPr>
        <w:t xml:space="preserve">In conclusion several impact factors can be identified within the context of policing aggressive or confrontational people. Through my own reflection I have built confidence dealing with these situations whilst identifying points to improve. Ultimately experience and continued professional development will assist me throughout my career in this area. </w:t>
      </w:r>
    </w:p>
    <w:p w14:paraId="0DBD8111" w14:textId="77777777" w:rsidR="008F20BA" w:rsidRDefault="008F20BA" w:rsidP="008F20BA">
      <w:pPr>
        <w:rPr>
          <w:spacing w:val="3"/>
          <w:sz w:val="30"/>
          <w:szCs w:val="30"/>
        </w:rPr>
      </w:pP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7E299414" w14:textId="1A7F9E79" w:rsidR="008F20BA" w:rsidRDefault="008F20BA" w:rsidP="008F20BA">
      <w:pPr>
        <w:rPr>
          <w:spacing w:val="3"/>
        </w:rPr>
      </w:pPr>
      <w:r>
        <w:rPr>
          <w:spacing w:val="3"/>
        </w:rPr>
        <w:t>T</w:t>
      </w:r>
      <w:r>
        <w:rPr>
          <w:spacing w:val="3"/>
        </w:rPr>
        <w:t>he Office of Constable has and always will occupy a controversial position within society. The concept of a uniformed authority to uphold the law and protect people from those who would take advantage or hurt them is one that can cause a great deal of unnerve in the public due to the immense pressure and responsibility the role provides.</w:t>
      </w:r>
    </w:p>
    <w:p w14:paraId="1C22B7A2" w14:textId="77777777" w:rsidR="008F20BA" w:rsidRDefault="008F20BA" w:rsidP="008F20BA">
      <w:pPr>
        <w:rPr>
          <w:spacing w:val="3"/>
        </w:rPr>
      </w:pPr>
    </w:p>
    <w:p w14:paraId="7AEB78C5" w14:textId="77777777" w:rsidR="008F20BA" w:rsidRDefault="008F20BA" w:rsidP="008F20BA">
      <w:pPr>
        <w:rPr>
          <w:spacing w:val="3"/>
        </w:rPr>
      </w:pPr>
      <w:r>
        <w:rPr>
          <w:spacing w:val="3"/>
        </w:rPr>
        <w:t>Unfortunately, certain individuals have taken advantage of this privilege to exploit it for personal gain or to prey upon the very public they have taken an oath to protect. Recent examples such as the heinous murder of Sarah Everard by serving Metropolitan Police Officer Wayne Couzens, or the horrific sexual crimes of David Carrick again a serving Metropolitan Police Officer. Community tensions between the police and the public are currently very high (Higgins,2020) However, this is not a new phenomenon, for example the unethical treatment and unlawful detention of the Guilford Four in 1975 and subsequently the Birmingham Six in 1976 by police due to them being Irish Catholics and falsely accused of being associated with the Provisional Irish Republican Army clearly identifies focal points throughout history where police have failed to protect and support the communities they represent (</w:t>
      </w:r>
      <w:r>
        <w:rPr>
          <w:rFonts w:ascii="Roboto" w:hAnsi="Roboto"/>
          <w:color w:val="2C3E50"/>
          <w:sz w:val="23"/>
          <w:szCs w:val="23"/>
          <w:shd w:val="clear" w:color="auto" w:fill="FFFFFF"/>
        </w:rPr>
        <w:t>Wallenfeldt, 2020)</w:t>
      </w:r>
    </w:p>
    <w:p w14:paraId="3685233D" w14:textId="77777777" w:rsidR="008F20BA" w:rsidRDefault="008F20BA" w:rsidP="008F20BA">
      <w:pPr>
        <w:rPr>
          <w:spacing w:val="3"/>
        </w:rPr>
      </w:pPr>
    </w:p>
    <w:p w14:paraId="2CA5B6CD" w14:textId="77777777" w:rsidR="008F20BA" w:rsidRDefault="008F20BA" w:rsidP="008F20BA">
      <w:pPr>
        <w:rPr>
          <w:spacing w:val="3"/>
        </w:rPr>
      </w:pPr>
      <w:r>
        <w:rPr>
          <w:spacing w:val="3"/>
        </w:rPr>
        <w:t>No situation has caused greater tension between the police and communities in recent memory than the disorder stemming from perceived police mistreatment of minority groups, particularly young black men following the tragic events surrounding the death of George Floyd at the hands of a Minnesota police officer. The situation exploded like a powder keg sending the western world into a state of shock and anger resulting in large scale rioting and disorder across the United Kingdom (Cambell,2021)</w:t>
      </w:r>
    </w:p>
    <w:p w14:paraId="6C628F91" w14:textId="77777777" w:rsidR="008F20BA" w:rsidRDefault="008F20BA" w:rsidP="008F20BA">
      <w:pPr>
        <w:rPr>
          <w:spacing w:val="3"/>
          <w:sz w:val="30"/>
          <w:szCs w:val="30"/>
        </w:rPr>
      </w:pPr>
    </w:p>
    <w:p w14:paraId="1C2A9741" w14:textId="77777777" w:rsidR="008F20BA" w:rsidRDefault="008F20BA" w:rsidP="008F20BA">
      <w:pPr>
        <w:rPr>
          <w:spacing w:val="3"/>
        </w:rPr>
      </w:pPr>
      <w:r>
        <w:rPr>
          <w:spacing w:val="3"/>
        </w:rPr>
        <w:t xml:space="preserve">This means that high quality victim care must always be paramount, if we fail as a service to realise this then the trust, we have placed into us by the public will be eroded and we will fail to police by consent. Moreover, it is important for officers to take positive action in circumstances of racially aggravated incidents to show clearly to victims and offenders that discrimination and prejudice will not be tolerated within our communities. </w:t>
      </w:r>
    </w:p>
    <w:p w14:paraId="28F9498B" w14:textId="77777777" w:rsidR="008F20BA" w:rsidRDefault="008F20BA" w:rsidP="008F20BA">
      <w:pPr>
        <w:rPr>
          <w:spacing w:val="3"/>
        </w:rPr>
      </w:pPr>
    </w:p>
    <w:p w14:paraId="7E87246C" w14:textId="77777777" w:rsidR="008F20BA" w:rsidRDefault="008F20BA" w:rsidP="008F20BA">
      <w:pPr>
        <w:rPr>
          <w:spacing w:val="3"/>
        </w:rPr>
      </w:pPr>
      <w:r>
        <w:rPr>
          <w:spacing w:val="3"/>
        </w:rPr>
        <w:lastRenderedPageBreak/>
        <w:t xml:space="preserve">The incident in which I would like to discuss regarding this matter occurred on one of my shifts as a response officer. I had read a log on our dispatch system that a member of the public had called in due to being racially abused by his neighbour after a dispute about parking. I identified that it had been several hours since the male had called in and a statement had still not been taken. </w:t>
      </w:r>
    </w:p>
    <w:p w14:paraId="218D35A7" w14:textId="77777777" w:rsidR="008F20BA" w:rsidRDefault="008F20BA" w:rsidP="008F20BA">
      <w:pPr>
        <w:rPr>
          <w:spacing w:val="3"/>
        </w:rPr>
      </w:pPr>
    </w:p>
    <w:p w14:paraId="4150093B" w14:textId="77777777" w:rsidR="008F20BA" w:rsidRDefault="008F20BA" w:rsidP="008F20BA">
      <w:pPr>
        <w:rPr>
          <w:spacing w:val="3"/>
        </w:rPr>
      </w:pPr>
      <w:r>
        <w:rPr>
          <w:spacing w:val="3"/>
        </w:rPr>
        <w:t xml:space="preserve">Owing to the factors previously discussed I identified the need for thorough victim support and positive action, this was also a clear community tension risk and despite not working on the Neighbourhood Policing Team, it is the duty of every police officer and member of police staff to reduce these factors and promote community cohesion. </w:t>
      </w:r>
    </w:p>
    <w:p w14:paraId="367EF3CD" w14:textId="77777777" w:rsidR="008F20BA" w:rsidRDefault="008F20BA" w:rsidP="008F20BA">
      <w:pPr>
        <w:rPr>
          <w:spacing w:val="3"/>
        </w:rPr>
      </w:pPr>
    </w:p>
    <w:p w14:paraId="3F5BD15F" w14:textId="77777777" w:rsidR="008F20BA" w:rsidRDefault="008F20BA" w:rsidP="008F20BA">
      <w:r>
        <w:rPr>
          <w:spacing w:val="3"/>
        </w:rPr>
        <w:t xml:space="preserve">I therefore informed control that I was available and would be attending the address. Upon speaking with the victim, it became clear that the subject had committed a racially aggravated public order offence. Specifically, an offence contrary to section 4A of the Public Order Act 1986. This is defined as </w:t>
      </w:r>
      <w:r>
        <w:rPr>
          <w:rStyle w:val="legaddition"/>
        </w:rPr>
        <w:t>“person is guilty of an offence if, with intent to cause a person harassment, alarm, or distress, he—</w:t>
      </w:r>
    </w:p>
    <w:p w14:paraId="407BF171" w14:textId="77777777" w:rsidR="008F20BA" w:rsidRDefault="008F20BA" w:rsidP="008F20BA">
      <w:pPr>
        <w:pStyle w:val="legclearfix"/>
        <w:shd w:val="clear" w:color="auto" w:fill="FFFFFF"/>
        <w:spacing w:before="0" w:after="120" w:line="360" w:lineRule="atLeast"/>
      </w:pPr>
      <w:r>
        <w:rPr>
          <w:rStyle w:val="legaddition"/>
          <w:rFonts w:ascii="Arial" w:hAnsi="Arial" w:cs="Arial"/>
          <w:sz w:val="22"/>
          <w:szCs w:val="22"/>
        </w:rPr>
        <w:t>(a)uses threatening, abusive or insulting words or behaviour, or disorderly behaviour, or</w:t>
      </w:r>
    </w:p>
    <w:p w14:paraId="6DEA6446" w14:textId="77777777" w:rsidR="008F20BA" w:rsidRDefault="008F20BA" w:rsidP="008F20BA">
      <w:pPr>
        <w:pStyle w:val="legclearfix"/>
        <w:shd w:val="clear" w:color="auto" w:fill="FFFFFF"/>
        <w:spacing w:before="0" w:after="120" w:line="360" w:lineRule="atLeast"/>
      </w:pPr>
      <w:r>
        <w:rPr>
          <w:rStyle w:val="legaddition"/>
          <w:rFonts w:ascii="Arial" w:hAnsi="Arial" w:cs="Arial"/>
          <w:sz w:val="22"/>
          <w:szCs w:val="22"/>
        </w:rPr>
        <w:t>(b)displays any writing, sign or other visible representation which is threatening, abusive or insulting,</w:t>
      </w:r>
    </w:p>
    <w:p w14:paraId="5415C4AB"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t>thereby causing that or another person harassment, alarm, or distress.” (Gov.uk,2011)</w:t>
      </w:r>
    </w:p>
    <w:p w14:paraId="6226BC0B"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0308EFBB"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t xml:space="preserve">The subject has used abhorrent language, which was specifically targeted at the victim’s race, as well as preconceived prejudices against the victim’s race. This means that the offence became racially aggravated. Due to this being a hate crime this means that even if the victim had not perceived it to be due to his race, any person who perceived the actions were due to race would have meant that the threshold was met. </w:t>
      </w:r>
    </w:p>
    <w:p w14:paraId="08E18478"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4EA3B787"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t>There are five separate recognised types of hate crime within the United Kingdom and are outlined by the Crown Prosecution Service, these are “</w:t>
      </w:r>
      <w:r>
        <w:rPr>
          <w:rFonts w:ascii="Arial" w:hAnsi="Arial" w:cs="Arial"/>
          <w:sz w:val="22"/>
          <w:szCs w:val="22"/>
        </w:rPr>
        <w:t xml:space="preserve">race, religion, disability, sexual orientation and transgender identity (CPS, 2017).” However, there have been widespread calls to increase the number of these, for example following the murder of Sophie Lancaster in 2007, several campaigns aimed to include subculture to protect a larger number of people (The guardian,2022.) </w:t>
      </w:r>
    </w:p>
    <w:p w14:paraId="79C48EE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04AAE872"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t xml:space="preserve">Fortunately, the victim had initially planned to discuss this with the subject, however as soon as he heard the racial abuse, he realised the seriousness of this and had called the police. There was no language barrier present within this incident due to English being the victims first language. </w:t>
      </w:r>
    </w:p>
    <w:p w14:paraId="2BA41DA1"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52117684"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t>Since March 2020 the Victims Code has been revised. This is a set of guidelines that clearly outlines the rights and support that victim of any type of crime. It must be noted that these are not police exclusive, rather rights that must be provided to victims throughout the entire justice system. This means that courts and other criminal justice agencies are also held to this standard of victim care (College of policing,2021)</w:t>
      </w:r>
    </w:p>
    <w:p w14:paraId="02FC754E"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2A2CF286" w14:textId="77777777" w:rsidR="008F20BA" w:rsidRDefault="008F20BA" w:rsidP="008F20BA">
      <w:pPr>
        <w:pStyle w:val="legrhs"/>
        <w:shd w:val="clear" w:color="auto" w:fill="FFFFFF"/>
        <w:spacing w:before="0" w:after="120" w:line="360" w:lineRule="atLeast"/>
        <w:jc w:val="both"/>
      </w:pPr>
      <w:r>
        <w:rPr>
          <w:rStyle w:val="legaddition"/>
          <w:rFonts w:ascii="Arial" w:hAnsi="Arial" w:cs="Arial"/>
          <w:sz w:val="22"/>
          <w:szCs w:val="22"/>
        </w:rPr>
        <w:lastRenderedPageBreak/>
        <w:t xml:space="preserve">One of the rights provided to victims I feel is particularly pertinent to this case is the victims right to support through the court system (Gov.uk,2011.) As this victim had been racially abused and was already feeling very emotional about the incident, as well as his proximity to the offender as they were neighbours, despite potential bail conditions not to contact the victim, this understandably made the victim feel very insecure or upset and put him at a huge risk of victim intimidation which poses a risk of undermining the prosecutions attempts at justice (CPS,2021) In my position as the officer taking a statement, I held a key role in making sure that the evidence I obtained was at the highest possible standard for subsequent procedures, however, also to build a rapport with the victim to create a level of trust so that they understood that as a service we could support them. I explained to the victim that these measures exist, however I also informed them that as a police officer I could not promise that these and would ultimately down to the courts to assess the needs and decide if these would be provided. However, by having this conversation the victim knew about this right and provided me with a thorough statement and consented to police action against the offender. </w:t>
      </w:r>
    </w:p>
    <w:p w14:paraId="1960D993"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33878D2F"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Gwent Police often use the slogan “protecting and reassuring.” I believe that this is especially important when responding to calls surrounding bigotry and hatred. This is because of the momentous danger that victims of these crimes are under. This observation of risk is reinforced by historic examples for example the murder of Stephen Lawrence in 1993 or the appalling murder of Michael Menson in 1997 in which a racist group set him on fire. The murder of Stephen Lawrence is highly intertwined with modern policing values as the review found that the metropolitan police were “institutionally racist” (Solamos,1999.) </w:t>
      </w:r>
    </w:p>
    <w:p w14:paraId="7240011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1C75BD79"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In these circumstances the offenders unjustly interfered with article 2 of the Human Rights Act 1988, the right to life. The right to life is an absolute right that cannot be interfered with except in exceptional circumstances (Equality and human rights commission,2021.) As police officers we have a sworn duty to protect these rights as displayed in the oath of attestation a new officer takes to enter into the office of constable specifically the line “upholding fundamental human rights and according to equal respect to all people.” Therefore, additionally to the public expectations of police conduct, we have sworn an oath to these principles, one that cannot be taken lightly (Police Reform Act,2002.) </w:t>
      </w:r>
    </w:p>
    <w:p w14:paraId="6BF28BC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52E8E2FA"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This means that the initial actions by officers must be done correctly and to a high standard to protect victims of hate crimes and prevent exacerbation. Therefore, positive action, often in the form of an arrest is pivotal. </w:t>
      </w:r>
    </w:p>
    <w:p w14:paraId="4B58659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193D2FDD"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The second aspect of this slogan is “reassuring” once initial steps have been taken to prevent violence and injury, the wider policing team must be active in post-incident victim care. This relates once more </w:t>
      </w:r>
      <w:r>
        <w:rPr>
          <w:rFonts w:ascii="Arial" w:hAnsi="Arial" w:cs="Arial"/>
          <w:sz w:val="22"/>
          <w:szCs w:val="22"/>
        </w:rPr>
        <w:lastRenderedPageBreak/>
        <w:t xml:space="preserve">to the victim’s code of practice. Officers have a duty to provide victims of crime with updates and to check in on the victim’s welfare. Once again to reference the Lawrence murder of 1993, the reason the metropolitan police were found “institutionally racist” was due to it being reported that they failed to deal with the murder of Lawrence in the same they would have if the victim was of a different ethnic background </w:t>
      </w:r>
      <w:r>
        <w:rPr>
          <w:rFonts w:ascii="Roboto" w:hAnsi="Roboto"/>
          <w:color w:val="2C3E50"/>
          <w:sz w:val="23"/>
          <w:szCs w:val="23"/>
          <w:shd w:val="clear" w:color="auto" w:fill="FFFFFF"/>
        </w:rPr>
        <w:t>(</w:t>
      </w:r>
      <w:r>
        <w:rPr>
          <w:rFonts w:ascii="Roboto" w:hAnsi="Roboto"/>
          <w:i/>
          <w:iCs/>
          <w:color w:val="2C3E50"/>
          <w:sz w:val="23"/>
          <w:szCs w:val="23"/>
          <w:shd w:val="clear" w:color="auto" w:fill="FFFFFF"/>
        </w:rPr>
        <w:t>The Stephen Lawrence Inquiry Report - 20 Years On - Black History Month 2019</w:t>
      </w:r>
      <w:r>
        <w:rPr>
          <w:rFonts w:ascii="Roboto" w:hAnsi="Roboto"/>
          <w:color w:val="2C3E50"/>
          <w:sz w:val="23"/>
          <w:szCs w:val="23"/>
          <w:shd w:val="clear" w:color="auto" w:fill="FFFFFF"/>
        </w:rPr>
        <w:t>, 2008)</w:t>
      </w:r>
      <w:r>
        <w:rPr>
          <w:rFonts w:ascii="Arial" w:hAnsi="Arial" w:cs="Arial"/>
          <w:sz w:val="22"/>
          <w:szCs w:val="22"/>
        </w:rPr>
        <w:t xml:space="preserve">This reflects not on just the Metropolitan Police, nor the city of London but in fact the entire profession of policing within the United Kingdom. This shows that victim rights in the way of victim updates and support are paramount. Within the context of the incident I attended, we made the decision very early on within speaking to the victim to place a referral to victim care services. The combined efforts of both investigating officers and victim care specialists set a precedent from the outset that this incident was being treated extremely seriously and that the victim was the ultimate priority for all involved. </w:t>
      </w:r>
    </w:p>
    <w:p w14:paraId="5B61F000" w14:textId="77777777" w:rsidR="008F20BA" w:rsidRDefault="008F20BA" w:rsidP="008F20BA">
      <w:pPr>
        <w:pStyle w:val="legrhs"/>
        <w:shd w:val="clear" w:color="auto" w:fill="FFFFFF"/>
        <w:spacing w:before="0" w:after="120" w:line="360" w:lineRule="atLeast"/>
        <w:jc w:val="both"/>
        <w:rPr>
          <w:rFonts w:ascii="Arial" w:hAnsi="Arial" w:cs="Arial"/>
        </w:rPr>
      </w:pPr>
    </w:p>
    <w:p w14:paraId="57410B1D"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The second value that had to be adhered to in this incident was “openness and honesty.” I explained to the victim that despite police action and procedure through the criminal justice system, there would unfortunately be a time in which the offender returned home and was back to living within proximity to the victim. Conditions could be created to prevent contact between the two parties but there was still the risk of meeting. This was very important to me as I did not want to provide false promises which would lead to the victim feeling that the police had failed them. This also allowed me to safeguard, and safety plan the victim for the future and prevent them being placed into further danger.</w:t>
      </w:r>
    </w:p>
    <w:p w14:paraId="75542C93"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393F09D3"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Police officers, especially within the many response teams often are the victims first of point of contact with the Criminal Justice System and are subsequently the most accessible. It will often fall to officers to accompany a victim throughout the Criminal Justice System. As the first face a victim sees in a potentially traumatic event, officers may form a lifelong impression of the Criminal Justice System and determine a victim’s perception of this. Ultimately every officer should strive to be a professional in appearance, attitude and crucially knowledge </w:t>
      </w:r>
      <w:r>
        <w:rPr>
          <w:rFonts w:ascii="Roboto" w:hAnsi="Roboto"/>
          <w:color w:val="2C3E50"/>
          <w:sz w:val="23"/>
          <w:szCs w:val="23"/>
          <w:shd w:val="clear" w:color="auto" w:fill="FFFFFF"/>
        </w:rPr>
        <w:t>(</w:t>
      </w:r>
      <w:r>
        <w:rPr>
          <w:rFonts w:ascii="Roboto" w:hAnsi="Roboto"/>
          <w:i/>
          <w:iCs/>
          <w:color w:val="2C3E50"/>
          <w:sz w:val="23"/>
          <w:szCs w:val="23"/>
          <w:shd w:val="clear" w:color="auto" w:fill="FFFFFF"/>
        </w:rPr>
        <w:t>Policing in the 21 st Century: Reconnecting police and the people Summary of consultation responses and next steps</w:t>
      </w:r>
      <w:r>
        <w:rPr>
          <w:rFonts w:ascii="Roboto" w:hAnsi="Roboto"/>
          <w:color w:val="2C3E50"/>
          <w:sz w:val="23"/>
          <w:szCs w:val="23"/>
          <w:shd w:val="clear" w:color="auto" w:fill="FFFFFF"/>
        </w:rPr>
        <w:t>, 2010)</w:t>
      </w:r>
    </w:p>
    <w:p w14:paraId="4268B86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4676E53D"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Response policing is often described as “fighting fires” and in effect jumping from call to call however, an officer can only deal with one victim at a time. Despite hearing other issues and calls over the radio, it is vital that officers show integrity in accordance with the code of ethics published by the College of Policing (College of Policing,2014.) Unfortunately, victims may feel left by the wayside or not listened to if it is obvious that a police officer is otherwise occupied. Therefore, we made it clear to our victim that their incident was our priority, this allowed us to leave with the victim happy that action would be taken. However, it also created a level of trust and rapport that allowed us to obtain </w:t>
      </w:r>
      <w:r>
        <w:rPr>
          <w:rFonts w:ascii="Arial" w:hAnsi="Arial" w:cs="Arial"/>
          <w:sz w:val="22"/>
          <w:szCs w:val="22"/>
        </w:rPr>
        <w:lastRenderedPageBreak/>
        <w:t xml:space="preserve">a statement of immense evidential value that allowed the investigation to progress in a way it would not have, had we not taken the time to show care. </w:t>
      </w:r>
    </w:p>
    <w:p w14:paraId="5A453A3D" w14:textId="77777777" w:rsidR="008F20BA" w:rsidRDefault="008F20BA" w:rsidP="008F20BA">
      <w:pPr>
        <w:pStyle w:val="legrhs"/>
        <w:shd w:val="clear" w:color="auto" w:fill="FFFFFF"/>
        <w:spacing w:before="0" w:after="120" w:line="360" w:lineRule="atLeast"/>
        <w:jc w:val="both"/>
        <w:rPr>
          <w:rFonts w:ascii="Arial" w:hAnsi="Arial" w:cs="Arial"/>
        </w:rPr>
      </w:pPr>
    </w:p>
    <w:p w14:paraId="2CD81146"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In conclusion Robert Peele famously stated, “The public are the police, and the police are the public.” I believe that this is core when dealing with incidents in which diversity and inclusion are at the core. Identifying risks to community cohesion and dealing with racism, homophobia and bigotry are not just police issues, rather societal issues and these kinds of prejudices must be eradicated from our communities. We as police officers are a part of the communities we serve, however given our position of privilege in law to have the power to deal with these offences and protect the underrepresented groups that are made victim by these we have an obligation to tackle them quickly to prevent tragedy like we have seen in the past and learn from our own failures as a police service. </w:t>
      </w: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BD6820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Policing as a profession is one in which decision making is paramount, the ability to dynamically absorb information and make potentially life changing decisions has always been a core skill of every police officer and is examined throughout the nationally accredited Police Assessment Centre (College of Policing,2020.) Consequently, several decision-making tools have been designed and subsequently implemented into the British policing model. The most utilised one of these tools is the National Decision Model (NDM). This model was created by the Association of Chief Police Officers (ACPO) to provide a holistic decision-making tool that officers throughout the United Kingdom could use in everyday practice, as well as have a standard to hold themselves accountable to with every policing decision. At present this model has been accepted and implemented into all home office police forces within England and Wales and has even become transatlantic with certain American police forces attempting to implement the model (Marker,2016.)</w:t>
      </w:r>
    </w:p>
    <w:p w14:paraId="2F46C7F8"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497239E1"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Within this essay I will critically analyse a situation I have been involved in, throughout the course of my duties as a frontline police officer. I will be using the NDM throughout my writing to reflect upon the incident and my own thought processes. I selected this model due to it being the model I was taught to use throughout my time in training school as well as its core place within the teachings of </w:t>
      </w:r>
      <w:r>
        <w:rPr>
          <w:rFonts w:ascii="Arial" w:hAnsi="Arial" w:cs="Arial"/>
          <w:sz w:val="22"/>
          <w:szCs w:val="22"/>
        </w:rPr>
        <w:lastRenderedPageBreak/>
        <w:t>the College of Policing. I will also discuss the use of discretion and its notable place within policing as well as the entire decision-making processes links to current legislation specifically the Criminal Procedure and Investigations Act before concluding on the effect experience makes within decision making (College of Policing,2013)</w:t>
      </w:r>
    </w:p>
    <w:p w14:paraId="3E233CD6"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68E1BE3F"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I recently attended a call relating to a domestic assault carried out by a female against her partner by hitting him in the face with a teacup. What made this call unusual is that the offender had called in to our control room through the 999 system and stated she had assaulted her partner and needed to be arrested. On officers’ arrival both parties within the flat denied that any assault had taken place and provided a story that a male they had no description of had attempted to enter the flat. </w:t>
      </w:r>
    </w:p>
    <w:p w14:paraId="374C754B"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0B3C8222"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The Scarman report in 1982 formally recognised the ability for police officers to use discretion within their decision making for the first time (Scarman,1982.) This highlighted that officers should use autonomy and freedom of thought rather that a rigid and militaristic approach when dealing with subjects and victims. This is important as despite a significant number of cross overs between the military and police services, namely ranks, discipline and drill the actual practice of these roles could not be more different. For example, following strict guidelines may not effectively result in a police officer educating a subject to prevent further low-level offences, or build rapport with a victim to obtain all the information needed to build a case against their abuser. However, all decisions made by officers must be accountable and stand up when compared to the code of ethics (College of Policing,2014.)</w:t>
      </w:r>
    </w:p>
    <w:p w14:paraId="2B591B8F" w14:textId="77777777" w:rsidR="008F20BA" w:rsidRDefault="008F20BA" w:rsidP="008F20BA">
      <w:pPr>
        <w:pStyle w:val="legrhs"/>
        <w:shd w:val="clear" w:color="auto" w:fill="FFFFFF"/>
        <w:spacing w:before="0" w:after="120" w:line="360" w:lineRule="atLeast"/>
        <w:jc w:val="both"/>
        <w:rPr>
          <w:rFonts w:ascii="Arial" w:hAnsi="Arial" w:cs="Arial"/>
        </w:rPr>
      </w:pPr>
    </w:p>
    <w:p w14:paraId="1483023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I believe that the most relevant area of the code of ethics within this scenario was “duties and responsibilities.” As discussed within the previous tasks police officers have a duty to protect victims of crime and a responsibility to gather evidence and present a case to the courts in accordance with the Criminal Procedure and Investigations Act 1996 (CPIA.) This belief was reinforced by my actions throughout this case. As the designated Officer in Case (OIC) I was the arresting officer, however I was also responsible for evidence gathering and the following interview of the arrested person before ultimately dealing with this offence through an out of court disposal. My attitude towards the arrested party was respectful and open however I ensured that I kept an authoritative presentation because of the seriousness of the allegation in addition to my role within the investigation (CPIA,2016)</w:t>
      </w:r>
    </w:p>
    <w:p w14:paraId="00F798A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35A6D38B"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The first aspect of the NDM is gathering information and intelligence. To decide on how to proceed was to gather as much information as possible and check what processed intelligence was available on police systems such as NICHE and the Police National Computer (PNC.) The first way in which I gathered information was through my primary senses. I could clearly see that both parties were </w:t>
      </w:r>
      <w:r>
        <w:rPr>
          <w:rFonts w:ascii="Arial" w:hAnsi="Arial" w:cs="Arial"/>
          <w:sz w:val="22"/>
          <w:szCs w:val="22"/>
        </w:rPr>
        <w:lastRenderedPageBreak/>
        <w:t xml:space="preserve">covered in sweat and the male had spots of blood all over his clothes as well as a laceration to his eyebrow which he had tried to cover with a plaster, however due to my previous role as a Paramedic I knew that this was a fresh wound. Neither party could give an accurate account of the alleged attempt burglary by the male. </w:t>
      </w:r>
    </w:p>
    <w:p w14:paraId="5C0E55C9"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2CFDE09B"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I therefore made the decision due to injuries being consistent with the original call to check both parties and the address on PNC whilst my tutor contacted our control room to ask them to listen to the call back. PNC revealed an extensive history of domestic abuse between the couple within the property and the control room confirmed that the call was as it was initially provided to us. I was therefore provided with a significant amount of information that led me to suspect that an assault had taken place. </w:t>
      </w:r>
    </w:p>
    <w:p w14:paraId="229E52F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2EE140C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The second step of the NDM is to assess threat and risk and then develop a working strategy. It was clear to me that the male had been assaulted with a weapon, in this case a teacup which had resulted in a laceration on his eyebrow. Both involved parties were in the hallway with myself and out of the reach of weapons, safety was paramount despite risk never being eliminated in front line policing, however I knew that at some-point the female would need to be arrested for assault. I decided to avoid rooms such as the kitchen where knives are easily accessible, I also made sure that I had my back to the door where my colleague was standing, this allowed for us to retreat if needed and cut of a point of escape should the arrested party attempt to escape lawful custody (College of policing,2014)</w:t>
      </w:r>
    </w:p>
    <w:p w14:paraId="127E8F26"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1C466685"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Despite a later admission, at the time of initial attendance both parties had denied that the assault had taken place, I thus had to consider the powers and policies available to myself. Time and time again we have seen the devastating consequences of abuse not being taken as seriously as it should have been, therefore my force has a policy to take positive action on all domestic abuse allegations namely in the form of arrest. As someone who holds the Office of Constable, I have been provided with the power of arrest under section 24 of the Police and Criminal Evidence Act 1984 (PACE.) This piece of legislation allows for a Constable who has reasonable grounds that an offence has been committed to arrest without warrant anyone whom he has reasonable grounds to suspect of being guilty of it, the caveat to this is that there must also be a necessity to arrest, necessity is also stated to be one of nine situations outlined in Code G of PACE. </w:t>
      </w:r>
    </w:p>
    <w:p w14:paraId="53D7BB41"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16379CA2"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This brings me onto the third step in the NDM which is to consider powers and policies. In this incident the male had a fresh injury consistent with the initial call, spattering’s of blood across the room and </w:t>
      </w:r>
      <w:r>
        <w:rPr>
          <w:rFonts w:ascii="Arial" w:hAnsi="Arial" w:cs="Arial"/>
          <w:sz w:val="22"/>
          <w:szCs w:val="22"/>
        </w:rPr>
        <w:lastRenderedPageBreak/>
        <w:t>both parties had a domestic history. This provided me with the reasonable suspicion that an offence had taken place as well as two of the necessities to arrest.</w:t>
      </w:r>
    </w:p>
    <w:p w14:paraId="6E80BB88"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5BA73196"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I decided that the necessity of arrest initially for obvious reasons was to prevent further harm to both the subject and the victim. This was because I had a concern that should I leave both parties alone together in the flat the risk of further violence. Furthermore, for abuse to be domestic the involved people must have a familial or intimate relationship. The people in the situation I attended had an intimate relationship and lived in the same dwelling. Evidentially this poses a significant challenge to attending officers. If the two people were left together they could collude to avoid officers obtaining what happened, furthermore the offender may place pressure on the victim to retract or change their statement or support of police action. Therefore, the second necessity I deemed was suitable for arrest was to conduct a prompt and effective investigation. Between the force policy of taking positive action at domestic incidents further to my power of arrest it was clear that I had the grounds, necessity, and power to arrest the female and that I was in line with force guidance. </w:t>
      </w:r>
    </w:p>
    <w:p w14:paraId="382637F6" w14:textId="77777777" w:rsidR="008F20BA" w:rsidRDefault="008F20BA" w:rsidP="008F20BA">
      <w:pPr>
        <w:pStyle w:val="legrhs"/>
        <w:shd w:val="clear" w:color="auto" w:fill="FFFFFF"/>
        <w:spacing w:before="0" w:after="120" w:line="360" w:lineRule="atLeast"/>
        <w:jc w:val="both"/>
        <w:rPr>
          <w:rFonts w:ascii="Arial" w:hAnsi="Arial" w:cs="Arial"/>
        </w:rPr>
      </w:pPr>
    </w:p>
    <w:p w14:paraId="2D3DA47F"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Options and contingencies subsequently were considered. Due to the initial denial of an offence taking place I had to be prepared that the decision to arrest would be met with surprise and quite possibly hostility. This is where effective communication was paramount. I knew from the use of PNC and our force paperwork system NICHE that the female I intended to arrest had never been arrested before. Therefore, this was potentially a lifechanging event and therefore her reaction was unpredictable (Sugie,2017) Like with all policing incidents safety had to be paramount and therefore despite the females apparent placid and accepting demeanour I still had to consider use of force, namely handcuffing. I had to consider whether the use of handcuffs to detain the female would exacerbate the situation and lead to her becoming agitated. I also made a mental note of what my plan would be should the female or her partner become hostile and prevent me from enacting a swift arrest. I found myself in a narrow corridor with both parties making the use of my Gravity Friction Lock Baton impossible should I find myself in danger. Therefore, I wanted enough officers that should the situation escalate, we could enact the arrest safely or withdraw should be required. This meant that several contingency plans were in place to accommodate a wide range of potential risks. </w:t>
      </w:r>
    </w:p>
    <w:p w14:paraId="30DC6498"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120BE78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Finally, I had to act. Fortunately, when I had previously asked our control room to relisten to the call they had heard what was initially reported. Namely an assault. When confronted with this information the female admitted to assault and was very calm and compliant. I informed her that I was arresting her for assault, provided her with the when caution and informed her of the necessities I discussed previously. I still made the decision to handcuff the female, this was due to there being two people within the house and only two available police officers. I felt that should either party become </w:t>
      </w:r>
      <w:r>
        <w:rPr>
          <w:rFonts w:ascii="Arial" w:hAnsi="Arial" w:cs="Arial"/>
          <w:sz w:val="22"/>
          <w:szCs w:val="22"/>
        </w:rPr>
        <w:lastRenderedPageBreak/>
        <w:t xml:space="preserve">aggressive it was far safer to have the arrested subject handcuffed to prevent the risk of injury or escape. Safely the victim did not wish to complete any paperwork, provide a statement, or support police action. This meant that my available course of action was limited, however by making the arrest it still best protected the victim. </w:t>
      </w:r>
    </w:p>
    <w:p w14:paraId="6DBCC987"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p>
    <w:p w14:paraId="7E8C2A70" w14:textId="77777777" w:rsidR="008F20BA" w:rsidRDefault="008F20BA" w:rsidP="008F20BA">
      <w:pPr>
        <w:pStyle w:val="legrhs"/>
        <w:shd w:val="clear" w:color="auto" w:fill="FFFFFF"/>
        <w:spacing w:before="0" w:after="120" w:line="360" w:lineRule="atLeast"/>
        <w:jc w:val="both"/>
        <w:rPr>
          <w:rFonts w:ascii="Arial" w:hAnsi="Arial" w:cs="Arial"/>
          <w:sz w:val="22"/>
          <w:szCs w:val="22"/>
        </w:rPr>
      </w:pPr>
      <w:r>
        <w:rPr>
          <w:rFonts w:ascii="Arial" w:hAnsi="Arial" w:cs="Arial"/>
          <w:sz w:val="22"/>
          <w:szCs w:val="22"/>
        </w:rPr>
        <w:t xml:space="preserve">Review has been a vital part of the tutorship process for me. As a new officer the ability to sit down with an experienced officer to talk through each incident step by step allows me to alter my practice and learn from my mistakes and more importantly from what I have completed successfully. I immediately at each stage of the initial incident and subsequent investigation used my tutors experience to learn how to obtain the best possible outcome for all involved persons. This allowed me to create an interview plan that had a wide range of probing questions which ultimately ended in a full and frank admission allowing for the use of an out of court disposal. </w:t>
      </w:r>
    </w:p>
    <w:p w14:paraId="62450831" w14:textId="77777777" w:rsidR="008F20BA" w:rsidRDefault="008F20BA" w:rsidP="008F20BA">
      <w:pPr>
        <w:pStyle w:val="legrhs"/>
        <w:shd w:val="clear" w:color="auto" w:fill="FFFFFF"/>
        <w:spacing w:before="0" w:after="120" w:line="360" w:lineRule="atLeast"/>
        <w:jc w:val="both"/>
        <w:rPr>
          <w:rFonts w:ascii="Arial" w:hAnsi="Arial" w:cs="Arial"/>
        </w:rPr>
      </w:pPr>
    </w:p>
    <w:p w14:paraId="0D58233C" w14:textId="77777777" w:rsidR="008F20BA" w:rsidRDefault="008F20BA" w:rsidP="008F20BA">
      <w:pPr>
        <w:pStyle w:val="legrhs"/>
        <w:shd w:val="clear" w:color="auto" w:fill="FFFFFF"/>
        <w:spacing w:before="0" w:after="120" w:line="360" w:lineRule="atLeast"/>
        <w:jc w:val="both"/>
        <w:rPr>
          <w:rFonts w:ascii="Arial" w:hAnsi="Arial" w:cs="Arial"/>
        </w:rPr>
      </w:pPr>
      <w:r>
        <w:rPr>
          <w:rFonts w:ascii="Arial" w:hAnsi="Arial" w:cs="Arial"/>
        </w:rPr>
        <w:t xml:space="preserve">Bias is a clear risk, particularly in cases of domestic violence. Domestic violence can be committed by both genders, however statistically it appears to be a male dominated range of offences with research showing that 92 percent of assaults in a domestic setting are carried out by men (Office of National Statistics,2021), domestic homicide is also very male centric with eighty percent of all victims being females murdered by males (Office of National Statistics,2021.) Therefore, the incident I have discussed having a female offender, in addition to the intelligence on the property showing a male offender previously meant that an inherent bias that a male was responsible had to be countered. I am proud to say that as a police officer and in general as a person I am free from prejudice and view situations objectively, however it is unclear how preconceived notions of gender bias may have been at play within this situation. In future encounters this type of bias can be addressed through increased education of police officers reinforced by taking things slowly and using probing questions to gather as much information as possible at incidents should the circumstances allow for this, namely no immediate threat to life. </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016" w:type="dxa"/>
        <w:tblCellMar>
          <w:left w:w="10" w:type="dxa"/>
          <w:right w:w="10" w:type="dxa"/>
        </w:tblCellMar>
        <w:tblLook w:val="0000" w:firstRow="0" w:lastRow="0" w:firstColumn="0" w:lastColumn="0" w:noHBand="0" w:noVBand="0"/>
      </w:tblPr>
      <w:tblGrid>
        <w:gridCol w:w="2254"/>
        <w:gridCol w:w="2254"/>
        <w:gridCol w:w="2254"/>
        <w:gridCol w:w="2254"/>
      </w:tblGrid>
      <w:tr w:rsidR="008F20BA" w14:paraId="787D9B66" w14:textId="77777777" w:rsidTr="00726880">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F9C695" w14:textId="77777777" w:rsidR="008F20BA" w:rsidRDefault="008F20BA" w:rsidP="00726880">
            <w:pPr>
              <w:jc w:val="center"/>
              <w:rPr>
                <w:color w:val="2E2C70"/>
                <w:spacing w:val="3"/>
                <w:sz w:val="30"/>
                <w:szCs w:val="30"/>
              </w:rPr>
            </w:pPr>
            <w:r>
              <w:rPr>
                <w:color w:val="2E2C70"/>
                <w:spacing w:val="3"/>
                <w:sz w:val="30"/>
                <w:szCs w:val="30"/>
              </w:rPr>
              <w:t>Being able to adapt statements to the specific offence rather than completing them as a blanket</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43897" w14:textId="77777777" w:rsidR="008F20BA" w:rsidRDefault="008F20BA" w:rsidP="00726880">
            <w:pPr>
              <w:jc w:val="center"/>
              <w:rPr>
                <w:color w:val="2E2C70"/>
                <w:spacing w:val="3"/>
                <w:sz w:val="30"/>
                <w:szCs w:val="30"/>
              </w:rPr>
            </w:pPr>
            <w:r>
              <w:rPr>
                <w:color w:val="2E2C70"/>
                <w:spacing w:val="3"/>
                <w:sz w:val="30"/>
                <w:szCs w:val="30"/>
              </w:rPr>
              <w:t>This can be measured through positive outcomes for my victims, whether this is admissions from the subject, successful in bringing a case to trial or in OOCD</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3BD970" w14:textId="77777777" w:rsidR="008F20BA" w:rsidRDefault="008F20BA" w:rsidP="00726880">
            <w:pPr>
              <w:jc w:val="center"/>
              <w:rPr>
                <w:color w:val="2E2C70"/>
                <w:spacing w:val="3"/>
                <w:sz w:val="30"/>
                <w:szCs w:val="30"/>
              </w:rPr>
            </w:pPr>
            <w:r>
              <w:rPr>
                <w:color w:val="2E2C70"/>
                <w:spacing w:val="3"/>
                <w:sz w:val="30"/>
                <w:szCs w:val="30"/>
              </w:rPr>
              <w:t xml:space="preserve">Any officer with more experience than myself can provide support in providing advice as to how they would deal with a job. However, advice from my Sergeant in how they would like investigations progressed will also be hugely beneficial.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17CB2" w14:textId="77777777" w:rsidR="008F20BA" w:rsidRDefault="008F20BA" w:rsidP="00726880">
            <w:pPr>
              <w:jc w:val="center"/>
              <w:rPr>
                <w:color w:val="2E2C70"/>
                <w:spacing w:val="3"/>
                <w:sz w:val="30"/>
                <w:szCs w:val="30"/>
              </w:rPr>
            </w:pPr>
          </w:p>
          <w:p w14:paraId="17E99ECB" w14:textId="5936CEB0" w:rsidR="008F20BA" w:rsidRDefault="008F20BA" w:rsidP="00726880">
            <w:pPr>
              <w:jc w:val="center"/>
              <w:rPr>
                <w:sz w:val="30"/>
                <w:szCs w:val="30"/>
              </w:rPr>
            </w:pPr>
            <w:r>
              <w:rPr>
                <w:sz w:val="30"/>
                <w:szCs w:val="30"/>
              </w:rPr>
              <w:t>Now that I have completed the accompanied Patrol phase of my tutorship and I will be conducting investigations on my own I hope to improve upon this within the first month of being independent</w:t>
            </w:r>
            <w:r>
              <w:rPr>
                <w:sz w:val="30"/>
                <w:szCs w:val="30"/>
              </w:rPr>
              <w:t>-Febuary 2023</w:t>
            </w:r>
          </w:p>
        </w:tc>
      </w:tr>
      <w:tr w:rsidR="008F20BA" w14:paraId="10C52923" w14:textId="77777777" w:rsidTr="00726880">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F871A" w14:textId="77777777" w:rsidR="008F20BA" w:rsidRDefault="008F20BA" w:rsidP="00726880">
            <w:pPr>
              <w:jc w:val="center"/>
              <w:rPr>
                <w:color w:val="2E2C70"/>
                <w:spacing w:val="3"/>
                <w:sz w:val="30"/>
                <w:szCs w:val="30"/>
              </w:rPr>
            </w:pPr>
            <w:r>
              <w:rPr>
                <w:color w:val="2E2C70"/>
                <w:spacing w:val="3"/>
                <w:sz w:val="30"/>
                <w:szCs w:val="30"/>
              </w:rPr>
              <w:t xml:space="preserve">Being able to control a subject in interview to obtain the relevant information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EAB6B" w14:textId="77777777" w:rsidR="008F20BA" w:rsidRDefault="008F20BA" w:rsidP="00726880">
            <w:pPr>
              <w:jc w:val="center"/>
              <w:rPr>
                <w:color w:val="2E2C70"/>
                <w:spacing w:val="3"/>
                <w:sz w:val="30"/>
                <w:szCs w:val="30"/>
              </w:rPr>
            </w:pPr>
            <w:r>
              <w:rPr>
                <w:color w:val="2E2C70"/>
                <w:spacing w:val="3"/>
                <w:sz w:val="30"/>
                <w:szCs w:val="30"/>
              </w:rPr>
              <w:t>Being stricter within my interviews to prevent subjects going off onto a tangent.</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F2D97A" w14:textId="77777777" w:rsidR="008F20BA" w:rsidRDefault="008F20BA" w:rsidP="00726880">
            <w:pPr>
              <w:jc w:val="center"/>
              <w:rPr>
                <w:color w:val="2E2C70"/>
                <w:spacing w:val="3"/>
                <w:sz w:val="30"/>
                <w:szCs w:val="30"/>
              </w:rPr>
            </w:pPr>
            <w:r>
              <w:rPr>
                <w:color w:val="2E2C70"/>
                <w:spacing w:val="3"/>
                <w:sz w:val="30"/>
                <w:szCs w:val="30"/>
              </w:rPr>
              <w:t>Custody Sergeants can assist with this; however, experience will also play a large part in this in relation to understanding what is needed from each interview</w:t>
            </w:r>
          </w:p>
          <w:p w14:paraId="218DDA3D" w14:textId="77777777" w:rsidR="008F20BA" w:rsidRDefault="008F20BA" w:rsidP="00726880">
            <w:pPr>
              <w:rPr>
                <w:color w:val="2E2C70"/>
                <w:spacing w:val="3"/>
                <w:sz w:val="30"/>
                <w:szCs w:val="30"/>
              </w:rPr>
            </w:pPr>
          </w:p>
          <w:p w14:paraId="59FA237C" w14:textId="77777777" w:rsidR="008F20BA" w:rsidRDefault="008F20BA" w:rsidP="00726880">
            <w:pPr>
              <w:jc w:val="center"/>
              <w:rPr>
                <w:sz w:val="30"/>
                <w:szCs w:val="30"/>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303744" w14:textId="77777777" w:rsidR="008F20BA" w:rsidRDefault="008F20BA" w:rsidP="00726880">
            <w:pPr>
              <w:jc w:val="center"/>
              <w:rPr>
                <w:color w:val="2E2C70"/>
                <w:spacing w:val="3"/>
                <w:sz w:val="30"/>
                <w:szCs w:val="30"/>
              </w:rPr>
            </w:pPr>
            <w:r>
              <w:rPr>
                <w:color w:val="2E2C70"/>
                <w:spacing w:val="3"/>
                <w:sz w:val="30"/>
                <w:szCs w:val="30"/>
              </w:rPr>
              <w:lastRenderedPageBreak/>
              <w:t xml:space="preserve">In the short term I hope to learn to control the subjects slightly more, however in the long term I aim to be confident enough to take total control in each interview to avoid all </w:t>
            </w:r>
            <w:r>
              <w:rPr>
                <w:color w:val="2E2C70"/>
                <w:spacing w:val="3"/>
                <w:sz w:val="30"/>
                <w:szCs w:val="30"/>
              </w:rPr>
              <w:lastRenderedPageBreak/>
              <w:t xml:space="preserve">unnecessary details </w:t>
            </w:r>
          </w:p>
        </w:tc>
      </w:tr>
      <w:tr w:rsidR="008F20BA" w14:paraId="62DDB1A3" w14:textId="77777777" w:rsidTr="00726880">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C7D9E3" w14:textId="77777777" w:rsidR="008F20BA" w:rsidRDefault="008F20BA" w:rsidP="00726880">
            <w:pPr>
              <w:jc w:val="center"/>
              <w:rPr>
                <w:color w:val="2E2C70"/>
                <w:spacing w:val="3"/>
                <w:sz w:val="30"/>
                <w:szCs w:val="30"/>
              </w:rPr>
            </w:pPr>
            <w:r>
              <w:rPr>
                <w:color w:val="2E2C70"/>
                <w:spacing w:val="3"/>
                <w:sz w:val="30"/>
                <w:szCs w:val="30"/>
              </w:rPr>
              <w:lastRenderedPageBreak/>
              <w:t xml:space="preserve">To use my previous experience as a paramedic to become a Police medic to use my BSC degree to help officers and the public further </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EBFD1" w14:textId="77777777" w:rsidR="008F20BA" w:rsidRDefault="008F20BA" w:rsidP="00726880">
            <w:pPr>
              <w:jc w:val="center"/>
              <w:rPr>
                <w:color w:val="2E2C70"/>
                <w:spacing w:val="3"/>
                <w:sz w:val="30"/>
                <w:szCs w:val="30"/>
              </w:rPr>
            </w:pPr>
            <w:r>
              <w:rPr>
                <w:color w:val="2E2C70"/>
                <w:spacing w:val="3"/>
                <w:sz w:val="30"/>
                <w:szCs w:val="30"/>
              </w:rPr>
              <w:t>I have arranged several meetings with the operational training department surrounding my next steps to completing this</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19390" w14:textId="77777777" w:rsidR="008F20BA" w:rsidRDefault="008F20BA" w:rsidP="00726880">
            <w:pPr>
              <w:jc w:val="center"/>
              <w:rPr>
                <w:color w:val="2E2C70"/>
                <w:spacing w:val="3"/>
                <w:sz w:val="30"/>
                <w:szCs w:val="30"/>
              </w:rPr>
            </w:pPr>
            <w:r>
              <w:rPr>
                <w:color w:val="2E2C70"/>
                <w:spacing w:val="3"/>
                <w:sz w:val="30"/>
                <w:szCs w:val="30"/>
              </w:rPr>
              <w:t>Force medical examiner sets the scope of practice for medics so through them as well as the operational safety trainers to understand which of my paramedic skills I can utilise</w:t>
            </w: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6BEAC" w14:textId="77777777" w:rsidR="008F20BA" w:rsidRDefault="008F20BA" w:rsidP="00726880">
            <w:pPr>
              <w:jc w:val="center"/>
              <w:rPr>
                <w:color w:val="2E2C70"/>
                <w:spacing w:val="3"/>
                <w:sz w:val="30"/>
                <w:szCs w:val="30"/>
              </w:rPr>
            </w:pPr>
            <w:r>
              <w:rPr>
                <w:color w:val="2E2C70"/>
                <w:spacing w:val="3"/>
                <w:sz w:val="30"/>
                <w:szCs w:val="30"/>
              </w:rPr>
              <w:t>Short term I would like to complete this course however long term I would like to assist in learning how Police Medics can provide lifesaving care which could help tailor scope of practice.</w:t>
            </w:r>
          </w:p>
        </w:tc>
      </w:tr>
      <w:tr w:rsidR="008F20BA" w14:paraId="7E6F5AB7" w14:textId="77777777" w:rsidTr="00726880">
        <w:tblPrEx>
          <w:tblCellMar>
            <w:top w:w="0" w:type="dxa"/>
            <w:bottom w:w="0" w:type="dxa"/>
          </w:tblCellMar>
        </w:tblPrEx>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49C4B" w14:textId="77777777" w:rsidR="008F20BA" w:rsidRDefault="008F20BA" w:rsidP="00726880">
            <w:pPr>
              <w:jc w:val="center"/>
              <w:rPr>
                <w:color w:val="2E2C70"/>
                <w:spacing w:val="3"/>
                <w:sz w:val="30"/>
                <w:szCs w:val="30"/>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CE088" w14:textId="77777777" w:rsidR="008F20BA" w:rsidRDefault="008F20BA" w:rsidP="00726880">
            <w:pPr>
              <w:jc w:val="center"/>
              <w:rPr>
                <w:color w:val="2E2C70"/>
                <w:spacing w:val="3"/>
                <w:sz w:val="30"/>
                <w:szCs w:val="30"/>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EA1D6" w14:textId="77777777" w:rsidR="008F20BA" w:rsidRDefault="008F20BA" w:rsidP="00726880">
            <w:pPr>
              <w:jc w:val="center"/>
              <w:rPr>
                <w:color w:val="2E2C70"/>
                <w:spacing w:val="3"/>
                <w:sz w:val="30"/>
                <w:szCs w:val="30"/>
              </w:rPr>
            </w:pPr>
          </w:p>
        </w:tc>
        <w:tc>
          <w:tcPr>
            <w:tcW w:w="2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3862E" w14:textId="77777777" w:rsidR="008F20BA" w:rsidRDefault="008F20BA" w:rsidP="00726880">
            <w:pPr>
              <w:jc w:val="center"/>
              <w:rPr>
                <w:color w:val="2E2C70"/>
                <w:spacing w:val="3"/>
                <w:sz w:val="30"/>
                <w:szCs w:val="30"/>
              </w:rPr>
            </w:pPr>
          </w:p>
        </w:tc>
      </w:tr>
    </w:tbl>
    <w:p w14:paraId="10F80DAD" w14:textId="77777777" w:rsidR="008F20BA" w:rsidRDefault="008F20BA" w:rsidP="008F20BA">
      <w:pPr>
        <w:jc w:val="center"/>
        <w:rPr>
          <w:color w:val="2E2C70"/>
          <w:spacing w:val="3"/>
          <w:sz w:val="30"/>
          <w:szCs w:val="30"/>
        </w:r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A7D8E0A"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Alcohol &amp; Entertainments | Newport City Council</w:t>
      </w:r>
      <w:r>
        <w:rPr>
          <w:rFonts w:ascii="Calibri" w:hAnsi="Calibri" w:cs="Calibri"/>
          <w:color w:val="2C3E50"/>
          <w:sz w:val="27"/>
          <w:szCs w:val="27"/>
          <w:shd w:val="clear" w:color="auto" w:fill="FEF1C4"/>
        </w:rPr>
        <w:t> (no date) </w:t>
      </w:r>
      <w:r>
        <w:rPr>
          <w:rFonts w:ascii="Calibri" w:hAnsi="Calibri" w:cs="Calibri"/>
          <w:i/>
          <w:iCs/>
          <w:color w:val="2C3E50"/>
          <w:sz w:val="27"/>
          <w:szCs w:val="27"/>
          <w:shd w:val="clear" w:color="auto" w:fill="FEF1C4"/>
        </w:rPr>
        <w:t>www.newport.gov.uk</w:t>
      </w:r>
      <w:r>
        <w:rPr>
          <w:rFonts w:ascii="Calibri" w:hAnsi="Calibri" w:cs="Calibri"/>
          <w:color w:val="2C3E50"/>
          <w:sz w:val="27"/>
          <w:szCs w:val="27"/>
          <w:shd w:val="clear" w:color="auto" w:fill="FEF1C4"/>
        </w:rPr>
        <w:t>. Available at: https://www.newport.gov.uk/en/Business/Licences--permits/Alcohol--Entertainments/Alcohol--Entertainments.aspx (Accessed: 19 March 2023).</w:t>
      </w:r>
    </w:p>
    <w:p w14:paraId="0DBEBAF3" w14:textId="77777777" w:rsidR="008F20BA" w:rsidRDefault="008F20BA" w:rsidP="008F20BA">
      <w:pPr>
        <w:pStyle w:val="chapter-para"/>
        <w:shd w:val="clear" w:color="auto" w:fill="FFFFFF"/>
        <w:spacing w:line="408" w:lineRule="atLeast"/>
        <w:textAlignment w:val="baseline"/>
      </w:pPr>
    </w:p>
    <w:p w14:paraId="6916C149" w14:textId="77777777" w:rsidR="008F20BA" w:rsidRDefault="008F20BA" w:rsidP="008F20BA">
      <w:pPr>
        <w:pStyle w:val="chapter-para"/>
        <w:shd w:val="clear" w:color="auto" w:fill="FFFFFF"/>
        <w:spacing w:line="408" w:lineRule="atLeast"/>
        <w:textAlignment w:val="baseline"/>
      </w:pPr>
      <w:r>
        <w:rPr>
          <w:rFonts w:ascii="Calibri" w:hAnsi="Calibri" w:cs="Calibri"/>
          <w:i/>
          <w:iCs/>
          <w:color w:val="2C3E50"/>
          <w:sz w:val="27"/>
          <w:szCs w:val="27"/>
          <w:shd w:val="clear" w:color="auto" w:fill="FEF1C4"/>
        </w:rPr>
        <w:t>Article 2: Right to life | Equality and Human Rights Commission</w:t>
      </w:r>
      <w:r>
        <w:rPr>
          <w:rFonts w:ascii="Calibri" w:hAnsi="Calibri" w:cs="Calibri"/>
          <w:color w:val="2C3E50"/>
          <w:sz w:val="27"/>
          <w:szCs w:val="27"/>
          <w:shd w:val="clear" w:color="auto" w:fill="FEF1C4"/>
        </w:rPr>
        <w:t> (2021) </w:t>
      </w:r>
      <w:r>
        <w:rPr>
          <w:rFonts w:ascii="Calibri" w:hAnsi="Calibri" w:cs="Calibri"/>
          <w:i/>
          <w:iCs/>
          <w:color w:val="2C3E50"/>
          <w:sz w:val="27"/>
          <w:szCs w:val="27"/>
          <w:shd w:val="clear" w:color="auto" w:fill="FEF1C4"/>
        </w:rPr>
        <w:t>www.equalityhumanrights.com</w:t>
      </w:r>
      <w:r>
        <w:rPr>
          <w:rFonts w:ascii="Calibri" w:hAnsi="Calibri" w:cs="Calibri"/>
          <w:color w:val="2C3E50"/>
          <w:sz w:val="27"/>
          <w:szCs w:val="27"/>
          <w:shd w:val="clear" w:color="auto" w:fill="FEF1C4"/>
        </w:rPr>
        <w:t xml:space="preserve">. Available at: </w:t>
      </w:r>
      <w:hyperlink r:id="rId21" w:history="1">
        <w:r>
          <w:rPr>
            <w:rStyle w:val="Hyperlink"/>
            <w:rFonts w:ascii="Calibri" w:hAnsi="Calibri" w:cs="Calibri"/>
            <w:sz w:val="27"/>
            <w:szCs w:val="27"/>
            <w:shd w:val="clear" w:color="auto" w:fill="FEF1C4"/>
          </w:rPr>
          <w:t>https://www.equalityhumanrights.com/en/human-rights-act/article-2-right-life#:~:text=Article%202%20of%20the%20Human%20Rights%20Act%20protects</w:t>
        </w:r>
      </w:hyperlink>
      <w:r>
        <w:rPr>
          <w:rFonts w:ascii="Calibri" w:hAnsi="Calibri" w:cs="Calibri"/>
          <w:color w:val="2C3E50"/>
          <w:sz w:val="27"/>
          <w:szCs w:val="27"/>
          <w:shd w:val="clear" w:color="auto" w:fill="FEF1C4"/>
        </w:rPr>
        <w:t>.</w:t>
      </w:r>
    </w:p>
    <w:p w14:paraId="2901F286"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 xml:space="preserve">Available at: </w:t>
      </w:r>
      <w:hyperlink r:id="rId22" w:history="1">
        <w:r>
          <w:rPr>
            <w:rStyle w:val="Hyperlink"/>
            <w:rFonts w:ascii="Calibri" w:hAnsi="Calibri" w:cs="Calibri"/>
            <w:sz w:val="27"/>
            <w:szCs w:val="27"/>
            <w:shd w:val="clear" w:color="auto" w:fill="FEF1C4"/>
          </w:rPr>
          <w:t>https://www.college.police.uk/ethics/code-of-ethics</w:t>
        </w:r>
      </w:hyperlink>
      <w:r>
        <w:rPr>
          <w:rFonts w:ascii="Calibri" w:hAnsi="Calibri" w:cs="Calibri"/>
          <w:color w:val="2C3E50"/>
          <w:sz w:val="27"/>
          <w:szCs w:val="27"/>
          <w:shd w:val="clear" w:color="auto" w:fill="FEF1C4"/>
        </w:rPr>
        <w:t>.</w:t>
      </w:r>
    </w:p>
    <w:p w14:paraId="4AC1D2D3"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08C1C1D2" w14:textId="77777777" w:rsidR="008F20BA" w:rsidRDefault="008F20BA" w:rsidP="008F20BA">
      <w:pPr>
        <w:pStyle w:val="chapter-para"/>
        <w:shd w:val="clear" w:color="auto" w:fill="FFFFFF"/>
        <w:spacing w:line="408" w:lineRule="atLeast"/>
        <w:textAlignment w:val="baseline"/>
        <w:rPr>
          <w:rStyle w:val="Hyperlink"/>
          <w:rFonts w:ascii="Segoe UI" w:hAnsi="Segoe UI" w:cs="Segoe UI"/>
          <w:shd w:val="clear" w:color="auto" w:fill="FFFFFF"/>
        </w:rPr>
      </w:pPr>
      <w:r>
        <w:rPr>
          <w:rFonts w:ascii="Segoe UI" w:hAnsi="Segoe UI" w:cs="Segoe UI"/>
          <w:color w:val="333333"/>
          <w:shd w:val="clear" w:color="auto" w:fill="FFFFFF"/>
        </w:rPr>
        <w:t>Brouwers, E.P.M. Social stigma is an underestimated contributing factor to unemployment in people with mental illness or mental health issues: position paper and future directions. </w:t>
      </w:r>
      <w:r>
        <w:rPr>
          <w:rFonts w:ascii="Segoe UI" w:hAnsi="Segoe UI" w:cs="Segoe UI"/>
          <w:i/>
          <w:iCs/>
          <w:color w:val="333333"/>
          <w:shd w:val="clear" w:color="auto" w:fill="FFFFFF"/>
        </w:rPr>
        <w:t>BMC Psychol</w:t>
      </w:r>
      <w:r>
        <w:rPr>
          <w:rFonts w:ascii="Segoe UI" w:hAnsi="Segoe UI" w:cs="Segoe UI"/>
          <w:color w:val="333333"/>
          <w:shd w:val="clear" w:color="auto" w:fill="FFFFFF"/>
        </w:rPr>
        <w:t> </w:t>
      </w:r>
      <w:r>
        <w:rPr>
          <w:rFonts w:ascii="Segoe UI" w:hAnsi="Segoe UI" w:cs="Segoe UI"/>
          <w:b/>
          <w:bCs/>
          <w:color w:val="333333"/>
          <w:shd w:val="clear" w:color="auto" w:fill="FFFFFF"/>
        </w:rPr>
        <w:t>8</w:t>
      </w:r>
      <w:r>
        <w:rPr>
          <w:rFonts w:ascii="Segoe UI" w:hAnsi="Segoe UI" w:cs="Segoe UI"/>
          <w:color w:val="333333"/>
          <w:shd w:val="clear" w:color="auto" w:fill="FFFFFF"/>
        </w:rPr>
        <w:t xml:space="preserve">, 36 (2020). </w:t>
      </w:r>
      <w:hyperlink r:id="rId23" w:history="1">
        <w:r>
          <w:rPr>
            <w:rStyle w:val="Hyperlink"/>
            <w:rFonts w:ascii="Segoe UI" w:hAnsi="Segoe UI" w:cs="Segoe UI"/>
            <w:shd w:val="clear" w:color="auto" w:fill="FFFFFF"/>
          </w:rPr>
          <w:t>https://doi.org/10.1186/s40359-020-00399-0</w:t>
        </w:r>
      </w:hyperlink>
    </w:p>
    <w:p w14:paraId="0C354E9D" w14:textId="77777777" w:rsidR="008F20BA" w:rsidRDefault="008F20BA" w:rsidP="008F20BA">
      <w:pPr>
        <w:pStyle w:val="chapter-para"/>
        <w:shd w:val="clear" w:color="auto" w:fill="FFFFFF"/>
        <w:spacing w:line="408" w:lineRule="atLeast"/>
        <w:textAlignment w:val="baseline"/>
      </w:pPr>
    </w:p>
    <w:p w14:paraId="74158EC9" w14:textId="77777777" w:rsidR="008F20BA" w:rsidRDefault="008F20BA" w:rsidP="008F20BA">
      <w:pPr>
        <w:rPr>
          <w:rStyle w:val="Hyperlink"/>
          <w:rFonts w:ascii="Source Sans Pro" w:hAnsi="Source Sans Pro"/>
          <w:color w:val="006FB7"/>
          <w:sz w:val="23"/>
          <w:szCs w:val="23"/>
          <w:shd w:val="clear" w:color="auto" w:fill="FFFFFF"/>
        </w:rPr>
      </w:pPr>
      <w:r>
        <w:rPr>
          <w:rFonts w:ascii="Source Sans Pro" w:hAnsi="Source Sans Pro"/>
          <w:color w:val="2A2A2A"/>
          <w:sz w:val="23"/>
          <w:szCs w:val="23"/>
          <w:shd w:val="clear" w:color="auto" w:fill="FFFFFF"/>
        </w:rPr>
        <w:t>Bruce McEwen, Robert Sapolsky, Stress and Your Health, </w:t>
      </w:r>
      <w:r>
        <w:rPr>
          <w:rStyle w:val="Emphasis"/>
          <w:rFonts w:ascii="Source Sans Pro" w:hAnsi="Source Sans Pro"/>
          <w:color w:val="2A2A2A"/>
          <w:sz w:val="23"/>
          <w:szCs w:val="23"/>
          <w:shd w:val="clear" w:color="auto" w:fill="FFFFFF"/>
        </w:rPr>
        <w:t>The Journal of Clinical Endocrinology &amp; Metabolism</w:t>
      </w:r>
      <w:r>
        <w:rPr>
          <w:rFonts w:ascii="Source Sans Pro" w:hAnsi="Source Sans Pro"/>
          <w:color w:val="2A2A2A"/>
          <w:sz w:val="23"/>
          <w:szCs w:val="23"/>
          <w:shd w:val="clear" w:color="auto" w:fill="FFFFFF"/>
        </w:rPr>
        <w:t>, Volume 91, Issue 2, 1 February 2006, Page E2, </w:t>
      </w:r>
      <w:hyperlink r:id="rId24" w:history="1">
        <w:r>
          <w:rPr>
            <w:rStyle w:val="Hyperlink"/>
            <w:rFonts w:ascii="Source Sans Pro" w:hAnsi="Source Sans Pro"/>
            <w:color w:val="006FB7"/>
            <w:sz w:val="23"/>
            <w:szCs w:val="23"/>
            <w:shd w:val="clear" w:color="auto" w:fill="FFFFFF"/>
          </w:rPr>
          <w:t>https://doi.org/10.1210/jcem.91.2.9994</w:t>
        </w:r>
      </w:hyperlink>
    </w:p>
    <w:p w14:paraId="7A13A63C" w14:textId="77777777" w:rsidR="008F20BA" w:rsidRDefault="008F20BA" w:rsidP="008F20BA">
      <w:pPr>
        <w:rPr>
          <w:rStyle w:val="Hyperlink"/>
          <w:rFonts w:ascii="Source Sans Pro" w:hAnsi="Source Sans Pro"/>
          <w:color w:val="006FB7"/>
          <w:sz w:val="23"/>
          <w:szCs w:val="23"/>
          <w:shd w:val="clear" w:color="auto" w:fill="FFFFFF"/>
        </w:rPr>
      </w:pPr>
    </w:p>
    <w:p w14:paraId="5EDD3751"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Campaigning mother of murdered 20-year-old Sophie Lancaster dies suddenly</w:t>
      </w:r>
      <w:r>
        <w:rPr>
          <w:rFonts w:ascii="Calibri" w:hAnsi="Calibri" w:cs="Calibri"/>
          <w:color w:val="2C3E50"/>
          <w:sz w:val="27"/>
          <w:szCs w:val="27"/>
          <w:shd w:val="clear" w:color="auto" w:fill="FEF1C4"/>
        </w:rPr>
        <w:t> (2022) </w:t>
      </w:r>
      <w:r>
        <w:rPr>
          <w:rFonts w:ascii="Calibri" w:hAnsi="Calibri" w:cs="Calibri"/>
          <w:i/>
          <w:iCs/>
          <w:color w:val="2C3E50"/>
          <w:sz w:val="27"/>
          <w:szCs w:val="27"/>
          <w:shd w:val="clear" w:color="auto" w:fill="FEF1C4"/>
        </w:rPr>
        <w:t>the Guardian</w:t>
      </w:r>
      <w:r>
        <w:rPr>
          <w:rFonts w:ascii="Calibri" w:hAnsi="Calibri" w:cs="Calibri"/>
          <w:color w:val="2C3E50"/>
          <w:sz w:val="27"/>
          <w:szCs w:val="27"/>
          <w:shd w:val="clear" w:color="auto" w:fill="FEF1C4"/>
        </w:rPr>
        <w:t xml:space="preserve">. Available at: </w:t>
      </w:r>
      <w:hyperlink r:id="rId25" w:history="1">
        <w:r>
          <w:rPr>
            <w:rStyle w:val="Hyperlink"/>
            <w:rFonts w:ascii="Calibri" w:hAnsi="Calibri" w:cs="Calibri"/>
            <w:sz w:val="27"/>
            <w:szCs w:val="27"/>
            <w:shd w:val="clear" w:color="auto" w:fill="FEF1C4"/>
          </w:rPr>
          <w:t>https://www.theguardian.com/uk-news/2022/apr/13/mother-woman-murdered-dressing-as-goth-dies-suddenly-sophie-sylvia-lancaster-</w:t>
        </w:r>
      </w:hyperlink>
      <w:r>
        <w:rPr>
          <w:rFonts w:ascii="Calibri" w:hAnsi="Calibri" w:cs="Calibri"/>
          <w:color w:val="2C3E50"/>
          <w:sz w:val="27"/>
          <w:szCs w:val="27"/>
          <w:shd w:val="clear" w:color="auto" w:fill="FEF1C4"/>
        </w:rPr>
        <w:t>.</w:t>
      </w:r>
    </w:p>
    <w:p w14:paraId="67A01170"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02C9EEED" w14:textId="77777777" w:rsidR="008F20BA" w:rsidRDefault="008F20BA" w:rsidP="008F20BA">
      <w:pPr>
        <w:autoSpaceDN/>
        <w:spacing w:line="360" w:lineRule="atLeast"/>
        <w:rPr>
          <w:rFonts w:cs="Calibri"/>
          <w:sz w:val="27"/>
          <w:szCs w:val="27"/>
        </w:rPr>
      </w:pPr>
      <w:r w:rsidRPr="00EA5D5E">
        <w:rPr>
          <w:rFonts w:cs="Calibri"/>
          <w:sz w:val="27"/>
          <w:szCs w:val="27"/>
        </w:rPr>
        <w:t>Campbell, A. (2021) ‘What is Black Lives Matter and what are the aims?’, </w:t>
      </w:r>
      <w:r w:rsidRPr="00EA5D5E">
        <w:rPr>
          <w:rFonts w:cs="Calibri"/>
          <w:i/>
          <w:iCs/>
          <w:sz w:val="27"/>
          <w:szCs w:val="27"/>
        </w:rPr>
        <w:t>BBC News</w:t>
      </w:r>
      <w:r w:rsidRPr="00EA5D5E">
        <w:rPr>
          <w:rFonts w:cs="Calibri"/>
          <w:sz w:val="27"/>
          <w:szCs w:val="27"/>
        </w:rPr>
        <w:t xml:space="preserve">, 13 June. Available at: </w:t>
      </w:r>
      <w:hyperlink r:id="rId26" w:history="1">
        <w:r w:rsidRPr="00EA5D5E">
          <w:rPr>
            <w:rStyle w:val="Hyperlink"/>
            <w:rFonts w:cs="Calibri"/>
            <w:sz w:val="27"/>
            <w:szCs w:val="27"/>
          </w:rPr>
          <w:t>https://www.bbc.com/news/explainers-53337780</w:t>
        </w:r>
      </w:hyperlink>
      <w:r w:rsidRPr="00EA5D5E">
        <w:rPr>
          <w:rFonts w:cs="Calibri"/>
          <w:sz w:val="27"/>
          <w:szCs w:val="27"/>
        </w:rPr>
        <w:t>.</w:t>
      </w:r>
    </w:p>
    <w:p w14:paraId="17DFA988" w14:textId="77777777" w:rsidR="008F20BA" w:rsidRPr="00EA5D5E" w:rsidRDefault="008F20BA" w:rsidP="008F20BA">
      <w:pPr>
        <w:autoSpaceDN/>
        <w:spacing w:line="360" w:lineRule="atLeast"/>
        <w:rPr>
          <w:rFonts w:cs="Calibri"/>
          <w:sz w:val="27"/>
          <w:szCs w:val="27"/>
        </w:rPr>
      </w:pPr>
    </w:p>
    <w:p w14:paraId="7A77790F"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Chapter 4 - The Fight-or-Flight Response: A Cornerstone of Stress Research,</w:t>
      </w:r>
    </w:p>
    <w:p w14:paraId="546C1D33"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College of Policing (2014) </w:t>
      </w:r>
      <w:r>
        <w:rPr>
          <w:rFonts w:ascii="Calibri" w:hAnsi="Calibri" w:cs="Calibri"/>
          <w:i/>
          <w:iCs/>
          <w:color w:val="2C3E50"/>
          <w:sz w:val="27"/>
          <w:szCs w:val="27"/>
          <w:shd w:val="clear" w:color="auto" w:fill="FEF1C4"/>
        </w:rPr>
        <w:t>Code of Ethics</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College of Policing</w:t>
      </w:r>
      <w:r>
        <w:rPr>
          <w:rFonts w:ascii="Calibri" w:hAnsi="Calibri" w:cs="Calibri"/>
          <w:color w:val="2C3E50"/>
          <w:sz w:val="27"/>
          <w:szCs w:val="27"/>
          <w:shd w:val="clear" w:color="auto" w:fill="FEF1C4"/>
        </w:rPr>
        <w:t xml:space="preserve">. College of Policing. </w:t>
      </w:r>
    </w:p>
    <w:p w14:paraId="52A904F8" w14:textId="77777777" w:rsidR="008F20BA" w:rsidRDefault="008F20BA" w:rsidP="008F20BA">
      <w:pPr>
        <w:pStyle w:val="chapter-para"/>
        <w:shd w:val="clear" w:color="auto" w:fill="FFFFFF"/>
        <w:spacing w:line="408" w:lineRule="atLeast"/>
        <w:textAlignment w:val="baseline"/>
      </w:pPr>
    </w:p>
    <w:p w14:paraId="393076F6"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College of Policing (2020) </w:t>
      </w:r>
      <w:r>
        <w:rPr>
          <w:rFonts w:ascii="Calibri" w:hAnsi="Calibri" w:cs="Calibri"/>
          <w:i/>
          <w:iCs/>
          <w:color w:val="2C3E50"/>
          <w:sz w:val="27"/>
          <w:szCs w:val="27"/>
          <w:shd w:val="clear" w:color="auto" w:fill="FEF1C4"/>
        </w:rPr>
        <w:t>Conflict management skills</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College of Policing</w:t>
      </w:r>
      <w:r>
        <w:rPr>
          <w:rFonts w:ascii="Calibri" w:hAnsi="Calibri" w:cs="Calibri"/>
          <w:color w:val="2C3E50"/>
          <w:sz w:val="27"/>
          <w:szCs w:val="27"/>
          <w:shd w:val="clear" w:color="auto" w:fill="FEF1C4"/>
        </w:rPr>
        <w:t xml:space="preserve">. Available at: </w:t>
      </w:r>
      <w:hyperlink r:id="rId27" w:history="1">
        <w:r>
          <w:rPr>
            <w:rStyle w:val="Hyperlink"/>
            <w:rFonts w:ascii="Calibri" w:hAnsi="Calibri" w:cs="Calibri"/>
            <w:sz w:val="27"/>
            <w:szCs w:val="27"/>
            <w:shd w:val="clear" w:color="auto" w:fill="FEF1C4"/>
          </w:rPr>
          <w:t>https://www.college.police.uk/guidance/conflict-management/conflict-management-skills</w:t>
        </w:r>
      </w:hyperlink>
      <w:r>
        <w:rPr>
          <w:rFonts w:ascii="Calibri" w:hAnsi="Calibri" w:cs="Calibri"/>
          <w:color w:val="2C3E50"/>
          <w:sz w:val="27"/>
          <w:szCs w:val="27"/>
          <w:shd w:val="clear" w:color="auto" w:fill="FEF1C4"/>
        </w:rPr>
        <w:t>.</w:t>
      </w:r>
    </w:p>
    <w:p w14:paraId="13507F2E" w14:textId="77777777" w:rsidR="008F20BA" w:rsidRDefault="008F20BA" w:rsidP="008F20BA">
      <w:pPr>
        <w:pStyle w:val="chapter-para"/>
        <w:shd w:val="clear" w:color="auto" w:fill="FFFFFF"/>
        <w:spacing w:line="408" w:lineRule="atLeast"/>
        <w:textAlignment w:val="baseline"/>
      </w:pPr>
    </w:p>
    <w:p w14:paraId="122BC9F3"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College of Policing (2020) </w:t>
      </w:r>
      <w:r>
        <w:rPr>
          <w:rFonts w:ascii="Calibri" w:hAnsi="Calibri" w:cs="Calibri"/>
          <w:i/>
          <w:iCs/>
          <w:color w:val="2C3E50"/>
          <w:sz w:val="27"/>
          <w:szCs w:val="27"/>
          <w:shd w:val="clear" w:color="auto" w:fill="FEF1C4"/>
        </w:rPr>
        <w:t>Conflict management skills</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College of Policing</w:t>
      </w:r>
      <w:r>
        <w:rPr>
          <w:rFonts w:ascii="Calibri" w:hAnsi="Calibri" w:cs="Calibri"/>
          <w:color w:val="2C3E50"/>
          <w:sz w:val="27"/>
          <w:szCs w:val="27"/>
          <w:shd w:val="clear" w:color="auto" w:fill="FEF1C4"/>
        </w:rPr>
        <w:t xml:space="preserve">. Available at: </w:t>
      </w:r>
      <w:hyperlink r:id="rId28" w:history="1">
        <w:r w:rsidRPr="00C8316D">
          <w:rPr>
            <w:rStyle w:val="Hyperlink"/>
            <w:rFonts w:ascii="Calibri" w:hAnsi="Calibri" w:cs="Calibri"/>
            <w:sz w:val="27"/>
            <w:szCs w:val="27"/>
            <w:shd w:val="clear" w:color="auto" w:fill="FEF1C4"/>
          </w:rPr>
          <w:t>https://www.college.police.uk/guidance/conflict-management/conflict-management-skills</w:t>
        </w:r>
      </w:hyperlink>
      <w:r>
        <w:rPr>
          <w:rFonts w:ascii="Calibri" w:hAnsi="Calibri" w:cs="Calibri"/>
          <w:color w:val="2C3E50"/>
          <w:sz w:val="27"/>
          <w:szCs w:val="27"/>
          <w:shd w:val="clear" w:color="auto" w:fill="FEF1C4"/>
        </w:rPr>
        <w:t>.</w:t>
      </w:r>
    </w:p>
    <w:p w14:paraId="34EF38A2" w14:textId="77777777" w:rsidR="008F20BA" w:rsidRDefault="008F20BA" w:rsidP="008F20BA">
      <w:pPr>
        <w:pStyle w:val="chapter-para"/>
        <w:shd w:val="clear" w:color="auto" w:fill="FFFFFF"/>
        <w:spacing w:line="408" w:lineRule="atLeast"/>
        <w:textAlignment w:val="baseline"/>
      </w:pPr>
    </w:p>
    <w:p w14:paraId="585C7205"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College of Policing (2020) </w:t>
      </w:r>
      <w:r>
        <w:rPr>
          <w:rFonts w:ascii="Calibri" w:hAnsi="Calibri" w:cs="Calibri"/>
          <w:i/>
          <w:iCs/>
          <w:color w:val="2C3E50"/>
          <w:sz w:val="27"/>
          <w:szCs w:val="27"/>
          <w:shd w:val="clear" w:color="auto" w:fill="FEF1C4"/>
        </w:rPr>
        <w:t>Policing Education Qualifications Framework (PEQF)</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College of Policing</w:t>
      </w:r>
      <w:r>
        <w:rPr>
          <w:rFonts w:ascii="Calibri" w:hAnsi="Calibri" w:cs="Calibri"/>
          <w:color w:val="2C3E50"/>
          <w:sz w:val="27"/>
          <w:szCs w:val="27"/>
          <w:shd w:val="clear" w:color="auto" w:fill="FEF1C4"/>
        </w:rPr>
        <w:t xml:space="preserve">. College of Policing. Available at: </w:t>
      </w:r>
      <w:hyperlink r:id="rId29" w:history="1">
        <w:r>
          <w:rPr>
            <w:rStyle w:val="Hyperlink"/>
            <w:rFonts w:ascii="Calibri" w:hAnsi="Calibri" w:cs="Calibri"/>
            <w:sz w:val="27"/>
            <w:szCs w:val="27"/>
            <w:shd w:val="clear" w:color="auto" w:fill="FEF1C4"/>
          </w:rPr>
          <w:t>https://www.college.police.uk/career-learning/policing-education-qualifications-framework-peqf</w:t>
        </w:r>
      </w:hyperlink>
      <w:r>
        <w:rPr>
          <w:rFonts w:ascii="Calibri" w:hAnsi="Calibri" w:cs="Calibri"/>
          <w:color w:val="2C3E50"/>
          <w:sz w:val="27"/>
          <w:szCs w:val="27"/>
          <w:shd w:val="clear" w:color="auto" w:fill="FEF1C4"/>
        </w:rPr>
        <w:t>.</w:t>
      </w:r>
    </w:p>
    <w:p w14:paraId="6D8F1B7B"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261E2C94" w14:textId="77777777" w:rsidR="008F20BA" w:rsidRDefault="008F20BA" w:rsidP="008F20BA">
      <w:pPr>
        <w:rPr>
          <w:rFonts w:ascii="Roboto" w:hAnsi="Roboto"/>
          <w:color w:val="2C3E50"/>
          <w:sz w:val="23"/>
          <w:szCs w:val="23"/>
          <w:shd w:val="clear" w:color="auto" w:fill="FFFFFF"/>
        </w:rPr>
      </w:pPr>
      <w:r>
        <w:rPr>
          <w:rFonts w:ascii="Roboto" w:hAnsi="Roboto"/>
          <w:color w:val="2C3E50"/>
          <w:sz w:val="23"/>
          <w:szCs w:val="23"/>
          <w:shd w:val="clear" w:color="auto" w:fill="FFFFFF"/>
        </w:rPr>
        <w:t>(</w:t>
      </w:r>
      <w:r>
        <w:rPr>
          <w:rFonts w:ascii="Roboto" w:hAnsi="Roboto"/>
          <w:i/>
          <w:iCs/>
          <w:color w:val="2C3E50"/>
          <w:sz w:val="23"/>
          <w:szCs w:val="23"/>
          <w:shd w:val="clear" w:color="auto" w:fill="FFFFFF"/>
        </w:rPr>
        <w:t>Criminal Procedure and Investigations Act 1996 (section 23(1)) Code of Practice Revised in accordance with section 25(4) of the Criminal Procedure and Investigations Act 1996 and presented to Parliament pursuant to section 25(2) of the Act</w:t>
      </w:r>
      <w:r>
        <w:rPr>
          <w:rFonts w:ascii="Roboto" w:hAnsi="Roboto"/>
          <w:color w:val="2C3E50"/>
          <w:sz w:val="23"/>
          <w:szCs w:val="23"/>
          <w:shd w:val="clear" w:color="auto" w:fill="FFFFFF"/>
        </w:rPr>
        <w:t>, 2020)</w:t>
      </w:r>
    </w:p>
    <w:p w14:paraId="6EA0FD02"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31172E5D" w14:textId="77777777" w:rsidR="008F20BA" w:rsidRDefault="008F20BA" w:rsidP="008F20BA">
      <w:pPr>
        <w:pStyle w:val="chapter-para"/>
        <w:shd w:val="clear" w:color="auto" w:fill="FFFFFF"/>
        <w:spacing w:line="408" w:lineRule="atLeast"/>
        <w:textAlignment w:val="baseline"/>
      </w:pPr>
    </w:p>
    <w:p w14:paraId="615A6A58"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CPS (2021) </w:t>
      </w:r>
      <w:r>
        <w:rPr>
          <w:rFonts w:ascii="Calibri" w:hAnsi="Calibri" w:cs="Calibri"/>
          <w:i/>
          <w:iCs/>
          <w:color w:val="2C3E50"/>
          <w:sz w:val="27"/>
          <w:szCs w:val="27"/>
          <w:shd w:val="clear" w:color="auto" w:fill="FEF1C4"/>
        </w:rPr>
        <w:t>Special Measures | the Crown Prosecution Service</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Cps.gov.uk</w:t>
      </w:r>
      <w:r>
        <w:rPr>
          <w:rFonts w:ascii="Calibri" w:hAnsi="Calibri" w:cs="Calibri"/>
          <w:color w:val="2C3E50"/>
          <w:sz w:val="27"/>
          <w:szCs w:val="27"/>
          <w:shd w:val="clear" w:color="auto" w:fill="FEF1C4"/>
        </w:rPr>
        <w:t xml:space="preserve">. Available at: </w:t>
      </w:r>
      <w:hyperlink r:id="rId30" w:history="1">
        <w:r w:rsidRPr="00C8316D">
          <w:rPr>
            <w:rStyle w:val="Hyperlink"/>
            <w:rFonts w:ascii="Calibri" w:hAnsi="Calibri" w:cs="Calibri"/>
            <w:sz w:val="27"/>
            <w:szCs w:val="27"/>
            <w:shd w:val="clear" w:color="auto" w:fill="FEF1C4"/>
          </w:rPr>
          <w:t>https://www.cps.gov.uk/legal-guidance/special-measures</w:t>
        </w:r>
      </w:hyperlink>
      <w:r>
        <w:rPr>
          <w:rFonts w:ascii="Calibri" w:hAnsi="Calibri" w:cs="Calibri"/>
          <w:color w:val="2C3E50"/>
          <w:sz w:val="27"/>
          <w:szCs w:val="27"/>
          <w:shd w:val="clear" w:color="auto" w:fill="FEF1C4"/>
        </w:rPr>
        <w:t>.</w:t>
      </w:r>
    </w:p>
    <w:p w14:paraId="64AE9386"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185E688E" w14:textId="77777777" w:rsidR="008F20BA" w:rsidRDefault="008F20BA" w:rsidP="008F20BA">
      <w:pPr>
        <w:pStyle w:val="NormalWeb"/>
        <w:rPr>
          <w:rStyle w:val="Hyperlink"/>
          <w:rFonts w:ascii="Calibri" w:hAnsi="Calibri" w:cs="Calibri"/>
          <w:sz w:val="27"/>
          <w:szCs w:val="27"/>
          <w:shd w:val="clear" w:color="auto" w:fill="FEF1C4"/>
        </w:rPr>
      </w:pPr>
      <w:r>
        <w:rPr>
          <w:rFonts w:ascii="Calibri" w:hAnsi="Calibri" w:cs="Calibri"/>
          <w:i/>
          <w:iCs/>
          <w:color w:val="2C3E50"/>
          <w:sz w:val="27"/>
          <w:szCs w:val="27"/>
          <w:shd w:val="clear" w:color="auto" w:fill="FEF1C4"/>
        </w:rPr>
        <w:t xml:space="preserve"> Criminal Justice Act 1967</w:t>
      </w:r>
      <w:r>
        <w:rPr>
          <w:rFonts w:ascii="Calibri" w:hAnsi="Calibri" w:cs="Calibri"/>
          <w:color w:val="2C3E50"/>
          <w:sz w:val="27"/>
          <w:szCs w:val="27"/>
          <w:shd w:val="clear" w:color="auto" w:fill="FEF1C4"/>
        </w:rPr>
        <w:t> (2023) </w:t>
      </w:r>
      <w:r>
        <w:rPr>
          <w:rFonts w:ascii="Calibri" w:hAnsi="Calibri" w:cs="Calibri"/>
          <w:i/>
          <w:iCs/>
          <w:color w:val="2C3E50"/>
          <w:sz w:val="27"/>
          <w:szCs w:val="27"/>
          <w:shd w:val="clear" w:color="auto" w:fill="FEF1C4"/>
        </w:rPr>
        <w:t>Legislation.gov.uk</w:t>
      </w:r>
      <w:r>
        <w:rPr>
          <w:rFonts w:ascii="Calibri" w:hAnsi="Calibri" w:cs="Calibri"/>
          <w:color w:val="2C3E50"/>
          <w:sz w:val="27"/>
          <w:szCs w:val="27"/>
          <w:shd w:val="clear" w:color="auto" w:fill="FEF1C4"/>
        </w:rPr>
        <w:t xml:space="preserve">. Available at: </w:t>
      </w:r>
      <w:hyperlink r:id="rId31" w:history="1">
        <w:r>
          <w:rPr>
            <w:rStyle w:val="Hyperlink"/>
            <w:rFonts w:ascii="Calibri" w:hAnsi="Calibri" w:cs="Calibri"/>
            <w:sz w:val="27"/>
            <w:szCs w:val="27"/>
            <w:shd w:val="clear" w:color="auto" w:fill="FEF1C4"/>
          </w:rPr>
          <w:t>https://www.legislation.gov.uk/ukpga/1967/80/section/91</w:t>
        </w:r>
      </w:hyperlink>
    </w:p>
    <w:p w14:paraId="78DDC023" w14:textId="77777777" w:rsidR="008F20BA" w:rsidRDefault="008F20BA" w:rsidP="008F20BA">
      <w:pPr>
        <w:pStyle w:val="NormalWeb"/>
      </w:pPr>
    </w:p>
    <w:p w14:paraId="6E20F387"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Exercise guidelines</w:t>
      </w:r>
      <w:r>
        <w:rPr>
          <w:rFonts w:ascii="Calibri" w:hAnsi="Calibri" w:cs="Calibri"/>
          <w:color w:val="2C3E50"/>
          <w:sz w:val="27"/>
          <w:szCs w:val="27"/>
          <w:shd w:val="clear" w:color="auto" w:fill="FEF1C4"/>
        </w:rPr>
        <w:t> (2022) </w:t>
      </w:r>
      <w:r>
        <w:rPr>
          <w:rFonts w:ascii="Calibri" w:hAnsi="Calibri" w:cs="Calibri"/>
          <w:i/>
          <w:iCs/>
          <w:color w:val="2C3E50"/>
          <w:sz w:val="27"/>
          <w:szCs w:val="27"/>
          <w:shd w:val="clear" w:color="auto" w:fill="FEF1C4"/>
        </w:rPr>
        <w:t>nhs.uk</w:t>
      </w:r>
      <w:r>
        <w:rPr>
          <w:rFonts w:ascii="Calibri" w:hAnsi="Calibri" w:cs="Calibri"/>
          <w:color w:val="2C3E50"/>
          <w:sz w:val="27"/>
          <w:szCs w:val="27"/>
          <w:shd w:val="clear" w:color="auto" w:fill="FEF1C4"/>
        </w:rPr>
        <w:t xml:space="preserve">. Available at: </w:t>
      </w:r>
      <w:hyperlink r:id="rId32" w:history="1">
        <w:r>
          <w:rPr>
            <w:rStyle w:val="Hyperlink"/>
            <w:rFonts w:ascii="Calibri" w:hAnsi="Calibri" w:cs="Calibri"/>
            <w:sz w:val="27"/>
            <w:szCs w:val="27"/>
            <w:shd w:val="clear" w:color="auto" w:fill="FEF1C4"/>
          </w:rPr>
          <w:t>https://www.nhs.uk/live-well/exercise/exercise-guidelines/</w:t>
        </w:r>
      </w:hyperlink>
      <w:r>
        <w:rPr>
          <w:rFonts w:ascii="Calibri" w:hAnsi="Calibri" w:cs="Calibri"/>
          <w:color w:val="2C3E50"/>
          <w:sz w:val="27"/>
          <w:szCs w:val="27"/>
          <w:shd w:val="clear" w:color="auto" w:fill="FEF1C4"/>
        </w:rPr>
        <w:t>.</w:t>
      </w:r>
    </w:p>
    <w:p w14:paraId="012B62C8" w14:textId="77777777" w:rsidR="008F20BA" w:rsidRDefault="008F20BA" w:rsidP="008F20BA">
      <w:pPr>
        <w:pStyle w:val="chapter-para"/>
        <w:shd w:val="clear" w:color="auto" w:fill="FFFFFF"/>
        <w:spacing w:line="408" w:lineRule="atLeast"/>
        <w:textAlignment w:val="baseline"/>
      </w:pPr>
    </w:p>
    <w:p w14:paraId="787932F2" w14:textId="77777777" w:rsidR="008F20BA" w:rsidRDefault="008F20BA" w:rsidP="008F20BA">
      <w:pPr>
        <w:pStyle w:val="chapter-para"/>
        <w:shd w:val="clear" w:color="auto" w:fill="FFFFFF"/>
        <w:spacing w:line="408" w:lineRule="atLeast"/>
        <w:textAlignment w:val="baseline"/>
        <w:rPr>
          <w:rFonts w:ascii="Calibri" w:hAnsi="Calibri" w:cs="Calibri"/>
          <w:i/>
          <w:iCs/>
          <w:color w:val="2C3E50"/>
          <w:sz w:val="27"/>
          <w:szCs w:val="27"/>
          <w:shd w:val="clear" w:color="auto" w:fill="FEF1C4"/>
        </w:rPr>
      </w:pPr>
      <w:r>
        <w:rPr>
          <w:rFonts w:ascii="Calibri" w:hAnsi="Calibri" w:cs="Calibri"/>
          <w:color w:val="2C3E50"/>
          <w:sz w:val="27"/>
          <w:szCs w:val="27"/>
          <w:shd w:val="clear" w:color="auto" w:fill="FEF1C4"/>
        </w:rPr>
        <w:t>Gabbey, A.E. (2013) </w:t>
      </w:r>
      <w:r>
        <w:rPr>
          <w:rFonts w:ascii="Calibri" w:hAnsi="Calibri" w:cs="Calibri"/>
          <w:i/>
          <w:iCs/>
          <w:color w:val="2C3E50"/>
          <w:sz w:val="27"/>
          <w:szCs w:val="27"/>
          <w:shd w:val="clear" w:color="auto" w:fill="FEF1C4"/>
        </w:rPr>
        <w:t xml:space="preserve">Aggressive Behavior | </w:t>
      </w:r>
    </w:p>
    <w:p w14:paraId="5CA47921"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lastRenderedPageBreak/>
        <w:t>Definition &amp; Patient Education</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Healthline</w:t>
      </w:r>
      <w:r>
        <w:rPr>
          <w:rFonts w:ascii="Calibri" w:hAnsi="Calibri" w:cs="Calibri"/>
          <w:color w:val="2C3E50"/>
          <w:sz w:val="27"/>
          <w:szCs w:val="27"/>
          <w:shd w:val="clear" w:color="auto" w:fill="FEF1C4"/>
        </w:rPr>
        <w:t xml:space="preserve">. Available at: </w:t>
      </w:r>
      <w:hyperlink r:id="rId33" w:history="1">
        <w:r>
          <w:rPr>
            <w:rStyle w:val="Hyperlink"/>
            <w:rFonts w:ascii="Calibri" w:hAnsi="Calibri" w:cs="Calibri"/>
            <w:sz w:val="27"/>
            <w:szCs w:val="27"/>
            <w:shd w:val="clear" w:color="auto" w:fill="FEF1C4"/>
          </w:rPr>
          <w:t>https://www.healthline.com/health/aggressive-behavior</w:t>
        </w:r>
      </w:hyperlink>
      <w:r>
        <w:rPr>
          <w:rFonts w:ascii="Calibri" w:hAnsi="Calibri" w:cs="Calibri"/>
          <w:color w:val="2C3E50"/>
          <w:sz w:val="27"/>
          <w:szCs w:val="27"/>
          <w:shd w:val="clear" w:color="auto" w:fill="FEF1C4"/>
        </w:rPr>
        <w:t>.</w:t>
      </w:r>
    </w:p>
    <w:p w14:paraId="2CC7DF1A" w14:textId="77777777" w:rsidR="008F20BA" w:rsidRDefault="008F20BA" w:rsidP="008F20BA">
      <w:pPr>
        <w:pStyle w:val="chapter-para"/>
        <w:shd w:val="clear" w:color="auto" w:fill="FFFFFF"/>
        <w:spacing w:line="408" w:lineRule="atLeast"/>
        <w:textAlignment w:val="baseline"/>
      </w:pPr>
    </w:p>
    <w:p w14:paraId="0AC6A272"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Higgins, A. (2020) </w:t>
      </w:r>
      <w:r>
        <w:rPr>
          <w:rFonts w:ascii="Calibri" w:hAnsi="Calibri" w:cs="Calibri"/>
          <w:i/>
          <w:iCs/>
          <w:color w:val="2C3E50"/>
          <w:sz w:val="27"/>
          <w:szCs w:val="27"/>
          <w:shd w:val="clear" w:color="auto" w:fill="FEF1C4"/>
        </w:rPr>
        <w:t>The Strategic Review of Policing in England and Wales Policing and the public: Understanding Public priorities, Attitudes and Expectations</w:t>
      </w:r>
      <w:r>
        <w:rPr>
          <w:rFonts w:ascii="Calibri" w:hAnsi="Calibri" w:cs="Calibri"/>
          <w:color w:val="2C3E50"/>
          <w:sz w:val="27"/>
          <w:szCs w:val="27"/>
          <w:shd w:val="clear" w:color="auto" w:fill="FEF1C4"/>
        </w:rPr>
        <w:t xml:space="preserve">. Available at: </w:t>
      </w:r>
      <w:hyperlink r:id="rId34" w:history="1">
        <w:r w:rsidRPr="00C8316D">
          <w:rPr>
            <w:rStyle w:val="Hyperlink"/>
            <w:rFonts w:ascii="Calibri" w:hAnsi="Calibri" w:cs="Calibri"/>
            <w:sz w:val="27"/>
            <w:szCs w:val="27"/>
            <w:shd w:val="clear" w:color="auto" w:fill="FEF1C4"/>
          </w:rPr>
          <w:t>https://www.police-foundation.org.uk/2017/wp-content/uploads/2010/10/insight_paper_1.pdf</w:t>
        </w:r>
      </w:hyperlink>
      <w:r>
        <w:rPr>
          <w:rFonts w:ascii="Calibri" w:hAnsi="Calibri" w:cs="Calibri"/>
          <w:color w:val="2C3E50"/>
          <w:sz w:val="27"/>
          <w:szCs w:val="27"/>
          <w:shd w:val="clear" w:color="auto" w:fill="FEF1C4"/>
        </w:rPr>
        <w:t>.</w:t>
      </w:r>
    </w:p>
    <w:p w14:paraId="01529329"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57E431A8" w14:textId="77777777" w:rsidR="008F20BA" w:rsidRDefault="008F20BA" w:rsidP="008F20BA">
      <w:pPr>
        <w:pStyle w:val="NormalWeb"/>
      </w:pPr>
      <w:r>
        <w:rPr>
          <w:rFonts w:ascii="Calibri" w:hAnsi="Calibri" w:cs="Calibri"/>
          <w:color w:val="2C3E50"/>
          <w:sz w:val="27"/>
          <w:szCs w:val="27"/>
          <w:shd w:val="clear" w:color="auto" w:fill="FEF1C4"/>
        </w:rPr>
        <w:t>Home Office (2012) </w:t>
      </w:r>
      <w:r>
        <w:rPr>
          <w:rFonts w:ascii="Calibri" w:hAnsi="Calibri" w:cs="Calibri"/>
          <w:i/>
          <w:iCs/>
          <w:color w:val="2C3E50"/>
          <w:sz w:val="27"/>
          <w:szCs w:val="27"/>
          <w:shd w:val="clear" w:color="auto" w:fill="FEF1C4"/>
        </w:rPr>
        <w:t>PACE Code G 2012</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GOV.UK</w:t>
      </w:r>
      <w:r>
        <w:rPr>
          <w:rFonts w:ascii="Calibri" w:hAnsi="Calibri" w:cs="Calibri"/>
          <w:color w:val="2C3E50"/>
          <w:sz w:val="27"/>
          <w:szCs w:val="27"/>
          <w:shd w:val="clear" w:color="auto" w:fill="FEF1C4"/>
        </w:rPr>
        <w:t xml:space="preserve">. Available at: </w:t>
      </w:r>
      <w:hyperlink r:id="rId35" w:history="1">
        <w:r>
          <w:rPr>
            <w:rStyle w:val="Hyperlink"/>
            <w:rFonts w:ascii="Calibri" w:hAnsi="Calibri" w:cs="Calibri"/>
            <w:sz w:val="27"/>
            <w:szCs w:val="27"/>
            <w:shd w:val="clear" w:color="auto" w:fill="FEF1C4"/>
          </w:rPr>
          <w:t>https://www.gov.uk/government/publications/pace-code-g-2012</w:t>
        </w:r>
      </w:hyperlink>
      <w:r>
        <w:rPr>
          <w:rFonts w:ascii="Calibri" w:hAnsi="Calibri" w:cs="Calibri"/>
          <w:color w:val="2C3E50"/>
          <w:sz w:val="27"/>
          <w:szCs w:val="27"/>
          <w:shd w:val="clear" w:color="auto" w:fill="FEF1C4"/>
        </w:rPr>
        <w:t>.</w:t>
      </w:r>
    </w:p>
    <w:p w14:paraId="6851E8D9"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ISBN 9780128009512</w:t>
      </w:r>
    </w:p>
    <w:p w14:paraId="295ECAF0"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349C2790" w14:textId="77777777" w:rsidR="008F20BA" w:rsidRDefault="008F20BA" w:rsidP="008F20BA">
      <w:pPr>
        <w:pStyle w:val="chapter-para"/>
        <w:shd w:val="clear" w:color="auto" w:fill="FFFFFF"/>
        <w:spacing w:line="408" w:lineRule="atLeast"/>
        <w:textAlignment w:val="baseline"/>
        <w:rPr>
          <w:rFonts w:ascii="Fira Sans" w:hAnsi="Fira Sans"/>
          <w:color w:val="000000"/>
          <w:sz w:val="21"/>
          <w:szCs w:val="21"/>
          <w:shd w:val="clear" w:color="auto" w:fill="FFFFFF"/>
        </w:rPr>
      </w:pPr>
      <w:r>
        <w:rPr>
          <w:rFonts w:ascii="Fira Sans" w:hAnsi="Fira Sans"/>
          <w:color w:val="000000"/>
          <w:sz w:val="21"/>
          <w:szCs w:val="21"/>
          <w:shd w:val="clear" w:color="auto" w:fill="FFFFFF"/>
        </w:rPr>
        <w:t>Jackson, Erica M. Ph.D., FACSM. STRESS RELIEF: The Role of Exercise in Stress Management. ACSM’s Health &amp; Fitness Journal 17(3):p 14-19, May/June 2013.</w:t>
      </w:r>
    </w:p>
    <w:p w14:paraId="65A69900" w14:textId="77777777" w:rsidR="008F20BA" w:rsidRDefault="008F20BA" w:rsidP="008F20BA">
      <w:pPr>
        <w:pStyle w:val="chapter-para"/>
        <w:shd w:val="clear" w:color="auto" w:fill="FFFFFF"/>
        <w:spacing w:line="408" w:lineRule="atLeast"/>
        <w:textAlignment w:val="baseline"/>
        <w:rPr>
          <w:rFonts w:ascii="Fira Sans" w:hAnsi="Fira Sans"/>
          <w:color w:val="000000"/>
          <w:sz w:val="21"/>
          <w:szCs w:val="21"/>
          <w:shd w:val="clear" w:color="auto" w:fill="FFFFFF"/>
        </w:rPr>
      </w:pPr>
    </w:p>
    <w:p w14:paraId="43487F19"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Jackson, J. </w:t>
      </w:r>
      <w:r>
        <w:rPr>
          <w:rFonts w:ascii="Calibri" w:hAnsi="Calibri" w:cs="Calibri"/>
          <w:i/>
          <w:iCs/>
          <w:color w:val="2C3E50"/>
          <w:sz w:val="27"/>
          <w:szCs w:val="27"/>
          <w:shd w:val="clear" w:color="auto" w:fill="FEF1C4"/>
        </w:rPr>
        <w:t>et al.</w:t>
      </w:r>
      <w:r>
        <w:rPr>
          <w:rFonts w:ascii="Calibri" w:hAnsi="Calibri" w:cs="Calibri"/>
          <w:color w:val="2C3E50"/>
          <w:sz w:val="27"/>
          <w:szCs w:val="27"/>
          <w:shd w:val="clear" w:color="auto" w:fill="FEF1C4"/>
        </w:rPr>
        <w:t> (2012) </w:t>
      </w:r>
      <w:r>
        <w:rPr>
          <w:rFonts w:ascii="Calibri" w:hAnsi="Calibri" w:cs="Calibri"/>
          <w:i/>
          <w:iCs/>
          <w:color w:val="2C3E50"/>
          <w:sz w:val="27"/>
          <w:szCs w:val="27"/>
          <w:shd w:val="clear" w:color="auto" w:fill="FEF1C4"/>
        </w:rPr>
        <w:t>Policing by Consent: Understanding the Dynamics of Police Power and Legitimacy</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papers.ssrn.com</w:t>
      </w:r>
      <w:r>
        <w:rPr>
          <w:rFonts w:ascii="Calibri" w:hAnsi="Calibri" w:cs="Calibri"/>
          <w:color w:val="2C3E50"/>
          <w:sz w:val="27"/>
          <w:szCs w:val="27"/>
          <w:shd w:val="clear" w:color="auto" w:fill="FEF1C4"/>
        </w:rPr>
        <w:t xml:space="preserve">. Rochester, NY. Available at: </w:t>
      </w:r>
      <w:hyperlink r:id="rId36" w:history="1">
        <w:r>
          <w:rPr>
            <w:rStyle w:val="Hyperlink"/>
            <w:rFonts w:ascii="Calibri" w:hAnsi="Calibri" w:cs="Calibri"/>
            <w:sz w:val="27"/>
            <w:szCs w:val="27"/>
            <w:shd w:val="clear" w:color="auto" w:fill="FEF1C4"/>
          </w:rPr>
          <w:t>https://papers.ssrn.com/sol3/papers.cfm?abstract_id=2168702</w:t>
        </w:r>
      </w:hyperlink>
      <w:r>
        <w:rPr>
          <w:rFonts w:ascii="Calibri" w:hAnsi="Calibri" w:cs="Calibri"/>
          <w:color w:val="2C3E50"/>
          <w:sz w:val="27"/>
          <w:szCs w:val="27"/>
          <w:shd w:val="clear" w:color="auto" w:fill="FEF1C4"/>
        </w:rPr>
        <w:t>.</w:t>
      </w:r>
    </w:p>
    <w:p w14:paraId="4F40C3B7"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02A110F6" w14:textId="77777777" w:rsidR="008F20BA" w:rsidRDefault="008F20BA" w:rsidP="008F20BA">
      <w:pPr>
        <w:pStyle w:val="chapter-para"/>
        <w:shd w:val="clear" w:color="auto" w:fill="FFFFFF"/>
        <w:spacing w:line="408" w:lineRule="atLeast"/>
        <w:textAlignment w:val="baseline"/>
        <w:rPr>
          <w:sz w:val="23"/>
          <w:szCs w:val="23"/>
        </w:rPr>
      </w:pPr>
      <w:r>
        <w:rPr>
          <w:sz w:val="23"/>
          <w:szCs w:val="23"/>
        </w:rPr>
        <w:t xml:space="preserve">Karpman, S. (1968) ‘Fairy Tales and Script Drama Analysis’, </w:t>
      </w:r>
      <w:r>
        <w:rPr>
          <w:i/>
          <w:iCs/>
          <w:sz w:val="23"/>
          <w:szCs w:val="23"/>
        </w:rPr>
        <w:t xml:space="preserve">Transactional Analysis Bulletin. </w:t>
      </w:r>
      <w:r>
        <w:rPr>
          <w:sz w:val="23"/>
          <w:szCs w:val="23"/>
        </w:rPr>
        <w:t xml:space="preserve">7(26), pp 39-43. Available at: </w:t>
      </w:r>
      <w:hyperlink r:id="rId37" w:history="1">
        <w:r w:rsidRPr="00C8316D">
          <w:rPr>
            <w:rStyle w:val="Hyperlink"/>
            <w:sz w:val="23"/>
            <w:szCs w:val="23"/>
          </w:rPr>
          <w:t>https://www.karpmandramatriangle.com/pdf/DramaTriangle.pdf</w:t>
        </w:r>
      </w:hyperlink>
    </w:p>
    <w:p w14:paraId="781459CC" w14:textId="77777777" w:rsidR="008F20BA" w:rsidRDefault="008F20BA" w:rsidP="008F20BA">
      <w:pPr>
        <w:pStyle w:val="chapter-para"/>
        <w:shd w:val="clear" w:color="auto" w:fill="FFFFFF"/>
        <w:spacing w:line="408" w:lineRule="atLeast"/>
        <w:textAlignment w:val="baseline"/>
      </w:pPr>
    </w:p>
    <w:p w14:paraId="3FC5DC4D"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legislation.gov.uk (2011) </w:t>
      </w:r>
      <w:r>
        <w:rPr>
          <w:rFonts w:ascii="Calibri" w:hAnsi="Calibri" w:cs="Calibri"/>
          <w:i/>
          <w:iCs/>
          <w:color w:val="2C3E50"/>
          <w:sz w:val="27"/>
          <w:szCs w:val="27"/>
          <w:shd w:val="clear" w:color="auto" w:fill="FEF1C4"/>
        </w:rPr>
        <w:t>Public Order Act 1986</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Legislation.gov.uk</w:t>
      </w:r>
      <w:r>
        <w:rPr>
          <w:rFonts w:ascii="Calibri" w:hAnsi="Calibri" w:cs="Calibri"/>
          <w:color w:val="2C3E50"/>
          <w:sz w:val="27"/>
          <w:szCs w:val="27"/>
          <w:shd w:val="clear" w:color="auto" w:fill="FEF1C4"/>
        </w:rPr>
        <w:t xml:space="preserve">. Available at: </w:t>
      </w:r>
      <w:hyperlink r:id="rId38" w:history="1">
        <w:r>
          <w:rPr>
            <w:rStyle w:val="Hyperlink"/>
            <w:rFonts w:ascii="Calibri" w:hAnsi="Calibri" w:cs="Calibri"/>
            <w:sz w:val="27"/>
            <w:szCs w:val="27"/>
            <w:shd w:val="clear" w:color="auto" w:fill="FEF1C4"/>
          </w:rPr>
          <w:t>https://www.legislation.gov.uk/ukpga/1986/64/section/4A</w:t>
        </w:r>
      </w:hyperlink>
      <w:r>
        <w:rPr>
          <w:rFonts w:ascii="Calibri" w:hAnsi="Calibri" w:cs="Calibri"/>
          <w:color w:val="2C3E50"/>
          <w:sz w:val="27"/>
          <w:szCs w:val="27"/>
          <w:shd w:val="clear" w:color="auto" w:fill="FEF1C4"/>
        </w:rPr>
        <w:t>.</w:t>
      </w:r>
    </w:p>
    <w:p w14:paraId="24A143D3"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59B3C4ED"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Martin, D. (2021) ‘Understanding the reconstruction of police professionalism in the UK’, </w:t>
      </w:r>
      <w:r>
        <w:rPr>
          <w:rFonts w:ascii="Calibri" w:hAnsi="Calibri" w:cs="Calibri"/>
          <w:i/>
          <w:iCs/>
          <w:color w:val="2C3E50"/>
          <w:sz w:val="27"/>
          <w:szCs w:val="27"/>
          <w:shd w:val="clear" w:color="auto" w:fill="FEF1C4"/>
        </w:rPr>
        <w:t>Policing and Society</w:t>
      </w:r>
      <w:r>
        <w:rPr>
          <w:rFonts w:ascii="Calibri" w:hAnsi="Calibri" w:cs="Calibri"/>
          <w:color w:val="2C3E50"/>
          <w:sz w:val="27"/>
          <w:szCs w:val="27"/>
          <w:shd w:val="clear" w:color="auto" w:fill="FEF1C4"/>
        </w:rPr>
        <w:t xml:space="preserve">, 32(7), pp. 1–16. Available at: </w:t>
      </w:r>
      <w:hyperlink r:id="rId39" w:history="1">
        <w:r w:rsidRPr="00C8316D">
          <w:rPr>
            <w:rStyle w:val="Hyperlink"/>
            <w:rFonts w:ascii="Calibri" w:hAnsi="Calibri" w:cs="Calibri"/>
            <w:sz w:val="27"/>
            <w:szCs w:val="27"/>
            <w:shd w:val="clear" w:color="auto" w:fill="FEF1C4"/>
          </w:rPr>
          <w:t>https://doi.org/10.1080/10439463.2021.1999447</w:t>
        </w:r>
      </w:hyperlink>
      <w:r>
        <w:rPr>
          <w:rFonts w:ascii="Calibri" w:hAnsi="Calibri" w:cs="Calibri"/>
          <w:color w:val="2C3E50"/>
          <w:sz w:val="27"/>
          <w:szCs w:val="27"/>
          <w:shd w:val="clear" w:color="auto" w:fill="FEF1C4"/>
        </w:rPr>
        <w:t>.</w:t>
      </w:r>
    </w:p>
    <w:p w14:paraId="609698AE" w14:textId="77777777" w:rsidR="008F20BA" w:rsidRDefault="008F20BA" w:rsidP="008F20BA">
      <w:pPr>
        <w:pStyle w:val="chapter-para"/>
        <w:shd w:val="clear" w:color="auto" w:fill="FFFFFF"/>
        <w:spacing w:line="408" w:lineRule="atLeast"/>
        <w:textAlignment w:val="baseline"/>
      </w:pPr>
    </w:p>
    <w:p w14:paraId="0C6C2A39"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Mikkelsen, K. </w:t>
      </w:r>
      <w:r>
        <w:rPr>
          <w:rFonts w:ascii="Calibri" w:hAnsi="Calibri" w:cs="Calibri"/>
          <w:i/>
          <w:iCs/>
          <w:color w:val="2C3E50"/>
          <w:sz w:val="27"/>
          <w:szCs w:val="27"/>
          <w:shd w:val="clear" w:color="auto" w:fill="FEF1C4"/>
        </w:rPr>
        <w:t>et al.</w:t>
      </w:r>
      <w:r>
        <w:rPr>
          <w:rFonts w:ascii="Calibri" w:hAnsi="Calibri" w:cs="Calibri"/>
          <w:color w:val="2C3E50"/>
          <w:sz w:val="27"/>
          <w:szCs w:val="27"/>
          <w:shd w:val="clear" w:color="auto" w:fill="FEF1C4"/>
        </w:rPr>
        <w:t> (2017) ‘Exercise and Mental Health’, </w:t>
      </w:r>
      <w:r>
        <w:rPr>
          <w:rFonts w:ascii="Calibri" w:hAnsi="Calibri" w:cs="Calibri"/>
          <w:i/>
          <w:iCs/>
          <w:color w:val="2C3E50"/>
          <w:sz w:val="27"/>
          <w:szCs w:val="27"/>
          <w:shd w:val="clear" w:color="auto" w:fill="FEF1C4"/>
        </w:rPr>
        <w:t>Maturitas</w:t>
      </w:r>
      <w:r>
        <w:rPr>
          <w:rFonts w:ascii="Calibri" w:hAnsi="Calibri" w:cs="Calibri"/>
          <w:color w:val="2C3E50"/>
          <w:sz w:val="27"/>
          <w:szCs w:val="27"/>
          <w:shd w:val="clear" w:color="auto" w:fill="FEF1C4"/>
        </w:rPr>
        <w:t xml:space="preserve">, 106(106), pp. 48–56. Available at: </w:t>
      </w:r>
      <w:hyperlink r:id="rId40" w:history="1">
        <w:r w:rsidRPr="00C8316D">
          <w:rPr>
            <w:rStyle w:val="Hyperlink"/>
            <w:rFonts w:ascii="Calibri" w:hAnsi="Calibri" w:cs="Calibri"/>
            <w:sz w:val="27"/>
            <w:szCs w:val="27"/>
            <w:shd w:val="clear" w:color="auto" w:fill="FEF1C4"/>
          </w:rPr>
          <w:t>https://doi.org/10.1016/j.maturitas.2017.09.003</w:t>
        </w:r>
      </w:hyperlink>
      <w:r>
        <w:rPr>
          <w:rFonts w:ascii="Calibri" w:hAnsi="Calibri" w:cs="Calibri"/>
          <w:color w:val="2C3E50"/>
          <w:sz w:val="27"/>
          <w:szCs w:val="27"/>
          <w:shd w:val="clear" w:color="auto" w:fill="FEF1C4"/>
        </w:rPr>
        <w:t>.</w:t>
      </w:r>
    </w:p>
    <w:p w14:paraId="2C9C8C79" w14:textId="77777777" w:rsidR="008F20BA" w:rsidRDefault="008F20BA" w:rsidP="008F20BA">
      <w:pPr>
        <w:pStyle w:val="chapter-para"/>
        <w:shd w:val="clear" w:color="auto" w:fill="FFFFFF"/>
        <w:spacing w:line="408" w:lineRule="atLeast"/>
        <w:textAlignment w:val="baseline"/>
      </w:pPr>
    </w:p>
    <w:p w14:paraId="0CC5C78A" w14:textId="77777777" w:rsidR="008F20BA" w:rsidRDefault="008F20BA" w:rsidP="008F20BA">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Office for National Statistics (2021) </w:t>
      </w:r>
      <w:r>
        <w:rPr>
          <w:rFonts w:ascii="Calibri" w:hAnsi="Calibri" w:cs="Calibri"/>
          <w:i/>
          <w:iCs/>
          <w:color w:val="000000"/>
          <w:sz w:val="27"/>
          <w:szCs w:val="27"/>
        </w:rPr>
        <w:t>Domestic abuse prevalence and trends, England and Wales - Office for National Statistics</w:t>
      </w:r>
      <w:r>
        <w:rPr>
          <w:rFonts w:ascii="Calibri" w:hAnsi="Calibri" w:cs="Calibri"/>
          <w:color w:val="000000"/>
          <w:sz w:val="27"/>
          <w:szCs w:val="27"/>
        </w:rPr>
        <w:t>, </w:t>
      </w:r>
      <w:r>
        <w:rPr>
          <w:rFonts w:ascii="Calibri" w:hAnsi="Calibri" w:cs="Calibri"/>
          <w:i/>
          <w:iCs/>
          <w:color w:val="000000"/>
          <w:sz w:val="27"/>
          <w:szCs w:val="27"/>
        </w:rPr>
        <w:t>www.ons.gov.uk</w:t>
      </w:r>
      <w:r>
        <w:rPr>
          <w:rFonts w:ascii="Calibri" w:hAnsi="Calibri" w:cs="Calibri"/>
          <w:color w:val="000000"/>
          <w:sz w:val="27"/>
          <w:szCs w:val="27"/>
        </w:rPr>
        <w:t xml:space="preserve">. Office for National Statistics. Available at: </w:t>
      </w:r>
      <w:hyperlink r:id="rId41" w:history="1">
        <w:r>
          <w:rPr>
            <w:rStyle w:val="Hyperlink"/>
            <w:rFonts w:ascii="Calibri" w:hAnsi="Calibri" w:cs="Calibri"/>
            <w:sz w:val="27"/>
            <w:szCs w:val="27"/>
          </w:rPr>
          <w:t>https://www.ons.gov.uk/peoplepopulationandcommunity/crimeandjustice/articles/domesticabuseprevalenceandtrendsenglandandwales/yearendingmarch2021</w:t>
        </w:r>
      </w:hyperlink>
      <w:r>
        <w:rPr>
          <w:rFonts w:ascii="Calibri" w:hAnsi="Calibri" w:cs="Calibri"/>
          <w:color w:val="000000"/>
          <w:sz w:val="27"/>
          <w:szCs w:val="27"/>
        </w:rPr>
        <w:t>.</w:t>
      </w:r>
    </w:p>
    <w:p w14:paraId="1A84BAD9" w14:textId="77777777" w:rsidR="008F20BA" w:rsidRDefault="008F20BA" w:rsidP="008F20BA">
      <w:pPr>
        <w:pStyle w:val="NormalWeb"/>
        <w:spacing w:before="0" w:after="0" w:line="360" w:lineRule="atLeast"/>
      </w:pPr>
    </w:p>
    <w:p w14:paraId="7100D5C5" w14:textId="77777777" w:rsidR="008F20BA" w:rsidRDefault="008F20BA" w:rsidP="008F20BA">
      <w:pPr>
        <w:pStyle w:val="NormalWeb"/>
        <w:spacing w:before="0" w:after="0" w:line="360" w:lineRule="atLeast"/>
        <w:rPr>
          <w:rFonts w:ascii="Calibri" w:hAnsi="Calibri" w:cs="Calibri"/>
          <w:color w:val="000000"/>
          <w:sz w:val="27"/>
          <w:szCs w:val="27"/>
        </w:rPr>
      </w:pPr>
      <w:r>
        <w:rPr>
          <w:rFonts w:ascii="Calibri" w:hAnsi="Calibri" w:cs="Calibri"/>
          <w:color w:val="000000"/>
          <w:sz w:val="27"/>
          <w:szCs w:val="27"/>
        </w:rPr>
        <w:t>Office for National Statistics (2022) </w:t>
      </w:r>
      <w:r>
        <w:rPr>
          <w:rFonts w:ascii="Calibri" w:hAnsi="Calibri" w:cs="Calibri"/>
          <w:i/>
          <w:iCs/>
          <w:color w:val="000000"/>
          <w:sz w:val="27"/>
          <w:szCs w:val="27"/>
        </w:rPr>
        <w:t>Crime in England and Wales</w:t>
      </w:r>
      <w:r>
        <w:rPr>
          <w:rFonts w:ascii="Calibri" w:hAnsi="Calibri" w:cs="Calibri"/>
          <w:color w:val="000000"/>
          <w:sz w:val="27"/>
          <w:szCs w:val="27"/>
        </w:rPr>
        <w:t>, </w:t>
      </w:r>
      <w:r>
        <w:rPr>
          <w:rFonts w:ascii="Calibri" w:hAnsi="Calibri" w:cs="Calibri"/>
          <w:i/>
          <w:iCs/>
          <w:color w:val="000000"/>
          <w:sz w:val="27"/>
          <w:szCs w:val="27"/>
        </w:rPr>
        <w:t>ons.gov.uk</w:t>
      </w:r>
      <w:r>
        <w:rPr>
          <w:rFonts w:ascii="Calibri" w:hAnsi="Calibri" w:cs="Calibri"/>
          <w:color w:val="000000"/>
          <w:sz w:val="27"/>
          <w:szCs w:val="27"/>
        </w:rPr>
        <w:t xml:space="preserve">. Office for National Statistics. Available at: </w:t>
      </w:r>
      <w:hyperlink r:id="rId42" w:history="1">
        <w:r>
          <w:rPr>
            <w:rStyle w:val="Hyperlink"/>
            <w:rFonts w:ascii="Calibri" w:hAnsi="Calibri" w:cs="Calibri"/>
            <w:sz w:val="27"/>
            <w:szCs w:val="27"/>
          </w:rPr>
          <w:t>https://www.ons.gov.uk/peoplepopulationandcommunity/crimeandjustice/bulletins/crimeinenglandandwales/yearendingseptember2021</w:t>
        </w:r>
      </w:hyperlink>
      <w:r>
        <w:rPr>
          <w:rFonts w:ascii="Calibri" w:hAnsi="Calibri" w:cs="Calibri"/>
          <w:color w:val="000000"/>
          <w:sz w:val="27"/>
          <w:szCs w:val="27"/>
        </w:rPr>
        <w:t>.</w:t>
      </w:r>
    </w:p>
    <w:p w14:paraId="4815D696" w14:textId="77777777" w:rsidR="008F20BA" w:rsidRDefault="008F20BA" w:rsidP="008F20BA">
      <w:pPr>
        <w:pStyle w:val="NormalWeb"/>
        <w:spacing w:before="0" w:after="0" w:line="360" w:lineRule="atLeast"/>
      </w:pPr>
    </w:p>
    <w:p w14:paraId="08D60140"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Police Reform Act 2002 - Explanatory Notes</w:t>
      </w:r>
      <w:r>
        <w:rPr>
          <w:rFonts w:ascii="Calibri" w:hAnsi="Calibri" w:cs="Calibri"/>
          <w:color w:val="2C3E50"/>
          <w:sz w:val="27"/>
          <w:szCs w:val="27"/>
          <w:shd w:val="clear" w:color="auto" w:fill="FEF1C4"/>
        </w:rPr>
        <w:t> (2023) </w:t>
      </w:r>
      <w:r>
        <w:rPr>
          <w:rFonts w:ascii="Calibri" w:hAnsi="Calibri" w:cs="Calibri"/>
          <w:i/>
          <w:iCs/>
          <w:color w:val="2C3E50"/>
          <w:sz w:val="27"/>
          <w:szCs w:val="27"/>
          <w:shd w:val="clear" w:color="auto" w:fill="FEF1C4"/>
        </w:rPr>
        <w:t>Legislation.gov.uk</w:t>
      </w:r>
      <w:r>
        <w:rPr>
          <w:rFonts w:ascii="Calibri" w:hAnsi="Calibri" w:cs="Calibri"/>
          <w:color w:val="2C3E50"/>
          <w:sz w:val="27"/>
          <w:szCs w:val="27"/>
          <w:shd w:val="clear" w:color="auto" w:fill="FEF1C4"/>
        </w:rPr>
        <w:t>. Available at: https://www.legislation.gov.uk/ukpga/2002/30/notes/division/4/1/18/2?view=plain#:~:text=Section%2083%3A%20Attestation%20of%20constables%20404.%20Every%20police (Accessed: 20 March 2023).#</w:t>
      </w:r>
    </w:p>
    <w:p w14:paraId="14FAB60A" w14:textId="77777777" w:rsidR="008F20BA" w:rsidRDefault="008F20BA" w:rsidP="008F20BA">
      <w:pPr>
        <w:pStyle w:val="chapter-para"/>
        <w:shd w:val="clear" w:color="auto" w:fill="FFFFFF"/>
        <w:spacing w:line="408" w:lineRule="atLeast"/>
        <w:textAlignment w:val="baseline"/>
      </w:pPr>
    </w:p>
    <w:p w14:paraId="7126638A"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Policing in the 21 st Century: Reconnecting police and the people Summary of consultation responses and next steps</w:t>
      </w:r>
      <w:r>
        <w:rPr>
          <w:rFonts w:ascii="Calibri" w:hAnsi="Calibri" w:cs="Calibri"/>
          <w:color w:val="2C3E50"/>
          <w:sz w:val="27"/>
          <w:szCs w:val="27"/>
          <w:shd w:val="clear" w:color="auto" w:fill="FEF1C4"/>
        </w:rPr>
        <w:t xml:space="preserve"> (2010). Available at: </w:t>
      </w:r>
      <w:hyperlink r:id="rId43" w:history="1">
        <w:r w:rsidRPr="00C8316D">
          <w:rPr>
            <w:rStyle w:val="Hyperlink"/>
            <w:rFonts w:ascii="Calibri" w:hAnsi="Calibri" w:cs="Calibri"/>
            <w:sz w:val="27"/>
            <w:szCs w:val="27"/>
            <w:shd w:val="clear" w:color="auto" w:fill="FEF1C4"/>
          </w:rPr>
          <w:t>https://assets.publishing.service.gov.uk/government/uploads/system/uploads/attachment_data/file/175454/response-policing-21st.pdf</w:t>
        </w:r>
      </w:hyperlink>
      <w:r>
        <w:rPr>
          <w:rFonts w:ascii="Calibri" w:hAnsi="Calibri" w:cs="Calibri"/>
          <w:color w:val="2C3E50"/>
          <w:sz w:val="27"/>
          <w:szCs w:val="27"/>
          <w:shd w:val="clear" w:color="auto" w:fill="FEF1C4"/>
        </w:rPr>
        <w:t>.</w:t>
      </w:r>
    </w:p>
    <w:p w14:paraId="68C59107" w14:textId="77777777" w:rsidR="008F20BA" w:rsidRDefault="008F20BA" w:rsidP="008F20BA">
      <w:pPr>
        <w:pStyle w:val="chapter-para"/>
        <w:shd w:val="clear" w:color="auto" w:fill="FFFFFF"/>
        <w:spacing w:line="408" w:lineRule="atLeast"/>
        <w:textAlignment w:val="baseline"/>
      </w:pPr>
    </w:p>
    <w:p w14:paraId="7E59A8F5" w14:textId="77777777" w:rsidR="008F20BA" w:rsidRDefault="008F20BA" w:rsidP="008F20BA">
      <w:pPr>
        <w:pStyle w:val="chapter-para"/>
        <w:shd w:val="clear" w:color="auto" w:fill="FFFFFF"/>
        <w:spacing w:line="408" w:lineRule="atLeast"/>
        <w:textAlignment w:val="baseline"/>
      </w:pPr>
      <w:r>
        <w:rPr>
          <w:rFonts w:ascii="Calibri" w:hAnsi="Calibri" w:cs="Calibri"/>
          <w:color w:val="2C3E50"/>
          <w:sz w:val="27"/>
          <w:szCs w:val="27"/>
          <w:shd w:val="clear" w:color="auto" w:fill="FEF1C4"/>
        </w:rPr>
        <w:t>Queensland H. (2017) </w:t>
      </w:r>
      <w:r>
        <w:rPr>
          <w:rFonts w:ascii="Calibri" w:hAnsi="Calibri" w:cs="Calibri"/>
          <w:i/>
          <w:iCs/>
          <w:color w:val="2C3E50"/>
          <w:sz w:val="27"/>
          <w:szCs w:val="27"/>
          <w:shd w:val="clear" w:color="auto" w:fill="FEF1C4"/>
        </w:rPr>
        <w:t>The medical effects of one punch on the human body | Queensland Health</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www.health.qld.gov.au</w:t>
      </w:r>
      <w:r>
        <w:rPr>
          <w:rFonts w:ascii="Calibri" w:hAnsi="Calibri" w:cs="Calibri"/>
          <w:color w:val="2C3E50"/>
          <w:sz w:val="27"/>
          <w:szCs w:val="27"/>
          <w:shd w:val="clear" w:color="auto" w:fill="FEF1C4"/>
        </w:rPr>
        <w:t>. Available at: https://www.health.qld.gov.au/news-events/news/one-punch-medical-effects-can-kill.</w:t>
      </w:r>
    </w:p>
    <w:p w14:paraId="50B3C307"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1B4DBF7C" w14:textId="77777777" w:rsidR="008F20BA" w:rsidRDefault="008F20BA" w:rsidP="008F20BA">
      <w:pPr>
        <w:pStyle w:val="chapter-para"/>
        <w:shd w:val="clear" w:color="auto" w:fill="FFFFFF"/>
        <w:spacing w:line="408" w:lineRule="atLeast"/>
        <w:textAlignment w:val="baseline"/>
        <w:rPr>
          <w:rFonts w:ascii="Roboto" w:hAnsi="Roboto"/>
          <w:color w:val="212121"/>
          <w:sz w:val="26"/>
          <w:szCs w:val="26"/>
          <w:shd w:val="clear" w:color="auto" w:fill="FFFFFF"/>
        </w:rPr>
      </w:pPr>
      <w:r>
        <w:rPr>
          <w:rFonts w:ascii="Roboto" w:hAnsi="Roboto"/>
          <w:color w:val="212121"/>
          <w:sz w:val="26"/>
          <w:szCs w:val="26"/>
          <w:shd w:val="clear" w:color="auto" w:fill="FFFFFF"/>
        </w:rPr>
        <w:t xml:space="preserve">Robertson R, Wray SJ, Maxwell M, Pratt RJ. The introduction of a healthy reading scheme for people with mental health problems: usage and experiences of health </w:t>
      </w:r>
      <w:r>
        <w:rPr>
          <w:rFonts w:ascii="Roboto" w:hAnsi="Roboto"/>
          <w:color w:val="212121"/>
          <w:sz w:val="26"/>
          <w:szCs w:val="26"/>
          <w:shd w:val="clear" w:color="auto" w:fill="FFFFFF"/>
        </w:rPr>
        <w:lastRenderedPageBreak/>
        <w:t>professionals and library staff. Ment Health Fam Med. 2008 Dec;5(4):219-28. PMID: 22477873; PMCID: PMC2777585.</w:t>
      </w:r>
    </w:p>
    <w:p w14:paraId="10B7A6A8" w14:textId="77777777" w:rsidR="008F20BA" w:rsidRDefault="008F20BA" w:rsidP="008F20BA">
      <w:pPr>
        <w:pStyle w:val="chapter-para"/>
        <w:shd w:val="clear" w:color="auto" w:fill="FFFFFF"/>
        <w:spacing w:line="408" w:lineRule="atLeast"/>
        <w:textAlignment w:val="baseline"/>
        <w:rPr>
          <w:rFonts w:ascii="Roboto" w:hAnsi="Roboto"/>
          <w:color w:val="212121"/>
          <w:sz w:val="26"/>
          <w:szCs w:val="26"/>
          <w:shd w:val="clear" w:color="auto" w:fill="FFFFFF"/>
        </w:rPr>
      </w:pPr>
    </w:p>
    <w:p w14:paraId="70812DC1"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snowdon, chris (2015) </w:t>
      </w:r>
      <w:r>
        <w:rPr>
          <w:rFonts w:ascii="Calibri" w:hAnsi="Calibri" w:cs="Calibri"/>
          <w:i/>
          <w:iCs/>
          <w:color w:val="2C3E50"/>
          <w:sz w:val="27"/>
          <w:szCs w:val="27"/>
          <w:shd w:val="clear" w:color="auto" w:fill="FEF1C4"/>
        </w:rPr>
        <w:t>Alcohol and the public purse: Do drinkers pay their way?</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iea.org.uk</w:t>
      </w:r>
      <w:r>
        <w:rPr>
          <w:rFonts w:ascii="Calibri" w:hAnsi="Calibri" w:cs="Calibri"/>
          <w:color w:val="2C3E50"/>
          <w:sz w:val="27"/>
          <w:szCs w:val="27"/>
          <w:shd w:val="clear" w:color="auto" w:fill="FEF1C4"/>
        </w:rPr>
        <w:t xml:space="preserve">. iea.org. Available at: </w:t>
      </w:r>
      <w:hyperlink r:id="rId44" w:history="1">
        <w:r w:rsidRPr="00C8316D">
          <w:rPr>
            <w:rStyle w:val="Hyperlink"/>
            <w:rFonts w:ascii="Calibri" w:hAnsi="Calibri" w:cs="Calibri"/>
            <w:sz w:val="27"/>
            <w:szCs w:val="27"/>
            <w:shd w:val="clear" w:color="auto" w:fill="FEF1C4"/>
          </w:rPr>
          <w:t>https://iea.org.uk/publications/research/alcohol-and-the-public-purse-do-drinkers-pay-their-way</w:t>
        </w:r>
      </w:hyperlink>
      <w:r>
        <w:rPr>
          <w:rFonts w:ascii="Calibri" w:hAnsi="Calibri" w:cs="Calibri"/>
          <w:color w:val="2C3E50"/>
          <w:sz w:val="27"/>
          <w:szCs w:val="27"/>
          <w:shd w:val="clear" w:color="auto" w:fill="FEF1C4"/>
        </w:rPr>
        <w:t>.</w:t>
      </w:r>
    </w:p>
    <w:p w14:paraId="26C54432"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78D5E809" w14:textId="77777777" w:rsidR="008F20BA" w:rsidRDefault="008F20BA" w:rsidP="008F20BA">
      <w:pPr>
        <w:pStyle w:val="chapter-para"/>
        <w:shd w:val="clear" w:color="auto" w:fill="FFFFFF"/>
        <w:spacing w:line="408" w:lineRule="atLeast"/>
        <w:textAlignment w:val="baseline"/>
        <w:rPr>
          <w:rStyle w:val="Hyperlink"/>
          <w:rFonts w:ascii="Merriweather" w:hAnsi="Merriweather"/>
        </w:rPr>
      </w:pPr>
      <w:r>
        <w:rPr>
          <w:rFonts w:ascii="Merriweather" w:hAnsi="Merriweather"/>
          <w:color w:val="2A2A2A"/>
        </w:rPr>
        <w:t xml:space="preserve">Solomos, J. (1999). Social Research and the Stephen Lawrence Inquiry. Sociological Research Online, 4(1), 124–128. </w:t>
      </w:r>
      <w:hyperlink r:id="rId45" w:history="1">
        <w:r>
          <w:rPr>
            <w:rStyle w:val="Hyperlink"/>
            <w:rFonts w:ascii="Merriweather" w:hAnsi="Merriweather"/>
          </w:rPr>
          <w:t>https://doi.org/10.5153/sro.236</w:t>
        </w:r>
      </w:hyperlink>
    </w:p>
    <w:p w14:paraId="4133921D" w14:textId="77777777" w:rsidR="008F20BA" w:rsidRDefault="008F20BA" w:rsidP="008F20BA">
      <w:pPr>
        <w:pStyle w:val="chapter-para"/>
        <w:shd w:val="clear" w:color="auto" w:fill="FFFFFF"/>
        <w:spacing w:line="408" w:lineRule="atLeast"/>
        <w:textAlignment w:val="baseline"/>
      </w:pPr>
    </w:p>
    <w:p w14:paraId="72792B4A"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Stress: Concepts, Cognition, Emotion, and Behavior,</w:t>
      </w:r>
    </w:p>
    <w:p w14:paraId="2D7E9E09"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Sugie, N.F. and Turney, K. (2017) ‘Beyond Incarceration: Criminal Justice Contact and Mental Health’, </w:t>
      </w:r>
      <w:r>
        <w:rPr>
          <w:rFonts w:ascii="Calibri" w:hAnsi="Calibri" w:cs="Calibri"/>
          <w:i/>
          <w:iCs/>
          <w:color w:val="2C3E50"/>
          <w:sz w:val="27"/>
          <w:szCs w:val="27"/>
          <w:shd w:val="clear" w:color="auto" w:fill="FEF1C4"/>
        </w:rPr>
        <w:t>American Sociological Review</w:t>
      </w:r>
      <w:r>
        <w:rPr>
          <w:rFonts w:ascii="Calibri" w:hAnsi="Calibri" w:cs="Calibri"/>
          <w:color w:val="2C3E50"/>
          <w:sz w:val="27"/>
          <w:szCs w:val="27"/>
          <w:shd w:val="clear" w:color="auto" w:fill="FEF1C4"/>
        </w:rPr>
        <w:t xml:space="preserve">, 82(4), pp. 719–743. Available at: </w:t>
      </w:r>
      <w:hyperlink r:id="rId46" w:history="1">
        <w:r w:rsidRPr="00C8316D">
          <w:rPr>
            <w:rStyle w:val="Hyperlink"/>
            <w:rFonts w:ascii="Calibri" w:hAnsi="Calibri" w:cs="Calibri"/>
            <w:sz w:val="27"/>
            <w:szCs w:val="27"/>
            <w:shd w:val="clear" w:color="auto" w:fill="FEF1C4"/>
          </w:rPr>
          <w:t>https://doi.org/10.1177/0003122417713188</w:t>
        </w:r>
      </w:hyperlink>
      <w:r>
        <w:rPr>
          <w:rFonts w:ascii="Calibri" w:hAnsi="Calibri" w:cs="Calibri"/>
          <w:color w:val="2C3E50"/>
          <w:sz w:val="27"/>
          <w:szCs w:val="27"/>
          <w:shd w:val="clear" w:color="auto" w:fill="FEF1C4"/>
        </w:rPr>
        <w:t>.</w:t>
      </w:r>
    </w:p>
    <w:p w14:paraId="6D818553" w14:textId="77777777" w:rsidR="008F20BA" w:rsidRDefault="008F20BA" w:rsidP="008F20BA">
      <w:pPr>
        <w:pStyle w:val="chapter-para"/>
        <w:shd w:val="clear" w:color="auto" w:fill="FFFFFF"/>
        <w:spacing w:line="408" w:lineRule="atLeast"/>
        <w:textAlignment w:val="baseline"/>
      </w:pPr>
    </w:p>
    <w:p w14:paraId="1CE4BAFD"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The Peelian Principles | UW Police</w:t>
      </w:r>
      <w:r>
        <w:rPr>
          <w:rFonts w:ascii="Calibri" w:hAnsi="Calibri" w:cs="Calibri"/>
          <w:color w:val="2C3E50"/>
          <w:sz w:val="27"/>
          <w:szCs w:val="27"/>
          <w:shd w:val="clear" w:color="auto" w:fill="FEF1C4"/>
        </w:rPr>
        <w:t> (no date) </w:t>
      </w:r>
      <w:r>
        <w:rPr>
          <w:rFonts w:ascii="Calibri" w:hAnsi="Calibri" w:cs="Calibri"/>
          <w:i/>
          <w:iCs/>
          <w:color w:val="2C3E50"/>
          <w:sz w:val="27"/>
          <w:szCs w:val="27"/>
          <w:shd w:val="clear" w:color="auto" w:fill="FEF1C4"/>
        </w:rPr>
        <w:t>University of Washington</w:t>
      </w:r>
      <w:r>
        <w:rPr>
          <w:rFonts w:ascii="Calibri" w:hAnsi="Calibri" w:cs="Calibri"/>
          <w:color w:val="2C3E50"/>
          <w:sz w:val="27"/>
          <w:szCs w:val="27"/>
          <w:shd w:val="clear" w:color="auto" w:fill="FEF1C4"/>
        </w:rPr>
        <w:t xml:space="preserve">. Available at: </w:t>
      </w:r>
      <w:hyperlink r:id="rId47" w:history="1">
        <w:r w:rsidRPr="00C8316D">
          <w:rPr>
            <w:rStyle w:val="Hyperlink"/>
            <w:rFonts w:ascii="Calibri" w:hAnsi="Calibri" w:cs="Calibri"/>
            <w:sz w:val="27"/>
            <w:szCs w:val="27"/>
            <w:shd w:val="clear" w:color="auto" w:fill="FEF1C4"/>
          </w:rPr>
          <w:t>http://police.uw.edu/faqs/the-peelian-principles/</w:t>
        </w:r>
      </w:hyperlink>
      <w:r>
        <w:rPr>
          <w:rFonts w:ascii="Calibri" w:hAnsi="Calibri" w:cs="Calibri"/>
          <w:color w:val="2C3E50"/>
          <w:sz w:val="27"/>
          <w:szCs w:val="27"/>
          <w:shd w:val="clear" w:color="auto" w:fill="FEF1C4"/>
        </w:rPr>
        <w:t>.</w:t>
      </w:r>
    </w:p>
    <w:p w14:paraId="0DE63CE0"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54BA235B" w14:textId="77777777" w:rsidR="008F20BA" w:rsidRDefault="008F20BA" w:rsidP="008F20BA">
      <w:pPr>
        <w:autoSpaceDN/>
        <w:spacing w:before="100" w:beforeAutospacing="1" w:after="100" w:afterAutospacing="1"/>
        <w:rPr>
          <w:rFonts w:cs="Calibri"/>
          <w:color w:val="2C3E50"/>
          <w:sz w:val="27"/>
          <w:szCs w:val="27"/>
          <w:shd w:val="clear" w:color="auto" w:fill="FEF1C4"/>
        </w:rPr>
      </w:pPr>
      <w:r>
        <w:rPr>
          <w:rFonts w:ascii="Calibri" w:hAnsi="Calibri" w:cs="Calibri"/>
          <w:i/>
          <w:iCs/>
          <w:color w:val="2C3E50"/>
          <w:sz w:val="27"/>
          <w:szCs w:val="27"/>
          <w:shd w:val="clear" w:color="auto" w:fill="FEF1C4"/>
        </w:rPr>
        <w:t>The Stephen Lawrence Inquiry Report - 20 Years On - Black History Month 2019</w:t>
      </w:r>
      <w:r>
        <w:rPr>
          <w:rFonts w:ascii="Calibri" w:hAnsi="Calibri" w:cs="Calibri"/>
          <w:color w:val="2C3E50"/>
          <w:sz w:val="27"/>
          <w:szCs w:val="27"/>
          <w:shd w:val="clear" w:color="auto" w:fill="FEF1C4"/>
        </w:rPr>
        <w:t> (2008) </w:t>
      </w:r>
      <w:r>
        <w:rPr>
          <w:rFonts w:ascii="Calibri" w:hAnsi="Calibri" w:cs="Calibri"/>
          <w:i/>
          <w:iCs/>
          <w:color w:val="2C3E50"/>
          <w:sz w:val="27"/>
          <w:szCs w:val="27"/>
          <w:shd w:val="clear" w:color="auto" w:fill="FEF1C4"/>
        </w:rPr>
        <w:t>Black History Month 2019</w:t>
      </w:r>
      <w:r>
        <w:rPr>
          <w:rFonts w:ascii="Calibri" w:hAnsi="Calibri" w:cs="Calibri"/>
          <w:color w:val="2C3E50"/>
          <w:sz w:val="27"/>
          <w:szCs w:val="27"/>
          <w:shd w:val="clear" w:color="auto" w:fill="FEF1C4"/>
        </w:rPr>
        <w:t xml:space="preserve">. Available at: </w:t>
      </w:r>
      <w:hyperlink r:id="rId48" w:history="1">
        <w:r w:rsidRPr="00C8316D">
          <w:rPr>
            <w:rStyle w:val="Hyperlink"/>
            <w:rFonts w:cs="Calibri"/>
            <w:sz w:val="27"/>
            <w:szCs w:val="27"/>
            <w:shd w:val="clear" w:color="auto" w:fill="FEF1C4"/>
          </w:rPr>
          <w:t>https://www.blackhistorymonth.org.uk/article/section/opinion/the-stephen-lawrence-inquiry-report-20-years-on/</w:t>
        </w:r>
      </w:hyperlink>
      <w:r>
        <w:rPr>
          <w:rFonts w:ascii="Calibri" w:hAnsi="Calibri" w:cs="Calibri"/>
          <w:color w:val="2C3E50"/>
          <w:sz w:val="27"/>
          <w:szCs w:val="27"/>
          <w:shd w:val="clear" w:color="auto" w:fill="FEF1C4"/>
        </w:rPr>
        <w:t>.</w:t>
      </w:r>
    </w:p>
    <w:p w14:paraId="03EB4CED" w14:textId="77777777" w:rsidR="008F20BA" w:rsidRDefault="008F20BA" w:rsidP="008F20BA">
      <w:pPr>
        <w:autoSpaceDN/>
        <w:spacing w:before="100" w:beforeAutospacing="1" w:after="100" w:afterAutospacing="1"/>
        <w:rPr>
          <w:rFonts w:cs="Calibri"/>
          <w:color w:val="2C3E50"/>
          <w:sz w:val="27"/>
          <w:szCs w:val="27"/>
          <w:shd w:val="clear" w:color="auto" w:fill="FEF1C4"/>
        </w:rPr>
      </w:pPr>
    </w:p>
    <w:p w14:paraId="74F2E507"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The University of Edinburgh (2020) </w:t>
      </w:r>
      <w:r>
        <w:rPr>
          <w:rFonts w:ascii="Calibri" w:hAnsi="Calibri" w:cs="Calibri"/>
          <w:i/>
          <w:iCs/>
          <w:color w:val="2C3E50"/>
          <w:sz w:val="27"/>
          <w:szCs w:val="27"/>
          <w:shd w:val="clear" w:color="auto" w:fill="FEF1C4"/>
        </w:rPr>
        <w:t>Gibbs’ Reflective Cycle</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The University of Edinburgh</w:t>
      </w:r>
      <w:r>
        <w:rPr>
          <w:rFonts w:ascii="Calibri" w:hAnsi="Calibri" w:cs="Calibri"/>
          <w:color w:val="2C3E50"/>
          <w:sz w:val="27"/>
          <w:szCs w:val="27"/>
          <w:shd w:val="clear" w:color="auto" w:fill="FEF1C4"/>
        </w:rPr>
        <w:t xml:space="preserve">. Available at: </w:t>
      </w:r>
      <w:hyperlink r:id="rId49" w:history="1">
        <w:r>
          <w:rPr>
            <w:rStyle w:val="Hyperlink"/>
            <w:rFonts w:ascii="Calibri" w:hAnsi="Calibri" w:cs="Calibri"/>
            <w:sz w:val="27"/>
            <w:szCs w:val="27"/>
            <w:shd w:val="clear" w:color="auto" w:fill="FEF1C4"/>
          </w:rPr>
          <w:t>https://www.ed.ac.uk/reflection/reflectors-toolkit/reflecting-on-experience/gibbs-reflective-cycle</w:t>
        </w:r>
      </w:hyperlink>
      <w:r>
        <w:rPr>
          <w:rFonts w:ascii="Calibri" w:hAnsi="Calibri" w:cs="Calibri"/>
          <w:color w:val="2C3E50"/>
          <w:sz w:val="27"/>
          <w:szCs w:val="27"/>
          <w:shd w:val="clear" w:color="auto" w:fill="FEF1C4"/>
        </w:rPr>
        <w:t>.</w:t>
      </w:r>
    </w:p>
    <w:p w14:paraId="254941F1" w14:textId="77777777" w:rsidR="008F20BA" w:rsidRDefault="008F20BA" w:rsidP="008F20BA">
      <w:pPr>
        <w:pStyle w:val="chapter-para"/>
        <w:shd w:val="clear" w:color="auto" w:fill="FFFFFF"/>
        <w:spacing w:line="408" w:lineRule="atLeast"/>
        <w:textAlignment w:val="baseline"/>
      </w:pPr>
    </w:p>
    <w:p w14:paraId="067392E5"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Understanding your rights</w:t>
      </w:r>
      <w:r>
        <w:rPr>
          <w:rFonts w:ascii="Calibri" w:hAnsi="Calibri" w:cs="Calibri"/>
          <w:color w:val="2C3E50"/>
          <w:sz w:val="27"/>
          <w:szCs w:val="27"/>
          <w:shd w:val="clear" w:color="auto" w:fill="FEF1C4"/>
        </w:rPr>
        <w:t> (no date). Available at: https://assets.publishing.service.gov.uk/government/uploads/system/uploads/attachm</w:t>
      </w:r>
      <w:r>
        <w:rPr>
          <w:rFonts w:ascii="Calibri" w:hAnsi="Calibri" w:cs="Calibri"/>
          <w:color w:val="2C3E50"/>
          <w:sz w:val="27"/>
          <w:szCs w:val="27"/>
          <w:shd w:val="clear" w:color="auto" w:fill="FEF1C4"/>
        </w:rPr>
        <w:lastRenderedPageBreak/>
        <w:t>ent_data/file/979234/victims-code-crime-leaflet-web.pdf#:~:text=Victims%20of%20crime%3A%20Understanding%20your%20rights%20If%20you (Accessed: 19 March 2023).</w:t>
      </w:r>
    </w:p>
    <w:p w14:paraId="1AD71497" w14:textId="77777777" w:rsidR="008F20BA" w:rsidRDefault="008F20BA" w:rsidP="008F20BA">
      <w:pPr>
        <w:pStyle w:val="chapter-para"/>
        <w:shd w:val="clear" w:color="auto" w:fill="FFFFFF"/>
        <w:spacing w:line="408" w:lineRule="atLeast"/>
        <w:textAlignment w:val="baseline"/>
      </w:pPr>
    </w:p>
    <w:p w14:paraId="483D9D93" w14:textId="77777777" w:rsidR="008F20BA" w:rsidRDefault="008F20BA" w:rsidP="008F20BA">
      <w:pPr>
        <w:pStyle w:val="chapter-para"/>
        <w:shd w:val="clear" w:color="auto" w:fill="FFFFFF"/>
        <w:spacing w:line="408" w:lineRule="atLeast"/>
        <w:textAlignment w:val="baseline"/>
        <w:rPr>
          <w:rFonts w:ascii="Merriweather" w:hAnsi="Merriweather"/>
          <w:color w:val="2A2A2A"/>
        </w:rPr>
      </w:pPr>
    </w:p>
    <w:p w14:paraId="7ED2FD7F"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Wallenfeldt, J. (2020) </w:t>
      </w:r>
      <w:r>
        <w:rPr>
          <w:rFonts w:ascii="Calibri" w:hAnsi="Calibri" w:cs="Calibri"/>
          <w:i/>
          <w:iCs/>
          <w:color w:val="2C3E50"/>
          <w:sz w:val="27"/>
          <w:szCs w:val="27"/>
          <w:shd w:val="clear" w:color="auto" w:fill="FEF1C4"/>
        </w:rPr>
        <w:t>The Troubles - Civil rights activism, the Battle of Bogside, and the arrival of the British army</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Encyclopedia Britannica</w:t>
      </w:r>
      <w:r>
        <w:rPr>
          <w:rFonts w:ascii="Calibri" w:hAnsi="Calibri" w:cs="Calibri"/>
          <w:color w:val="2C3E50"/>
          <w:sz w:val="27"/>
          <w:szCs w:val="27"/>
          <w:shd w:val="clear" w:color="auto" w:fill="FEF1C4"/>
        </w:rPr>
        <w:t xml:space="preserve">. Available at: </w:t>
      </w:r>
      <w:hyperlink r:id="rId50" w:history="1">
        <w:r w:rsidRPr="00C8316D">
          <w:rPr>
            <w:rStyle w:val="Hyperlink"/>
            <w:rFonts w:ascii="Calibri" w:hAnsi="Calibri" w:cs="Calibri"/>
            <w:sz w:val="27"/>
            <w:szCs w:val="27"/>
            <w:shd w:val="clear" w:color="auto" w:fill="FEF1C4"/>
          </w:rPr>
          <w:t>https://www.britannica.com/event/The-Troubles-Northern-Ireland-history/Civil-rights-activism-the-Battle-of-Bogside-and-the-arrival-of-the-British-army</w:t>
        </w:r>
      </w:hyperlink>
      <w:r>
        <w:rPr>
          <w:rFonts w:ascii="Calibri" w:hAnsi="Calibri" w:cs="Calibri"/>
          <w:color w:val="2C3E50"/>
          <w:sz w:val="27"/>
          <w:szCs w:val="27"/>
          <w:shd w:val="clear" w:color="auto" w:fill="FEF1C4"/>
        </w:rPr>
        <w:t>.</w:t>
      </w:r>
    </w:p>
    <w:p w14:paraId="7F53DCF4"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4F508B87"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i/>
          <w:iCs/>
          <w:color w:val="2C3E50"/>
          <w:sz w:val="27"/>
          <w:szCs w:val="27"/>
          <w:shd w:val="clear" w:color="auto" w:fill="FEF1C4"/>
        </w:rPr>
        <w:t>Why the United Kingdom’s ‘National Decision Making Model’ For Force is Not a Viable Option</w:t>
      </w:r>
      <w:r>
        <w:rPr>
          <w:rFonts w:ascii="Calibri" w:hAnsi="Calibri" w:cs="Calibri"/>
          <w:color w:val="2C3E50"/>
          <w:sz w:val="27"/>
          <w:szCs w:val="27"/>
          <w:shd w:val="clear" w:color="auto" w:fill="FEF1C4"/>
        </w:rPr>
        <w:t> (2016) </w:t>
      </w:r>
      <w:r>
        <w:rPr>
          <w:rFonts w:ascii="Calibri" w:hAnsi="Calibri" w:cs="Calibri"/>
          <w:i/>
          <w:iCs/>
          <w:color w:val="2C3E50"/>
          <w:sz w:val="27"/>
          <w:szCs w:val="27"/>
          <w:shd w:val="clear" w:color="auto" w:fill="FEF1C4"/>
        </w:rPr>
        <w:t>DLG Learning Center</w:t>
      </w:r>
      <w:r>
        <w:rPr>
          <w:rFonts w:ascii="Calibri" w:hAnsi="Calibri" w:cs="Calibri"/>
          <w:color w:val="2C3E50"/>
          <w:sz w:val="27"/>
          <w:szCs w:val="27"/>
          <w:shd w:val="clear" w:color="auto" w:fill="FEF1C4"/>
        </w:rPr>
        <w:t xml:space="preserve">. Available at: </w:t>
      </w:r>
      <w:hyperlink r:id="rId51" w:history="1">
        <w:r>
          <w:rPr>
            <w:rStyle w:val="Hyperlink"/>
            <w:rFonts w:ascii="Calibri" w:hAnsi="Calibri" w:cs="Calibri"/>
            <w:sz w:val="27"/>
            <w:szCs w:val="27"/>
            <w:shd w:val="clear" w:color="auto" w:fill="FEF1C4"/>
          </w:rPr>
          <w:t>https://dlglearningcenter.com/why-the-united-kingdoms-national-decision-making-model-for-force-is-not-a-viable-option/</w:t>
        </w:r>
      </w:hyperlink>
      <w:r>
        <w:rPr>
          <w:rFonts w:ascii="Calibri" w:hAnsi="Calibri" w:cs="Calibri"/>
          <w:color w:val="2C3E50"/>
          <w:sz w:val="27"/>
          <w:szCs w:val="27"/>
          <w:shd w:val="clear" w:color="auto" w:fill="FEF1C4"/>
        </w:rPr>
        <w:t>.</w:t>
      </w:r>
    </w:p>
    <w:p w14:paraId="6005A2DE" w14:textId="77777777" w:rsidR="008F20BA" w:rsidRDefault="008F20BA" w:rsidP="008F20BA">
      <w:pPr>
        <w:pStyle w:val="chapter-para"/>
        <w:shd w:val="clear" w:color="auto" w:fill="FFFFFF"/>
        <w:spacing w:line="408" w:lineRule="atLeast"/>
        <w:textAlignment w:val="baseline"/>
      </w:pPr>
    </w:p>
    <w:p w14:paraId="5345FCE8"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World Health Organization (2021) </w:t>
      </w:r>
      <w:r>
        <w:rPr>
          <w:rFonts w:ascii="Calibri" w:hAnsi="Calibri" w:cs="Calibri"/>
          <w:i/>
          <w:iCs/>
          <w:color w:val="2C3E50"/>
          <w:sz w:val="27"/>
          <w:szCs w:val="27"/>
          <w:shd w:val="clear" w:color="auto" w:fill="FEF1C4"/>
        </w:rPr>
        <w:t>Stress</w:t>
      </w:r>
      <w:r>
        <w:rPr>
          <w:rFonts w:ascii="Calibri" w:hAnsi="Calibri" w:cs="Calibri"/>
          <w:color w:val="2C3E50"/>
          <w:sz w:val="27"/>
          <w:szCs w:val="27"/>
          <w:shd w:val="clear" w:color="auto" w:fill="FEF1C4"/>
        </w:rPr>
        <w:t>, </w:t>
      </w:r>
      <w:r>
        <w:rPr>
          <w:rFonts w:ascii="Calibri" w:hAnsi="Calibri" w:cs="Calibri"/>
          <w:i/>
          <w:iCs/>
          <w:color w:val="2C3E50"/>
          <w:sz w:val="27"/>
          <w:szCs w:val="27"/>
          <w:shd w:val="clear" w:color="auto" w:fill="FEF1C4"/>
        </w:rPr>
        <w:t>www.who.int</w:t>
      </w:r>
      <w:r>
        <w:rPr>
          <w:rFonts w:ascii="Calibri" w:hAnsi="Calibri" w:cs="Calibri"/>
          <w:color w:val="2C3E50"/>
          <w:sz w:val="27"/>
          <w:szCs w:val="27"/>
          <w:shd w:val="clear" w:color="auto" w:fill="FEF1C4"/>
        </w:rPr>
        <w:t xml:space="preserve">. Available at: </w:t>
      </w:r>
      <w:hyperlink r:id="rId52" w:history="1">
        <w:r>
          <w:rPr>
            <w:rStyle w:val="Hyperlink"/>
            <w:rFonts w:ascii="Calibri" w:hAnsi="Calibri" w:cs="Calibri"/>
            <w:sz w:val="27"/>
            <w:szCs w:val="27"/>
            <w:shd w:val="clear" w:color="auto" w:fill="FEF1C4"/>
          </w:rPr>
          <w:t>https://www.who.int/news-room/questions-and-answers/item/stress</w:t>
        </w:r>
      </w:hyperlink>
      <w:r>
        <w:rPr>
          <w:rFonts w:ascii="Calibri" w:hAnsi="Calibri" w:cs="Calibri"/>
          <w:color w:val="2C3E50"/>
          <w:sz w:val="27"/>
          <w:szCs w:val="27"/>
          <w:shd w:val="clear" w:color="auto" w:fill="FEF1C4"/>
        </w:rPr>
        <w:t>.</w:t>
      </w:r>
    </w:p>
    <w:p w14:paraId="3F043D74" w14:textId="77777777" w:rsidR="008F20BA" w:rsidRDefault="008F20BA" w:rsidP="008F20BA">
      <w:pPr>
        <w:pStyle w:val="chapter-para"/>
        <w:shd w:val="clear" w:color="auto" w:fill="FFFFFF"/>
        <w:spacing w:line="408" w:lineRule="atLeast"/>
        <w:textAlignment w:val="baseline"/>
        <w:rPr>
          <w:rFonts w:ascii="Calibri" w:hAnsi="Calibri" w:cs="Calibri"/>
          <w:color w:val="2C3E50"/>
          <w:sz w:val="27"/>
          <w:szCs w:val="27"/>
          <w:shd w:val="clear" w:color="auto" w:fill="FEF1C4"/>
        </w:rPr>
      </w:pPr>
    </w:p>
    <w:p w14:paraId="20B65792" w14:textId="77777777" w:rsidR="008F20BA" w:rsidRDefault="008F20BA" w:rsidP="008F20BA">
      <w:pPr>
        <w:pStyle w:val="chapter-para"/>
        <w:shd w:val="clear" w:color="auto" w:fill="FFFFFF"/>
        <w:spacing w:line="408" w:lineRule="atLeast"/>
        <w:textAlignment w:val="baseline"/>
      </w:pPr>
      <w:r>
        <w:rPr>
          <w:rFonts w:ascii="Open Sans" w:hAnsi="Open Sans" w:cs="Open Sans"/>
          <w:color w:val="000000"/>
          <w:shd w:val="clear" w:color="auto" w:fill="FFFFFF"/>
        </w:rPr>
        <w:t>Yuan C, Wang Z, et al. Protective factors for posttraumatic stress disorder symptoms in a prospective study of police officers. Psychiatry Research, 2011, 188:45-50.</w:t>
      </w: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8661C" w14:textId="77777777" w:rsidR="00E87B37" w:rsidRDefault="00E87B37">
      <w:r>
        <w:separator/>
      </w:r>
    </w:p>
  </w:endnote>
  <w:endnote w:type="continuationSeparator" w:id="0">
    <w:p w14:paraId="7B5CD7DE" w14:textId="77777777" w:rsidR="00E87B37" w:rsidRDefault="00E87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Fira Sans">
    <w:charset w:val="00"/>
    <w:family w:val="swiss"/>
    <w:pitch w:val="variable"/>
    <w:sig w:usb0="600002FF" w:usb1="00000001" w:usb2="00000000" w:usb3="00000000" w:csb0="0000019F" w:csb1="00000000"/>
  </w:font>
  <w:font w:name="Merriweather">
    <w:charset w:val="00"/>
    <w:family w:val="auto"/>
    <w:pitch w:val="variable"/>
    <w:sig w:usb0="20000207" w:usb1="00000002" w:usb2="00000000" w:usb3="00000000" w:csb0="00000197" w:csb1="00000000"/>
  </w:font>
  <w:font w:name="Open Sans">
    <w:charset w:val="00"/>
    <w:family w:val="swiss"/>
    <w:pitch w:val="variable"/>
    <w:sig w:usb0="E00002EF" w:usb1="4000205B" w:usb2="00000028"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7BE57" w14:textId="77777777" w:rsidR="00E87B37" w:rsidRDefault="00E87B37">
      <w:r>
        <w:separator/>
      </w:r>
    </w:p>
  </w:footnote>
  <w:footnote w:type="continuationSeparator" w:id="0">
    <w:p w14:paraId="44E62DB6" w14:textId="77777777" w:rsidR="00E87B37" w:rsidRDefault="00E87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8496949">
    <w:abstractNumId w:val="38"/>
  </w:num>
  <w:num w:numId="2" w16cid:durableId="1649632347">
    <w:abstractNumId w:val="31"/>
  </w:num>
  <w:num w:numId="3" w16cid:durableId="946428198">
    <w:abstractNumId w:val="23"/>
  </w:num>
  <w:num w:numId="4" w16cid:durableId="108160702">
    <w:abstractNumId w:val="1"/>
    <w:lvlOverride w:ilvl="0">
      <w:lvl w:ilvl="0">
        <w:start w:val="1"/>
        <w:numFmt w:val="bullet"/>
        <w:lvlText w:val=""/>
        <w:lvlJc w:val="left"/>
        <w:pPr>
          <w:ind w:left="720" w:hanging="360"/>
        </w:pPr>
        <w:rPr>
          <w:rFonts w:ascii="Symbol" w:hAnsi="Symbol" w:hint="default"/>
        </w:rPr>
      </w:lvl>
    </w:lvlOverride>
  </w:num>
  <w:num w:numId="5" w16cid:durableId="2047757984">
    <w:abstractNumId w:val="21"/>
  </w:num>
  <w:num w:numId="6" w16cid:durableId="1817339399">
    <w:abstractNumId w:val="45"/>
  </w:num>
  <w:num w:numId="7" w16cid:durableId="962804515">
    <w:abstractNumId w:val="47"/>
  </w:num>
  <w:num w:numId="8" w16cid:durableId="1661738137">
    <w:abstractNumId w:val="34"/>
  </w:num>
  <w:num w:numId="9" w16cid:durableId="1585407481">
    <w:abstractNumId w:val="32"/>
  </w:num>
  <w:num w:numId="10" w16cid:durableId="152573982">
    <w:abstractNumId w:val="28"/>
  </w:num>
  <w:num w:numId="11" w16cid:durableId="2141141628">
    <w:abstractNumId w:val="29"/>
  </w:num>
  <w:num w:numId="12" w16cid:durableId="2132742672">
    <w:abstractNumId w:val="9"/>
  </w:num>
  <w:num w:numId="13" w16cid:durableId="257491144">
    <w:abstractNumId w:val="33"/>
  </w:num>
  <w:num w:numId="14" w16cid:durableId="1478646401">
    <w:abstractNumId w:val="16"/>
  </w:num>
  <w:num w:numId="15" w16cid:durableId="645360491">
    <w:abstractNumId w:val="15"/>
  </w:num>
  <w:num w:numId="16" w16cid:durableId="1888638717">
    <w:abstractNumId w:val="26"/>
  </w:num>
  <w:num w:numId="17" w16cid:durableId="1437097720">
    <w:abstractNumId w:val="7"/>
  </w:num>
  <w:num w:numId="18" w16cid:durableId="494493294">
    <w:abstractNumId w:val="25"/>
  </w:num>
  <w:num w:numId="19" w16cid:durableId="1859081470">
    <w:abstractNumId w:val="14"/>
  </w:num>
  <w:num w:numId="20" w16cid:durableId="175388253">
    <w:abstractNumId w:val="12"/>
  </w:num>
  <w:num w:numId="21" w16cid:durableId="166555208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46766668">
    <w:abstractNumId w:val="22"/>
  </w:num>
  <w:num w:numId="23" w16cid:durableId="1947616571">
    <w:abstractNumId w:val="17"/>
  </w:num>
  <w:num w:numId="24" w16cid:durableId="2088651439">
    <w:abstractNumId w:val="13"/>
  </w:num>
  <w:num w:numId="25" w16cid:durableId="1040011775">
    <w:abstractNumId w:val="10"/>
  </w:num>
  <w:num w:numId="26" w16cid:durableId="890194051">
    <w:abstractNumId w:val="27"/>
  </w:num>
  <w:num w:numId="27" w16cid:durableId="54818711">
    <w:abstractNumId w:val="18"/>
  </w:num>
  <w:num w:numId="28" w16cid:durableId="642927372">
    <w:abstractNumId w:val="41"/>
  </w:num>
  <w:num w:numId="29" w16cid:durableId="101071745">
    <w:abstractNumId w:val="35"/>
  </w:num>
  <w:num w:numId="30" w16cid:durableId="1516117869">
    <w:abstractNumId w:val="40"/>
  </w:num>
  <w:num w:numId="31" w16cid:durableId="1309280684">
    <w:abstractNumId w:val="19"/>
  </w:num>
  <w:num w:numId="32" w16cid:durableId="1734306452">
    <w:abstractNumId w:val="43"/>
  </w:num>
  <w:num w:numId="33" w16cid:durableId="1401707758">
    <w:abstractNumId w:val="30"/>
  </w:num>
  <w:num w:numId="34" w16cid:durableId="1355887209">
    <w:abstractNumId w:val="11"/>
  </w:num>
  <w:num w:numId="35" w16cid:durableId="731736186">
    <w:abstractNumId w:val="44"/>
  </w:num>
  <w:num w:numId="36" w16cid:durableId="608199709">
    <w:abstractNumId w:val="39"/>
  </w:num>
  <w:num w:numId="37" w16cid:durableId="964850176">
    <w:abstractNumId w:val="4"/>
  </w:num>
  <w:num w:numId="38" w16cid:durableId="1545412978">
    <w:abstractNumId w:val="46"/>
  </w:num>
  <w:num w:numId="39" w16cid:durableId="270170897">
    <w:abstractNumId w:val="42"/>
  </w:num>
  <w:num w:numId="40" w16cid:durableId="702708082">
    <w:abstractNumId w:val="36"/>
  </w:num>
  <w:num w:numId="41" w16cid:durableId="1413425880">
    <w:abstractNumId w:val="37"/>
  </w:num>
  <w:num w:numId="42" w16cid:durableId="756100667">
    <w:abstractNumId w:val="3"/>
  </w:num>
  <w:num w:numId="43" w16cid:durableId="1602761314">
    <w:abstractNumId w:val="5"/>
  </w:num>
  <w:num w:numId="44" w16cid:durableId="1989480664">
    <w:abstractNumId w:val="24"/>
  </w:num>
  <w:num w:numId="45" w16cid:durableId="352656183">
    <w:abstractNumId w:val="6"/>
  </w:num>
  <w:num w:numId="46" w16cid:durableId="418064940">
    <w:abstractNumId w:val="2"/>
  </w:num>
  <w:num w:numId="47" w16cid:durableId="851987902">
    <w:abstractNumId w:val="0"/>
  </w:num>
  <w:num w:numId="48" w16cid:durableId="989944654">
    <w:abstractNumId w:val="20"/>
  </w:num>
  <w:num w:numId="49" w16cid:durableId="90919389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0B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4751E"/>
    <w:rsid w:val="00E50821"/>
    <w:rsid w:val="00E51F91"/>
    <w:rsid w:val="00E6298B"/>
    <w:rsid w:val="00E7086E"/>
    <w:rsid w:val="00E7374A"/>
    <w:rsid w:val="00E73C41"/>
    <w:rsid w:val="00E7598F"/>
    <w:rsid w:val="00E76F60"/>
    <w:rsid w:val="00E83D90"/>
    <w:rsid w:val="00E83F28"/>
    <w:rsid w:val="00E83F91"/>
    <w:rsid w:val="00E87B37"/>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customStyle="1" w:styleId="legclearfix">
    <w:name w:val="legclearfix"/>
    <w:basedOn w:val="Normal"/>
    <w:rsid w:val="008F20BA"/>
    <w:pPr>
      <w:overflowPunct/>
      <w:autoSpaceDE/>
      <w:adjustRightInd/>
      <w:spacing w:before="100" w:after="100"/>
      <w:textAlignment w:val="auto"/>
    </w:pPr>
    <w:rPr>
      <w:rFonts w:ascii="Times New Roman" w:hAnsi="Times New Roman" w:cs="Times New Roman"/>
      <w:color w:val="auto"/>
      <w:sz w:val="24"/>
      <w:szCs w:val="24"/>
    </w:rPr>
  </w:style>
  <w:style w:type="character" w:customStyle="1" w:styleId="legaddition">
    <w:name w:val="legaddition"/>
    <w:basedOn w:val="DefaultParagraphFont"/>
    <w:rsid w:val="008F20BA"/>
  </w:style>
  <w:style w:type="paragraph" w:customStyle="1" w:styleId="legrhs">
    <w:name w:val="legrhs"/>
    <w:basedOn w:val="Normal"/>
    <w:rsid w:val="008F20BA"/>
    <w:pPr>
      <w:overflowPunct/>
      <w:autoSpaceDE/>
      <w:adjustRightInd/>
      <w:spacing w:before="100" w:after="100"/>
      <w:textAlignment w:val="auto"/>
    </w:pPr>
    <w:rPr>
      <w:rFonts w:ascii="Times New Roman" w:hAnsi="Times New Roman" w:cs="Times New Roman"/>
      <w:color w:val="auto"/>
      <w:sz w:val="24"/>
      <w:szCs w:val="24"/>
    </w:rPr>
  </w:style>
  <w:style w:type="character" w:styleId="Emphasis">
    <w:name w:val="Emphasis"/>
    <w:basedOn w:val="DefaultParagraphFont"/>
    <w:rsid w:val="008F20BA"/>
    <w:rPr>
      <w:i/>
      <w:iCs/>
    </w:rPr>
  </w:style>
  <w:style w:type="paragraph" w:customStyle="1" w:styleId="chapter-para">
    <w:name w:val="chapter-para"/>
    <w:basedOn w:val="Normal"/>
    <w:rsid w:val="008F20BA"/>
    <w:pPr>
      <w:suppressAutoHyphens/>
      <w:overflowPunct/>
      <w:autoSpaceDE/>
      <w:adjustRightInd/>
      <w:spacing w:before="100" w:after="100"/>
      <w:textAlignment w:val="auto"/>
    </w:pPr>
    <w:rPr>
      <w:rFonts w:ascii="Times New Roman" w:hAnsi="Times New Roman" w:cs="Times New Roman"/>
      <w:color w:val="auto"/>
      <w:sz w:val="24"/>
      <w:szCs w:val="24"/>
    </w:rPr>
  </w:style>
  <w:style w:type="paragraph" w:styleId="NormalWeb">
    <w:name w:val="Normal (Web)"/>
    <w:basedOn w:val="Normal"/>
    <w:uiPriority w:val="99"/>
    <w:rsid w:val="008F20BA"/>
    <w:pPr>
      <w:overflowPunct/>
      <w:autoSpaceDE/>
      <w:adjustRightInd/>
      <w:spacing w:before="100" w:after="100"/>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footer" Target="footer2.xml"/><Relationship Id="rId26" Type="http://schemas.openxmlformats.org/officeDocument/2006/relationships/hyperlink" Target="https://www.bbc.com/news/explainers-53337780" TargetMode="External"/><Relationship Id="rId39" Type="http://schemas.openxmlformats.org/officeDocument/2006/relationships/hyperlink" Target="https://doi.org/10.1080/10439463.2021.1999447" TargetMode="External"/><Relationship Id="rId21" Type="http://schemas.openxmlformats.org/officeDocument/2006/relationships/hyperlink" Target="https://www.equalityhumanrights.com/en/human-rights-act/article-2-right-life#:~:text=Article%202%20of%20the%20Human%20Rights%20Act%20protects" TargetMode="External"/><Relationship Id="rId34" Type="http://schemas.openxmlformats.org/officeDocument/2006/relationships/hyperlink" Target="https://www.police-foundation.org.uk/2017/wp-content/uploads/2010/10/insight_paper_1.pdf" TargetMode="External"/><Relationship Id="rId42" Type="http://schemas.openxmlformats.org/officeDocument/2006/relationships/hyperlink" Target="https://www.ons.gov.uk/peoplepopulationandcommunity/crimeandjustice/bulletins/crimeinenglandandwales/yearendingseptember2021" TargetMode="External"/><Relationship Id="rId47" Type="http://schemas.openxmlformats.org/officeDocument/2006/relationships/hyperlink" Target="http://police.uw.edu/faqs/the-peelian-principles/" TargetMode="External"/><Relationship Id="rId50" Type="http://schemas.openxmlformats.org/officeDocument/2006/relationships/hyperlink" Target="https://www.britannica.com/event/The-Troubles-Northern-Ireland-history/Civil-rights-activism-the-Battle-of-Bogside-and-the-arrival-of-the-British-army" TargetMode="External"/><Relationship Id="rId55"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mailto:21%334%3361@%73%74udent.%75%77t%73%64.%61%63%2eu%6b" TargetMode="External"/><Relationship Id="rId17" Type="http://schemas.openxmlformats.org/officeDocument/2006/relationships/footer" Target="footer1.xml"/><Relationship Id="rId25" Type="http://schemas.openxmlformats.org/officeDocument/2006/relationships/hyperlink" Target="https://www.theguardian.com/uk-news/2022/apr/13/mother-woman-murdered-dressing-as-goth-dies-suddenly-sophie-sylvia-lancaster-" TargetMode="External"/><Relationship Id="rId33" Type="http://schemas.openxmlformats.org/officeDocument/2006/relationships/hyperlink" Target="https://www.healthline.com/health/aggressive-behavior" TargetMode="External"/><Relationship Id="rId38" Type="http://schemas.openxmlformats.org/officeDocument/2006/relationships/hyperlink" Target="https://www.legislation.gov.uk/ukpga/1986/64/section/4A" TargetMode="External"/><Relationship Id="rId46" Type="http://schemas.openxmlformats.org/officeDocument/2006/relationships/hyperlink" Target="https://doi.org/10.1177/0003122417713188"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college.police.uk/career-learning/policing-education-qualifications-framework-peqf" TargetMode="External"/><Relationship Id="rId41" Type="http://schemas.openxmlformats.org/officeDocument/2006/relationships/hyperlink" Target="https://www.ons.gov.uk/peoplepopulationandcommunity/crimeandjustice/articles/domesticabuseprevalenceandtrendsenglandandwales/yearendingmarch2021"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210/jcem.91.2.9994" TargetMode="External"/><Relationship Id="rId32" Type="http://schemas.openxmlformats.org/officeDocument/2006/relationships/hyperlink" Target="https://www.nhs.uk/live-well/exercise/exercise-guidelines/" TargetMode="External"/><Relationship Id="rId37" Type="http://schemas.openxmlformats.org/officeDocument/2006/relationships/hyperlink" Target="https://www.karpmandramatriangle.com/pdf/DramaTriangle.pdf" TargetMode="External"/><Relationship Id="rId40" Type="http://schemas.openxmlformats.org/officeDocument/2006/relationships/hyperlink" Target="https://doi.org/10.1016/j.maturitas.2017.09.003" TargetMode="External"/><Relationship Id="rId45" Type="http://schemas.openxmlformats.org/officeDocument/2006/relationships/hyperlink" Target="https://doi.org/10.5153/sro.236"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oi.org/10.1186/s40359-020-00399-0"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hyperlink" Target="https://papers.ssrn.com/sol3/papers.cfm?abstract_id=2168702" TargetMode="External"/><Relationship Id="rId49" Type="http://schemas.openxmlformats.org/officeDocument/2006/relationships/hyperlink" Target="https://www.ed.ac.uk/reflection/reflectors-toolkit/reflecting-on-experience/gibbs-reflective-cycle"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legislation.gov.uk/ukpga/1967/80/section/91" TargetMode="External"/><Relationship Id="rId44" Type="http://schemas.openxmlformats.org/officeDocument/2006/relationships/hyperlink" Target="https://iea.org.uk/publications/research/alcohol-and-the-public-purse-do-drinkers-pay-their-way" TargetMode="External"/><Relationship Id="rId52" Type="http://schemas.openxmlformats.org/officeDocument/2006/relationships/hyperlink" Target="https://www.who.int/news-room/questions-and-answers/item/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 Id="rId22" Type="http://schemas.openxmlformats.org/officeDocument/2006/relationships/hyperlink" Target="https://www.college.police.uk/ethics/code-of-ethics"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cps.gov.uk/legal-guidance/special-measures" TargetMode="External"/><Relationship Id="rId35" Type="http://schemas.openxmlformats.org/officeDocument/2006/relationships/hyperlink" Target="https://www.gov.uk/government/publications/pace-code-g-2012" TargetMode="External"/><Relationship Id="rId43" Type="http://schemas.openxmlformats.org/officeDocument/2006/relationships/hyperlink" Target="https://assets.publishing.service.gov.uk/government/uploads/system/uploads/attachment_data/file/175454/response-policing-21st.pdf" TargetMode="External"/><Relationship Id="rId48" Type="http://schemas.openxmlformats.org/officeDocument/2006/relationships/hyperlink" Target="https://www.blackhistorymonth.org.uk/article/section/opinion/the-stephen-lawrence-inquiry-report-20-years-on/" TargetMode="External"/><Relationship Id="rId8" Type="http://schemas.openxmlformats.org/officeDocument/2006/relationships/webSettings" Target="webSettings.xml"/><Relationship Id="rId51" Type="http://schemas.openxmlformats.org/officeDocument/2006/relationships/hyperlink" Target="https://dlglearningcenter.com/why-the-united-kingdoms-national-decision-making-model-for-force-is-not-a-viable-option/"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10401</Words>
  <Characters>59287</Characters>
  <Application>Microsoft Office Word</Application>
  <DocSecurity>0</DocSecurity>
  <Lines>494</Lines>
  <Paragraphs>139</Paragraphs>
  <ScaleCrop>false</ScaleCrop>
  <Company>Powys County Council</Company>
  <LinksUpToDate>false</LinksUpToDate>
  <CharactersWithSpaces>69549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Bell, Patrick</cp:lastModifiedBy>
  <cp:revision>2</cp:revision>
  <cp:lastPrinted>2019-08-13T11:47:00Z</cp:lastPrinted>
  <dcterms:created xsi:type="dcterms:W3CDTF">2023-04-10T06:19:00Z</dcterms:created>
  <dcterms:modified xsi:type="dcterms:W3CDTF">2023-04-10T06:19:00Z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2023-02-19T09:54:51Z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3e0c43ab-55dc-46c2-a239-240ed14813d4</vt:lpwstr>
  </property>
  <property fmtid="{D5CDD505-2E9C-101B-9397-08002B2CF9AE}" pid="9" name="MSIP_Label_f2acd28b-79a3-4a0f-b0ff-4b75658b1549_ContentBits">
    <vt:lpwstr>0</vt:lpwstr>
  </property>
</Properties>
</file>