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8BA9D0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B0863">
              <w:rPr>
                <w:rFonts w:ascii="Times New Roman" w:hAnsi="Times New Roman" w:cs="Times New Roman"/>
                <w:b/>
                <w:color w:val="auto"/>
                <w:sz w:val="48"/>
              </w:rPr>
              <w:t>Kerry Vaughan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0AFEBD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B0863">
              <w:rPr>
                <w:rFonts w:ascii="Times New Roman" w:hAnsi="Times New Roman" w:cs="Times New Roman"/>
                <w:b/>
                <w:color w:val="auto"/>
                <w:sz w:val="48"/>
              </w:rPr>
              <w:t>2518219@student.Uwtd.ac.uk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F8EDD24" w14:textId="01111119" w:rsidR="004B0863" w:rsidRPr="005D3F07" w:rsidRDefault="004B086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2518219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422EEE8"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C32BE8">
        <w:rPr>
          <w:sz w:val="24"/>
          <w:szCs w:val="24"/>
        </w:rPr>
        <w:t>13.03.2026</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368881F1" w14:textId="77777777" w:rsidR="00B20A3B" w:rsidRPr="00B20A3B" w:rsidRDefault="00B20A3B" w:rsidP="00B20A3B">
            <w:pPr>
              <w:overflowPunct/>
              <w:autoSpaceDE/>
              <w:autoSpaceDN/>
              <w:adjustRightInd/>
              <w:spacing w:line="300" w:lineRule="atLeast"/>
              <w:textAlignment w:val="auto"/>
              <w:rPr>
                <w:rFonts w:ascii="Segoe UI" w:hAnsi="Segoe UI" w:cs="Segoe UI"/>
                <w:color w:val="auto"/>
                <w:sz w:val="21"/>
                <w:szCs w:val="21"/>
              </w:rPr>
            </w:pPr>
            <w:r w:rsidRPr="00B20A3B">
              <w:rPr>
                <w:rFonts w:ascii="Segoe UI" w:hAnsi="Segoe UI" w:cs="Segoe UI"/>
                <w:color w:val="auto"/>
                <w:sz w:val="21"/>
                <w:szCs w:val="21"/>
              </w:rPr>
              <w:t>The purpose of this observed visit was to complete the Steps to Change ladder with the mother as part of the Effective Child Protection (ECP) practice framework, which promotes collaborative conversations, shared understanding and transparency within child protection work (Effective Child Protection, n.d.). The social work objective was to support the mother to reflect on progress following completion of a two-week residential detoxification programme whilst identifying changes required to reduce risk and meet Child Protection Plan expectations.</w:t>
            </w:r>
          </w:p>
          <w:p w14:paraId="2DEDBFA3" w14:textId="77777777" w:rsidR="00B20A3B" w:rsidRPr="00B20A3B" w:rsidRDefault="00B20A3B" w:rsidP="00B20A3B">
            <w:pPr>
              <w:overflowPunct/>
              <w:autoSpaceDE/>
              <w:autoSpaceDN/>
              <w:adjustRightInd/>
              <w:spacing w:line="300" w:lineRule="atLeast"/>
              <w:textAlignment w:val="auto"/>
              <w:rPr>
                <w:rFonts w:ascii="Segoe UI" w:hAnsi="Segoe UI" w:cs="Segoe UI"/>
                <w:color w:val="auto"/>
                <w:sz w:val="21"/>
                <w:szCs w:val="21"/>
              </w:rPr>
            </w:pPr>
            <w:r w:rsidRPr="00B20A3B">
              <w:rPr>
                <w:rFonts w:ascii="Segoe UI" w:hAnsi="Segoe UI" w:cs="Segoe UI"/>
                <w:color w:val="auto"/>
                <w:sz w:val="21"/>
                <w:szCs w:val="21"/>
              </w:rPr>
              <w:t xml:space="preserve">The child had been subject to Child Protection procedures for approximately 12 weeks due to parental substance misuse concerns. The visit took place within the family home in a coastal town in Wales. The family had relocated from an English </w:t>
            </w:r>
            <w:proofErr w:type="gramStart"/>
            <w:r w:rsidRPr="00B20A3B">
              <w:rPr>
                <w:rFonts w:ascii="Segoe UI" w:hAnsi="Segoe UI" w:cs="Segoe UI"/>
                <w:color w:val="auto"/>
                <w:sz w:val="21"/>
                <w:szCs w:val="21"/>
              </w:rPr>
              <w:t>city</w:t>
            </w:r>
            <w:proofErr w:type="gramEnd"/>
            <w:r w:rsidRPr="00B20A3B">
              <w:rPr>
                <w:rFonts w:ascii="Segoe UI" w:hAnsi="Segoe UI" w:cs="Segoe UI"/>
                <w:color w:val="auto"/>
                <w:sz w:val="21"/>
                <w:szCs w:val="21"/>
              </w:rPr>
              <w:t xml:space="preserve"> and English was the mother's preferred language. Consistent with the principles of More than Just Words (Welsh Government, 2012) and its refreshed Welsh Language Plan 2022-2027 (Welsh Government, 2022a), language preference was explored proactively rather than assumed. The framework promotes the principle of the Active Offer, whereby individuals are offered services in their preferred language without having to request them (Welsh Government, 2022a).</w:t>
            </w:r>
          </w:p>
          <w:p w14:paraId="14DD95D4" w14:textId="77777777" w:rsidR="00B20A3B" w:rsidRPr="00B20A3B" w:rsidRDefault="00B20A3B" w:rsidP="00B20A3B">
            <w:pPr>
              <w:overflowPunct/>
              <w:autoSpaceDE/>
              <w:autoSpaceDN/>
              <w:adjustRightInd/>
              <w:spacing w:line="300" w:lineRule="atLeast"/>
              <w:textAlignment w:val="auto"/>
              <w:rPr>
                <w:rFonts w:ascii="Segoe UI" w:hAnsi="Segoe UI" w:cs="Segoe UI"/>
                <w:color w:val="auto"/>
                <w:sz w:val="21"/>
                <w:szCs w:val="21"/>
              </w:rPr>
            </w:pPr>
            <w:r w:rsidRPr="00B20A3B">
              <w:rPr>
                <w:rFonts w:ascii="Segoe UI" w:hAnsi="Segoe UI" w:cs="Segoe UI"/>
                <w:color w:val="auto"/>
                <w:sz w:val="21"/>
                <w:szCs w:val="21"/>
              </w:rPr>
              <w:t>Whilst language was not a barrier, I recognise that for some individuals, particularly first-language Welsh speakers, communication in their preferred language is essential to assessment and participation. Reflecting on my practice, limited use of Welsh can help build rapport and support engagement. This reinforced the importance of considering language needs and offering Welsh language services.</w:t>
            </w:r>
          </w:p>
          <w:p w14:paraId="13C98FAE" w14:textId="77777777" w:rsidR="00B20A3B" w:rsidRPr="00B20A3B" w:rsidRDefault="00B20A3B" w:rsidP="00B20A3B">
            <w:pPr>
              <w:overflowPunct/>
              <w:autoSpaceDE/>
              <w:autoSpaceDN/>
              <w:adjustRightInd/>
              <w:spacing w:line="300" w:lineRule="atLeast"/>
              <w:textAlignment w:val="auto"/>
              <w:rPr>
                <w:rFonts w:ascii="Segoe UI" w:hAnsi="Segoe UI" w:cs="Segoe UI"/>
                <w:color w:val="auto"/>
                <w:sz w:val="21"/>
                <w:szCs w:val="21"/>
              </w:rPr>
            </w:pPr>
            <w:r w:rsidRPr="00B20A3B">
              <w:rPr>
                <w:rFonts w:ascii="Segoe UI" w:hAnsi="Segoe UI" w:cs="Segoe UI"/>
                <w:color w:val="auto"/>
                <w:sz w:val="21"/>
                <w:szCs w:val="21"/>
              </w:rPr>
              <w:t>The session was supported through accessible language and visual resources to promote participation. This strengthened my person-centred practice.</w:t>
            </w:r>
          </w:p>
          <w:p w14:paraId="3699B963" w14:textId="77777777" w:rsidR="00B20A3B" w:rsidRDefault="00B20A3B" w:rsidP="00B20A3B">
            <w:pPr>
              <w:overflowPunct/>
              <w:autoSpaceDE/>
              <w:autoSpaceDN/>
              <w:adjustRightInd/>
              <w:spacing w:line="300" w:lineRule="atLeast"/>
              <w:textAlignment w:val="auto"/>
              <w:rPr>
                <w:rFonts w:ascii="Segoe UI" w:hAnsi="Segoe UI" w:cs="Segoe UI"/>
                <w:color w:val="auto"/>
                <w:sz w:val="21"/>
                <w:szCs w:val="21"/>
              </w:rPr>
            </w:pPr>
            <w:r w:rsidRPr="00B20A3B">
              <w:rPr>
                <w:rFonts w:ascii="Segoe UI" w:hAnsi="Segoe UI" w:cs="Segoe UI"/>
                <w:color w:val="auto"/>
                <w:sz w:val="21"/>
                <w:szCs w:val="21"/>
              </w:rPr>
              <w:t>The intervention was informed by the Social Services and Well-being (Wales) Act 2014 (Welsh Government, 2014) and the Code of Professional Practice for Social Care (Social Care Wales, 2017), supporting participation, well-being and professional accountability. Prior to the visit, informed consent was obtained regarding both the intervention and observation. Recognising the power imbalance inherent within statutory child protection work, I viewed consent as an ongoing process and adopted a transparent, strengths-based approach to support meaningful participation throughout.</w:t>
            </w:r>
          </w:p>
          <w:p w14:paraId="08F7C714" w14:textId="77777777" w:rsidR="00DC3350" w:rsidRDefault="00DC3350" w:rsidP="00B20A3B">
            <w:pPr>
              <w:overflowPunct/>
              <w:autoSpaceDE/>
              <w:autoSpaceDN/>
              <w:adjustRightInd/>
              <w:spacing w:line="300" w:lineRule="atLeast"/>
              <w:textAlignment w:val="auto"/>
              <w:rPr>
                <w:rFonts w:ascii="Segoe UI" w:hAnsi="Segoe UI" w:cs="Segoe UI"/>
                <w:color w:val="auto"/>
                <w:sz w:val="21"/>
                <w:szCs w:val="21"/>
              </w:rPr>
            </w:pPr>
          </w:p>
          <w:p w14:paraId="33C54A75" w14:textId="569B681E" w:rsidR="00DC3350" w:rsidRPr="00B20A3B" w:rsidRDefault="00DC3350" w:rsidP="00B20A3B">
            <w:pPr>
              <w:overflowPunct/>
              <w:autoSpaceDE/>
              <w:autoSpaceDN/>
              <w:adjustRightInd/>
              <w:spacing w:line="300" w:lineRule="atLeast"/>
              <w:textAlignment w:val="auto"/>
              <w:rPr>
                <w:rFonts w:ascii="Segoe UI" w:hAnsi="Segoe UI" w:cs="Segoe UI"/>
                <w:color w:val="auto"/>
                <w:sz w:val="21"/>
                <w:szCs w:val="21"/>
              </w:rPr>
            </w:pPr>
            <w:r>
              <w:rPr>
                <w:rFonts w:ascii="Segoe UI" w:hAnsi="Segoe UI" w:cs="Segoe UI"/>
                <w:color w:val="auto"/>
                <w:sz w:val="21"/>
                <w:szCs w:val="21"/>
              </w:rPr>
              <w:t>Word Count 331</w:t>
            </w: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DDF4760" w14:textId="77777777" w:rsidR="00237FDF" w:rsidRDefault="00237FDF" w:rsidP="00243DB0">
            <w:pPr>
              <w:jc w:val="both"/>
              <w:rPr>
                <w:i/>
                <w:sz w:val="24"/>
                <w:szCs w:val="24"/>
              </w:rPr>
            </w:pPr>
          </w:p>
          <w:p w14:paraId="64A31E28" w14:textId="77777777" w:rsidR="00237FDF" w:rsidRDefault="00237FDF" w:rsidP="00243DB0">
            <w:pPr>
              <w:jc w:val="both"/>
              <w:rPr>
                <w:i/>
                <w:sz w:val="24"/>
                <w:szCs w:val="24"/>
              </w:rPr>
            </w:pPr>
          </w:p>
          <w:p w14:paraId="7B0622DB" w14:textId="77777777"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 xml:space="preserve">Using </w:t>
            </w:r>
            <w:r w:rsidRPr="009F54E2">
              <w:rPr>
                <w:rFonts w:ascii="Segoe UI" w:hAnsi="Segoe UI" w:cs="Segoe UI"/>
                <w:color w:val="auto"/>
                <w:sz w:val="21"/>
                <w:szCs w:val="21"/>
              </w:rPr>
              <w:t>Gibbs' Reflective Cycle (1988),</w:t>
            </w:r>
            <w:r w:rsidRPr="00237FDF">
              <w:rPr>
                <w:rFonts w:ascii="Segoe UI" w:hAnsi="Segoe UI" w:cs="Segoe UI"/>
                <w:color w:val="auto"/>
                <w:sz w:val="21"/>
                <w:szCs w:val="21"/>
              </w:rPr>
              <w:t xml:space="preserve"> this reflection critically evaluates the communication methods and skills used during an observed home visit with a mother whose child was subject to Child Protection procedures. The purpose of the visit was to complete the Steps to Change ladder using the Effective Child Protection (ECP) practice framework and support the mother's understanding of the progress she had made following completion of a residential detoxification programme. This reflection explores how communication was used to promote participation, manage anxiety and facilitate collaborative safeguarding practice whilst integrating social work ethics, values and the Social Care Wales Code of Professional Practice for Social Care (Social Care Wales, 2017; Banks, 2021).</w:t>
            </w:r>
          </w:p>
          <w:p w14:paraId="35743833" w14:textId="77777777"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Prior to the visit, I considered whether I possessed the necessary communication skills to work effectively with the mother. Through previous involvement with the family, I had developed knowledge of her preferred communication style, emotional presentation and learning needs. Earlier interventions had demonstrated that she responded positively to visual tools, accessible language and strengths-based discussions. Whilst this provided confidence, I recognised that communication competence cannot be assumed based solely on prior experience. The mother's recent completion of a detoxification programme, alongside ongoing Child Protection involvement, had the potential to influence her emotional well-being, concentration and engagement. Consequently, I approached the visit with an awareness that effective communication would require continuous assessment and adaptation.</w:t>
            </w:r>
          </w:p>
          <w:p w14:paraId="469CD41E" w14:textId="77777777"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Prior to the visit, I experienced some anxiety due to the observation process and the family's involvement in Child Protection procedures. Recognising this enabled me to remain focused on the mother's needs and maintain a calm and professional approach.</w:t>
            </w:r>
          </w:p>
          <w:p w14:paraId="098269B4" w14:textId="77777777"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 xml:space="preserve">At the beginning of the visit, I observed that the mother appeared anxious, demonstrated through limited eye contact, hesitant responses and guarded body language. Trevithick (2012) emphasises the importance of attending to both verbal and non-verbal communication when engaging with individuals. Recognising these indicators prompted me to slow the pace of the interaction and prioritise reassurance before progressing to the planned activity. This demonstrated reflection-in-action (Schön, 1983) and reflected a </w:t>
            </w:r>
            <w:r w:rsidRPr="00237FDF">
              <w:rPr>
                <w:rFonts w:ascii="Segoe UI" w:hAnsi="Segoe UI" w:cs="Segoe UI"/>
                <w:color w:val="auto"/>
                <w:sz w:val="21"/>
                <w:szCs w:val="21"/>
              </w:rPr>
              <w:lastRenderedPageBreak/>
              <w:t>person-centred approach because communication was adapted to the individual's immediate needs rather than being dictated solely by professional agendas.</w:t>
            </w:r>
          </w:p>
          <w:p w14:paraId="6B1DD9F5" w14:textId="77777777"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To promote engagement, I explained the purpose of the session using clear and accessible language and outlined what would and would not be discussed. This helped reduce uncertainty and establish transparency. The Social Care Wales Code of Professional Practice requires practitioners to respect the rights and dignity of individuals, promote well-being and support participation in decision-making (Social Care Wales, 2017). By ensuring the mother understood the purpose of the visit and had opportunities to ask questions, I sought to uphold these principles whilst recognising the impact of statutory intervention.</w:t>
            </w:r>
          </w:p>
          <w:p w14:paraId="733F755A" w14:textId="77777777"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I was conscious that Child Protection practice is characterised by significant power imbalances. Karim (2023) highlights that power operates across personal, professional and structural levels and influences how families experience intervention. Reflecting on this enabled me to recognise that communication is not neutral; it can reinforce or reduce feelings of disempowerment. Consequently, I adopted a strengths-based approach and acknowledged the mother's successful completion of detoxification, consistent with motivational and strengths-based approaches to engagement (Forrester et al., 2021). This recognised her achievements and resilience whilst maintaining clarity regarding ongoing safeguarding concerns. I considered this balance between support and challenge essential in promoting both engagement and accountability.</w:t>
            </w:r>
          </w:p>
          <w:p w14:paraId="6485E685" w14:textId="77777777"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Active listening was central to the interaction and reflected the principles of relationship-based social work (Ruch, Turney and Ward, 2018). Reflective responses, summaries and clarification enabled me to understand the mother's wishes, feelings and views accurately whilst promoting participation and collaborative working in line with the Social Services and Well-being (Wales) Act 2014. The mother's views, identified strengths and desired outcomes were subsequently reflected within case recordings and Child Protection planning documents, ensuring that future assessment and intervention remained informed by her perspective alongside professional analysis.</w:t>
            </w:r>
          </w:p>
          <w:p w14:paraId="7FE95AA6" w14:textId="77777777"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Once the mother appeared more settled, I introduced the colour-coded Steps to Change ladder. Previous experience had demonstrated that visual resources enhanced engagement and understanding. Trevithick (2012) argues that communication should be adapted to individual needs and learning styles rather than relying on a single method. Combining visual and verbal communication enabled complex concepts such as risk, change and progress to be explored in a more accessible way. Open questions encouraged the mother to identify her own achievements and challenges, promoting co-production and shared ownership of the process. This was consistent with strengths-based approaches that encourage individuals to recognise and sustain change (Forrester et al., 2021).</w:t>
            </w:r>
          </w:p>
          <w:p w14:paraId="36478672" w14:textId="613CD6B3"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 xml:space="preserve">The intervention also required culturally and linguistically sensitive practice. Although the family lived in  Wales, they identified as English and English was confirmed as the mother's preferred language. Consistent with the Welsh Government's </w:t>
            </w:r>
            <w:r w:rsidRPr="00237FDF">
              <w:rPr>
                <w:rFonts w:ascii="Segoe UI" w:hAnsi="Segoe UI" w:cs="Segoe UI"/>
                <w:i/>
                <w:iCs/>
                <w:color w:val="auto"/>
                <w:sz w:val="21"/>
                <w:szCs w:val="21"/>
              </w:rPr>
              <w:t>More Than Just Words</w:t>
            </w:r>
            <w:r w:rsidRPr="00237FDF">
              <w:rPr>
                <w:rFonts w:ascii="Segoe UI" w:hAnsi="Segoe UI" w:cs="Segoe UI"/>
                <w:color w:val="auto"/>
                <w:sz w:val="21"/>
                <w:szCs w:val="21"/>
              </w:rPr>
              <w:t xml:space="preserve"> framework, language preference was explored proactively rather than assumed. The framework promotes the principle of the Active Offer, whereby individuals are offered services in their preferred language without having to request them (Welsh Government, 2022).</w:t>
            </w:r>
          </w:p>
          <w:p w14:paraId="70FD8BDE" w14:textId="77777777"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lastRenderedPageBreak/>
              <w:t>Whilst language was not a barrier within this intervention, I recognise that for some individuals, particularly first-language Welsh speakers, communicating in their preferred language is essential to effective assessment, participation and relationship-based practice. Reflecting further, I recognise the risks if Welsh language needs are not identified and met. For example, a young child from a Welsh-speaking household may be unable to fully communicate their wishes, feelings and experiences in English, potentially resulting in an incomplete understanding of their lived experience. Similarly, adults whose first language is Welsh may find it more difficult to express complex emotions or discuss sensitive experiences when communicating in a second language, particularly during periods of stress or crisis.</w:t>
            </w:r>
          </w:p>
          <w:p w14:paraId="49EBB64A" w14:textId="77777777"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Reflecting on my own practice, I recognise that even limited use of Welsh can help build rapport, demonstrate respect for an individual's linguistic identity and support engagement. This reinforced my understanding that the Active Offer is not simply about service provision but about promoting participation, voice, control and well-being through communication that is meaningful to the individual. This reflected an understanding that language is a key aspect of identity, participation and dignity.</w:t>
            </w:r>
          </w:p>
          <w:p w14:paraId="72BD0B6C" w14:textId="77777777"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Although specialist communication support was not required, the experience reinforced the importance of recognising professional limitations and seeking additional support where communication needs exceed a practitioner's capabilities.</w:t>
            </w:r>
          </w:p>
          <w:p w14:paraId="596C2691" w14:textId="77777777"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The communication approach reflected Welsh social work principles of well-being, participation, voice and control. Communication was used not simply to convey professional concerns but to promote participation, co-production and shared ownership of change. The Steps to Change ladder supported the mother to identify her own strengths, progress and future goals, reflecting the outcome-focused and relationship-based approach promoted by the Social Services and Well-being (Wales) Act 2014.</w:t>
            </w:r>
          </w:p>
          <w:p w14:paraId="25107E17" w14:textId="77777777"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Reflecting on the effectiveness of my communication highlighted several strengths. Active listening, accessible language, visual communication tools and a strengths-based approach supported engagement and shared understanding. Adapting the session in response to the mother's presentation demonstrated flexibility and responsiveness central to relationship-based practice (Ruch, Turney and Ward, 2018).</w:t>
            </w:r>
          </w:p>
          <w:p w14:paraId="04C20409" w14:textId="77777777"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However, critical reflection also identified limitations. Whilst the tool supported meaningful discussion, I became aware of the potential risk of emotional overload. The session required the mother to reflect simultaneously on recovery, parenting and safeguarding concerns. In hindsight, some aspects of the discussion could have been revisited across several sessions to enable greater reflection and reduce emotional intensity. This highlighted that effective communication within safeguarding practice involves adapting to changing needs and emotional presentation.</w:t>
            </w:r>
          </w:p>
          <w:p w14:paraId="22219248" w14:textId="77777777" w:rsidR="00237FDF" w:rsidRP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 xml:space="preserve">Reflecting upon my communication practice since qualifying as a social worker, I recognise significant development in my ability to communicate within complex safeguarding contexts. My previous experience in adult services provided a strong foundation in relationship-based communication; however, children's social work has required me to balance empathy, professional challenge and statutory authority more effectively. I have developed greater confidence in adapting communication methods, recognising non-verbal communication and facilitating collaborative conversations whilst maintaining a focus on safeguarding outcomes. Supervision has been instrumental in this development by enabling critical </w:t>
            </w:r>
            <w:r w:rsidRPr="00237FDF">
              <w:rPr>
                <w:rFonts w:ascii="Segoe UI" w:hAnsi="Segoe UI" w:cs="Segoe UI"/>
                <w:color w:val="auto"/>
                <w:sz w:val="21"/>
                <w:szCs w:val="21"/>
              </w:rPr>
              <w:lastRenderedPageBreak/>
              <w:t>reflection on communication styles, power dynamics and professional decision-making. Ferguson (2018) highlights the importance of reflective practice in helping social workers make sense of complex interactions and adapt their practice accordingly.</w:t>
            </w:r>
          </w:p>
          <w:p w14:paraId="7CF592CB" w14:textId="77777777" w:rsidR="00237FDF" w:rsidRDefault="00237FDF"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37FDF">
              <w:rPr>
                <w:rFonts w:ascii="Segoe UI" w:hAnsi="Segoe UI" w:cs="Segoe UI"/>
                <w:color w:val="auto"/>
                <w:sz w:val="21"/>
                <w:szCs w:val="21"/>
              </w:rPr>
              <w:t xml:space="preserve">In conclusion, this experience reinforced the importance of person-centred, culturally responsive and ethically grounded communication within safeguarding practice. Effective communication required active listening, transparency and adaptation to individual needs. The experience also highlighted the importance of the Active Offer and the principles of </w:t>
            </w:r>
            <w:r w:rsidRPr="00237FDF">
              <w:rPr>
                <w:rFonts w:ascii="Segoe UI" w:hAnsi="Segoe UI" w:cs="Segoe UI"/>
                <w:i/>
                <w:iCs/>
                <w:color w:val="auto"/>
                <w:sz w:val="21"/>
                <w:szCs w:val="21"/>
              </w:rPr>
              <w:t>More Than Just Words</w:t>
            </w:r>
            <w:r w:rsidRPr="00237FDF">
              <w:rPr>
                <w:rFonts w:ascii="Segoe UI" w:hAnsi="Segoe UI" w:cs="Segoe UI"/>
                <w:color w:val="auto"/>
                <w:sz w:val="21"/>
                <w:szCs w:val="21"/>
              </w:rPr>
              <w:t xml:space="preserve"> in ensuring communication remains accessible and respectful of individual preferences. Most importantly, it reinforced that effective social work communication depends upon the integration of professional values, reflective practice and relationship-based work </w:t>
            </w:r>
            <w:proofErr w:type="gramStart"/>
            <w:r w:rsidRPr="00237FDF">
              <w:rPr>
                <w:rFonts w:ascii="Segoe UI" w:hAnsi="Segoe UI" w:cs="Segoe UI"/>
                <w:color w:val="auto"/>
                <w:sz w:val="21"/>
                <w:szCs w:val="21"/>
              </w:rPr>
              <w:t>in order to</w:t>
            </w:r>
            <w:proofErr w:type="gramEnd"/>
            <w:r w:rsidRPr="00237FDF">
              <w:rPr>
                <w:rFonts w:ascii="Segoe UI" w:hAnsi="Segoe UI" w:cs="Segoe UI"/>
                <w:color w:val="auto"/>
                <w:sz w:val="21"/>
                <w:szCs w:val="21"/>
              </w:rPr>
              <w:t xml:space="preserve"> promote participation whilst safeguarding children.</w:t>
            </w:r>
          </w:p>
          <w:p w14:paraId="19F8699B" w14:textId="77777777" w:rsidR="009F54E2" w:rsidRDefault="009F54E2"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p>
          <w:p w14:paraId="6CD2FC3E" w14:textId="4CFAC91E" w:rsidR="009F54E2" w:rsidRPr="00237FDF" w:rsidRDefault="009F54E2" w:rsidP="00237FDF">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Pr>
                <w:rFonts w:ascii="Segoe UI" w:hAnsi="Segoe UI" w:cs="Segoe UI"/>
                <w:color w:val="auto"/>
                <w:sz w:val="21"/>
                <w:szCs w:val="21"/>
              </w:rPr>
              <w:t>Word Count 141</w:t>
            </w:r>
            <w:r w:rsidR="00FC2CEA">
              <w:rPr>
                <w:rFonts w:ascii="Segoe UI" w:hAnsi="Segoe UI" w:cs="Segoe UI"/>
                <w:color w:val="auto"/>
                <w:sz w:val="21"/>
                <w:szCs w:val="21"/>
              </w:rPr>
              <w:t>4</w:t>
            </w:r>
          </w:p>
          <w:p w14:paraId="1529FB6A" w14:textId="77777777" w:rsidR="00237FDF" w:rsidRDefault="00237FDF"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lastRenderedPageBreak/>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45980EA4" w:rsidR="00CA3593" w:rsidRPr="008B28E7" w:rsidRDefault="00361800" w:rsidP="00FF7EBB">
            <w:pPr>
              <w:jc w:val="both"/>
              <w:rPr>
                <w:sz w:val="24"/>
                <w:szCs w:val="24"/>
              </w:rPr>
            </w:pPr>
            <w:r>
              <w:rPr>
                <w:sz w:val="24"/>
                <w:szCs w:val="24"/>
              </w:rPr>
              <w:t>On time.</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35BC7791" w:rsidR="00CA3593" w:rsidRPr="008B28E7" w:rsidRDefault="00361800" w:rsidP="00FF7EBB">
            <w:pPr>
              <w:jc w:val="both"/>
              <w:rPr>
                <w:sz w:val="24"/>
                <w:szCs w:val="24"/>
              </w:rPr>
            </w:pPr>
            <w:r>
              <w:rPr>
                <w:sz w:val="24"/>
                <w:szCs w:val="24"/>
              </w:rPr>
              <w:t>Yes.</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3044357D" w:rsidR="00CA3593" w:rsidRPr="008B28E7" w:rsidRDefault="00361800" w:rsidP="00FF7EBB">
            <w:pPr>
              <w:jc w:val="both"/>
              <w:rPr>
                <w:sz w:val="24"/>
                <w:szCs w:val="24"/>
              </w:rPr>
            </w:pPr>
            <w:proofErr w:type="gramStart"/>
            <w:r>
              <w:rPr>
                <w:sz w:val="24"/>
                <w:szCs w:val="24"/>
              </w:rPr>
              <w:t>Yes</w:t>
            </w:r>
            <w:proofErr w:type="gramEnd"/>
            <w:r>
              <w:rPr>
                <w:sz w:val="24"/>
                <w:szCs w:val="24"/>
              </w:rPr>
              <w:t xml:space="preserve"> it was clear. </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75A02650" w:rsidR="00CA3593" w:rsidRPr="008B28E7" w:rsidRDefault="00361800" w:rsidP="00FF7EBB">
            <w:pPr>
              <w:jc w:val="both"/>
              <w:rPr>
                <w:sz w:val="24"/>
                <w:szCs w:val="24"/>
              </w:rPr>
            </w:pPr>
            <w:r>
              <w:rPr>
                <w:sz w:val="24"/>
                <w:szCs w:val="24"/>
              </w:rPr>
              <w:t>Really prepared.</w:t>
            </w:r>
            <w:r w:rsidR="00665EC7">
              <w:rPr>
                <w:sz w:val="24"/>
                <w:szCs w:val="24"/>
              </w:rPr>
              <w:t xml:space="preserve"> I have</w:t>
            </w:r>
            <w:r>
              <w:rPr>
                <w:sz w:val="24"/>
                <w:szCs w:val="24"/>
              </w:rPr>
              <w:t xml:space="preserve"> high goals</w:t>
            </w:r>
            <w:r w:rsidR="00665EC7">
              <w:rPr>
                <w:sz w:val="24"/>
                <w:szCs w:val="24"/>
              </w:rPr>
              <w:t xml:space="preserve"> and it was explained to me about how it works with the ladder well.</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47177432" w:rsidR="00CA3593" w:rsidRPr="008B28E7" w:rsidRDefault="00361800" w:rsidP="00FF7EBB">
            <w:pPr>
              <w:jc w:val="both"/>
              <w:rPr>
                <w:sz w:val="24"/>
                <w:szCs w:val="24"/>
              </w:rPr>
            </w:pPr>
            <w:r>
              <w:rPr>
                <w:sz w:val="24"/>
                <w:szCs w:val="24"/>
              </w:rPr>
              <w:t xml:space="preserve">Yes </w:t>
            </w:r>
            <w:r w:rsidR="00665EC7">
              <w:rPr>
                <w:sz w:val="24"/>
                <w:szCs w:val="24"/>
              </w:rPr>
              <w:t>definitely</w:t>
            </w:r>
            <w:r>
              <w:rPr>
                <w:sz w:val="24"/>
                <w:szCs w:val="24"/>
              </w:rPr>
              <w:t xml:space="preserve">. She is </w:t>
            </w:r>
            <w:r w:rsidR="00665EC7">
              <w:rPr>
                <w:sz w:val="24"/>
                <w:szCs w:val="24"/>
              </w:rPr>
              <w:t>nice and I can really talk to her about how I feel</w:t>
            </w:r>
            <w:r>
              <w:rPr>
                <w:sz w:val="24"/>
                <w:szCs w:val="24"/>
              </w:rPr>
              <w:t xml:space="preserve">. Not one person around me </w:t>
            </w:r>
            <w:r w:rsidR="00665EC7">
              <w:rPr>
                <w:sz w:val="24"/>
                <w:szCs w:val="24"/>
              </w:rPr>
              <w:t>makes</w:t>
            </w:r>
            <w:r>
              <w:rPr>
                <w:sz w:val="24"/>
                <w:szCs w:val="24"/>
              </w:rPr>
              <w:t xml:space="preserve"> me uncomfortable at all</w:t>
            </w:r>
            <w:r w:rsidR="00665EC7">
              <w:rPr>
                <w:sz w:val="24"/>
                <w:szCs w:val="24"/>
              </w:rPr>
              <w:t xml:space="preserve"> in terms of professionals.</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31912954" w:rsidR="00361800" w:rsidRPr="008B28E7" w:rsidRDefault="00361800" w:rsidP="00FF7EBB">
            <w:pPr>
              <w:jc w:val="both"/>
              <w:rPr>
                <w:sz w:val="24"/>
                <w:szCs w:val="24"/>
              </w:rPr>
            </w:pPr>
            <w:r>
              <w:rPr>
                <w:sz w:val="24"/>
                <w:szCs w:val="24"/>
              </w:rPr>
              <w:t xml:space="preserve">Yes </w:t>
            </w:r>
            <w:r w:rsidR="00665EC7">
              <w:rPr>
                <w:sz w:val="24"/>
                <w:szCs w:val="24"/>
              </w:rPr>
              <w:t>understandable, I am fine listening and talking with her.</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2EB5EBA4" w:rsidR="00D0503D" w:rsidRPr="008B28E7" w:rsidRDefault="00665EC7" w:rsidP="00D0503D">
            <w:pPr>
              <w:jc w:val="both"/>
              <w:rPr>
                <w:sz w:val="24"/>
                <w:szCs w:val="24"/>
              </w:rPr>
            </w:pPr>
            <w:r>
              <w:rPr>
                <w:sz w:val="24"/>
                <w:szCs w:val="24"/>
              </w:rPr>
              <w:t xml:space="preserve"> Yes.</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6E9BC34" w14:textId="77777777" w:rsidR="00D0503D" w:rsidRDefault="00D0503D" w:rsidP="00D0503D">
            <w:pPr>
              <w:jc w:val="both"/>
              <w:rPr>
                <w:sz w:val="24"/>
                <w:szCs w:val="24"/>
              </w:rPr>
            </w:pPr>
          </w:p>
          <w:p w14:paraId="28A56101" w14:textId="54C40834" w:rsidR="00361800" w:rsidRDefault="00361800" w:rsidP="00D0503D">
            <w:pPr>
              <w:jc w:val="both"/>
              <w:rPr>
                <w:sz w:val="24"/>
                <w:szCs w:val="24"/>
              </w:rPr>
            </w:pPr>
            <w:r>
              <w:rPr>
                <w:sz w:val="24"/>
                <w:szCs w:val="24"/>
              </w:rPr>
              <w:t xml:space="preserve">Kerry has been </w:t>
            </w:r>
            <w:r w:rsidR="00665EC7">
              <w:rPr>
                <w:sz w:val="24"/>
                <w:szCs w:val="24"/>
              </w:rPr>
              <w:t>helpful</w:t>
            </w:r>
            <w:r>
              <w:rPr>
                <w:sz w:val="24"/>
                <w:szCs w:val="24"/>
              </w:rPr>
              <w:t xml:space="preserve"> to be honest. I thought someone would be </w:t>
            </w:r>
            <w:r w:rsidR="00665EC7">
              <w:rPr>
                <w:sz w:val="24"/>
                <w:szCs w:val="24"/>
              </w:rPr>
              <w:t>‘</w:t>
            </w:r>
            <w:proofErr w:type="spellStart"/>
            <w:r w:rsidR="00665EC7">
              <w:rPr>
                <w:sz w:val="24"/>
                <w:szCs w:val="24"/>
              </w:rPr>
              <w:t>judgie</w:t>
            </w:r>
            <w:proofErr w:type="spellEnd"/>
            <w:proofErr w:type="gramStart"/>
            <w:r w:rsidR="00665EC7">
              <w:rPr>
                <w:sz w:val="24"/>
                <w:szCs w:val="24"/>
              </w:rPr>
              <w:t>’</w:t>
            </w:r>
            <w:proofErr w:type="gramEnd"/>
            <w:r>
              <w:rPr>
                <w:sz w:val="24"/>
                <w:szCs w:val="24"/>
              </w:rPr>
              <w:t xml:space="preserve"> but she isn’t like that</w:t>
            </w:r>
            <w:r w:rsidR="00665EC7">
              <w:rPr>
                <w:sz w:val="24"/>
                <w:szCs w:val="24"/>
              </w:rPr>
              <w:t xml:space="preserve">, </w:t>
            </w:r>
            <w:r>
              <w:rPr>
                <w:sz w:val="24"/>
                <w:szCs w:val="24"/>
              </w:rPr>
              <w:t>not at all</w:t>
            </w:r>
            <w:r w:rsidR="00665EC7">
              <w:rPr>
                <w:sz w:val="24"/>
                <w:szCs w:val="24"/>
              </w:rPr>
              <w:t xml:space="preserve"> in any way</w:t>
            </w:r>
            <w:r>
              <w:rPr>
                <w:sz w:val="24"/>
                <w:szCs w:val="24"/>
              </w:rPr>
              <w:t>.</w:t>
            </w:r>
            <w:r w:rsidR="00665EC7">
              <w:rPr>
                <w:sz w:val="24"/>
                <w:szCs w:val="24"/>
              </w:rPr>
              <w:t xml:space="preserve"> The Social Worker is nice.</w:t>
            </w:r>
          </w:p>
          <w:p w14:paraId="18CB2DE2" w14:textId="660EBE2E" w:rsidR="00361800" w:rsidRPr="008B28E7" w:rsidRDefault="00361800"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60023" w14:textId="77777777" w:rsidR="001B7F2C" w:rsidRDefault="001B7F2C">
      <w:r>
        <w:separator/>
      </w:r>
    </w:p>
  </w:endnote>
  <w:endnote w:type="continuationSeparator" w:id="0">
    <w:p w14:paraId="0ADB17BA" w14:textId="77777777" w:rsidR="001B7F2C" w:rsidRDefault="001B7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4AB6C" w14:textId="77777777" w:rsidR="001B7F2C" w:rsidRDefault="001B7F2C">
      <w:r>
        <w:separator/>
      </w:r>
    </w:p>
  </w:footnote>
  <w:footnote w:type="continuationSeparator" w:id="0">
    <w:p w14:paraId="4FB44429" w14:textId="77777777" w:rsidR="001B7F2C" w:rsidRDefault="001B7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6AD7"/>
    <w:rsid w:val="0002759A"/>
    <w:rsid w:val="00027B1F"/>
    <w:rsid w:val="0003088B"/>
    <w:rsid w:val="000325D9"/>
    <w:rsid w:val="000372B2"/>
    <w:rsid w:val="0004079F"/>
    <w:rsid w:val="00043543"/>
    <w:rsid w:val="00045B87"/>
    <w:rsid w:val="00045C07"/>
    <w:rsid w:val="00045C40"/>
    <w:rsid w:val="00046861"/>
    <w:rsid w:val="00050FC3"/>
    <w:rsid w:val="00054A07"/>
    <w:rsid w:val="00055D43"/>
    <w:rsid w:val="00056FAC"/>
    <w:rsid w:val="00057751"/>
    <w:rsid w:val="00062E39"/>
    <w:rsid w:val="00064063"/>
    <w:rsid w:val="0006581A"/>
    <w:rsid w:val="000677F9"/>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2024"/>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7F2C"/>
    <w:rsid w:val="001C0237"/>
    <w:rsid w:val="001C0E74"/>
    <w:rsid w:val="001C4DB8"/>
    <w:rsid w:val="001C50B8"/>
    <w:rsid w:val="001D229F"/>
    <w:rsid w:val="001E2EB6"/>
    <w:rsid w:val="001F4552"/>
    <w:rsid w:val="001F7F8D"/>
    <w:rsid w:val="002019EB"/>
    <w:rsid w:val="00204B58"/>
    <w:rsid w:val="00205051"/>
    <w:rsid w:val="00205803"/>
    <w:rsid w:val="00211F65"/>
    <w:rsid w:val="00214047"/>
    <w:rsid w:val="00216563"/>
    <w:rsid w:val="0021792F"/>
    <w:rsid w:val="00220D06"/>
    <w:rsid w:val="00223F23"/>
    <w:rsid w:val="002246A0"/>
    <w:rsid w:val="00230439"/>
    <w:rsid w:val="00232A09"/>
    <w:rsid w:val="00235176"/>
    <w:rsid w:val="00236061"/>
    <w:rsid w:val="00237FDF"/>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1800"/>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194"/>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0863"/>
    <w:rsid w:val="004B5553"/>
    <w:rsid w:val="004B600B"/>
    <w:rsid w:val="004B6822"/>
    <w:rsid w:val="004B69F6"/>
    <w:rsid w:val="004C2D3A"/>
    <w:rsid w:val="004D03C4"/>
    <w:rsid w:val="004D0BF1"/>
    <w:rsid w:val="004D0F4E"/>
    <w:rsid w:val="004D3278"/>
    <w:rsid w:val="004D35A4"/>
    <w:rsid w:val="004D445F"/>
    <w:rsid w:val="004D73C5"/>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7F0"/>
    <w:rsid w:val="00574A0C"/>
    <w:rsid w:val="0057780F"/>
    <w:rsid w:val="00581E0A"/>
    <w:rsid w:val="00586D89"/>
    <w:rsid w:val="005877C8"/>
    <w:rsid w:val="00587923"/>
    <w:rsid w:val="00594F9F"/>
    <w:rsid w:val="005950F5"/>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5EC7"/>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270C"/>
    <w:rsid w:val="007069CD"/>
    <w:rsid w:val="00706BB5"/>
    <w:rsid w:val="0071231A"/>
    <w:rsid w:val="00712E90"/>
    <w:rsid w:val="00713B7E"/>
    <w:rsid w:val="00714463"/>
    <w:rsid w:val="0072678F"/>
    <w:rsid w:val="007276E5"/>
    <w:rsid w:val="00727C4C"/>
    <w:rsid w:val="00734809"/>
    <w:rsid w:val="0073714E"/>
    <w:rsid w:val="007374EF"/>
    <w:rsid w:val="007406E1"/>
    <w:rsid w:val="00743E40"/>
    <w:rsid w:val="00745016"/>
    <w:rsid w:val="0075031F"/>
    <w:rsid w:val="00751263"/>
    <w:rsid w:val="00751F69"/>
    <w:rsid w:val="007544FC"/>
    <w:rsid w:val="00755427"/>
    <w:rsid w:val="00756548"/>
    <w:rsid w:val="0075673A"/>
    <w:rsid w:val="0075704F"/>
    <w:rsid w:val="00763B2D"/>
    <w:rsid w:val="00764C84"/>
    <w:rsid w:val="00770651"/>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50C2"/>
    <w:rsid w:val="00846D84"/>
    <w:rsid w:val="00850233"/>
    <w:rsid w:val="0085230E"/>
    <w:rsid w:val="008550A1"/>
    <w:rsid w:val="00861038"/>
    <w:rsid w:val="00865B58"/>
    <w:rsid w:val="00866B50"/>
    <w:rsid w:val="00867A63"/>
    <w:rsid w:val="008708F1"/>
    <w:rsid w:val="00871960"/>
    <w:rsid w:val="0087369F"/>
    <w:rsid w:val="00880539"/>
    <w:rsid w:val="00880DF4"/>
    <w:rsid w:val="008859E8"/>
    <w:rsid w:val="00885ED5"/>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C7CF5"/>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54E2"/>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0A3B"/>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4CAD"/>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5FC3"/>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2BE8"/>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C76A2"/>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529"/>
    <w:rsid w:val="00D607EF"/>
    <w:rsid w:val="00D60F88"/>
    <w:rsid w:val="00D64552"/>
    <w:rsid w:val="00D646BD"/>
    <w:rsid w:val="00D65558"/>
    <w:rsid w:val="00D71201"/>
    <w:rsid w:val="00D720C7"/>
    <w:rsid w:val="00D83079"/>
    <w:rsid w:val="00D84841"/>
    <w:rsid w:val="00D876E6"/>
    <w:rsid w:val="00D90958"/>
    <w:rsid w:val="00D94451"/>
    <w:rsid w:val="00DA1025"/>
    <w:rsid w:val="00DA22EC"/>
    <w:rsid w:val="00DA5682"/>
    <w:rsid w:val="00DA5860"/>
    <w:rsid w:val="00DA5C0C"/>
    <w:rsid w:val="00DB2767"/>
    <w:rsid w:val="00DC1B10"/>
    <w:rsid w:val="00DC2924"/>
    <w:rsid w:val="00DC3350"/>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74E7"/>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7EA9"/>
    <w:rsid w:val="00F60281"/>
    <w:rsid w:val="00F66272"/>
    <w:rsid w:val="00F709C0"/>
    <w:rsid w:val="00F81E61"/>
    <w:rsid w:val="00F81FEC"/>
    <w:rsid w:val="00F8538A"/>
    <w:rsid w:val="00F927A1"/>
    <w:rsid w:val="00F92E4D"/>
    <w:rsid w:val="00F95D08"/>
    <w:rsid w:val="00F97608"/>
    <w:rsid w:val="00FA23BD"/>
    <w:rsid w:val="00FA3764"/>
    <w:rsid w:val="00FA41C7"/>
    <w:rsid w:val="00FA4A79"/>
    <w:rsid w:val="00FA56ED"/>
    <w:rsid w:val="00FB05DD"/>
    <w:rsid w:val="00FB0F7C"/>
    <w:rsid w:val="00FB24EA"/>
    <w:rsid w:val="00FB5FA6"/>
    <w:rsid w:val="00FC0334"/>
    <w:rsid w:val="00FC1310"/>
    <w:rsid w:val="00FC2CEA"/>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77065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770651"/>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1446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714463"/>
    <w:rPr>
      <w:b/>
      <w:bCs/>
    </w:rPr>
  </w:style>
  <w:style w:type="character" w:styleId="Emphasis">
    <w:name w:val="Emphasis"/>
    <w:basedOn w:val="DefaultParagraphFont"/>
    <w:uiPriority w:val="20"/>
    <w:qFormat/>
    <w:rsid w:val="007144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2796</Words>
  <Characters>15943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Kerry Vaughan</cp:lastModifiedBy>
  <cp:revision>10</cp:revision>
  <cp:lastPrinted>2020-02-11T19:20:00Z</cp:lastPrinted>
  <dcterms:created xsi:type="dcterms:W3CDTF">2026-10-07T07:36:00Z</dcterms:created>
  <dcterms:modified xsi:type="dcterms:W3CDTF">2026-10-07T08:49:00Z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