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84A47" w:rsidRPr="00A406E5" w14:paraId="3E164E1E" w14:textId="77777777" w:rsidTr="00B7354D">
        <w:tc>
          <w:tcPr>
            <w:tcW w:w="9922" w:type="dxa"/>
            <w:shd w:val="clear" w:color="auto" w:fill="C0C0C0"/>
          </w:tcPr>
          <w:p w14:paraId="3BFEEEA7" w14:textId="77777777" w:rsidR="00C84A47" w:rsidRPr="00A406E5" w:rsidRDefault="00C84A47" w:rsidP="00B7354D">
            <w:pPr>
              <w:pStyle w:val="Heading4"/>
              <w:rPr>
                <w:rFonts w:ascii="Arial" w:hAnsi="Arial" w:cs="Arial"/>
                <w:b/>
              </w:rPr>
            </w:pPr>
            <w:r w:rsidRPr="00A406E5">
              <w:rPr>
                <w:rFonts w:ascii="Arial" w:hAnsi="Arial" w:cs="Arial"/>
                <w:b/>
              </w:rPr>
              <w:t xml:space="preserve">LEVEL 6 ASSESSMENT SPECIFICATION </w:t>
            </w:r>
          </w:p>
        </w:tc>
      </w:tr>
    </w:tbl>
    <w:p w14:paraId="78BF9961" w14:textId="77777777" w:rsidR="00C84A47" w:rsidRPr="00A406E5" w:rsidRDefault="00C84A47" w:rsidP="00C84A4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84A47" w:rsidRPr="00A406E5" w14:paraId="160D59D9" w14:textId="77777777" w:rsidTr="00B7354D">
        <w:tc>
          <w:tcPr>
            <w:tcW w:w="2093" w:type="dxa"/>
            <w:shd w:val="pct15" w:color="auto" w:fill="auto"/>
          </w:tcPr>
          <w:p w14:paraId="696C1F30"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F56580" w14:textId="4231B125" w:rsidR="00C84A47" w:rsidRPr="00A406E5" w:rsidRDefault="00EA5DBA" w:rsidP="00B7354D">
            <w:pPr>
              <w:spacing w:before="120" w:after="120"/>
              <w:jc w:val="both"/>
              <w:rPr>
                <w:rFonts w:ascii="Arial" w:hAnsi="Arial" w:cs="Arial"/>
                <w:b/>
                <w:sz w:val="22"/>
                <w:szCs w:val="22"/>
              </w:rPr>
            </w:pPr>
            <w:r>
              <w:rPr>
                <w:rFonts w:ascii="Arial" w:hAnsi="Arial" w:cs="Arial"/>
                <w:b/>
                <w:sz w:val="22"/>
                <w:szCs w:val="22"/>
              </w:rPr>
              <w:t>Amber Manning</w:t>
            </w:r>
          </w:p>
        </w:tc>
        <w:tc>
          <w:tcPr>
            <w:tcW w:w="2268" w:type="dxa"/>
            <w:shd w:val="clear" w:color="auto" w:fill="D9D9D9"/>
          </w:tcPr>
          <w:p w14:paraId="2843E360"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F76A7BA" w14:textId="4B8E473C" w:rsidR="00C84A47" w:rsidRPr="00A406E5" w:rsidRDefault="00EA5DBA" w:rsidP="00B7354D">
            <w:pPr>
              <w:spacing w:before="120" w:after="120"/>
              <w:jc w:val="both"/>
              <w:rPr>
                <w:rFonts w:ascii="Arial" w:hAnsi="Arial" w:cs="Arial"/>
                <w:b/>
                <w:sz w:val="22"/>
                <w:szCs w:val="22"/>
              </w:rPr>
            </w:pPr>
            <w:r>
              <w:rPr>
                <w:rFonts w:ascii="Arial" w:hAnsi="Arial" w:cs="Arial"/>
                <w:b/>
                <w:sz w:val="22"/>
                <w:szCs w:val="22"/>
              </w:rPr>
              <w:t>2000201</w:t>
            </w:r>
          </w:p>
        </w:tc>
      </w:tr>
      <w:tr w:rsidR="00C84A47" w:rsidRPr="00A406E5" w14:paraId="18650D10" w14:textId="77777777" w:rsidTr="00B7354D">
        <w:tc>
          <w:tcPr>
            <w:tcW w:w="2093" w:type="dxa"/>
            <w:shd w:val="pct15" w:color="auto" w:fill="auto"/>
          </w:tcPr>
          <w:p w14:paraId="193C940E"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0895BB" w14:textId="77777777" w:rsidR="00C84A47" w:rsidRPr="00A406E5" w:rsidRDefault="00C84A47" w:rsidP="00B7354D">
            <w:pPr>
              <w:spacing w:before="120" w:after="120"/>
              <w:jc w:val="both"/>
              <w:rPr>
                <w:rFonts w:ascii="Arial" w:hAnsi="Arial" w:cs="Arial"/>
                <w:b/>
                <w:sz w:val="22"/>
                <w:szCs w:val="22"/>
              </w:rPr>
            </w:pPr>
            <w:r>
              <w:rPr>
                <w:rFonts w:ascii="Arial" w:hAnsi="Arial" w:cs="Arial"/>
                <w:b/>
                <w:sz w:val="22"/>
                <w:szCs w:val="22"/>
              </w:rPr>
              <w:t xml:space="preserve">BSc Health, Nutrition and Lifestyle / BA Physical Education / BSc Sport and Exercise Science </w:t>
            </w:r>
            <w:proofErr w:type="gramStart"/>
            <w:r>
              <w:rPr>
                <w:rFonts w:ascii="Arial" w:hAnsi="Arial" w:cs="Arial"/>
                <w:b/>
                <w:sz w:val="22"/>
                <w:szCs w:val="22"/>
              </w:rPr>
              <w:t>/  BA</w:t>
            </w:r>
            <w:proofErr w:type="gramEnd"/>
            <w:r>
              <w:rPr>
                <w:rFonts w:ascii="Arial" w:hAnsi="Arial" w:cs="Arial"/>
                <w:b/>
                <w:sz w:val="22"/>
                <w:szCs w:val="22"/>
              </w:rPr>
              <w:t xml:space="preserve"> Outdoor Adventure Education</w:t>
            </w:r>
          </w:p>
        </w:tc>
      </w:tr>
      <w:tr w:rsidR="00C84A47" w:rsidRPr="00A406E5" w14:paraId="40D650CC" w14:textId="77777777" w:rsidTr="00B7354D">
        <w:tc>
          <w:tcPr>
            <w:tcW w:w="2093" w:type="dxa"/>
            <w:shd w:val="pct15" w:color="auto" w:fill="auto"/>
          </w:tcPr>
          <w:p w14:paraId="77B2E864"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8A2C68" w14:textId="77777777" w:rsidR="00C84A47" w:rsidRPr="00371E1A" w:rsidRDefault="00C84A47" w:rsidP="00B7354D">
            <w:pPr>
              <w:spacing w:before="120" w:after="120"/>
              <w:jc w:val="both"/>
              <w:rPr>
                <w:rFonts w:ascii="Arial" w:hAnsi="Arial" w:cs="Arial"/>
                <w:b/>
                <w:sz w:val="22"/>
                <w:szCs w:val="22"/>
              </w:rPr>
            </w:pPr>
            <w:r>
              <w:rPr>
                <w:rFonts w:ascii="Arial" w:hAnsi="Arial" w:cs="Arial"/>
                <w:b/>
                <w:sz w:val="22"/>
                <w:szCs w:val="22"/>
              </w:rPr>
              <w:t>Independent Project</w:t>
            </w:r>
          </w:p>
        </w:tc>
      </w:tr>
      <w:tr w:rsidR="00C84A47" w:rsidRPr="00A406E5" w14:paraId="0F3D3498" w14:textId="77777777" w:rsidTr="00B7354D">
        <w:tc>
          <w:tcPr>
            <w:tcW w:w="2093" w:type="dxa"/>
            <w:shd w:val="pct15" w:color="auto" w:fill="auto"/>
          </w:tcPr>
          <w:p w14:paraId="78E672BB"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CC5ADB" w14:textId="77777777" w:rsidR="00C84A47" w:rsidRPr="00371E1A" w:rsidRDefault="00C84A47" w:rsidP="00B7354D">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cPr>
          <w:p w14:paraId="29C66531" w14:textId="77777777" w:rsidR="00C84A47" w:rsidRPr="004D5E9B" w:rsidRDefault="00C84A47" w:rsidP="00B7354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B24D647" w14:textId="77777777" w:rsidR="00C84A47" w:rsidRPr="00A406E5" w:rsidRDefault="00C84A47" w:rsidP="00B7354D">
            <w:pPr>
              <w:spacing w:before="120" w:after="120"/>
              <w:jc w:val="both"/>
              <w:rPr>
                <w:rFonts w:ascii="Arial" w:hAnsi="Arial" w:cs="Arial"/>
                <w:b/>
                <w:sz w:val="22"/>
                <w:szCs w:val="22"/>
              </w:rPr>
            </w:pPr>
            <w:r>
              <w:rPr>
                <w:rFonts w:ascii="Arial" w:hAnsi="Arial" w:cs="Arial"/>
                <w:b/>
                <w:sz w:val="22"/>
                <w:szCs w:val="22"/>
              </w:rPr>
              <w:t>10%</w:t>
            </w:r>
          </w:p>
        </w:tc>
      </w:tr>
      <w:tr w:rsidR="00C84A47" w:rsidRPr="00A406E5" w14:paraId="056690C8" w14:textId="77777777" w:rsidTr="00B7354D">
        <w:tc>
          <w:tcPr>
            <w:tcW w:w="2093" w:type="dxa"/>
            <w:shd w:val="pct15" w:color="auto" w:fill="auto"/>
          </w:tcPr>
          <w:p w14:paraId="3A1753AE"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F21759" w14:textId="77777777" w:rsidR="00C84A47" w:rsidRPr="00A406E5" w:rsidRDefault="00C84A47" w:rsidP="00B7354D">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017682B5"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811745" w14:textId="77777777" w:rsidR="00C84A47" w:rsidRPr="00A406E5" w:rsidRDefault="00C84A47" w:rsidP="00B7354D">
            <w:pPr>
              <w:spacing w:before="120" w:after="120"/>
              <w:jc w:val="both"/>
              <w:rPr>
                <w:rFonts w:ascii="Arial" w:hAnsi="Arial" w:cs="Arial"/>
                <w:b/>
                <w:sz w:val="22"/>
                <w:szCs w:val="22"/>
              </w:rPr>
            </w:pPr>
            <w:r>
              <w:rPr>
                <w:rFonts w:ascii="Arial" w:hAnsi="Arial" w:cs="Arial"/>
                <w:b/>
                <w:sz w:val="22"/>
                <w:szCs w:val="22"/>
              </w:rPr>
              <w:t>Dylan Blain</w:t>
            </w:r>
          </w:p>
        </w:tc>
      </w:tr>
      <w:tr w:rsidR="00C84A47" w:rsidRPr="00A406E5" w14:paraId="03D18F3D" w14:textId="77777777" w:rsidTr="00B7354D">
        <w:tc>
          <w:tcPr>
            <w:tcW w:w="2093" w:type="dxa"/>
            <w:shd w:val="pct15" w:color="auto" w:fill="auto"/>
          </w:tcPr>
          <w:p w14:paraId="4ACCF803"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535D23" w14:textId="77777777" w:rsidR="00C84A47" w:rsidRPr="00A406E5" w:rsidRDefault="00C84A47" w:rsidP="00B7354D">
            <w:pPr>
              <w:rPr>
                <w:rFonts w:ascii="Arial" w:hAnsi="Arial" w:cs="Arial"/>
                <w:b/>
                <w:sz w:val="22"/>
                <w:szCs w:val="22"/>
              </w:rPr>
            </w:pPr>
            <w:r>
              <w:rPr>
                <w:rFonts w:ascii="Arial" w:hAnsi="Arial" w:cs="Arial"/>
                <w:b/>
                <w:sz w:val="22"/>
                <w:szCs w:val="22"/>
              </w:rPr>
              <w:t>Abstract</w:t>
            </w:r>
          </w:p>
        </w:tc>
        <w:tc>
          <w:tcPr>
            <w:tcW w:w="2268" w:type="dxa"/>
            <w:shd w:val="pct15" w:color="auto" w:fill="auto"/>
          </w:tcPr>
          <w:p w14:paraId="7D28DD94" w14:textId="77777777" w:rsidR="00C84A47" w:rsidRPr="00A406E5" w:rsidRDefault="00C84A47" w:rsidP="00B7354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C97D1D" w14:textId="77777777" w:rsidR="00C84A47" w:rsidRPr="00A406E5" w:rsidRDefault="00C84A47" w:rsidP="00B7354D">
            <w:pPr>
              <w:spacing w:before="120" w:after="120"/>
              <w:jc w:val="both"/>
              <w:rPr>
                <w:rFonts w:ascii="Arial" w:hAnsi="Arial" w:cs="Arial"/>
                <w:b/>
                <w:sz w:val="22"/>
                <w:szCs w:val="22"/>
              </w:rPr>
            </w:pPr>
            <w:r>
              <w:rPr>
                <w:rFonts w:ascii="Arial" w:hAnsi="Arial" w:cs="Arial"/>
                <w:b/>
                <w:sz w:val="22"/>
                <w:szCs w:val="22"/>
              </w:rPr>
              <w:t>500 Words</w:t>
            </w:r>
          </w:p>
        </w:tc>
      </w:tr>
      <w:tr w:rsidR="00C84A47" w:rsidRPr="00A406E5" w14:paraId="7F0CF608" w14:textId="77777777" w:rsidTr="00B7354D">
        <w:tc>
          <w:tcPr>
            <w:tcW w:w="2093" w:type="dxa"/>
            <w:shd w:val="pct15" w:color="auto" w:fill="auto"/>
          </w:tcPr>
          <w:p w14:paraId="1970D880"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2E68F7" w14:textId="77777777" w:rsidR="00C84A47" w:rsidRPr="00A406E5" w:rsidRDefault="00C84A47" w:rsidP="00B7354D">
            <w:pPr>
              <w:spacing w:before="120" w:after="120"/>
              <w:jc w:val="both"/>
              <w:rPr>
                <w:rFonts w:ascii="Arial" w:hAnsi="Arial" w:cs="Arial"/>
                <w:b/>
                <w:sz w:val="22"/>
                <w:szCs w:val="22"/>
              </w:rPr>
            </w:pPr>
            <w:r>
              <w:rPr>
                <w:rFonts w:ascii="Arial" w:hAnsi="Arial" w:cs="Arial"/>
                <w:b/>
                <w:sz w:val="22"/>
                <w:szCs w:val="22"/>
              </w:rPr>
              <w:t>5</w:t>
            </w:r>
            <w:r w:rsidRPr="00BE15B2">
              <w:rPr>
                <w:rFonts w:ascii="Arial" w:hAnsi="Arial" w:cs="Arial"/>
                <w:b/>
                <w:sz w:val="22"/>
                <w:szCs w:val="22"/>
                <w:vertAlign w:val="superscript"/>
              </w:rPr>
              <w:t>th</w:t>
            </w:r>
            <w:r>
              <w:rPr>
                <w:rFonts w:ascii="Arial" w:hAnsi="Arial" w:cs="Arial"/>
                <w:b/>
                <w:sz w:val="22"/>
                <w:szCs w:val="22"/>
              </w:rPr>
              <w:t xml:space="preserve"> of May, 2023</w:t>
            </w:r>
          </w:p>
        </w:tc>
        <w:tc>
          <w:tcPr>
            <w:tcW w:w="2268" w:type="dxa"/>
            <w:shd w:val="pct15" w:color="auto" w:fill="auto"/>
          </w:tcPr>
          <w:p w14:paraId="247D83A1"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2F7E4B" w14:textId="77777777" w:rsidR="00C84A47" w:rsidRPr="00A406E5" w:rsidRDefault="00C84A47" w:rsidP="00B7354D">
            <w:pPr>
              <w:spacing w:before="120" w:after="120"/>
              <w:jc w:val="both"/>
              <w:rPr>
                <w:rFonts w:ascii="Arial" w:hAnsi="Arial" w:cs="Arial"/>
                <w:b/>
                <w:sz w:val="22"/>
                <w:szCs w:val="22"/>
              </w:rPr>
            </w:pPr>
            <w:r>
              <w:rPr>
                <w:rFonts w:ascii="Arial" w:hAnsi="Arial" w:cs="Arial"/>
                <w:b/>
                <w:sz w:val="22"/>
                <w:szCs w:val="22"/>
              </w:rPr>
              <w:t>2</w:t>
            </w:r>
            <w:r w:rsidRPr="00534F2C">
              <w:rPr>
                <w:rFonts w:ascii="Arial" w:hAnsi="Arial" w:cs="Arial"/>
                <w:b/>
                <w:sz w:val="22"/>
                <w:szCs w:val="22"/>
                <w:vertAlign w:val="superscript"/>
              </w:rPr>
              <w:t>nd</w:t>
            </w:r>
            <w:r>
              <w:rPr>
                <w:rFonts w:ascii="Arial" w:hAnsi="Arial" w:cs="Arial"/>
                <w:b/>
                <w:sz w:val="22"/>
                <w:szCs w:val="22"/>
              </w:rPr>
              <w:t xml:space="preserve"> of June, 2023</w:t>
            </w:r>
          </w:p>
        </w:tc>
      </w:tr>
      <w:tr w:rsidR="00C84A47" w:rsidRPr="00A406E5" w14:paraId="79E6226B" w14:textId="77777777" w:rsidTr="00B7354D">
        <w:tc>
          <w:tcPr>
            <w:tcW w:w="2093" w:type="dxa"/>
            <w:shd w:val="pct15" w:color="auto" w:fill="auto"/>
          </w:tcPr>
          <w:p w14:paraId="2F479B9A"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291ED0" w14:textId="77777777" w:rsidR="00C84A47" w:rsidRPr="00A406E5" w:rsidRDefault="00C84A47" w:rsidP="00B7354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8FF06B"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07376D" w14:textId="77777777" w:rsidR="00C84A47" w:rsidRPr="00A406E5" w:rsidRDefault="00C84A47" w:rsidP="00B7354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84A47" w:rsidRPr="00A406E5" w14:paraId="6240E9F6" w14:textId="77777777" w:rsidTr="00B7354D">
        <w:tc>
          <w:tcPr>
            <w:tcW w:w="2093" w:type="dxa"/>
            <w:shd w:val="pct15" w:color="auto" w:fill="auto"/>
          </w:tcPr>
          <w:p w14:paraId="0CC34A33" w14:textId="77777777" w:rsidR="00C84A47" w:rsidRPr="00A406E5" w:rsidRDefault="00C84A47" w:rsidP="00B7354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024C96" w14:textId="77777777" w:rsidR="00C84A47" w:rsidRPr="00A406E5" w:rsidRDefault="00C84A47" w:rsidP="00B7354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F5C698A" w14:textId="77777777" w:rsidR="00C84A47" w:rsidRPr="00A406E5" w:rsidRDefault="00C84A47" w:rsidP="00C84A47">
      <w:pPr>
        <w:rPr>
          <w:rFonts w:ascii="Arial" w:hAnsi="Arial" w:cs="Arial"/>
          <w:sz w:val="32"/>
        </w:rPr>
      </w:pPr>
    </w:p>
    <w:p w14:paraId="4749D7E8" w14:textId="77777777" w:rsidR="00C84A47" w:rsidRPr="00A406E5" w:rsidRDefault="00C84A47" w:rsidP="00C84A47">
      <w:pPr>
        <w:rPr>
          <w:rFonts w:ascii="Arial" w:hAnsi="Arial" w:cs="Arial"/>
          <w:sz w:val="32"/>
        </w:rPr>
      </w:pPr>
    </w:p>
    <w:p w14:paraId="76ECB406" w14:textId="77777777" w:rsidR="00C84A47" w:rsidRPr="00A406E5" w:rsidRDefault="00C84A47" w:rsidP="00C84A47">
      <w:pPr>
        <w:rPr>
          <w:rFonts w:ascii="Arial" w:hAnsi="Arial" w:cs="Arial"/>
          <w:sz w:val="32"/>
        </w:rPr>
      </w:pPr>
    </w:p>
    <w:p w14:paraId="2EBCF0C5" w14:textId="77777777" w:rsidR="00C84A47" w:rsidRDefault="00C84A47" w:rsidP="0057788C">
      <w:pPr>
        <w:spacing w:line="360" w:lineRule="auto"/>
        <w:jc w:val="center"/>
        <w:rPr>
          <w:rFonts w:cstheme="minorHAnsi"/>
          <w:b/>
          <w:bCs/>
          <w:sz w:val="28"/>
          <w:szCs w:val="28"/>
          <w:u w:val="single"/>
        </w:rPr>
      </w:pPr>
    </w:p>
    <w:p w14:paraId="02F27CA8" w14:textId="77777777" w:rsidR="00C84A47" w:rsidRDefault="00C84A47" w:rsidP="0057788C">
      <w:pPr>
        <w:spacing w:line="360" w:lineRule="auto"/>
        <w:jc w:val="center"/>
        <w:rPr>
          <w:rFonts w:cstheme="minorHAnsi"/>
          <w:b/>
          <w:bCs/>
          <w:sz w:val="28"/>
          <w:szCs w:val="28"/>
          <w:u w:val="single"/>
        </w:rPr>
      </w:pPr>
    </w:p>
    <w:p w14:paraId="7000F52F" w14:textId="77777777" w:rsidR="00C84A47" w:rsidRDefault="00C84A47" w:rsidP="0057788C">
      <w:pPr>
        <w:spacing w:line="360" w:lineRule="auto"/>
        <w:jc w:val="center"/>
        <w:rPr>
          <w:rFonts w:cstheme="minorHAnsi"/>
          <w:b/>
          <w:bCs/>
          <w:sz w:val="28"/>
          <w:szCs w:val="28"/>
          <w:u w:val="single"/>
        </w:rPr>
      </w:pPr>
    </w:p>
    <w:p w14:paraId="5A721F3F" w14:textId="77777777" w:rsidR="00C84A47" w:rsidRDefault="00C84A47" w:rsidP="0057788C">
      <w:pPr>
        <w:spacing w:line="360" w:lineRule="auto"/>
        <w:jc w:val="center"/>
        <w:rPr>
          <w:rFonts w:cstheme="minorHAnsi"/>
          <w:b/>
          <w:bCs/>
          <w:sz w:val="28"/>
          <w:szCs w:val="28"/>
          <w:u w:val="single"/>
        </w:rPr>
      </w:pPr>
    </w:p>
    <w:p w14:paraId="29F10542" w14:textId="77777777" w:rsidR="00C84A47" w:rsidRDefault="00C84A47" w:rsidP="0057788C">
      <w:pPr>
        <w:spacing w:line="360" w:lineRule="auto"/>
        <w:jc w:val="center"/>
        <w:rPr>
          <w:rFonts w:cstheme="minorHAnsi"/>
          <w:b/>
          <w:bCs/>
          <w:sz w:val="28"/>
          <w:szCs w:val="28"/>
          <w:u w:val="single"/>
        </w:rPr>
      </w:pPr>
    </w:p>
    <w:p w14:paraId="50E6A96F" w14:textId="77777777" w:rsidR="00C84A47" w:rsidRDefault="00C84A47" w:rsidP="00C84A47">
      <w:pPr>
        <w:spacing w:line="360" w:lineRule="auto"/>
        <w:rPr>
          <w:rFonts w:cstheme="minorHAnsi"/>
          <w:b/>
          <w:bCs/>
          <w:sz w:val="28"/>
          <w:szCs w:val="28"/>
          <w:u w:val="single"/>
        </w:rPr>
      </w:pPr>
    </w:p>
    <w:p w14:paraId="168A903B" w14:textId="77777777" w:rsidR="00070153" w:rsidRPr="00070153" w:rsidRDefault="00070153" w:rsidP="00070153">
      <w:pPr>
        <w:pStyle w:val="Title"/>
        <w:jc w:val="center"/>
        <w:rPr>
          <w:b/>
          <w:bCs/>
          <w:u w:val="single"/>
        </w:rPr>
      </w:pPr>
      <w:r w:rsidRPr="00070153">
        <w:rPr>
          <w:b/>
          <w:bCs/>
          <w:u w:val="single"/>
        </w:rPr>
        <w:lastRenderedPageBreak/>
        <w:t>Does Menstrual Cycle Phase Effect CrossFit Performance?</w:t>
      </w:r>
    </w:p>
    <w:p w14:paraId="10793FA0" w14:textId="77777777" w:rsidR="00070153" w:rsidRDefault="00070153" w:rsidP="0057788C">
      <w:pPr>
        <w:spacing w:line="360" w:lineRule="auto"/>
        <w:jc w:val="center"/>
        <w:rPr>
          <w:rFonts w:cstheme="minorHAnsi"/>
          <w:b/>
          <w:bCs/>
          <w:sz w:val="28"/>
          <w:szCs w:val="28"/>
          <w:u w:val="single"/>
        </w:rPr>
      </w:pPr>
    </w:p>
    <w:p w14:paraId="09BCF7DE" w14:textId="0A6CF17F" w:rsidR="008C17B2" w:rsidRPr="0057788C" w:rsidRDefault="00CC2B55" w:rsidP="0057788C">
      <w:pPr>
        <w:spacing w:line="360" w:lineRule="auto"/>
        <w:jc w:val="center"/>
        <w:rPr>
          <w:rFonts w:cstheme="minorHAnsi"/>
          <w:b/>
          <w:bCs/>
          <w:sz w:val="28"/>
          <w:szCs w:val="28"/>
          <w:u w:val="single"/>
        </w:rPr>
      </w:pPr>
      <w:r w:rsidRPr="0057788C">
        <w:rPr>
          <w:rFonts w:cstheme="minorHAnsi"/>
          <w:b/>
          <w:bCs/>
          <w:sz w:val="28"/>
          <w:szCs w:val="28"/>
          <w:u w:val="single"/>
        </w:rPr>
        <w:t>A</w:t>
      </w:r>
      <w:r w:rsidR="0057788C">
        <w:rPr>
          <w:rFonts w:cstheme="minorHAnsi"/>
          <w:b/>
          <w:bCs/>
          <w:sz w:val="28"/>
          <w:szCs w:val="28"/>
          <w:u w:val="single"/>
        </w:rPr>
        <w:t>bstract</w:t>
      </w:r>
    </w:p>
    <w:p w14:paraId="59B0C4D2" w14:textId="77777777" w:rsidR="00CC2B55" w:rsidRPr="0057788C" w:rsidRDefault="00CC2B55" w:rsidP="0057788C">
      <w:pPr>
        <w:spacing w:line="360" w:lineRule="auto"/>
        <w:rPr>
          <w:rFonts w:cstheme="minorHAnsi"/>
        </w:rPr>
      </w:pPr>
    </w:p>
    <w:p w14:paraId="591EBE3B" w14:textId="57C711E2" w:rsidR="00CC2B55" w:rsidRPr="0057788C" w:rsidRDefault="0057788C" w:rsidP="0057788C">
      <w:pPr>
        <w:spacing w:line="360" w:lineRule="auto"/>
        <w:rPr>
          <w:rFonts w:cstheme="minorHAnsi"/>
        </w:rPr>
      </w:pPr>
      <w:r w:rsidRPr="0057788C">
        <w:rPr>
          <w:rFonts w:cstheme="minorHAnsi"/>
        </w:rPr>
        <w:t>CrossFit</w:t>
      </w:r>
      <w:r w:rsidR="00CC2B55" w:rsidRPr="0057788C">
        <w:rPr>
          <w:rFonts w:cstheme="minorHAnsi"/>
        </w:rPr>
        <w:t xml:space="preserve"> is a sport requiring utilisation a wide variety of training modalities</w:t>
      </w:r>
      <w:r>
        <w:rPr>
          <w:rFonts w:cstheme="minorHAnsi"/>
        </w:rPr>
        <w:t>,</w:t>
      </w:r>
      <w:r w:rsidR="00C84A47">
        <w:rPr>
          <w:rFonts w:cstheme="minorHAnsi"/>
        </w:rPr>
        <w:t xml:space="preserve"> </w:t>
      </w:r>
      <w:r>
        <w:rPr>
          <w:rFonts w:cstheme="minorHAnsi"/>
        </w:rPr>
        <w:t>it</w:t>
      </w:r>
      <w:r w:rsidR="00CC2B55" w:rsidRPr="0057788C">
        <w:rPr>
          <w:rFonts w:cstheme="minorHAnsi"/>
        </w:rPr>
        <w:t xml:space="preserve"> also has a fast-growing participation</w:t>
      </w:r>
      <w:r>
        <w:rPr>
          <w:rFonts w:cstheme="minorHAnsi"/>
        </w:rPr>
        <w:t xml:space="preserve"> rate</w:t>
      </w:r>
      <w:r w:rsidR="00CC2B55" w:rsidRPr="0057788C">
        <w:rPr>
          <w:rFonts w:cstheme="minorHAnsi"/>
        </w:rPr>
        <w:t xml:space="preserve">, especially with women. </w:t>
      </w:r>
      <w:r w:rsidRPr="0057788C">
        <w:rPr>
          <w:rFonts w:cstheme="minorHAnsi"/>
        </w:rPr>
        <w:t>CrossFit</w:t>
      </w:r>
      <w:r w:rsidR="00CC2B55" w:rsidRPr="0057788C">
        <w:rPr>
          <w:rFonts w:cstheme="minorHAnsi"/>
        </w:rPr>
        <w:t xml:space="preserve"> has seen an increase of 27.5% in female participation rates in the last 11 years</w:t>
      </w:r>
      <w:r>
        <w:rPr>
          <w:rFonts w:cstheme="minorHAnsi"/>
        </w:rPr>
        <w:t xml:space="preserve"> (Crossfit.,2023)</w:t>
      </w:r>
      <w:r w:rsidR="00CC2B55" w:rsidRPr="0057788C">
        <w:rPr>
          <w:rFonts w:cstheme="minorHAnsi"/>
        </w:rPr>
        <w:t>. During this time of growth</w:t>
      </w:r>
      <w:r>
        <w:rPr>
          <w:rFonts w:cstheme="minorHAnsi"/>
        </w:rPr>
        <w:t xml:space="preserve">, </w:t>
      </w:r>
      <w:r w:rsidR="00CC2B55" w:rsidRPr="0057788C">
        <w:rPr>
          <w:rFonts w:cstheme="minorHAnsi"/>
        </w:rPr>
        <w:t xml:space="preserve">there has been an ever-growing emphasis on the </w:t>
      </w:r>
      <w:r>
        <w:rPr>
          <w:rFonts w:cstheme="minorHAnsi"/>
        </w:rPr>
        <w:t xml:space="preserve">desire to </w:t>
      </w:r>
      <w:r w:rsidR="00CC2B55" w:rsidRPr="0057788C">
        <w:rPr>
          <w:rFonts w:cstheme="minorHAnsi"/>
        </w:rPr>
        <w:t xml:space="preserve">understand the </w:t>
      </w:r>
      <w:r>
        <w:rPr>
          <w:rFonts w:cstheme="minorHAnsi"/>
        </w:rPr>
        <w:t>potential impacts the menstrual cycle may</w:t>
      </w:r>
      <w:r w:rsidR="00CC2B55" w:rsidRPr="0057788C">
        <w:rPr>
          <w:rFonts w:cstheme="minorHAnsi"/>
        </w:rPr>
        <w:t xml:space="preserve"> have on female athletes during their training and competition. Currently, the literature does not </w:t>
      </w:r>
      <w:r>
        <w:rPr>
          <w:rFonts w:cstheme="minorHAnsi"/>
        </w:rPr>
        <w:t>provide a definitive conclusion</w:t>
      </w:r>
      <w:r w:rsidR="00CC2B55" w:rsidRPr="0057788C">
        <w:rPr>
          <w:rFonts w:cstheme="minorHAnsi"/>
        </w:rPr>
        <w:t xml:space="preserve"> on the impacts of the menstrual cycle and performance. Therefore, this study aims to determine if there is a correlation between menstrual cycle phase and the various fitness modalities of CrossFit performance, Strength, Power, and muscular endurance. </w:t>
      </w:r>
      <w:r w:rsidR="00756C0F" w:rsidRPr="0057788C">
        <w:rPr>
          <w:rFonts w:cstheme="minorHAnsi"/>
        </w:rPr>
        <w:t>Six women, with mean ages (24.5 SD±3.95yrs) and a minimum of 2+ years of CrossFit training experience partook in</w:t>
      </w:r>
      <w:r>
        <w:rPr>
          <w:rFonts w:cstheme="minorHAnsi"/>
        </w:rPr>
        <w:t xml:space="preserve"> </w:t>
      </w:r>
      <w:r w:rsidR="00756C0F" w:rsidRPr="0057788C">
        <w:rPr>
          <w:rFonts w:cstheme="minorHAnsi"/>
        </w:rPr>
        <w:t>predetermined fitness test</w:t>
      </w:r>
      <w:r>
        <w:rPr>
          <w:rFonts w:cstheme="minorHAnsi"/>
        </w:rPr>
        <w:t>s</w:t>
      </w:r>
      <w:r w:rsidR="00756C0F" w:rsidRPr="0057788C">
        <w:rPr>
          <w:rFonts w:cstheme="minorHAnsi"/>
        </w:rPr>
        <w:t xml:space="preserve"> for one hour a week for four consecutive weeks. These tests were organised to determine potential variation in Strength, </w:t>
      </w:r>
      <w:r w:rsidRPr="0057788C">
        <w:rPr>
          <w:rFonts w:cstheme="minorHAnsi"/>
        </w:rPr>
        <w:t>power,</w:t>
      </w:r>
      <w:r w:rsidR="00756C0F" w:rsidRPr="0057788C">
        <w:rPr>
          <w:rFonts w:cstheme="minorHAnsi"/>
        </w:rPr>
        <w:t xml:space="preserve"> and muscular endurance. The strength test </w:t>
      </w:r>
      <w:r>
        <w:rPr>
          <w:rFonts w:cstheme="minorHAnsi"/>
        </w:rPr>
        <w:t>consisted of</w:t>
      </w:r>
      <w:r w:rsidR="00756C0F" w:rsidRPr="0057788C">
        <w:rPr>
          <w:rFonts w:cstheme="minorHAnsi"/>
        </w:rPr>
        <w:t xml:space="preserve"> maximum</w:t>
      </w:r>
      <w:r>
        <w:rPr>
          <w:rFonts w:cstheme="minorHAnsi"/>
        </w:rPr>
        <w:t xml:space="preserve"> deadlift</w:t>
      </w:r>
      <w:r w:rsidR="00756C0F" w:rsidRPr="0057788C">
        <w:rPr>
          <w:rFonts w:cstheme="minorHAnsi"/>
        </w:rPr>
        <w:t xml:space="preserve"> reps at 85% of one repetition maximum and was scored on RPE and reps lifted. Power was tested via countermovement jump (CMJ) using a jump height matt (</w:t>
      </w:r>
      <w:r>
        <w:rPr>
          <w:rFonts w:cstheme="minorHAnsi"/>
        </w:rPr>
        <w:t>Takei,2021</w:t>
      </w:r>
      <w:r w:rsidR="00756C0F" w:rsidRPr="0057788C">
        <w:rPr>
          <w:rFonts w:cstheme="minorHAnsi"/>
        </w:rPr>
        <w:t>). Muscular endurance was tested via a common CrossFit benchmark bodyweight gymnastics workout, ‘</w:t>
      </w:r>
      <w:proofErr w:type="spellStart"/>
      <w:r w:rsidR="00756C0F" w:rsidRPr="0057788C">
        <w:rPr>
          <w:rFonts w:cstheme="minorHAnsi"/>
        </w:rPr>
        <w:t>Cindy’</w:t>
      </w:r>
      <w:r>
        <w:rPr>
          <w:rFonts w:cstheme="minorHAnsi"/>
        </w:rPr>
        <w:t>which</w:t>
      </w:r>
      <w:proofErr w:type="spellEnd"/>
      <w:r w:rsidR="00756C0F" w:rsidRPr="0057788C">
        <w:rPr>
          <w:rFonts w:cstheme="minorHAnsi"/>
        </w:rPr>
        <w:t xml:space="preserve"> consist</w:t>
      </w:r>
      <w:r>
        <w:rPr>
          <w:rFonts w:cstheme="minorHAnsi"/>
        </w:rPr>
        <w:t>s</w:t>
      </w:r>
      <w:r w:rsidR="00756C0F" w:rsidRPr="0057788C">
        <w:rPr>
          <w:rFonts w:cstheme="minorHAnsi"/>
        </w:rPr>
        <w:t xml:space="preserve"> of 5 Pull ups,10 Push ups and 15 bodyweight squats, athletes were scored on repetitions completed within the 20 minutes. After both strength and cardiovascular tests, the participants recorded their Rate of Perceived Exertion (RPE), using an amended Borg scale </w:t>
      </w:r>
      <w:sdt>
        <w:sdtPr>
          <w:rPr>
            <w:rFonts w:cstheme="minorHAnsi"/>
            <w:color w:val="000000"/>
            <w:highlight w:val="white"/>
          </w:rPr>
          <w:alias w:val="Citation"/>
          <w:tag w:val="{&quot;referencesIds&quot;:[&quot;doc:64352eda6d31c50549a7cd84&quot;],&quot;referencesOptions&quot;:{&quot;doc:64352eda6d31c50549a7cd84&quot;:{&quot;author&quot;:true,&quot;year&quot;:true,&quot;pageReplace&quot;:&quot;&quot;,&quot;prefix&quot;:&quot;&quot;,&quot;suffix&quot;:&quot;&quot;}},&quot;hasBrokenReferences&quot;:false,&quot;hasManualEdits&quot;:false,&quot;citationType&quot;:&quot;inline&quot;}"/>
          <w:id w:val="238841865"/>
          <w:placeholder>
            <w:docPart w:val="59FCC32F38E09641A37814B0CFB10008"/>
          </w:placeholder>
        </w:sdtPr>
        <w:sdtEndPr/>
        <w:sdtContent>
          <w:r w:rsidR="00785A74">
            <w:rPr>
              <w:rFonts w:ascii="Calibri" w:eastAsia="Times New Roman" w:hAnsi="Calibri" w:cs="Calibri"/>
              <w:color w:val="000000"/>
            </w:rPr>
            <w:t>(Borg, 1998)</w:t>
          </w:r>
        </w:sdtContent>
      </w:sdt>
      <w:r w:rsidR="00756C0F" w:rsidRPr="0057788C">
        <w:rPr>
          <w:rFonts w:cstheme="minorHAnsi"/>
        </w:rPr>
        <w:t xml:space="preserve">, 1-10 for ease of use, </w:t>
      </w:r>
      <w:r>
        <w:rPr>
          <w:rFonts w:cstheme="minorHAnsi"/>
        </w:rPr>
        <w:t>and</w:t>
      </w:r>
      <w:r w:rsidR="00756C0F" w:rsidRPr="0057788C">
        <w:rPr>
          <w:rFonts w:cstheme="minorHAnsi"/>
        </w:rPr>
        <w:t xml:space="preserve"> performance scores. Participants also filled in a six-item readiness to train questionnaire prior to testing and warm up, which was based off a readiness to train questionnaire by Starling and Lambert (2018</w:t>
      </w:r>
      <w:r w:rsidRPr="0057788C">
        <w:rPr>
          <w:rFonts w:cstheme="minorHAnsi"/>
        </w:rPr>
        <w:t>). As</w:t>
      </w:r>
      <w:r w:rsidR="00756C0F" w:rsidRPr="0057788C">
        <w:rPr>
          <w:rFonts w:cstheme="minorHAnsi"/>
        </w:rPr>
        <w:t xml:space="preserve"> to not influence performance participants filled in a modified MSQ (Chesney and tasto,1975) to determine phase of menstrual cycle and PMS symptoms</w:t>
      </w:r>
      <w:r>
        <w:rPr>
          <w:rFonts w:cstheme="minorHAnsi"/>
        </w:rPr>
        <w:t xml:space="preserve"> after testing</w:t>
      </w:r>
      <w:r w:rsidR="00756C0F" w:rsidRPr="0057788C">
        <w:rPr>
          <w:rFonts w:cstheme="minorHAnsi"/>
        </w:rPr>
        <w:t>.</w:t>
      </w:r>
      <w:r>
        <w:rPr>
          <w:rFonts w:cstheme="minorHAnsi"/>
        </w:rPr>
        <w:t xml:space="preserve"> </w:t>
      </w:r>
    </w:p>
    <w:p w14:paraId="46E252C6" w14:textId="4A47094A" w:rsidR="004E269B" w:rsidRPr="0057788C" w:rsidRDefault="00756C0F" w:rsidP="0057788C">
      <w:pPr>
        <w:spacing w:line="360" w:lineRule="auto"/>
        <w:rPr>
          <w:rFonts w:cstheme="minorHAnsi"/>
        </w:rPr>
      </w:pPr>
      <w:r w:rsidRPr="0057788C">
        <w:rPr>
          <w:rFonts w:cstheme="minorHAnsi"/>
        </w:rPr>
        <w:lastRenderedPageBreak/>
        <w:t xml:space="preserve">Initially results were to be analysed via </w:t>
      </w:r>
      <w:r w:rsidR="004E269B" w:rsidRPr="0057788C">
        <w:rPr>
          <w:rFonts w:cstheme="minorHAnsi"/>
        </w:rPr>
        <w:t>ANOVA test, however</w:t>
      </w:r>
      <w:r w:rsidR="0057788C">
        <w:rPr>
          <w:rFonts w:cstheme="minorHAnsi"/>
        </w:rPr>
        <w:t>,</w:t>
      </w:r>
      <w:r w:rsidR="004E269B" w:rsidRPr="0057788C">
        <w:rPr>
          <w:rFonts w:cstheme="minorHAnsi"/>
        </w:rPr>
        <w:t xml:space="preserve"> due to participant drop out, data volume meant this was not possible, data was</w:t>
      </w:r>
      <w:r w:rsidR="0057788C" w:rsidRPr="0057788C">
        <w:t xml:space="preserve"> </w:t>
      </w:r>
      <w:r w:rsidR="0057788C" w:rsidRPr="0057788C">
        <w:rPr>
          <w:rFonts w:cstheme="minorHAnsi"/>
        </w:rPr>
        <w:t>therefore</w:t>
      </w:r>
      <w:r w:rsidR="004E269B" w:rsidRPr="0057788C">
        <w:rPr>
          <w:rFonts w:cstheme="minorHAnsi"/>
        </w:rPr>
        <w:t xml:space="preserve"> analysed for trends and percentage changes between phases. The results saw strength peaking by 3.8% in the early LP, power also peaked by 10.5% in the early </w:t>
      </w:r>
      <w:r w:rsidR="0057788C">
        <w:rPr>
          <w:rFonts w:cstheme="minorHAnsi"/>
        </w:rPr>
        <w:t xml:space="preserve">LP, when </w:t>
      </w:r>
      <w:r w:rsidR="004E269B" w:rsidRPr="0057788C">
        <w:rPr>
          <w:rFonts w:cstheme="minorHAnsi"/>
        </w:rPr>
        <w:t>compared to the early FP. Muscular endurance however, peaked in the early follicular phase with a 9% difference between the FP and LP.</w:t>
      </w:r>
      <w:r w:rsidR="0057788C">
        <w:rPr>
          <w:rFonts w:cstheme="minorHAnsi"/>
        </w:rPr>
        <w:t xml:space="preserve"> The current </w:t>
      </w:r>
      <w:r w:rsidR="0057788C" w:rsidRPr="0057788C">
        <w:rPr>
          <w:rFonts w:cstheme="minorHAnsi"/>
        </w:rPr>
        <w:t>study</w:t>
      </w:r>
      <w:r w:rsidR="00E01821" w:rsidRPr="0057788C">
        <w:rPr>
          <w:rFonts w:cstheme="minorHAnsi"/>
        </w:rPr>
        <w:t xml:space="preserve"> suggests there is a correlation between performance markers in these CrossFit athletes and menstrual cycle </w:t>
      </w:r>
      <w:r w:rsidR="0057788C" w:rsidRPr="0057788C">
        <w:rPr>
          <w:rFonts w:cstheme="minorHAnsi"/>
        </w:rPr>
        <w:t>phase</w:t>
      </w:r>
      <w:r w:rsidR="0057788C">
        <w:rPr>
          <w:rFonts w:cstheme="minorHAnsi"/>
        </w:rPr>
        <w:t xml:space="preserve"> despite this contrasting other literature</w:t>
      </w:r>
      <w:r w:rsidR="0057788C" w:rsidRPr="0057788C">
        <w:rPr>
          <w:rFonts w:cstheme="minorHAnsi"/>
        </w:rPr>
        <w:t xml:space="preserve">. </w:t>
      </w:r>
      <w:r w:rsidR="0057788C">
        <w:rPr>
          <w:rFonts w:cstheme="minorHAnsi"/>
        </w:rPr>
        <w:t>Changes in performance</w:t>
      </w:r>
      <w:r w:rsidR="00E01821" w:rsidRPr="0057788C">
        <w:rPr>
          <w:rFonts w:cstheme="minorHAnsi"/>
        </w:rPr>
        <w:t xml:space="preserve"> may be due to individual responses to increased or decreased symptoms of PMS. This study faced </w:t>
      </w:r>
      <w:r w:rsidR="0057788C" w:rsidRPr="0057788C">
        <w:rPr>
          <w:rFonts w:cstheme="minorHAnsi"/>
        </w:rPr>
        <w:t>limitations</w:t>
      </w:r>
      <w:r w:rsidR="00E01821" w:rsidRPr="0057788C">
        <w:rPr>
          <w:rFonts w:cstheme="minorHAnsi"/>
        </w:rPr>
        <w:t xml:space="preserve"> such as a drop off in participation which makes application of results to a wider audience untenable, further to this the method of menstrual phase detection was self-determined suggesting that there is room for inaccuracies in phase reporting. To combat these limitations future studies should utilise urinary hormone concentration testing for increased accuracy of menstrual phase prediction.</w:t>
      </w:r>
    </w:p>
    <w:p w14:paraId="3B061463" w14:textId="116B2286" w:rsidR="00756C0F" w:rsidRDefault="00756C0F">
      <w:pPr>
        <w:rPr>
          <w:u w:val="single"/>
        </w:rPr>
      </w:pPr>
    </w:p>
    <w:p w14:paraId="5E7FB055" w14:textId="77777777" w:rsidR="00785A74" w:rsidRDefault="00785A74">
      <w:pPr>
        <w:rPr>
          <w:u w:val="single"/>
        </w:rPr>
      </w:pPr>
    </w:p>
    <w:p w14:paraId="08676152" w14:textId="0130A43F" w:rsidR="00785A74" w:rsidRDefault="00785A74">
      <w:pPr>
        <w:rPr>
          <w:b/>
          <w:bCs/>
          <w:u w:val="single"/>
        </w:rPr>
      </w:pPr>
      <w:r w:rsidRPr="00785A74">
        <w:rPr>
          <w:b/>
          <w:bCs/>
          <w:u w:val="single"/>
        </w:rPr>
        <w:t>Reference list:</w:t>
      </w:r>
    </w:p>
    <w:sdt>
      <w:sdtPr>
        <w:rPr>
          <w:rFonts w:ascii="Calibri" w:eastAsiaTheme="minorHAnsi" w:hAnsi="Calibri" w:cs="Calibri"/>
          <w:b/>
          <w:bCs/>
          <w:color w:val="000000"/>
          <w:kern w:val="2"/>
          <w:highlight w:val="white"/>
          <w:u w:val="single"/>
          <w:lang w:eastAsia="en-US"/>
          <w14:ligatures w14:val="standardContextual"/>
        </w:rPr>
        <w:tag w:val="rw.bWnCOutputStyleIdiblio"/>
        <w:id w:val="1971010323"/>
        <w:placeholder>
          <w:docPart w:val="5D9C8F701C13E94BBDDBC0EFE8B0E855"/>
        </w:placeholder>
      </w:sdtPr>
      <w:sdtEndPr/>
      <w:sdtContent>
        <w:p w14:paraId="00938D5E" w14:textId="77777777" w:rsidR="00785A74" w:rsidRDefault="00785A74">
          <w:pPr>
            <w:pStyle w:val="NormalWeb"/>
            <w:divId w:val="1194225713"/>
            <w:rPr>
              <w:rFonts w:ascii="Calibri" w:hAnsi="Calibri" w:cs="Calibri"/>
              <w:color w:val="000000"/>
            </w:rPr>
          </w:pPr>
          <w:r>
            <w:rPr>
              <w:rFonts w:ascii="Calibri" w:hAnsi="Calibri" w:cs="Calibri"/>
              <w:color w:val="000000"/>
            </w:rPr>
            <w:t xml:space="preserve">Borg, G. (1998) </w:t>
          </w:r>
          <w:r>
            <w:rPr>
              <w:rFonts w:ascii="Calibri" w:hAnsi="Calibri" w:cs="Calibri"/>
              <w:i/>
              <w:iCs/>
              <w:color w:val="000000"/>
            </w:rPr>
            <w:t xml:space="preserve">Borg's perceived exertion and pain scales. </w:t>
          </w:r>
          <w:r>
            <w:rPr>
              <w:rFonts w:ascii="Calibri" w:hAnsi="Calibri" w:cs="Calibri"/>
              <w:color w:val="000000"/>
            </w:rPr>
            <w:t>Human kinetics.</w:t>
          </w:r>
        </w:p>
        <w:p w14:paraId="37A2FFDA" w14:textId="77777777" w:rsidR="00785A74" w:rsidRDefault="00785A74">
          <w:pPr>
            <w:pStyle w:val="NormalWeb"/>
            <w:divId w:val="1194225713"/>
            <w:rPr>
              <w:rFonts w:ascii="Calibri" w:hAnsi="Calibri" w:cs="Calibri"/>
              <w:color w:val="000000"/>
            </w:rPr>
          </w:pPr>
          <w:r>
            <w:rPr>
              <w:rFonts w:ascii="Calibri" w:hAnsi="Calibri" w:cs="Calibri"/>
              <w:color w:val="000000"/>
            </w:rPr>
            <w:t xml:space="preserve">Chesney, </w:t>
          </w:r>
          <w:proofErr w:type="gramStart"/>
          <w:r>
            <w:rPr>
              <w:rFonts w:ascii="Calibri" w:hAnsi="Calibri" w:cs="Calibri"/>
              <w:color w:val="000000"/>
            </w:rPr>
            <w:t>M.A.</w:t>
          </w:r>
          <w:proofErr w:type="gramEnd"/>
          <w:r>
            <w:rPr>
              <w:rFonts w:ascii="Calibri" w:hAnsi="Calibri" w:cs="Calibri"/>
              <w:color w:val="000000"/>
            </w:rPr>
            <w:t xml:space="preserve"> and Tasto, D.L. (1975) 'The development of the menstrual symptom questionnaire', </w:t>
          </w:r>
          <w:r>
            <w:rPr>
              <w:rFonts w:ascii="Calibri" w:hAnsi="Calibri" w:cs="Calibri"/>
              <w:i/>
              <w:iCs/>
              <w:color w:val="000000"/>
            </w:rPr>
            <w:t xml:space="preserve">Behaviour research and therapy, </w:t>
          </w:r>
          <w:r>
            <w:rPr>
              <w:rFonts w:ascii="Calibri" w:hAnsi="Calibri" w:cs="Calibri"/>
              <w:color w:val="000000"/>
            </w:rPr>
            <w:t>13(4), pp. 237-244.</w:t>
          </w:r>
        </w:p>
        <w:p w14:paraId="033E2A96" w14:textId="77777777" w:rsidR="00785A74" w:rsidRDefault="00785A74">
          <w:pPr>
            <w:pStyle w:val="NormalWeb"/>
            <w:divId w:val="1194225713"/>
            <w:rPr>
              <w:rFonts w:ascii="Calibri" w:hAnsi="Calibri" w:cs="Calibri"/>
              <w:color w:val="000000"/>
            </w:rPr>
          </w:pPr>
          <w:r>
            <w:rPr>
              <w:rFonts w:ascii="Calibri" w:hAnsi="Calibri" w:cs="Calibri"/>
              <w:color w:val="000000"/>
            </w:rPr>
            <w:t xml:space="preserve">Starling, </w:t>
          </w:r>
          <w:proofErr w:type="gramStart"/>
          <w:r>
            <w:rPr>
              <w:rFonts w:ascii="Calibri" w:hAnsi="Calibri" w:cs="Calibri"/>
              <w:color w:val="000000"/>
            </w:rPr>
            <w:t>L.T.</w:t>
          </w:r>
          <w:proofErr w:type="gramEnd"/>
          <w:r>
            <w:rPr>
              <w:rFonts w:ascii="Calibri" w:hAnsi="Calibri" w:cs="Calibri"/>
              <w:color w:val="000000"/>
            </w:rPr>
            <w:t xml:space="preserve"> and Lambert, M.I. (2018) 'Monitoring rugby players for fitness and fatigue: what do coaches want?', </w:t>
          </w:r>
          <w:r>
            <w:rPr>
              <w:rFonts w:ascii="Calibri" w:hAnsi="Calibri" w:cs="Calibri"/>
              <w:i/>
              <w:iCs/>
              <w:color w:val="000000"/>
            </w:rPr>
            <w:t xml:space="preserve">International Journal of Sports Physiology and Performance, </w:t>
          </w:r>
          <w:r>
            <w:rPr>
              <w:rFonts w:ascii="Calibri" w:hAnsi="Calibri" w:cs="Calibri"/>
              <w:color w:val="000000"/>
            </w:rPr>
            <w:t>13(6), pp. 777-782.</w:t>
          </w:r>
        </w:p>
        <w:p w14:paraId="65E7E140" w14:textId="02F47A03" w:rsidR="00785A74" w:rsidRPr="00785A74" w:rsidRDefault="00785A74">
          <w:pPr>
            <w:rPr>
              <w:rFonts w:ascii="Calibri" w:hAnsi="Calibri" w:cs="Calibri"/>
              <w:b/>
              <w:bCs/>
              <w:color w:val="000000"/>
              <w:highlight w:val="white"/>
              <w:u w:val="single"/>
            </w:rPr>
          </w:pPr>
          <w:r>
            <w:rPr>
              <w:vanish/>
            </w:rPr>
            <w:t>stylefix</w:t>
          </w:r>
        </w:p>
      </w:sdtContent>
    </w:sdt>
    <w:p w14:paraId="7A3CB170" w14:textId="78C4170C" w:rsidR="00785A74" w:rsidRPr="00785A74" w:rsidRDefault="00070153">
      <w:pPr>
        <w:rPr>
          <w:b/>
          <w:bCs/>
          <w:u w:val="single"/>
        </w:rPr>
      </w:pPr>
      <w:sdt>
        <w:sdtPr>
          <w:rPr>
            <w:rFonts w:ascii="Calibri" w:hAnsi="Calibri" w:cs="Calibri"/>
            <w:b/>
            <w:bCs/>
            <w:color w:val="FFFFFF" w:themeColor="background1"/>
            <w:highlight w:val="white"/>
            <w:u w:val="single"/>
          </w:rPr>
          <w:alias w:val="Citation"/>
          <w:tag w:val="{&quot;referencesIds&quot;:[&quot;doc:643528636d31c50549a7ccc2&quot;],&quot;referencesOptions&quot;:{&quot;doc:643528636d31c50549a7ccc2&quot;:{&quot;author&quot;:true,&quot;year&quot;:true,&quot;pageReplace&quot;:&quot;&quot;,&quot;prefix&quot;:&quot;&quot;,&quot;suffix&quot;:&quot;&quot;}},&quot;hasBrokenReferences&quot;:false,&quot;hasManualEdits&quot;:false,&quot;citationType&quot;:&quot;inline&quot;}"/>
          <w:id w:val="-1140642506"/>
          <w:placeholder>
            <w:docPart w:val="A1ECE388EFDA4E43A646E5C67DCBAB9F"/>
          </w:placeholder>
        </w:sdtPr>
        <w:sdtEndPr/>
        <w:sdtContent>
          <w:r w:rsidR="00785A74" w:rsidRPr="00785A74">
            <w:rPr>
              <w:rFonts w:ascii="Calibri" w:eastAsia="Times New Roman" w:hAnsi="Calibri" w:cs="Calibri"/>
              <w:color w:val="FFFFFF" w:themeColor="background1"/>
            </w:rPr>
            <w:t>(Chesney and Tasto, 1975)</w:t>
          </w:r>
        </w:sdtContent>
      </w:sdt>
      <w:r w:rsidR="00785A74" w:rsidRPr="00785A74">
        <w:rPr>
          <w:rFonts w:ascii="Calibri" w:hAnsi="Calibri" w:cs="Calibri"/>
          <w:b/>
          <w:bCs/>
          <w:color w:val="FFFFFF" w:themeColor="background1"/>
          <w:highlight w:val="white"/>
          <w:u w:val="single"/>
        </w:rPr>
        <w:t xml:space="preserve"> </w:t>
      </w:r>
      <w:sdt>
        <w:sdtPr>
          <w:rPr>
            <w:rFonts w:ascii="Calibri" w:hAnsi="Calibri" w:cs="Calibri"/>
            <w:b/>
            <w:bCs/>
            <w:color w:val="FFFFFF" w:themeColor="background1"/>
            <w:highlight w:val="white"/>
            <w:u w:val="single"/>
          </w:rPr>
          <w:alias w:val="Citation"/>
          <w:tag w:val="{&quot;referencesIds&quot;:[&quot;doc:64352a9a9edad30550f3eed7&quot;],&quot;referencesOptions&quot;:{&quot;doc:64352a9a9edad30550f3eed7&quot;:{&quot;author&quot;:true,&quot;year&quot;:true,&quot;pageReplace&quot;:&quot;&quot;,&quot;prefix&quot;:&quot;&quot;,&quot;suffix&quot;:&quot;&quot;}},&quot;hasBrokenReferences&quot;:false,&quot;hasManualEdits&quot;:false,&quot;citationType&quot;:&quot;inline&quot;}"/>
          <w:id w:val="-913305841"/>
          <w:placeholder>
            <w:docPart w:val="1673D776E610E046A405BC727A259085"/>
          </w:placeholder>
        </w:sdtPr>
        <w:sdtEndPr>
          <w:rPr>
            <w:color w:val="000000"/>
          </w:rPr>
        </w:sdtEndPr>
        <w:sdtContent>
          <w:r w:rsidR="00785A74" w:rsidRPr="00785A74">
            <w:rPr>
              <w:rFonts w:ascii="Calibri" w:eastAsia="Times New Roman" w:hAnsi="Calibri" w:cs="Calibri"/>
              <w:color w:val="FFFFFF" w:themeColor="background1"/>
            </w:rPr>
            <w:t>(Starling and Lambert, 2018)</w:t>
          </w:r>
        </w:sdtContent>
      </w:sdt>
    </w:p>
    <w:sectPr w:rsidR="00785A74" w:rsidRPr="00785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B55"/>
    <w:rsid w:val="00070153"/>
    <w:rsid w:val="001C34E4"/>
    <w:rsid w:val="002A7BEB"/>
    <w:rsid w:val="00403AAB"/>
    <w:rsid w:val="004E269B"/>
    <w:rsid w:val="00512ED6"/>
    <w:rsid w:val="0057788C"/>
    <w:rsid w:val="00756C0F"/>
    <w:rsid w:val="00785A74"/>
    <w:rsid w:val="00C84A47"/>
    <w:rsid w:val="00CA43FC"/>
    <w:rsid w:val="00CC2B55"/>
    <w:rsid w:val="00DD5FA0"/>
    <w:rsid w:val="00E01821"/>
    <w:rsid w:val="00EA5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CBF319"/>
  <w15:chartTrackingRefBased/>
  <w15:docId w15:val="{A63EC1A0-2BEE-7D49-A7BC-9350F50FB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C84A47"/>
    <w:pPr>
      <w:keepNext/>
      <w:jc w:val="both"/>
      <w:outlineLvl w:val="1"/>
    </w:pPr>
    <w:rPr>
      <w:rFonts w:ascii="Times New Roman" w:eastAsia="Times New Roman" w:hAnsi="Times New Roman" w:cs="Times New Roman"/>
      <w:b/>
      <w:kern w:val="0"/>
      <w:szCs w:val="20"/>
      <w:lang w:eastAsia="en-GB"/>
      <w14:ligatures w14:val="none"/>
    </w:rPr>
  </w:style>
  <w:style w:type="paragraph" w:styleId="Heading4">
    <w:name w:val="heading 4"/>
    <w:basedOn w:val="Normal"/>
    <w:next w:val="Normal"/>
    <w:link w:val="Heading4Char"/>
    <w:qFormat/>
    <w:rsid w:val="00C84A47"/>
    <w:pPr>
      <w:keepNext/>
      <w:spacing w:before="120" w:after="120"/>
      <w:jc w:val="center"/>
      <w:outlineLvl w:val="3"/>
    </w:pPr>
    <w:rPr>
      <w:rFonts w:ascii="Times New Roman" w:eastAsia="Times New Roman" w:hAnsi="Times New Roman" w:cs="Times New Roman"/>
      <w:kern w:val="0"/>
      <w:sz w:val="4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5A74"/>
    <w:rPr>
      <w:color w:val="808080"/>
    </w:rPr>
  </w:style>
  <w:style w:type="paragraph" w:styleId="NormalWeb">
    <w:name w:val="Normal (Web)"/>
    <w:basedOn w:val="Normal"/>
    <w:uiPriority w:val="99"/>
    <w:semiHidden/>
    <w:unhideWhenUsed/>
    <w:rsid w:val="00785A74"/>
    <w:pPr>
      <w:spacing w:before="100" w:beforeAutospacing="1" w:after="100" w:afterAutospacing="1"/>
    </w:pPr>
    <w:rPr>
      <w:rFonts w:ascii="Times New Roman" w:eastAsiaTheme="minorEastAsia" w:hAnsi="Times New Roman" w:cs="Times New Roman"/>
      <w:kern w:val="0"/>
      <w:lang w:eastAsia="en-GB"/>
      <w14:ligatures w14:val="none"/>
    </w:rPr>
  </w:style>
  <w:style w:type="character" w:customStyle="1" w:styleId="Heading2Char">
    <w:name w:val="Heading 2 Char"/>
    <w:basedOn w:val="DefaultParagraphFont"/>
    <w:link w:val="Heading2"/>
    <w:rsid w:val="00C84A47"/>
    <w:rPr>
      <w:rFonts w:ascii="Times New Roman" w:eastAsia="Times New Roman" w:hAnsi="Times New Roman" w:cs="Times New Roman"/>
      <w:b/>
      <w:kern w:val="0"/>
      <w:szCs w:val="20"/>
      <w:lang w:eastAsia="en-GB"/>
      <w14:ligatures w14:val="none"/>
    </w:rPr>
  </w:style>
  <w:style w:type="character" w:customStyle="1" w:styleId="Heading4Char">
    <w:name w:val="Heading 4 Char"/>
    <w:basedOn w:val="DefaultParagraphFont"/>
    <w:link w:val="Heading4"/>
    <w:rsid w:val="00C84A47"/>
    <w:rPr>
      <w:rFonts w:ascii="Times New Roman" w:eastAsia="Times New Roman" w:hAnsi="Times New Roman" w:cs="Times New Roman"/>
      <w:kern w:val="0"/>
      <w:sz w:val="40"/>
      <w:szCs w:val="20"/>
      <w:lang w:eastAsia="en-GB"/>
      <w14:ligatures w14:val="none"/>
    </w:rPr>
  </w:style>
  <w:style w:type="paragraph" w:styleId="Title">
    <w:name w:val="Title"/>
    <w:basedOn w:val="Normal"/>
    <w:next w:val="Normal"/>
    <w:link w:val="TitleChar"/>
    <w:uiPriority w:val="10"/>
    <w:qFormat/>
    <w:rsid w:val="00070153"/>
    <w:pPr>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070153"/>
    <w:rPr>
      <w:rFonts w:asciiTheme="majorHAnsi" w:eastAsiaTheme="majorEastAsia" w:hAnsiTheme="majorHAnsi" w:cstheme="majorBidi"/>
      <w:spacing w:val="-10"/>
      <w:kern w:val="28"/>
      <w:sz w:val="56"/>
      <w:szCs w:val="5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1551">
      <w:bodyDiv w:val="1"/>
      <w:marLeft w:val="0"/>
      <w:marRight w:val="0"/>
      <w:marTop w:val="0"/>
      <w:marBottom w:val="0"/>
      <w:divBdr>
        <w:top w:val="none" w:sz="0" w:space="0" w:color="auto"/>
        <w:left w:val="none" w:sz="0" w:space="0" w:color="auto"/>
        <w:bottom w:val="none" w:sz="0" w:space="0" w:color="auto"/>
        <w:right w:val="none" w:sz="0" w:space="0" w:color="auto"/>
      </w:divBdr>
    </w:div>
    <w:div w:id="1084954747">
      <w:bodyDiv w:val="1"/>
      <w:marLeft w:val="0"/>
      <w:marRight w:val="0"/>
      <w:marTop w:val="0"/>
      <w:marBottom w:val="0"/>
      <w:divBdr>
        <w:top w:val="none" w:sz="0" w:space="0" w:color="auto"/>
        <w:left w:val="none" w:sz="0" w:space="0" w:color="auto"/>
        <w:bottom w:val="none" w:sz="0" w:space="0" w:color="auto"/>
        <w:right w:val="none" w:sz="0" w:space="0" w:color="auto"/>
      </w:divBdr>
    </w:div>
    <w:div w:id="1194225713">
      <w:bodyDiv w:val="1"/>
      <w:marLeft w:val="0"/>
      <w:marRight w:val="0"/>
      <w:marTop w:val="0"/>
      <w:marBottom w:val="0"/>
      <w:divBdr>
        <w:top w:val="none" w:sz="0" w:space="0" w:color="auto"/>
        <w:left w:val="none" w:sz="0" w:space="0" w:color="auto"/>
        <w:bottom w:val="none" w:sz="0" w:space="0" w:color="auto"/>
        <w:right w:val="none" w:sz="0" w:space="0" w:color="auto"/>
      </w:divBdr>
    </w:div>
    <w:div w:id="1497065122">
      <w:bodyDiv w:val="1"/>
      <w:marLeft w:val="0"/>
      <w:marRight w:val="0"/>
      <w:marTop w:val="0"/>
      <w:marBottom w:val="0"/>
      <w:divBdr>
        <w:top w:val="none" w:sz="0" w:space="0" w:color="auto"/>
        <w:left w:val="none" w:sz="0" w:space="0" w:color="auto"/>
        <w:bottom w:val="none" w:sz="0" w:space="0" w:color="auto"/>
        <w:right w:val="none" w:sz="0" w:space="0" w:color="auto"/>
      </w:divBdr>
      <w:divsChild>
        <w:div w:id="1257323992">
          <w:marLeft w:val="0"/>
          <w:marRight w:val="0"/>
          <w:marTop w:val="0"/>
          <w:marBottom w:val="0"/>
          <w:divBdr>
            <w:top w:val="none" w:sz="0" w:space="0" w:color="auto"/>
            <w:left w:val="none" w:sz="0" w:space="0" w:color="auto"/>
            <w:bottom w:val="none" w:sz="0" w:space="0" w:color="auto"/>
            <w:right w:val="none" w:sz="0" w:space="0" w:color="auto"/>
          </w:divBdr>
        </w:div>
        <w:div w:id="652175776">
          <w:marLeft w:val="0"/>
          <w:marRight w:val="0"/>
          <w:marTop w:val="0"/>
          <w:marBottom w:val="0"/>
          <w:divBdr>
            <w:top w:val="none" w:sz="0" w:space="0" w:color="auto"/>
            <w:left w:val="none" w:sz="0" w:space="0" w:color="auto"/>
            <w:bottom w:val="none" w:sz="0" w:space="0" w:color="auto"/>
            <w:right w:val="none" w:sz="0" w:space="0" w:color="auto"/>
          </w:divBdr>
        </w:div>
      </w:divsChild>
    </w:div>
    <w:div w:id="213255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FCC32F38E09641A37814B0CFB10008"/>
        <w:category>
          <w:name w:val="General"/>
          <w:gallery w:val="placeholder"/>
        </w:category>
        <w:types>
          <w:type w:val="bbPlcHdr"/>
        </w:types>
        <w:behaviors>
          <w:behavior w:val="content"/>
        </w:behaviors>
        <w:guid w:val="{32E66ABD-6C7E-304C-89C5-3F3A0AD0E6BD}"/>
      </w:docPartPr>
      <w:docPartBody>
        <w:p w:rsidR="00F32083" w:rsidRDefault="00947F8A" w:rsidP="00947F8A">
          <w:pPr>
            <w:pStyle w:val="59FCC32F38E09641A37814B0CFB10008"/>
          </w:pPr>
          <w:r w:rsidRPr="004F23DB">
            <w:rPr>
              <w:rStyle w:val="PlaceholderText"/>
            </w:rPr>
            <w:t>Formatting...</w:t>
          </w:r>
        </w:p>
      </w:docPartBody>
    </w:docPart>
    <w:docPart>
      <w:docPartPr>
        <w:name w:val="5D9C8F701C13E94BBDDBC0EFE8B0E855"/>
        <w:category>
          <w:name w:val="General"/>
          <w:gallery w:val="placeholder"/>
        </w:category>
        <w:types>
          <w:type w:val="bbPlcHdr"/>
        </w:types>
        <w:behaviors>
          <w:behavior w:val="content"/>
        </w:behaviors>
        <w:guid w:val="{6DF54AD7-9519-8445-9342-B0D54B248097}"/>
      </w:docPartPr>
      <w:docPartBody>
        <w:p w:rsidR="00646E83" w:rsidRDefault="00F32083">
          <w:r w:rsidRPr="004F23DB">
            <w:rPr>
              <w:rStyle w:val="PlaceholderText"/>
            </w:rPr>
            <w:t>Formatting Bibliography...</w:t>
          </w:r>
        </w:p>
      </w:docPartBody>
    </w:docPart>
    <w:docPart>
      <w:docPartPr>
        <w:name w:val="A1ECE388EFDA4E43A646E5C67DCBAB9F"/>
        <w:category>
          <w:name w:val="General"/>
          <w:gallery w:val="placeholder"/>
        </w:category>
        <w:types>
          <w:type w:val="bbPlcHdr"/>
        </w:types>
        <w:behaviors>
          <w:behavior w:val="content"/>
        </w:behaviors>
        <w:guid w:val="{723670BE-6D2B-8341-9B1B-9DA7951DA930}"/>
      </w:docPartPr>
      <w:docPartBody>
        <w:p w:rsidR="00646E83" w:rsidRDefault="00F32083" w:rsidP="00F32083">
          <w:pPr>
            <w:pStyle w:val="A1ECE388EFDA4E43A646E5C67DCBAB9F"/>
          </w:pPr>
          <w:r w:rsidRPr="004F23DB">
            <w:rPr>
              <w:rStyle w:val="PlaceholderText"/>
            </w:rPr>
            <w:t>Formatting...</w:t>
          </w:r>
        </w:p>
      </w:docPartBody>
    </w:docPart>
    <w:docPart>
      <w:docPartPr>
        <w:name w:val="1673D776E610E046A405BC727A259085"/>
        <w:category>
          <w:name w:val="General"/>
          <w:gallery w:val="placeholder"/>
        </w:category>
        <w:types>
          <w:type w:val="bbPlcHdr"/>
        </w:types>
        <w:behaviors>
          <w:behavior w:val="content"/>
        </w:behaviors>
        <w:guid w:val="{5DF4248B-3F9A-5F46-9CF8-C9B2EAF9A241}"/>
      </w:docPartPr>
      <w:docPartBody>
        <w:p w:rsidR="00646E83" w:rsidRDefault="00F32083" w:rsidP="00F32083">
          <w:pPr>
            <w:pStyle w:val="1673D776E610E046A405BC727A259085"/>
          </w:pPr>
          <w:r w:rsidRPr="004F23D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F8A"/>
    <w:rsid w:val="00646E83"/>
    <w:rsid w:val="00933E8D"/>
    <w:rsid w:val="00947F8A"/>
    <w:rsid w:val="00F32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2083"/>
    <w:rPr>
      <w:color w:val="808080"/>
    </w:rPr>
  </w:style>
  <w:style w:type="paragraph" w:customStyle="1" w:styleId="59FCC32F38E09641A37814B0CFB10008">
    <w:name w:val="59FCC32F38E09641A37814B0CFB10008"/>
    <w:rsid w:val="00947F8A"/>
  </w:style>
  <w:style w:type="paragraph" w:customStyle="1" w:styleId="A1ECE388EFDA4E43A646E5C67DCBAB9F">
    <w:name w:val="A1ECE388EFDA4E43A646E5C67DCBAB9F"/>
    <w:rsid w:val="00F32083"/>
  </w:style>
  <w:style w:type="paragraph" w:customStyle="1" w:styleId="1673D776E610E046A405BC727A259085">
    <w:name w:val="1673D776E610E046A405BC727A259085"/>
    <w:rsid w:val="00F320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FC5154-2D05-DE42-9ECF-745BDCAF0F13}">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38841865&quot;:{&quot;referencesIds&quot;:[&quot;doc:64352eda6d31c50549a7cd84&quot;],&quot;referencesOptions&quot;:{&quot;doc:64352eda6d31c50549a7cd84&quot;:{&quot;author&quot;:true,&quot;year&quot;:true,&quot;pageReplace&quot;:&quot;&quot;,&quot;prefix&quot;:&quot;&quot;,&quot;suffix&quot;:&quot;&quot;}},&quot;hasBrokenReferences&quot;:false,&quot;hasManualEdits&quot;:false,&quot;citationType&quot;:&quot;inline&quot;,&quot;id&quot;:238841865,&quot;citationText&quot;:&quot;&lt;span style=\&quot;font-family:Calibri;font-size:16px;color:#000000\&quot;&gt;(Borg, 1998)&lt;/span&gt;&quot;},&quot;551970810&quot;:{&quot;referencesIds&quot;:[&quot;doc:643528636d31c50549a7ccc2&quot;],&quot;referencesOptions&quot;:{&quot;doc:643528636d31c50549a7ccc2&quot;:{&quot;author&quot;:true,&quot;year&quot;:true,&quot;pageReplace&quot;:&quot;&quot;,&quot;prefix&quot;:&quot;&quot;,&quot;suffix&quot;:&quot;&quot;}},&quot;hasBrokenReferences&quot;:false,&quot;hasManualEdits&quot;:false,&quot;citationType&quot;:&quot;inline&quot;,&quot;id&quot;:551970810,&quot;citationText&quot;:&quot;&lt;span style=\&quot;font-family:Calibri;font-size:16px;color:#000000\&quot;&gt;(Chesney and Tasto, 1975)&lt;/span&gt;&quot;},&quot;-1349018483&quot;:{&quot;referencesIds&quot;:[&quot;doc:64352a9a9edad30550f3eed7&quot;],&quot;referencesOptions&quot;:{&quot;doc:64352a9a9edad30550f3eed7&quot;:{&quot;author&quot;:true,&quot;year&quot;:true,&quot;pageReplace&quot;:&quot;&quot;,&quot;prefix&quot;:&quot;&quot;,&quot;suffix&quot;:&quot;&quot;}},&quot;hasBrokenReferences&quot;:false,&quot;hasManualEdits&quot;:false,&quot;citationType&quot;:&quot;inline&quot;,&quot;id&quot;:-1349018483,&quot;citationText&quot;:&quot;&lt;span style=\&quot;font-family:Calibri;font-size:16px;color:#000000\&quot;&gt;(Starling and Lambert, 2018)&lt;/span&gt;&quot;}}"/>
    <we:property name="currentStyle" value="{&quot;id&quot;:&quot;3932&quot;,&quot;styleType&quot;:&quot;refworks&quot;,&quot;name&quot;:&quot;Cite Them Right - Harvard&quot;,&quot;isInstitutional&quot;:false,&quot;citeStyle&quot;:&quot;INTEXT_AND_FOOTNOTE&quot;,&quot;isSorted&quot;:false,&quot;usesNumbers&quot;:false,&quot;authorDisambiguation&quot;:&quot;surname_firstname&quot;}"/>
    <we:property name="rcm.version" value="2"/>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TotalTime>
  <Pages>3</Pages>
  <Words>809</Words>
  <Characters>4500</Characters>
  <Application>Microsoft Office Word</Application>
  <DocSecurity>0</DocSecurity>
  <Lines>70</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Manning (2000201)</dc:creator>
  <cp:keywords/>
  <dc:description/>
  <cp:lastModifiedBy>Amber Manning (2000201)</cp:lastModifiedBy>
  <cp:revision>5</cp:revision>
  <dcterms:created xsi:type="dcterms:W3CDTF">2023-05-03T12:34:00Z</dcterms:created>
  <dcterms:modified xsi:type="dcterms:W3CDTF">2023-05-03T12:38:00Z</dcterms:modified>
</cp:coreProperties>
</file>