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F3AFA0" w14:textId="5C2F2568" w:rsidR="002F701D" w:rsidRDefault="00DF5922">
      <w:r>
        <w:t>Gemma-Louise Smith</w:t>
      </w:r>
      <w:r w:rsidR="00F62F09">
        <w:t>.</w:t>
      </w:r>
      <w:r>
        <w:t xml:space="preserve"> 1944220</w:t>
      </w:r>
      <w:r w:rsidR="00F62F09">
        <w:t>.</w:t>
      </w:r>
    </w:p>
    <w:p w14:paraId="2CA781A8" w14:textId="77777777" w:rsidR="00527E27" w:rsidRDefault="00527E27" w:rsidP="00527E27">
      <w:r>
        <w:t>In this essay I will be analysing the role of independent bodies in holding the police accountable to those they serve. I will be focusing on two organisations and how they do this whilst working alongside the police service to make policing transparent, fair, and effective. The two organisations I will be discussing in this essay will be The Independent Office for Police Conduct (IOPC) and Her Majesty’s Inspectorate of Constabulary and Fire and Rescue Services (HMICFRS).</w:t>
      </w:r>
    </w:p>
    <w:p w14:paraId="3125E7C5" w14:textId="77777777" w:rsidR="00527E27" w:rsidRDefault="00527E27" w:rsidP="00527E27">
      <w:pPr>
        <w:rPr>
          <w:rFonts w:cstheme="minorHAnsi"/>
        </w:rPr>
      </w:pPr>
      <w:r>
        <w:t xml:space="preserve">Firstly, I will be discussing the role of the IOPC. The IOPC investigates the most serious and sensitive incidents and allegations involving the police in England and Wales. The IOPC was originally the Independent Police Complaints Commission and became the IOPC in January 2018. This change was set out in the policing and Crime Act 2017. The IOPC is an independent </w:t>
      </w:r>
      <w:r w:rsidRPr="00C911BF">
        <w:rPr>
          <w:rFonts w:cstheme="minorHAnsi"/>
        </w:rPr>
        <w:t xml:space="preserve">organisation </w:t>
      </w:r>
      <w:r>
        <w:rPr>
          <w:rFonts w:cstheme="minorHAnsi"/>
        </w:rPr>
        <w:t xml:space="preserve">“Our operational decision making is independent of the police or government” (IOPC, 2020). By law, police forces must refer serious incidents to the IOPC regardless of if there is a complaint. These incidents could include corruption or serious assault by police officers, excessive use of force, death or serious injuries following police custody or police contact and police shootings. The investigations will have one of three outcomes this includes: No case to answer, the police force should instigate disciplinary proceedings, or the evidence is passed to the Crown Prosecution Service (CPS) for criminal charges to be considered. The aim in this is to protect the police services reputation in maintaining honesty and integrity of its police officers and showing to the public that police officers will be held accountable if the standard expected of them is not maintained. </w:t>
      </w:r>
    </w:p>
    <w:p w14:paraId="16392CF6" w14:textId="77777777" w:rsidR="00527E27" w:rsidRDefault="00527E27" w:rsidP="00527E27">
      <w:r>
        <w:rPr>
          <w:rFonts w:cstheme="minorHAnsi"/>
        </w:rPr>
        <w:t>A recent case involving the IOPC and South Wales Police Service has been covered by the media and highlights that if police officers are thought to be acting outside of their powers then they will be investigated. This case was where an officer was alleged to have used excessive force during an arrest. The investigation took place over an eight-month period and evidence including body worn camera footage of the incident and accounts from the man arrested and officers present was passed to the CPS where a charge of assault was authorised. After a two-day trial the police officer was found not guilty of assault during the arrest however, the IOPC concluded that there was a disciplinary case for the police officer to answer for gross misconduct. “It will now be for the force to take forward disciplinary proceedings” (IOPC,2021</w:t>
      </w:r>
      <w:r>
        <w:t>). This highlights that although the officer was cleared of the charge of assault, the police force will now investigate the officer under their own policies and procedures for what was deemed to be an excessive use of force.</w:t>
      </w:r>
    </w:p>
    <w:p w14:paraId="2A7E9C48" w14:textId="77777777" w:rsidR="00527E27" w:rsidRDefault="00527E27" w:rsidP="00527E27">
      <w:r>
        <w:t>Next, I will be discussing the HMICFRS and their role alongside policing. The HMICFRS describe their principal role as “To promote improvements in policing and fire and rescue services to make everyone safer” (HMICFRS, 2018).</w:t>
      </w:r>
    </w:p>
    <w:p w14:paraId="563E3180" w14:textId="77777777" w:rsidR="00527E27" w:rsidRDefault="00527E27" w:rsidP="00527E27">
      <w:pPr>
        <w:rPr>
          <w:rFonts w:cstheme="minorHAnsi"/>
        </w:rPr>
      </w:pPr>
      <w:r>
        <w:t>The HMICFRS inspects and monitors 43 police forces in England and Wales. Their role is to independently report on the efficiency and the effectiveness of the police and fire service. The aim is then that the public will have readily available information on how well the Fire service and the police service are performing. With a view that those who are seemingly underperforming will seek to make improvements and change to increase their effectiveness and efficiency. How the local police force has performed in areas comes from the information provided in a police effectiveness, efficiency, and legitimacy (PEEL) assessments. These PEEL assessments are then “comparable both across England and Wales, and year on year</w:t>
      </w:r>
      <w:r>
        <w:rPr>
          <w:rFonts w:cstheme="minorHAnsi"/>
        </w:rPr>
        <w:t xml:space="preserve">.” (HMICFRS, 2018). HMICFRS reports to the public on how well the police are doing their job. HMICFRS describe themselves as asking the questions “the citizens would ask and publish the answers in accessible form”. (HMICFRS). HMICFRS inspects police ethics and accountability, without which the police would no longer be able to “police by consent”. </w:t>
      </w:r>
      <w:proofErr w:type="gramStart"/>
      <w:r>
        <w:rPr>
          <w:rFonts w:cstheme="minorHAnsi"/>
        </w:rPr>
        <w:t>In order for</w:t>
      </w:r>
      <w:proofErr w:type="gramEnd"/>
      <w:r>
        <w:rPr>
          <w:rFonts w:cstheme="minorHAnsi"/>
        </w:rPr>
        <w:t xml:space="preserve"> the police to be able to police by the publics consent requires co-operation of the public, </w:t>
      </w:r>
      <w:r>
        <w:rPr>
          <w:rFonts w:cstheme="minorHAnsi"/>
        </w:rPr>
        <w:lastRenderedPageBreak/>
        <w:t>this can be achieved by “behaviour which secures and maintains for them the approval, respect and affection of the public” (Gov, 2012). The reports that the HMICFRS make available for the public increases the likelihood of maintaining the approval and respect of the public by being able to hold their local force accountable and being able to compare it with other forces in England and Wales. In addition to working alongside the police, the HMICFRS also included the inspection of the fire service in England in July 2017, reporting on the effectiveness in a similar way that they report on the police service. The region is split into five areas, each one overseen by the HMICFRS.</w:t>
      </w:r>
    </w:p>
    <w:p w14:paraId="2AFDCFF2" w14:textId="00BD7EF9" w:rsidR="00527E27" w:rsidRDefault="00527E27" w:rsidP="00527E27">
      <w:pPr>
        <w:rPr>
          <w:rFonts w:cstheme="minorHAnsi"/>
        </w:rPr>
      </w:pPr>
      <w:r>
        <w:rPr>
          <w:rFonts w:cstheme="minorHAnsi"/>
        </w:rPr>
        <w:t>In conclusion, I have outlined in this essay the role of both the IOPC and HMICFRS and their roles in which they hold the police and the fire service accountable for those members of the public that they serve. Both the IOPC and the HMICFRS are in place to maintain public confidence in the police so that police forces in England and Wales can continue to police by consent. The public are reassured that if there are any wrongdoings or if any of the standards expected by police officers are not maintained, they will be dealt with independently. The South Wales Police case I highlighted in discussing the IOPC also shows that even if no criminal charges are brought, police officers can still be dealt with by their respective forces if their behaviour is deemed to be in appropriate in line with police ethics and accountability. Therefore, the aim is to reduce the possibility of professional malpractice and improve community confidence. I have also discussed how HMICFRS informs the public how well their police service is doing in comparison to others, therefore the public can continue to expect an improving service by these reports and challenge their local police force if necessary, with readily accessible data and reports.</w:t>
      </w:r>
      <w:r w:rsidR="001609D9">
        <w:rPr>
          <w:rFonts w:cstheme="minorHAnsi"/>
        </w:rPr>
        <w:t xml:space="preserve"> (1001).</w:t>
      </w:r>
    </w:p>
    <w:p w14:paraId="2EE192E7" w14:textId="1ECD66DC" w:rsidR="00DF5922" w:rsidRDefault="00DF5922"/>
    <w:p w14:paraId="264C1816" w14:textId="77777777" w:rsidR="00527E27" w:rsidRDefault="00527E27" w:rsidP="00527E27">
      <w:pPr>
        <w:rPr>
          <w:rStyle w:val="Hyperlink"/>
        </w:rPr>
      </w:pPr>
      <w:r>
        <w:t xml:space="preserve">IOPC,2021 </w:t>
      </w:r>
      <w:hyperlink r:id="rId7" w:history="1">
        <w:r>
          <w:rPr>
            <w:rStyle w:val="Hyperlink"/>
          </w:rPr>
          <w:t>Alleged excessive use of force - PC Knight - South Wales | Independent Office for Police Conduct</w:t>
        </w:r>
      </w:hyperlink>
    </w:p>
    <w:p w14:paraId="5044D164" w14:textId="77777777" w:rsidR="00527E27" w:rsidRDefault="00527E27" w:rsidP="00527E27">
      <w:r>
        <w:t xml:space="preserve">IOPC - </w:t>
      </w:r>
      <w:hyperlink r:id="rId8" w:history="1">
        <w:r>
          <w:rPr>
            <w:rStyle w:val="Hyperlink"/>
          </w:rPr>
          <w:t>Becoming the IOPC | Independent Office for Police Conduct</w:t>
        </w:r>
      </w:hyperlink>
    </w:p>
    <w:p w14:paraId="7B21DB84" w14:textId="77777777" w:rsidR="00527E27" w:rsidRDefault="00527E27" w:rsidP="00527E27">
      <w:pPr>
        <w:rPr>
          <w:rStyle w:val="Hyperlink"/>
        </w:rPr>
      </w:pPr>
      <w:r>
        <w:t xml:space="preserve">Justice inspectorates </w:t>
      </w:r>
      <w:hyperlink r:id="rId9" w:history="1">
        <w:r>
          <w:rPr>
            <w:rStyle w:val="Hyperlink"/>
          </w:rPr>
          <w:t>What we do - HMICFRS (justiceinspectorates.gov.uk)</w:t>
        </w:r>
      </w:hyperlink>
    </w:p>
    <w:p w14:paraId="5CEF5043" w14:textId="77777777" w:rsidR="00527E27" w:rsidRDefault="00527E27" w:rsidP="00527E27">
      <w:r>
        <w:t xml:space="preserve">Gov.uk </w:t>
      </w:r>
      <w:hyperlink r:id="rId10" w:history="1">
        <w:r>
          <w:rPr>
            <w:rStyle w:val="Hyperlink"/>
          </w:rPr>
          <w:t>Definition of policing by consent - GOV.UK (www.gov.uk)</w:t>
        </w:r>
      </w:hyperlink>
    </w:p>
    <w:p w14:paraId="63E6F72D" w14:textId="661F4596" w:rsidR="00527E27" w:rsidRDefault="007A14A9" w:rsidP="00527E27">
      <w:pPr>
        <w:rPr>
          <w:rStyle w:val="Hyperlink"/>
        </w:rPr>
      </w:pPr>
      <w:hyperlink r:id="rId11" w:history="1">
        <w:r w:rsidR="00527E27">
          <w:rPr>
            <w:rStyle w:val="Hyperlink"/>
          </w:rPr>
          <w:t>Gwent - HMICFRS (bang-on.net)</w:t>
        </w:r>
      </w:hyperlink>
    </w:p>
    <w:p w14:paraId="58BD810E" w14:textId="790CCFB2" w:rsidR="00527E27" w:rsidRDefault="00527E27" w:rsidP="00527E27">
      <w:pPr>
        <w:rPr>
          <w:rStyle w:val="Hyperlink"/>
        </w:rPr>
      </w:pPr>
    </w:p>
    <w:p w14:paraId="750432B1" w14:textId="77777777" w:rsidR="00501041" w:rsidRPr="008A5431" w:rsidRDefault="00501041" w:rsidP="00501041">
      <w:pPr>
        <w:rPr>
          <w:rFonts w:eastAsia="Times New Roman" w:cstheme="minorHAnsi"/>
          <w:lang w:eastAsia="en-GB"/>
        </w:rPr>
      </w:pPr>
      <w:r w:rsidRPr="008A5431">
        <w:rPr>
          <w:rFonts w:eastAsia="Times New Roman" w:cstheme="minorHAnsi"/>
          <w:lang w:eastAsia="en-GB"/>
        </w:rPr>
        <w:t>In this essay I will be discussing and examining the ethical dimension of “real time” operational decisions and how this is reflected within the police service. I will be discussing how the National Decision Model (NDM) has an influence on this. I will also be examining and discussing the threat and risk in making real time decisions and the accountability that comes from making operational decisions.</w:t>
      </w:r>
    </w:p>
    <w:p w14:paraId="3D19B5AC" w14:textId="77777777" w:rsidR="00501041" w:rsidRPr="008A5431" w:rsidRDefault="00501041" w:rsidP="00501041">
      <w:pPr>
        <w:rPr>
          <w:rStyle w:val="HTMLCite"/>
          <w:rFonts w:cstheme="minorHAnsi"/>
          <w:i w:val="0"/>
          <w:iCs w:val="0"/>
          <w:color w:val="000000" w:themeColor="text1"/>
          <w:shd w:val="clear" w:color="auto" w:fill="FFFFFF"/>
        </w:rPr>
      </w:pPr>
      <w:r w:rsidRPr="008A5431">
        <w:rPr>
          <w:rStyle w:val="HTMLCite"/>
          <w:rFonts w:cstheme="minorHAnsi"/>
          <w:i w:val="0"/>
          <w:iCs w:val="0"/>
          <w:color w:val="000000" w:themeColor="text1"/>
          <w:shd w:val="clear" w:color="auto" w:fill="FFFFFF"/>
        </w:rPr>
        <w:t xml:space="preserve">With regards to policing, real time reflects accurately how nearly every situation a police officer attends, they must deal with it by seeing what is in front of them, processing any background information that is available whilst also dealing with the incident in line with policies and procedures. This has sometimes got to be done within a short time and with immediate effect. </w:t>
      </w:r>
    </w:p>
    <w:p w14:paraId="1E5B6D9D" w14:textId="77777777" w:rsidR="00501041" w:rsidRPr="008A5431" w:rsidRDefault="00501041" w:rsidP="00501041">
      <w:pPr>
        <w:rPr>
          <w:rStyle w:val="HTMLCite"/>
          <w:rFonts w:cstheme="minorHAnsi"/>
          <w:i w:val="0"/>
          <w:iCs w:val="0"/>
          <w:color w:val="000000" w:themeColor="text1"/>
          <w:shd w:val="clear" w:color="auto" w:fill="FFFFFF"/>
        </w:rPr>
      </w:pPr>
      <w:r w:rsidRPr="008A5431">
        <w:rPr>
          <w:rStyle w:val="HTMLCite"/>
          <w:rFonts w:cstheme="minorHAnsi"/>
          <w:i w:val="0"/>
          <w:iCs w:val="0"/>
          <w:color w:val="000000" w:themeColor="text1"/>
          <w:shd w:val="clear" w:color="auto" w:fill="FFFFFF"/>
        </w:rPr>
        <w:t xml:space="preserve">The process that police officers use in making these decisions is known as the NDM. The NDM is an effective tool in policing as it allows officers to make decisions in planned or spontaneous incidents and to explain their process of thinking and actions after the event. The model consists of a circular shape, moving in a clockwise pattern allowing officers to constantly re-evaluate new information. There are six elements to the NDM. These are the code of ethics at the centre of the model, gather </w:t>
      </w:r>
      <w:r w:rsidRPr="008A5431">
        <w:rPr>
          <w:rStyle w:val="HTMLCite"/>
          <w:rFonts w:cstheme="minorHAnsi"/>
          <w:i w:val="0"/>
          <w:iCs w:val="0"/>
          <w:color w:val="000000" w:themeColor="text1"/>
          <w:shd w:val="clear" w:color="auto" w:fill="FFFFFF"/>
        </w:rPr>
        <w:lastRenderedPageBreak/>
        <w:t xml:space="preserve">information and intelligence, assess threat, and risk and develop a working strategy, consider powers and policy, identify options and contingencies, and finally </w:t>
      </w:r>
      <w:proofErr w:type="gramStart"/>
      <w:r w:rsidRPr="008A5431">
        <w:rPr>
          <w:rStyle w:val="HTMLCite"/>
          <w:rFonts w:cstheme="minorHAnsi"/>
          <w:i w:val="0"/>
          <w:iCs w:val="0"/>
          <w:color w:val="000000" w:themeColor="text1"/>
          <w:shd w:val="clear" w:color="auto" w:fill="FFFFFF"/>
        </w:rPr>
        <w:t>take action</w:t>
      </w:r>
      <w:proofErr w:type="gramEnd"/>
      <w:r w:rsidRPr="008A5431">
        <w:rPr>
          <w:rStyle w:val="HTMLCite"/>
          <w:rFonts w:cstheme="minorHAnsi"/>
          <w:i w:val="0"/>
          <w:iCs w:val="0"/>
          <w:color w:val="000000" w:themeColor="text1"/>
          <w:shd w:val="clear" w:color="auto" w:fill="FFFFFF"/>
        </w:rPr>
        <w:t xml:space="preserve"> and review what happened. The code of ethics</w:t>
      </w:r>
    </w:p>
    <w:p w14:paraId="3488E99E" w14:textId="77777777" w:rsidR="00501041" w:rsidRPr="008A5431" w:rsidRDefault="00501041" w:rsidP="00501041">
      <w:pPr>
        <w:jc w:val="center"/>
        <w:rPr>
          <w:rFonts w:cstheme="minorHAnsi"/>
          <w:color w:val="333333"/>
        </w:rPr>
      </w:pPr>
      <w:r w:rsidRPr="008A5431">
        <w:rPr>
          <w:rStyle w:val="HTMLCite"/>
          <w:rFonts w:cstheme="minorHAnsi"/>
          <w:i w:val="0"/>
          <w:iCs w:val="0"/>
          <w:color w:val="000000" w:themeColor="text1"/>
          <w:shd w:val="clear" w:color="auto" w:fill="FFFFFF"/>
        </w:rPr>
        <w:t xml:space="preserve"> </w:t>
      </w:r>
      <w:r w:rsidRPr="008A5431">
        <w:rPr>
          <w:rStyle w:val="HTMLCite"/>
          <w:rFonts w:cstheme="minorHAnsi"/>
          <w:color w:val="000000" w:themeColor="text1"/>
          <w:shd w:val="clear" w:color="auto" w:fill="FFFFFF"/>
        </w:rPr>
        <w:t>“</w:t>
      </w:r>
      <w:r w:rsidRPr="008A5431">
        <w:rPr>
          <w:rFonts w:cstheme="minorHAnsi"/>
          <w:color w:val="333333"/>
        </w:rPr>
        <w:t xml:space="preserve">sets out the policing principles that members of the police service are expected to uphold and the standards of behaviour they are expected to meet.” (College of Policing,2014). </w:t>
      </w:r>
    </w:p>
    <w:p w14:paraId="0377141D" w14:textId="77777777" w:rsidR="00501041" w:rsidRPr="008A5431" w:rsidRDefault="00501041" w:rsidP="00501041">
      <w:pPr>
        <w:rPr>
          <w:rStyle w:val="HTMLCite"/>
          <w:rFonts w:cstheme="minorHAnsi"/>
          <w:i w:val="0"/>
          <w:iCs w:val="0"/>
          <w:color w:val="000000" w:themeColor="text1"/>
          <w:shd w:val="clear" w:color="auto" w:fill="FFFFFF"/>
        </w:rPr>
      </w:pPr>
      <w:r w:rsidRPr="008A5431">
        <w:rPr>
          <w:rFonts w:cstheme="minorHAnsi"/>
          <w:color w:val="333333"/>
        </w:rPr>
        <w:t xml:space="preserve">With every decision made focusing on the code of ethics at the centre of the decision making, police officers should be able to make decisions for the right reasons and be able to justify that decision making by following the NDM. As police officers, if we are thought to have </w:t>
      </w:r>
      <w:proofErr w:type="gramStart"/>
      <w:r w:rsidRPr="008A5431">
        <w:rPr>
          <w:rFonts w:cstheme="minorHAnsi"/>
          <w:color w:val="333333"/>
        </w:rPr>
        <w:t>make a decision</w:t>
      </w:r>
      <w:proofErr w:type="gramEnd"/>
      <w:r w:rsidRPr="008A5431">
        <w:rPr>
          <w:rFonts w:cstheme="minorHAnsi"/>
          <w:color w:val="333333"/>
        </w:rPr>
        <w:t xml:space="preserve"> not in line with The Code of Ethics, this can have a detrimental effect on how we are perceived by the public and damage any future trust. The role we have as police officers puts a lot of pressure on making the correct decision. Taking away someone’s liberty is a big decision to make that could have a potentially enormous impact on their life such as future jobs and family relationships. However, as police officers we should not be risk adverse from making these decisions if we can rationalise why that decision was made. The NDM can also be used as a debrief tool for analysing how as a police officer, I have dealt with a situation, what went well and what I could have done better. This in turn, helps to develop myself as an officer and to deal with similar situations with more developed experience in the future.</w:t>
      </w:r>
    </w:p>
    <w:p w14:paraId="0A4B5B7B" w14:textId="77777777" w:rsidR="00501041" w:rsidRPr="008A5431" w:rsidRDefault="00501041" w:rsidP="00501041">
      <w:pPr>
        <w:rPr>
          <w:rStyle w:val="HTMLCite"/>
          <w:rFonts w:cstheme="minorHAnsi"/>
          <w:i w:val="0"/>
          <w:iCs w:val="0"/>
          <w:color w:val="000000" w:themeColor="text1"/>
          <w:shd w:val="clear" w:color="auto" w:fill="FFFFFF"/>
        </w:rPr>
      </w:pPr>
      <w:r w:rsidRPr="008A5431">
        <w:rPr>
          <w:rStyle w:val="HTMLCite"/>
          <w:rFonts w:cstheme="minorHAnsi"/>
          <w:i w:val="0"/>
          <w:iCs w:val="0"/>
          <w:color w:val="000000" w:themeColor="text1"/>
          <w:shd w:val="clear" w:color="auto" w:fill="FFFFFF"/>
        </w:rPr>
        <w:t>There are three processes that influence decision making. These are logic, using information available to make an informed choice based on knowledge and facts. Intuitive, planning quickly with information not readily available and lastly cognitive bias, a systematic error in processing and evaluating information. As police officers we sometimes have information and previous knowledge of the people we are dealing with so we can make informed decisions using logic. However, in some situations we may not have any prior knowledge of the people involved or very little information regarding the incident we are attending. In this instance decisions are made intuitively using experience of similar incidents and evaluating information as we receive it, again using the NDM. In some situations, incidents may be inadvertently dealt with in a cognitive bias, cognitive bias are</w:t>
      </w:r>
    </w:p>
    <w:p w14:paraId="080120FB" w14:textId="77777777" w:rsidR="00501041" w:rsidRPr="008A5431" w:rsidRDefault="00501041" w:rsidP="00501041">
      <w:pPr>
        <w:jc w:val="center"/>
        <w:rPr>
          <w:rStyle w:val="HTMLCite"/>
          <w:rFonts w:cstheme="minorHAnsi"/>
          <w:color w:val="000000" w:themeColor="text1"/>
          <w:shd w:val="clear" w:color="auto" w:fill="FFFFFF"/>
        </w:rPr>
      </w:pPr>
      <w:r w:rsidRPr="008A5431">
        <w:rPr>
          <w:rStyle w:val="HTMLCite"/>
          <w:rFonts w:cstheme="minorHAnsi"/>
          <w:color w:val="000000" w:themeColor="text1"/>
          <w:shd w:val="clear" w:color="auto" w:fill="FFFFFF"/>
        </w:rPr>
        <w:t>“unconscious errors in thinking that arise from problems related to memory, attention or other mental mistakes” (C Ruhl,2021).</w:t>
      </w:r>
    </w:p>
    <w:p w14:paraId="2E5ADF81" w14:textId="77777777" w:rsidR="00501041" w:rsidRPr="008A5431" w:rsidRDefault="00501041" w:rsidP="00501041">
      <w:pPr>
        <w:rPr>
          <w:rFonts w:cstheme="minorHAnsi"/>
        </w:rPr>
      </w:pPr>
      <w:r w:rsidRPr="008A5431">
        <w:rPr>
          <w:rStyle w:val="HTMLCite"/>
          <w:rFonts w:cstheme="minorHAnsi"/>
          <w:i w:val="0"/>
          <w:iCs w:val="0"/>
          <w:color w:val="000000" w:themeColor="text1"/>
          <w:shd w:val="clear" w:color="auto" w:fill="FFFFFF"/>
        </w:rPr>
        <w:t xml:space="preserve"> In my role as a </w:t>
      </w:r>
      <w:proofErr w:type="gramStart"/>
      <w:r w:rsidRPr="008A5431">
        <w:rPr>
          <w:rStyle w:val="HTMLCite"/>
          <w:rFonts w:cstheme="minorHAnsi"/>
          <w:i w:val="0"/>
          <w:iCs w:val="0"/>
          <w:color w:val="000000" w:themeColor="text1"/>
          <w:shd w:val="clear" w:color="auto" w:fill="FFFFFF"/>
        </w:rPr>
        <w:t>police</w:t>
      </w:r>
      <w:proofErr w:type="gramEnd"/>
      <w:r w:rsidRPr="008A5431">
        <w:rPr>
          <w:rStyle w:val="HTMLCite"/>
          <w:rFonts w:cstheme="minorHAnsi"/>
          <w:i w:val="0"/>
          <w:iCs w:val="0"/>
          <w:color w:val="000000" w:themeColor="text1"/>
          <w:shd w:val="clear" w:color="auto" w:fill="FFFFFF"/>
        </w:rPr>
        <w:t xml:space="preserve"> officer I can often attend many incidents a day. This can be going to a person suffering from mental health and is suicidal to then going straight to a road traffic accident. This puts a huge demand on myself as an officer mentally, switching from one way of dealing with an incident to another. As this happens, the risks of mistakes are greater from mental tiredness and could lead to creating unconscious errors. It is therefore important to recognise this and process information as we see it to make the best decisions. The risk officers take in making real time decisions can see officers later challenged on the decisions they made, however in correctly utilising the NDM, officers should always be able to justify their actions and decisions. Accountability is a professional requirement of police officers. The Universal Declaration on Human Rights 1948 “</w:t>
      </w:r>
      <w:r w:rsidRPr="008A5431">
        <w:rPr>
          <w:rFonts w:cstheme="minorHAnsi"/>
        </w:rPr>
        <w:t>provides human rights principles and standards that underpin the accountability of the police.”</w:t>
      </w:r>
      <w:r w:rsidRPr="008A5431">
        <w:rPr>
          <w:rFonts w:eastAsia="Times New Roman" w:cstheme="minorHAnsi"/>
          <w:lang w:eastAsia="en-GB"/>
        </w:rPr>
        <w:t xml:space="preserve"> (</w:t>
      </w:r>
      <w:proofErr w:type="spellStart"/>
      <w:r w:rsidRPr="008A5431">
        <w:rPr>
          <w:rFonts w:cstheme="minorHAnsi"/>
        </w:rPr>
        <w:t>Mawby</w:t>
      </w:r>
      <w:proofErr w:type="spellEnd"/>
      <w:r w:rsidRPr="008A5431">
        <w:rPr>
          <w:rFonts w:cstheme="minorHAnsi"/>
        </w:rPr>
        <w:t xml:space="preserve">, Wright, </w:t>
      </w:r>
      <w:proofErr w:type="spellStart"/>
      <w:r w:rsidRPr="008A5431">
        <w:rPr>
          <w:rFonts w:cstheme="minorHAnsi"/>
        </w:rPr>
        <w:t>Keele</w:t>
      </w:r>
      <w:proofErr w:type="spellEnd"/>
      <w:r w:rsidRPr="008A5431">
        <w:rPr>
          <w:rFonts w:cstheme="minorHAnsi"/>
        </w:rPr>
        <w:t xml:space="preserve"> University.2005). As a police officer, I am accountable not only to the public but also to the organisation to act within the code of ethics and to uphold the laws in which I practice. This is what allows the police service to police by consent by maintaining public confidence that police officers are not above the law and are held accountable for any actions they take or do not take.</w:t>
      </w:r>
    </w:p>
    <w:p w14:paraId="7B88E927" w14:textId="00EFC6EF" w:rsidR="00527E27" w:rsidRPr="008A5431" w:rsidRDefault="00501041" w:rsidP="00501041">
      <w:pPr>
        <w:rPr>
          <w:rFonts w:cstheme="minorHAnsi"/>
        </w:rPr>
      </w:pPr>
      <w:r w:rsidRPr="008A5431">
        <w:rPr>
          <w:rFonts w:cstheme="minorHAnsi"/>
        </w:rPr>
        <w:t xml:space="preserve">In conclusion, I have discussed the importance of the NDM in every decision a police officer makes, whilst it being a planned or a real time incident and how this tool can be used to fluidly deal with a </w:t>
      </w:r>
      <w:r w:rsidRPr="008A5431">
        <w:rPr>
          <w:rFonts w:cstheme="minorHAnsi"/>
        </w:rPr>
        <w:lastRenderedPageBreak/>
        <w:t>situation and any new threat or information. I have also discussed how the NDM can also be used as a tool of reflection after an incident to greater increase officer’s knowledge and experiences and to identify why they made the decisions they made. I have discussed how officers are accountable for the decisions they make and how this could also have an impact on public confidence. Real time policing will always be challenging but with officers using the tools they have for information and the NDM decisions should always be able to be justified by the officers and learnt from for the future.</w:t>
      </w:r>
      <w:r w:rsidR="00B3075B">
        <w:rPr>
          <w:rFonts w:cstheme="minorHAnsi"/>
        </w:rPr>
        <w:t xml:space="preserve"> (1006).</w:t>
      </w:r>
    </w:p>
    <w:p w14:paraId="54481C5F" w14:textId="6D754D23" w:rsidR="00501041" w:rsidRDefault="00501041" w:rsidP="00501041">
      <w:pPr>
        <w:rPr>
          <w:rFonts w:ascii="Roboto" w:hAnsi="Roboto"/>
        </w:rPr>
      </w:pPr>
    </w:p>
    <w:p w14:paraId="23A3A7F2" w14:textId="77777777" w:rsidR="00501041" w:rsidRDefault="00501041" w:rsidP="00501041">
      <w:pPr>
        <w:rPr>
          <w:rStyle w:val="HTMLCite"/>
          <w:rFonts w:ascii="Roboto" w:hAnsi="Roboto"/>
          <w:i w:val="0"/>
          <w:iCs w:val="0"/>
          <w:color w:val="006621"/>
          <w:shd w:val="clear" w:color="auto" w:fill="FFFFFF"/>
        </w:rPr>
      </w:pPr>
      <w:r>
        <w:t xml:space="preserve">College of Policing, 2014. </w:t>
      </w:r>
      <w:hyperlink r:id="rId12" w:history="1">
        <w:r w:rsidRPr="00EE53B6">
          <w:rPr>
            <w:color w:val="0000FF"/>
            <w:u w:val="single"/>
          </w:rPr>
          <w:t>Code of Ethics | College of Policing</w:t>
        </w:r>
      </w:hyperlink>
    </w:p>
    <w:p w14:paraId="586EB44C" w14:textId="77777777" w:rsidR="00501041" w:rsidRDefault="00501041" w:rsidP="00501041">
      <w:pPr>
        <w:rPr>
          <w:color w:val="0000FF"/>
          <w:u w:val="single"/>
        </w:rPr>
      </w:pPr>
      <w:r w:rsidRPr="00671ED3">
        <w:rPr>
          <w:rStyle w:val="HTMLCite"/>
          <w:rFonts w:cstheme="minorHAnsi"/>
          <w:i w:val="0"/>
          <w:iCs w:val="0"/>
          <w:color w:val="000000" w:themeColor="text1"/>
          <w:shd w:val="clear" w:color="auto" w:fill="FFFFFF"/>
        </w:rPr>
        <w:t>C Ruhl,2021</w:t>
      </w:r>
      <w:r>
        <w:rPr>
          <w:rStyle w:val="HTMLCite"/>
          <w:rFonts w:ascii="Roboto" w:hAnsi="Roboto"/>
          <w:i w:val="0"/>
          <w:iCs w:val="0"/>
          <w:color w:val="000000" w:themeColor="text1"/>
          <w:shd w:val="clear" w:color="auto" w:fill="FFFFFF"/>
        </w:rPr>
        <w:t xml:space="preserve">. </w:t>
      </w:r>
      <w:hyperlink r:id="rId13" w:history="1">
        <w:r w:rsidRPr="006B08A7">
          <w:rPr>
            <w:color w:val="0000FF"/>
            <w:u w:val="single"/>
          </w:rPr>
          <w:t>What Is Cognitive Bias? | Simply Psychology</w:t>
        </w:r>
      </w:hyperlink>
    </w:p>
    <w:p w14:paraId="2A07A918" w14:textId="1B8ACBEA" w:rsidR="00501041" w:rsidRDefault="00501041" w:rsidP="00501041">
      <w:proofErr w:type="spellStart"/>
      <w:r>
        <w:t>Mawby</w:t>
      </w:r>
      <w:proofErr w:type="spellEnd"/>
      <w:r>
        <w:t xml:space="preserve">, Wright, </w:t>
      </w:r>
      <w:proofErr w:type="spellStart"/>
      <w:r>
        <w:t>Keele</w:t>
      </w:r>
      <w:proofErr w:type="spellEnd"/>
      <w:r>
        <w:t xml:space="preserve"> University, 2005. </w:t>
      </w:r>
      <w:hyperlink r:id="rId14" w:history="1">
        <w:r w:rsidRPr="00671ED3">
          <w:rPr>
            <w:color w:val="0000FF"/>
            <w:u w:val="single"/>
          </w:rPr>
          <w:t>police_accountability.pdf - created by pdfMachine from Broadgun Software, http://pdfmachine.com, a great PDF writer utility! (humanrightsinitiative.org)</w:t>
        </w:r>
      </w:hyperlink>
    </w:p>
    <w:p w14:paraId="36BDA3DA" w14:textId="2443C5DA" w:rsidR="00F722C6" w:rsidRDefault="00F722C6" w:rsidP="00501041"/>
    <w:p w14:paraId="2861F5C6" w14:textId="77777777" w:rsidR="00F30050" w:rsidRPr="00DF42C3" w:rsidRDefault="00F30050" w:rsidP="00F30050">
      <w:pPr>
        <w:rPr>
          <w:rFonts w:eastAsia="Times New Roman" w:cstheme="minorHAnsi"/>
          <w:lang w:eastAsia="en-GB"/>
        </w:rPr>
      </w:pPr>
      <w:r w:rsidRPr="00DF42C3">
        <w:rPr>
          <w:rFonts w:eastAsia="Times New Roman" w:cstheme="minorHAnsi"/>
          <w:lang w:eastAsia="en-GB"/>
        </w:rPr>
        <w:t>In this essay I will be discussing the impact of organisational justice on the police agency. I will be discussing the potential impact of organisational justice on a police constable. I will be discussing the organisational culture within the police service and the strategies for dealing with the organisational culture within policing.</w:t>
      </w:r>
    </w:p>
    <w:p w14:paraId="511E67BF" w14:textId="77777777" w:rsidR="00F30050" w:rsidRPr="00DF42C3" w:rsidRDefault="00F30050" w:rsidP="00F30050">
      <w:pPr>
        <w:rPr>
          <w:rFonts w:eastAsia="Times New Roman" w:cstheme="minorHAnsi"/>
          <w:lang w:eastAsia="en-GB"/>
        </w:rPr>
      </w:pPr>
      <w:r w:rsidRPr="00DF42C3">
        <w:rPr>
          <w:rFonts w:eastAsia="Times New Roman" w:cstheme="minorHAnsi"/>
          <w:lang w:eastAsia="en-GB"/>
        </w:rPr>
        <w:t>Organisational justice is a term applied to how employees feel within their workplace. It examines the links between employees being felt that they are treated with respect and fairly. This in turn produces a happier, healthier, and more productive work force. Or counteractively, produces a workforce that feels they are treated unfairly or are not represented by their organisation. Organisational justice was first brought into existence by Greenberg in 1987. It is divided into four categories: distributive, procedural, informational, and interactional. In terms of this in the police agency, organisational justice can also be broken down into organisational cultures and sub-cultures which I will go on to discuss.</w:t>
      </w:r>
    </w:p>
    <w:p w14:paraId="167EFAC8" w14:textId="77777777" w:rsidR="00F30050" w:rsidRPr="00DF42C3" w:rsidRDefault="00F30050" w:rsidP="00F30050">
      <w:pPr>
        <w:rPr>
          <w:rFonts w:eastAsia="Times New Roman" w:cstheme="minorHAnsi"/>
          <w:lang w:eastAsia="en-GB"/>
        </w:rPr>
      </w:pPr>
      <w:r w:rsidRPr="00DF42C3">
        <w:rPr>
          <w:rFonts w:eastAsia="Times New Roman" w:cstheme="minorHAnsi"/>
          <w:lang w:eastAsia="en-GB"/>
        </w:rPr>
        <w:t>Johnson and Coles describe organisational culture as:</w:t>
      </w:r>
    </w:p>
    <w:p w14:paraId="20678FD1" w14:textId="77777777" w:rsidR="00F30050" w:rsidRPr="00DF42C3" w:rsidRDefault="00F30050" w:rsidP="00F30050">
      <w:pPr>
        <w:jc w:val="center"/>
        <w:rPr>
          <w:rFonts w:eastAsia="Times New Roman" w:cstheme="minorHAnsi"/>
          <w:i/>
          <w:iCs/>
          <w:lang w:eastAsia="en-GB"/>
        </w:rPr>
      </w:pPr>
      <w:r w:rsidRPr="00DF42C3">
        <w:rPr>
          <w:rFonts w:eastAsia="Times New Roman" w:cstheme="minorHAnsi"/>
          <w:i/>
          <w:iCs/>
          <w:lang w:eastAsia="en-GB"/>
        </w:rPr>
        <w:t>“the deeper level of basic assumptions and beliefs that are shared by members of an organisation, that operate unconsciously and define, in a basic fashion, an organisation view of itself and its environment”. (MBA Knowledge Base, 2021).</w:t>
      </w:r>
    </w:p>
    <w:p w14:paraId="40051181" w14:textId="77777777" w:rsidR="00F30050" w:rsidRPr="00DF42C3" w:rsidRDefault="00F30050" w:rsidP="00F30050">
      <w:pPr>
        <w:rPr>
          <w:rFonts w:eastAsia="Times New Roman" w:cstheme="minorHAnsi"/>
          <w:lang w:eastAsia="en-GB"/>
        </w:rPr>
      </w:pPr>
      <w:r w:rsidRPr="00DF42C3">
        <w:rPr>
          <w:rFonts w:eastAsia="Times New Roman" w:cstheme="minorHAnsi"/>
          <w:lang w:eastAsia="en-GB"/>
        </w:rPr>
        <w:t xml:space="preserve">This theory is broken down into six elements. These are stories, rituals and routines, symbols, organisational structure, control systems and power structures. The “stories” element describes how the older recruits tell of how things are to new recruits. The rituals and routine element place an emphasis on the way in which people progress and are trained and how people within the police agency behave with each other and have always acted. The symbols element includes the terminology of the organisation and, for example withing policing, badges, pips, and stripes. The organisational structure within policing can sometimes </w:t>
      </w:r>
      <w:proofErr w:type="gramStart"/>
      <w:r w:rsidRPr="00DF42C3">
        <w:rPr>
          <w:rFonts w:eastAsia="Times New Roman" w:cstheme="minorHAnsi"/>
          <w:lang w:eastAsia="en-GB"/>
        </w:rPr>
        <w:t>be seen as</w:t>
      </w:r>
      <w:proofErr w:type="gramEnd"/>
      <w:r w:rsidRPr="00DF42C3">
        <w:rPr>
          <w:rFonts w:eastAsia="Times New Roman" w:cstheme="minorHAnsi"/>
          <w:lang w:eastAsia="en-GB"/>
        </w:rPr>
        <w:t xml:space="preserve"> “the bosses” and “the bobbies”, again there are sub-cultures within this within departments for example firearms unit having their own subcultures and more recently there has been a sub-culture of the Police Education Qualification Network (PEQF). The introduction of the PEQF programme has also created its own sub-culture with some more experiences police officers stating that it’s a free degree and vocalising their concern recruits will leave once this is acquired. This again ties in with the routine element and sometimes the resistance to change within the police organisation. The element of the control </w:t>
      </w:r>
      <w:r w:rsidRPr="00DF42C3">
        <w:rPr>
          <w:rFonts w:eastAsia="Times New Roman" w:cstheme="minorHAnsi"/>
          <w:lang w:eastAsia="en-GB"/>
        </w:rPr>
        <w:lastRenderedPageBreak/>
        <w:t xml:space="preserve">system is the “reward” part of the system, placing emphasis on what is seen as good work and behaviour. The power structure relates to the groups of hierarchy, managers, senior officers and what is expected from each of these. Within these </w:t>
      </w:r>
      <w:proofErr w:type="gramStart"/>
      <w:r w:rsidRPr="00DF42C3">
        <w:rPr>
          <w:rFonts w:eastAsia="Times New Roman" w:cstheme="minorHAnsi"/>
          <w:lang w:eastAsia="en-GB"/>
        </w:rPr>
        <w:t>sub cultures</w:t>
      </w:r>
      <w:proofErr w:type="gramEnd"/>
      <w:r w:rsidRPr="00DF42C3">
        <w:rPr>
          <w:rFonts w:eastAsia="Times New Roman" w:cstheme="minorHAnsi"/>
          <w:lang w:eastAsia="en-GB"/>
        </w:rPr>
        <w:t xml:space="preserve"> “what has always been” may be expressed by more long serving officers, however, this may represent a challenge with how the organisation is developing with those of a lower rank or less service trying to conform with the sub cultures less willing to challenge. However, The Code of Ethics sets out that, </w:t>
      </w:r>
    </w:p>
    <w:p w14:paraId="1D7D4DC5" w14:textId="77777777" w:rsidR="00F30050" w:rsidRPr="00DF42C3" w:rsidRDefault="00F30050" w:rsidP="00F30050">
      <w:pPr>
        <w:jc w:val="center"/>
        <w:rPr>
          <w:rFonts w:eastAsia="Times New Roman" w:cstheme="minorHAnsi"/>
          <w:lang w:eastAsia="en-GB"/>
        </w:rPr>
      </w:pPr>
      <w:r w:rsidRPr="00DF42C3">
        <w:rPr>
          <w:rFonts w:eastAsia="Times New Roman" w:cstheme="minorHAnsi"/>
          <w:lang w:eastAsia="en-GB"/>
        </w:rPr>
        <w:t>“</w:t>
      </w:r>
      <w:r w:rsidRPr="00DF42C3">
        <w:rPr>
          <w:rFonts w:cstheme="minorHAnsi"/>
          <w:color w:val="000000"/>
          <w:spacing w:val="3"/>
        </w:rPr>
        <w:t>The Code of Ethics is about self-awareness, ensuring that everyone in policing feels able to always do the right thing and is confident to challenge colleagues irrespective of their rank, role or position”. (College of Policing, 2021).</w:t>
      </w:r>
    </w:p>
    <w:p w14:paraId="6B1D321D" w14:textId="77777777" w:rsidR="00F30050" w:rsidRPr="00DF42C3" w:rsidRDefault="00F30050" w:rsidP="00F30050">
      <w:pPr>
        <w:rPr>
          <w:rFonts w:eastAsia="Times New Roman" w:cstheme="minorHAnsi"/>
          <w:lang w:eastAsia="en-GB"/>
        </w:rPr>
      </w:pPr>
      <w:r w:rsidRPr="00DF42C3">
        <w:rPr>
          <w:rFonts w:eastAsia="Times New Roman" w:cstheme="minorHAnsi"/>
          <w:lang w:eastAsia="en-GB"/>
        </w:rPr>
        <w:t xml:space="preserve">Policing is in a constant process of change and </w:t>
      </w:r>
      <w:proofErr w:type="gramStart"/>
      <w:r w:rsidRPr="00DF42C3">
        <w:rPr>
          <w:rFonts w:eastAsia="Times New Roman" w:cstheme="minorHAnsi"/>
          <w:lang w:eastAsia="en-GB"/>
        </w:rPr>
        <w:t>in order for</w:t>
      </w:r>
      <w:proofErr w:type="gramEnd"/>
      <w:r w:rsidRPr="00DF42C3">
        <w:rPr>
          <w:rFonts w:eastAsia="Times New Roman" w:cstheme="minorHAnsi"/>
          <w:lang w:eastAsia="en-GB"/>
        </w:rPr>
        <w:t xml:space="preserve"> this change to be effective, police officers must feel that the changes are for the good of them and the organisation. Added to this by the very nature of a police officer’s role, sub-cultures are often used as a coping mechanism. Within the sub-cultures, officers are more likely to have shared experiences and therefore a shared understanding of what is expected within that subculture. For example, what is known as the “canteen” subculture with policing. This is a coping mechanism where police officers talk about their experiences as a stress coping mechanism. </w:t>
      </w:r>
      <w:proofErr w:type="gramStart"/>
      <w:r w:rsidRPr="00DF42C3">
        <w:rPr>
          <w:rFonts w:eastAsia="Times New Roman" w:cstheme="minorHAnsi"/>
          <w:lang w:eastAsia="en-GB"/>
        </w:rPr>
        <w:t>In order to</w:t>
      </w:r>
      <w:proofErr w:type="gramEnd"/>
      <w:r w:rsidRPr="00DF42C3">
        <w:rPr>
          <w:rFonts w:eastAsia="Times New Roman" w:cstheme="minorHAnsi"/>
          <w:lang w:eastAsia="en-GB"/>
        </w:rPr>
        <w:t xml:space="preserve"> have an effective workforce officers must maintain their mental and physical health and wellbeing and working in an organisation that is seen as fair will improve professionalism and commitment. One article describes the “canteen” </w:t>
      </w:r>
      <w:proofErr w:type="gramStart"/>
      <w:r w:rsidRPr="00DF42C3">
        <w:rPr>
          <w:rFonts w:eastAsia="Times New Roman" w:cstheme="minorHAnsi"/>
          <w:lang w:eastAsia="en-GB"/>
        </w:rPr>
        <w:t>sub culture</w:t>
      </w:r>
      <w:proofErr w:type="gramEnd"/>
      <w:r w:rsidRPr="00DF42C3">
        <w:rPr>
          <w:rFonts w:eastAsia="Times New Roman" w:cstheme="minorHAnsi"/>
          <w:lang w:eastAsia="en-GB"/>
        </w:rPr>
        <w:t xml:space="preserve"> as </w:t>
      </w:r>
      <w:r w:rsidRPr="00DF42C3">
        <w:rPr>
          <w:rFonts w:eastAsia="Times New Roman" w:cstheme="minorHAnsi"/>
          <w:i/>
          <w:iCs/>
          <w:lang w:eastAsia="en-GB"/>
        </w:rPr>
        <w:t>“expressive talk designed to give purpose and meaning to inherently problematic occupational experience”</w:t>
      </w:r>
      <w:r w:rsidRPr="00DF42C3">
        <w:rPr>
          <w:rFonts w:eastAsia="Times New Roman" w:cstheme="minorHAnsi"/>
          <w:lang w:eastAsia="en-GB"/>
        </w:rPr>
        <w:t xml:space="preserve"> (PAJ Waddington, 1999).</w:t>
      </w:r>
    </w:p>
    <w:p w14:paraId="5A18818A" w14:textId="77777777" w:rsidR="00F30050" w:rsidRPr="00DF42C3" w:rsidRDefault="00F30050" w:rsidP="00F30050">
      <w:pPr>
        <w:rPr>
          <w:rFonts w:eastAsia="Times New Roman" w:cstheme="minorHAnsi"/>
          <w:lang w:eastAsia="en-GB"/>
        </w:rPr>
      </w:pPr>
      <w:r w:rsidRPr="00DF42C3">
        <w:rPr>
          <w:rFonts w:cstheme="minorHAnsi"/>
        </w:rPr>
        <w:t xml:space="preserve">Factors such as ethnicity, gender and sexuality all have an impact on organisational justice within the police. The perception of being represented within the police organisation by not just the workforce but also by the public can determine how fairly the police organisational justice can be viewed. </w:t>
      </w:r>
      <w:r w:rsidRPr="00DF42C3">
        <w:rPr>
          <w:rFonts w:eastAsia="Times New Roman" w:cstheme="minorHAnsi"/>
          <w:lang w:eastAsia="en-GB"/>
        </w:rPr>
        <w:t>Organisational justice can be split in to two categories: inwardly facing organisational justice and outwardly facing organisational justice. Inwardly facing organisational justice has implications on staff attitude, retention, relations, performance, and productivity. Outwardly facing organisational justice has implications on the interactions between the police organisation and the public. If staff feel represented, then this in turn provides a better workplace and a positive inwardly facing organisational justice. However, if this is not achieved then it could have a negative effect. Similarly, outwardly facing, if the police are seen to be representing different ethnic minorities and genders then it is more likely to have a positive effect on the public’s perception.</w:t>
      </w:r>
    </w:p>
    <w:p w14:paraId="792E6079" w14:textId="77777777" w:rsidR="00F30050" w:rsidRPr="00335E2A" w:rsidRDefault="00F30050" w:rsidP="00F30050">
      <w:pPr>
        <w:rPr>
          <w:rFonts w:ascii="Arial" w:hAnsi="Arial" w:cs="Arial"/>
        </w:rPr>
      </w:pPr>
      <w:r w:rsidRPr="00DF42C3">
        <w:rPr>
          <w:rFonts w:eastAsia="Times New Roman" w:cstheme="minorHAnsi"/>
          <w:lang w:eastAsia="en-GB"/>
        </w:rPr>
        <w:t>In conclusion for organisational justice within the police to be effective there must be an open environment where police officers feel that they can discuss ideas that work and do not work without the restraints of “what has always been” and that by challenging outdated views, they will be supported. The changes must be positive, to be most effective police officers must recognise that the changes are to develop them and the organisation in a positive way. The changes need to improve happiness and maximise overall wellbeing and the changes must close the gaps and represent the diversity that we have within our communities. Aiming to result in a better performance from staff, a better retention, a healthier workplace resulting in less overall sickness and a stronger relationship between the police and the communities they serve. Organisational justice is about fairness, respect, dignity and encompassing the code of ethics and professional standards for officers</w:t>
      </w:r>
      <w:r>
        <w:rPr>
          <w:rFonts w:ascii="Arial" w:eastAsia="Times New Roman" w:hAnsi="Arial" w:cs="Arial"/>
          <w:lang w:eastAsia="en-GB"/>
        </w:rPr>
        <w:t>. (1000)</w:t>
      </w:r>
    </w:p>
    <w:p w14:paraId="26674009" w14:textId="75E7BF28" w:rsidR="00BB6319" w:rsidRDefault="00BB6319" w:rsidP="001E1B3C">
      <w:pPr>
        <w:rPr>
          <w:rFonts w:ascii="Arial" w:eastAsia="Times New Roman" w:hAnsi="Arial" w:cs="Arial"/>
          <w:lang w:eastAsia="en-GB"/>
        </w:rPr>
      </w:pPr>
    </w:p>
    <w:p w14:paraId="6F3115AA" w14:textId="77777777" w:rsidR="00BB6319" w:rsidRDefault="00BB6319" w:rsidP="00BB6319">
      <w:r>
        <w:t xml:space="preserve">College of Policing, 2021 </w:t>
      </w:r>
      <w:hyperlink r:id="rId15" w:history="1">
        <w:r w:rsidRPr="009A2E1B">
          <w:rPr>
            <w:color w:val="0000FF"/>
            <w:u w:val="single"/>
          </w:rPr>
          <w:t>Code of Ethics | College of Policing</w:t>
        </w:r>
      </w:hyperlink>
    </w:p>
    <w:p w14:paraId="49190B00" w14:textId="77777777" w:rsidR="00BB6319" w:rsidRDefault="00BB6319" w:rsidP="00BB6319">
      <w:pPr>
        <w:rPr>
          <w:rStyle w:val="Hyperlink"/>
        </w:rPr>
      </w:pPr>
      <w:r>
        <w:lastRenderedPageBreak/>
        <w:t xml:space="preserve">MBA Knowledge Base,2021 </w:t>
      </w:r>
      <w:hyperlink r:id="rId16" w:history="1">
        <w:r>
          <w:rPr>
            <w:rStyle w:val="Hyperlink"/>
          </w:rPr>
          <w:t>Johnson and Scholes Cultural Web Model of an Organization - MBA Knowledge Base (mbaknol.com)</w:t>
        </w:r>
      </w:hyperlink>
    </w:p>
    <w:p w14:paraId="0797D68B" w14:textId="77777777" w:rsidR="00557C4E" w:rsidRDefault="00557C4E" w:rsidP="00557C4E">
      <w:pPr>
        <w:rPr>
          <w:rStyle w:val="Hyperlink"/>
        </w:rPr>
      </w:pPr>
      <w:r w:rsidRPr="00A07A65">
        <w:rPr>
          <w:rFonts w:ascii="Source Sans Pro" w:hAnsi="Source Sans Pro"/>
          <w:color w:val="2A2A2A"/>
          <w:sz w:val="23"/>
          <w:szCs w:val="23"/>
          <w:shd w:val="clear" w:color="auto" w:fill="FFFFFF"/>
        </w:rPr>
        <w:t>PAJ Waddington, Police (canteen) sub-culture. An appreciation, </w:t>
      </w:r>
      <w:r w:rsidRPr="00A07A65">
        <w:rPr>
          <w:rFonts w:ascii="Source Sans Pro" w:hAnsi="Source Sans Pro"/>
          <w:i/>
          <w:iCs/>
          <w:color w:val="2A2A2A"/>
          <w:sz w:val="23"/>
          <w:szCs w:val="23"/>
          <w:bdr w:val="none" w:sz="0" w:space="0" w:color="auto" w:frame="1"/>
          <w:shd w:val="clear" w:color="auto" w:fill="FFFFFF"/>
        </w:rPr>
        <w:t>The British Journal of Criminology</w:t>
      </w:r>
      <w:r w:rsidRPr="00A07A65">
        <w:rPr>
          <w:rFonts w:ascii="Source Sans Pro" w:hAnsi="Source Sans Pro"/>
          <w:color w:val="2A2A2A"/>
          <w:sz w:val="23"/>
          <w:szCs w:val="23"/>
          <w:shd w:val="clear" w:color="auto" w:fill="FFFFFF"/>
        </w:rPr>
        <w:t>, Volume 39, Issue 2, March 1999, Pages 287–309, </w:t>
      </w:r>
      <w:hyperlink r:id="rId17" w:history="1">
        <w:r w:rsidRPr="00A07A65">
          <w:rPr>
            <w:rFonts w:ascii="Source Sans Pro" w:hAnsi="Source Sans Pro"/>
            <w:color w:val="006FB7"/>
            <w:sz w:val="23"/>
            <w:szCs w:val="23"/>
            <w:u w:val="single"/>
            <w:bdr w:val="none" w:sz="0" w:space="0" w:color="auto" w:frame="1"/>
            <w:shd w:val="clear" w:color="auto" w:fill="FFFFFF"/>
          </w:rPr>
          <w:t>https://doi.org/10.1093/bjc/39.2.287</w:t>
        </w:r>
      </w:hyperlink>
    </w:p>
    <w:p w14:paraId="569D64CE" w14:textId="77777777" w:rsidR="00BB6319" w:rsidRPr="00335E2A" w:rsidRDefault="00BB6319" w:rsidP="001E1B3C">
      <w:pPr>
        <w:rPr>
          <w:rFonts w:ascii="Arial" w:hAnsi="Arial" w:cs="Arial"/>
        </w:rPr>
      </w:pPr>
    </w:p>
    <w:p w14:paraId="252AD88E" w14:textId="77777777" w:rsidR="0056011B" w:rsidRDefault="0056011B" w:rsidP="0056011B">
      <w:r>
        <w:t>In this essay I will be discussing and analysing the potential links between serious and organised crime and public protection issues. I will be discussing the current legislation and the policies that the police and other agencies use in dealing with these issues and the pros and cons that are identified around these.</w:t>
      </w:r>
    </w:p>
    <w:p w14:paraId="77C2911B" w14:textId="77777777" w:rsidR="0056011B" w:rsidRDefault="0056011B" w:rsidP="0056011B">
      <w:pPr>
        <w:rPr>
          <w:rFonts w:cstheme="minorHAnsi"/>
          <w:color w:val="0B0C0C"/>
          <w:shd w:val="clear" w:color="auto" w:fill="FFFFFF"/>
        </w:rPr>
      </w:pPr>
      <w:r>
        <w:t>The Home Office describes Serious and Organised Crime as “</w:t>
      </w:r>
      <w:r w:rsidRPr="00BC6B89">
        <w:rPr>
          <w:rFonts w:cstheme="minorHAnsi"/>
          <w:color w:val="0B0C0C"/>
          <w:shd w:val="clear" w:color="auto" w:fill="FFFFFF"/>
        </w:rPr>
        <w:t>individuals planning, co-ordinating and committing serious offences, whether individually, in groups and/or as part of transnational networks.</w:t>
      </w:r>
      <w:r>
        <w:rPr>
          <w:rFonts w:cstheme="minorHAnsi"/>
          <w:color w:val="0B0C0C"/>
          <w:shd w:val="clear" w:color="auto" w:fill="FFFFFF"/>
        </w:rPr>
        <w:t>” (Home Office,2019). These types of crime include crimes such as modern slavery, human trafficking, organised immigration crime, Child Criminal exploitation (CCE) and Child sexual exploitation (CSE), money laundering, fraud and other economic crime, bribery, corruption, cybercrime, illegal firearms, and illegal drugs. A report by the Home Office into Tackling serious and organised crime identified 4500 plus organised crime groups operating in the UK with the government’s estimate of the social and economic cost of this being around 37 billion pounds “This included a cost of £20 billion resulting from drug crimes”. (The Comptroller and Auditor General,2019). Clearly raising an issue around serious and organised crime having a detrimental effect not only on the lives of those within it directly, but also the indirect effect from the financial implications to the country.</w:t>
      </w:r>
    </w:p>
    <w:p w14:paraId="7E45B61F" w14:textId="77777777" w:rsidR="0056011B" w:rsidRDefault="0056011B" w:rsidP="0056011B">
      <w:pPr>
        <w:rPr>
          <w:rFonts w:cstheme="minorHAnsi"/>
          <w:color w:val="0B0C0C"/>
          <w:shd w:val="clear" w:color="auto" w:fill="FFFFFF"/>
        </w:rPr>
      </w:pPr>
      <w:r>
        <w:rPr>
          <w:rFonts w:cstheme="minorHAnsi"/>
          <w:color w:val="0B0C0C"/>
          <w:shd w:val="clear" w:color="auto" w:fill="FFFFFF"/>
        </w:rPr>
        <w:t>The Serious and Organised Crime Strategy 2018 sets out the collective efforts to disrupt and target serious crime. It focuses on partnership working “This is a cross-government strategy, not just a Home Office strategy” (Serious and Organised Crime Strategy, Pg5,2013). The aim of this is to incorporate all relevant agencies throughout the Government. The strategy follows that of the counter terrorism framework with the four Ps providing the framework on what the agencies follow. These four Ps are “prevent, pursue, protect and prepare”. The term “prevent” aims to prevent people getting involved in serious crime. Early identification of the individuals thought to be at risk of being targeted by organised crime groups can prevent some individuals from being drawn in, for example Gwent Police have dedicated operational teams where children at risk of CCE and CSE can be referred to, this often comes because of the children going missing and/ or showing signs of concerns such as receiving gifts such as jewellery and clothing or presenting with sexually transmitted infections or sexual behaviour or concerns. The aim is to identify these individuals early on so that safeguarding can be put in place and with an aim to disrupt the criminal network that use these children for drug running and other criminal activity that is often linked back to serious organised crime. The next P is “</w:t>
      </w:r>
      <w:proofErr w:type="gramStart"/>
      <w:r>
        <w:rPr>
          <w:rFonts w:cstheme="minorHAnsi"/>
          <w:color w:val="0B0C0C"/>
          <w:shd w:val="clear" w:color="auto" w:fill="FFFFFF"/>
        </w:rPr>
        <w:t>pursue</w:t>
      </w:r>
      <w:proofErr w:type="gramEnd"/>
      <w:r>
        <w:rPr>
          <w:rFonts w:cstheme="minorHAnsi"/>
          <w:color w:val="0B0C0C"/>
          <w:shd w:val="clear" w:color="auto" w:fill="FFFFFF"/>
        </w:rPr>
        <w:t>”, the National Crime Agency (NCA), works with the police and other agencies to develop intelligence on organised crime and develops information from each agency to coordinate and develop a response. The next term is “</w:t>
      </w:r>
      <w:proofErr w:type="gramStart"/>
      <w:r>
        <w:rPr>
          <w:rFonts w:cstheme="minorHAnsi"/>
          <w:color w:val="0B0C0C"/>
          <w:shd w:val="clear" w:color="auto" w:fill="FFFFFF"/>
        </w:rPr>
        <w:t>protect</w:t>
      </w:r>
      <w:proofErr w:type="gramEnd"/>
      <w:r>
        <w:rPr>
          <w:rFonts w:cstheme="minorHAnsi"/>
          <w:color w:val="0B0C0C"/>
          <w:shd w:val="clear" w:color="auto" w:fill="FFFFFF"/>
        </w:rPr>
        <w:t>”. This aims to reduce vulnerability, for example increasing security on our borders and improving anti-corruption systems that could be exploited by terrorism or human trafficking. The final stage is “</w:t>
      </w:r>
      <w:proofErr w:type="gramStart"/>
      <w:r>
        <w:rPr>
          <w:rFonts w:cstheme="minorHAnsi"/>
          <w:color w:val="0B0C0C"/>
          <w:shd w:val="clear" w:color="auto" w:fill="FFFFFF"/>
        </w:rPr>
        <w:t>prepare</w:t>
      </w:r>
      <w:proofErr w:type="gramEnd"/>
      <w:r>
        <w:rPr>
          <w:rFonts w:cstheme="minorHAnsi"/>
          <w:color w:val="0B0C0C"/>
          <w:shd w:val="clear" w:color="auto" w:fill="FFFFFF"/>
        </w:rPr>
        <w:t>”, this means that when serious and organised crimes are committed we are able to mitigate its impact.</w:t>
      </w:r>
    </w:p>
    <w:p w14:paraId="5368CEDA" w14:textId="77777777" w:rsidR="0056011B" w:rsidRDefault="0056011B" w:rsidP="0056011B">
      <w:r>
        <w:t xml:space="preserve">Section 325 to 327B of the Criminal Justice Act 2003 (CJA 2003) established multi agency public protection arrangements (MAPPA). </w:t>
      </w:r>
    </w:p>
    <w:p w14:paraId="76D46A51" w14:textId="77777777" w:rsidR="0056011B" w:rsidRDefault="0056011B" w:rsidP="0056011B">
      <w:pPr>
        <w:jc w:val="center"/>
        <w:rPr>
          <w:rFonts w:cstheme="minorHAnsi"/>
          <w:color w:val="333333"/>
        </w:rPr>
      </w:pPr>
      <w:r w:rsidRPr="00CF45E1">
        <w:rPr>
          <w:i/>
          <w:iCs/>
        </w:rPr>
        <w:lastRenderedPageBreak/>
        <w:t>“</w:t>
      </w:r>
      <w:r w:rsidRPr="00CF45E1">
        <w:rPr>
          <w:rFonts w:cstheme="minorHAnsi"/>
          <w:i/>
          <w:iCs/>
          <w:color w:val="333333"/>
        </w:rPr>
        <w:t>These arrangements are designed to protect the public, including victims of crime, from serious harm by sexual or violent and other dangerous offenders.”</w:t>
      </w:r>
      <w:r>
        <w:rPr>
          <w:rFonts w:cstheme="minorHAnsi"/>
          <w:color w:val="333333"/>
        </w:rPr>
        <w:t xml:space="preserve"> (College of Policing,2021).</w:t>
      </w:r>
    </w:p>
    <w:p w14:paraId="4DFF9F8F" w14:textId="77777777" w:rsidR="0056011B" w:rsidRDefault="0056011B" w:rsidP="0056011B">
      <w:pPr>
        <w:rPr>
          <w:rFonts w:cstheme="minorHAnsi"/>
          <w:color w:val="333333"/>
        </w:rPr>
      </w:pPr>
      <w:r>
        <w:rPr>
          <w:rFonts w:cstheme="minorHAnsi"/>
          <w:color w:val="333333"/>
        </w:rPr>
        <w:t xml:space="preserve"> MAPPA categorises offenders into one of three categories. These are category one – all registered sexual offenders. Category two – violent or other sex offenders not subject to notification requirements. Category three – other dangerous offenders for example those that don’t fall into category one or two but still pose a risk to the public. The MAPPA responsible authority is the police, prison service and probation. Under a Duty to Co-operate (DTC), </w:t>
      </w:r>
      <w:proofErr w:type="gramStart"/>
      <w:r>
        <w:rPr>
          <w:rFonts w:cstheme="minorHAnsi"/>
          <w:color w:val="333333"/>
        </w:rPr>
        <w:t>a number of</w:t>
      </w:r>
      <w:proofErr w:type="gramEnd"/>
      <w:r>
        <w:rPr>
          <w:rFonts w:cstheme="minorHAnsi"/>
          <w:color w:val="333333"/>
        </w:rPr>
        <w:t xml:space="preserve"> other agencies are also required to assist in the process. These agencies are social services, health services, youth offending team, job centre plus and the local housing and education authorities. The aim is then to share information between each agency so that risk assessments can be put in place to identify and mitigate any identified. However, the MAPPA process has fallen under criticism for failing in basic principles that would effectively allow this process to work. For example, the terrorist attack at Fishmongers Hall in London on the 29</w:t>
      </w:r>
      <w:r w:rsidRPr="00A169AD">
        <w:rPr>
          <w:rFonts w:cstheme="minorHAnsi"/>
          <w:color w:val="333333"/>
          <w:vertAlign w:val="superscript"/>
        </w:rPr>
        <w:t>th</w:t>
      </w:r>
      <w:r>
        <w:rPr>
          <w:rFonts w:cstheme="minorHAnsi"/>
          <w:color w:val="333333"/>
        </w:rPr>
        <w:t xml:space="preserve"> of November 2019, where two people were killed. An inquest into this “exposed a catalogue of failures on the part of virtually every organisation involved” (P Clark, 2021). The report highlights how information was not properly shared between agencies at MAPPA meetings including the intelligence to mount a terrorist attack. The report highlights how it was an avoidable tragedy that with the MAPPA meetings not being utilised to share the relevant information, this tragedy had cost two people their lives and opened the agencies up to criticism. The MAPPA system is supported by the Violent and Sex Offender Register (</w:t>
      </w:r>
      <w:proofErr w:type="spellStart"/>
      <w:r>
        <w:rPr>
          <w:rFonts w:cstheme="minorHAnsi"/>
          <w:color w:val="333333"/>
        </w:rPr>
        <w:t>ViSOR</w:t>
      </w:r>
      <w:proofErr w:type="spellEnd"/>
      <w:r>
        <w:rPr>
          <w:rFonts w:cstheme="minorHAnsi"/>
          <w:color w:val="333333"/>
        </w:rPr>
        <w:t xml:space="preserve">), which has been fully functional since 2008. </w:t>
      </w:r>
      <w:proofErr w:type="spellStart"/>
      <w:r>
        <w:rPr>
          <w:rFonts w:cstheme="minorHAnsi"/>
          <w:color w:val="333333"/>
        </w:rPr>
        <w:t>ViSOR</w:t>
      </w:r>
      <w:proofErr w:type="spellEnd"/>
      <w:r>
        <w:rPr>
          <w:rFonts w:cstheme="minorHAnsi"/>
          <w:color w:val="333333"/>
        </w:rPr>
        <w:t xml:space="preserve"> is an IT system that allows all the service areas including the police, probation, and prison service to work off the same platform. It is therefore improving the way these service areas can share information in a timely manner to reduce reoffending and provide greater public protection from serious organised crime.</w:t>
      </w:r>
    </w:p>
    <w:p w14:paraId="62990DC9" w14:textId="65DD51DB" w:rsidR="0056011B" w:rsidRPr="007F2837" w:rsidRDefault="0056011B" w:rsidP="0056011B">
      <w:pPr>
        <w:rPr>
          <w:rFonts w:cstheme="minorHAnsi"/>
          <w:color w:val="333333"/>
        </w:rPr>
      </w:pPr>
      <w:r>
        <w:rPr>
          <w:rFonts w:cstheme="minorHAnsi"/>
          <w:color w:val="333333"/>
        </w:rPr>
        <w:t xml:space="preserve">In conclusion whilst the concept of information sharing processes such as MAPPA should enable all agencies involved to effectively manage the threat, risk, and harm of offenders, this is not always the case and downfalls in the process such as the lack of information sharing, which I have highlighted in this essay, could result in tragedies that leave the police and other agencies open for criticism and the public at risk. This lack of effective information sharing could result in those involved in serious organised crime to be missed or not effectively managed. However, systems such as </w:t>
      </w:r>
      <w:proofErr w:type="spellStart"/>
      <w:r>
        <w:rPr>
          <w:rFonts w:cstheme="minorHAnsi"/>
          <w:color w:val="333333"/>
        </w:rPr>
        <w:t>ViSOR</w:t>
      </w:r>
      <w:proofErr w:type="spellEnd"/>
      <w:r>
        <w:rPr>
          <w:rFonts w:cstheme="minorHAnsi"/>
          <w:color w:val="333333"/>
        </w:rPr>
        <w:t xml:space="preserve"> are adapting with new technology </w:t>
      </w:r>
      <w:r>
        <w:rPr>
          <w:rFonts w:cstheme="minorHAnsi"/>
          <w:color w:val="333333"/>
        </w:rPr>
        <w:t>to</w:t>
      </w:r>
      <w:r>
        <w:rPr>
          <w:rFonts w:cstheme="minorHAnsi"/>
          <w:color w:val="333333"/>
        </w:rPr>
        <w:t xml:space="preserve"> better manage the risk assessments of those involved in serious organised crime </w:t>
      </w:r>
      <w:proofErr w:type="gramStart"/>
      <w:r>
        <w:rPr>
          <w:rFonts w:cstheme="minorHAnsi"/>
          <w:color w:val="333333"/>
        </w:rPr>
        <w:t>in order to</w:t>
      </w:r>
      <w:proofErr w:type="gramEnd"/>
      <w:r>
        <w:rPr>
          <w:rFonts w:cstheme="minorHAnsi"/>
          <w:color w:val="333333"/>
        </w:rPr>
        <w:t xml:space="preserve"> increase public protection.</w:t>
      </w:r>
      <w:r>
        <w:rPr>
          <w:rFonts w:cstheme="minorHAnsi"/>
          <w:color w:val="333333"/>
        </w:rPr>
        <w:t xml:space="preserve"> </w:t>
      </w:r>
      <w:r w:rsidR="002E13B9">
        <w:rPr>
          <w:rFonts w:cstheme="minorHAnsi"/>
          <w:color w:val="333333"/>
        </w:rPr>
        <w:t>(</w:t>
      </w:r>
      <w:r>
        <w:rPr>
          <w:rFonts w:cstheme="minorHAnsi"/>
          <w:color w:val="333333"/>
        </w:rPr>
        <w:t>100</w:t>
      </w:r>
      <w:r>
        <w:rPr>
          <w:rFonts w:cstheme="minorHAnsi"/>
          <w:color w:val="333333"/>
        </w:rPr>
        <w:t>5)</w:t>
      </w:r>
    </w:p>
    <w:p w14:paraId="3D93EE11" w14:textId="77777777" w:rsidR="00F62F09" w:rsidRPr="007F2837" w:rsidRDefault="00F62F09" w:rsidP="00F62F09">
      <w:pPr>
        <w:rPr>
          <w:rFonts w:cstheme="minorHAnsi"/>
          <w:color w:val="333333"/>
        </w:rPr>
      </w:pPr>
    </w:p>
    <w:p w14:paraId="79328EA3" w14:textId="77777777" w:rsidR="00F62F09" w:rsidRDefault="00F62F09" w:rsidP="00F62F09">
      <w:r>
        <w:t xml:space="preserve">College of Policing </w:t>
      </w:r>
      <w:hyperlink r:id="rId18" w:history="1">
        <w:r w:rsidRPr="00DD0CB4">
          <w:rPr>
            <w:color w:val="0000FF"/>
            <w:u w:val="single"/>
          </w:rPr>
          <w:t>Multi-agency public protection arrangements (MAPPA) (college.police.uk)</w:t>
        </w:r>
      </w:hyperlink>
    </w:p>
    <w:p w14:paraId="2396EEE4" w14:textId="77777777" w:rsidR="00F62F09" w:rsidRDefault="00F62F09" w:rsidP="00F62F09">
      <w:pPr>
        <w:rPr>
          <w:rStyle w:val="Hyperlink"/>
        </w:rPr>
      </w:pPr>
      <w:r>
        <w:t xml:space="preserve">Home Office, 2019 </w:t>
      </w:r>
      <w:hyperlink r:id="rId19" w:history="1">
        <w:r>
          <w:rPr>
            <w:rStyle w:val="Hyperlink"/>
          </w:rPr>
          <w:t>Serious and Organised Crime Strategy - GOV.UK (www.gov.uk)</w:t>
        </w:r>
      </w:hyperlink>
    </w:p>
    <w:p w14:paraId="7057550D" w14:textId="77777777" w:rsidR="00F62F09" w:rsidRDefault="00F62F09" w:rsidP="00F62F09">
      <w:pPr>
        <w:rPr>
          <w:color w:val="0000FF"/>
          <w:u w:val="single"/>
        </w:rPr>
      </w:pPr>
      <w:r>
        <w:t xml:space="preserve">P Clark </w:t>
      </w:r>
      <w:hyperlink r:id="rId20" w:history="1">
        <w:r w:rsidRPr="005A6220">
          <w:rPr>
            <w:color w:val="0000FF"/>
            <w:u w:val="single"/>
          </w:rPr>
          <w:t>Fishmongers’-Hall-A-Preventable-Tragedy.pdf (policyexchange.org.uk)</w:t>
        </w:r>
      </w:hyperlink>
    </w:p>
    <w:p w14:paraId="6166C4B6" w14:textId="77777777" w:rsidR="00F62F09" w:rsidRPr="009D1D1E" w:rsidRDefault="00F62F09" w:rsidP="00F62F09">
      <w:r>
        <w:t xml:space="preserve">Serious and Organised Crime Strategy </w:t>
      </w:r>
      <w:hyperlink r:id="rId21" w:history="1">
        <w:r w:rsidRPr="009870D4">
          <w:rPr>
            <w:color w:val="0000FF"/>
            <w:u w:val="single"/>
          </w:rPr>
          <w:t>Serious and organised crime (publishing.service.gov.uk)</w:t>
        </w:r>
      </w:hyperlink>
    </w:p>
    <w:p w14:paraId="3E957706" w14:textId="77777777" w:rsidR="00F62F09" w:rsidRDefault="00F62F09" w:rsidP="00F62F09">
      <w:r>
        <w:rPr>
          <w:rFonts w:cstheme="minorHAnsi"/>
          <w:color w:val="0B0C0C"/>
          <w:shd w:val="clear" w:color="auto" w:fill="FFFFFF"/>
        </w:rPr>
        <w:t xml:space="preserve">The Comptroller and Auditor General </w:t>
      </w:r>
      <w:hyperlink r:id="rId22" w:history="1">
        <w:r w:rsidRPr="007F2C66">
          <w:rPr>
            <w:color w:val="0000FF"/>
            <w:u w:val="single"/>
          </w:rPr>
          <w:t>Tackling serious and organised crime (Summary) (nao.org.uk)</w:t>
        </w:r>
      </w:hyperlink>
    </w:p>
    <w:p w14:paraId="481D35BE" w14:textId="77777777" w:rsidR="00501041" w:rsidRDefault="00501041" w:rsidP="00501041"/>
    <w:p w14:paraId="48EFCF93" w14:textId="77777777" w:rsidR="00DF5922" w:rsidRDefault="00DF5922"/>
    <w:sectPr w:rsidR="00DF59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922"/>
    <w:rsid w:val="000969D8"/>
    <w:rsid w:val="000A6C5F"/>
    <w:rsid w:val="001609D9"/>
    <w:rsid w:val="001E1B3C"/>
    <w:rsid w:val="002E13B9"/>
    <w:rsid w:val="002F701D"/>
    <w:rsid w:val="00501041"/>
    <w:rsid w:val="00527E27"/>
    <w:rsid w:val="00555B51"/>
    <w:rsid w:val="00557C4E"/>
    <w:rsid w:val="0056011B"/>
    <w:rsid w:val="0056167C"/>
    <w:rsid w:val="008A5431"/>
    <w:rsid w:val="00AC6BFC"/>
    <w:rsid w:val="00B3075B"/>
    <w:rsid w:val="00BB6319"/>
    <w:rsid w:val="00DF42C3"/>
    <w:rsid w:val="00DF5922"/>
    <w:rsid w:val="00F30050"/>
    <w:rsid w:val="00F62F09"/>
    <w:rsid w:val="00F72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9F1E3"/>
  <w15:chartTrackingRefBased/>
  <w15:docId w15:val="{8DE17528-C643-430E-89CF-466C92B72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27E27"/>
    <w:rPr>
      <w:color w:val="0000FF"/>
      <w:u w:val="single"/>
    </w:rPr>
  </w:style>
  <w:style w:type="character" w:styleId="HTMLCite">
    <w:name w:val="HTML Cite"/>
    <w:basedOn w:val="DefaultParagraphFont"/>
    <w:uiPriority w:val="99"/>
    <w:semiHidden/>
    <w:unhideWhenUsed/>
    <w:rsid w:val="0050104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liceconduct.gov.uk/becoming-iopc" TargetMode="External"/><Relationship Id="rId13" Type="http://schemas.openxmlformats.org/officeDocument/2006/relationships/hyperlink" Target="https://www.simplypsychology.org/cognitive-bias.html" TargetMode="External"/><Relationship Id="rId18" Type="http://schemas.openxmlformats.org/officeDocument/2006/relationships/hyperlink" Target="https://www.app.college.police.uk/app-content/major-investigation-and-public-protection/managing-sexual-offenders-and-violent-offenders/mappa/"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248645/Serious_and_Organised_Crime_Strategy.pdf" TargetMode="External"/><Relationship Id="rId7" Type="http://schemas.openxmlformats.org/officeDocument/2006/relationships/hyperlink" Target="https://www.policeconduct.gov.uk/investigations/alleged-excessive-use-force-pc-knight-south-wales" TargetMode="External"/><Relationship Id="rId12" Type="http://schemas.openxmlformats.org/officeDocument/2006/relationships/hyperlink" Target="https://www.college.police.uk/ethics/code-of-ethics" TargetMode="External"/><Relationship Id="rId17" Type="http://schemas.openxmlformats.org/officeDocument/2006/relationships/hyperlink" Target="https://doi.org/10.1093/bjc/39.2.287" TargetMode="External"/><Relationship Id="rId2" Type="http://schemas.openxmlformats.org/officeDocument/2006/relationships/customXml" Target="../customXml/item2.xml"/><Relationship Id="rId16" Type="http://schemas.openxmlformats.org/officeDocument/2006/relationships/hyperlink" Target="https://www.mbaknol.com/strategic-management/johnson-and-scholes-cultural-web-model-of-an-organization/" TargetMode="External"/><Relationship Id="rId20" Type="http://schemas.openxmlformats.org/officeDocument/2006/relationships/hyperlink" Target="https://policyexchange.org.uk/wp-content/uploads/Fishmongers%E2%80%99-Hall-A-Preventable-Tragedy.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nspectorates-dev.bang-on.net/hmicfrs/police-forces/gwent/"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ollege.police.uk/ethics/code-of-ethics" TargetMode="External"/><Relationship Id="rId23" Type="http://schemas.openxmlformats.org/officeDocument/2006/relationships/fontTable" Target="fontTable.xml"/><Relationship Id="rId10" Type="http://schemas.openxmlformats.org/officeDocument/2006/relationships/hyperlink" Target="https://www.gov.uk/government/publications/policing-by-consent/definition-of-policing-by-consent" TargetMode="External"/><Relationship Id="rId19" Type="http://schemas.openxmlformats.org/officeDocument/2006/relationships/hyperlink" Target="https://www.gov.uk/government/collections/serious-and-organised-crime-strategy" TargetMode="External"/><Relationship Id="rId4" Type="http://schemas.openxmlformats.org/officeDocument/2006/relationships/styles" Target="styles.xml"/><Relationship Id="rId9" Type="http://schemas.openxmlformats.org/officeDocument/2006/relationships/hyperlink" Target="https://www.justiceinspectorates.gov.uk/hmicfrs/about-us/what-we-do/" TargetMode="External"/><Relationship Id="rId14" Type="http://schemas.openxmlformats.org/officeDocument/2006/relationships/hyperlink" Target="https://www.humanrightsinitiative.org/programs/aj/police/res_mat/police_accountability_in_uk.pdf" TargetMode="External"/><Relationship Id="rId22" Type="http://schemas.openxmlformats.org/officeDocument/2006/relationships/hyperlink" Target="https://www.nao.org.uk/wp-content/uploads/2019/03/Tackling-serious-and-organised-crime-Summa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4" ma:contentTypeDescription="Create a new document." ma:contentTypeScope="" ma:versionID="983bb206254a0064f153c1da14b452f8">
  <xsd:schema xmlns:xsd="http://www.w3.org/2001/XMLSchema" xmlns:xs="http://www.w3.org/2001/XMLSchema" xmlns:p="http://schemas.microsoft.com/office/2006/metadata/properties" xmlns:ns3="d7f79563-c360-4fc5-85a6-477d0fb69e50" targetNamespace="http://schemas.microsoft.com/office/2006/metadata/properties" ma:root="true" ma:fieldsID="319b6114f1aef28a2dc63ff978340659"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31F7635-0630-4045-8B4C-B82D07B8DEF1}">
  <ds:schemaRefs>
    <ds:schemaRef ds:uri="http://www.w3.org/XML/1998/namespace"/>
    <ds:schemaRef ds:uri="http://schemas.microsoft.com/office/infopath/2007/PartnerControls"/>
    <ds:schemaRef ds:uri="http://schemas.microsoft.com/office/2006/metadata/properties"/>
    <ds:schemaRef ds:uri="http://schemas.openxmlformats.org/package/2006/metadata/core-properties"/>
    <ds:schemaRef ds:uri="http://purl.org/dc/elements/1.1/"/>
    <ds:schemaRef ds:uri="http://purl.org/dc/terms/"/>
    <ds:schemaRef ds:uri="http://schemas.microsoft.com/office/2006/documentManagement/types"/>
    <ds:schemaRef ds:uri="d7f79563-c360-4fc5-85a6-477d0fb69e50"/>
    <ds:schemaRef ds:uri="http://purl.org/dc/dcmitype/"/>
  </ds:schemaRefs>
</ds:datastoreItem>
</file>

<file path=customXml/itemProps2.xml><?xml version="1.0" encoding="utf-8"?>
<ds:datastoreItem xmlns:ds="http://schemas.openxmlformats.org/officeDocument/2006/customXml" ds:itemID="{98B3F347-8646-432B-A4C8-756368B45D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E84E0F-D609-41D3-A6CE-6B18EA8A74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4201</Words>
  <Characters>23946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Gemma-Louise</dc:creator>
  <cp:keywords/>
  <dc:description/>
  <cp:lastModifiedBy>Smith, Gemma-Louise</cp:lastModifiedBy>
  <cp:revision>2</cp:revision>
  <dcterms:created xsi:type="dcterms:W3CDTF">2021-10-25T06:46:00Z</dcterms:created>
  <dcterms:modified xsi:type="dcterms:W3CDTF">2021-10-25T06:46:00Z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2021-10-23T21:23:19Z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c45309a7-2a64-483e-8414-6a53532c84f6</vt:lpwstr>
  </property>
  <property fmtid="{D5CDD505-2E9C-101B-9397-08002B2CF9AE}" pid="8" name="MSIP_Label_f2acd28b-79a3-4a0f-b0ff-4b75658b1549_ContentBits">
    <vt:lpwstr>0</vt:lpwstr>
  </property>
  <property fmtid="{D5CDD505-2E9C-101B-9397-08002B2CF9AE}" pid="9" name="ContentTypeId">
    <vt:lpwstr>0x0101009E9098D7BFACC74FB9640530749116D6</vt:lpwstr>
  </property>
</Properties>
</file>